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65" w:rsidRPr="00872EB7" w:rsidRDefault="00D90A65" w:rsidP="00B0730B">
      <w:pPr>
        <w:shd w:val="clear" w:color="auto" w:fill="FFFFFF" w:themeFill="background1"/>
        <w:spacing w:line="240" w:lineRule="auto"/>
        <w:ind w:left="-432" w:right="-432" w:firstLine="432"/>
        <w:contextualSpacing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2EB7">
        <w:rPr>
          <w:rStyle w:val="a3"/>
          <w:rFonts w:ascii="Times New Roman" w:hAnsi="Times New Roman" w:cs="Times New Roman"/>
          <w:sz w:val="28"/>
          <w:szCs w:val="28"/>
        </w:rPr>
        <w:t>NOTĂ INFORMATIVĂ</w:t>
      </w:r>
    </w:p>
    <w:p w:rsidR="00E76957" w:rsidRPr="00872EB7" w:rsidRDefault="00D90A65" w:rsidP="00D255D1">
      <w:pPr>
        <w:shd w:val="clear" w:color="auto" w:fill="FFFFFF"/>
        <w:spacing w:before="300" w:after="240" w:line="240" w:lineRule="auto"/>
        <w:jc w:val="center"/>
        <w:outlineLvl w:val="3"/>
        <w:rPr>
          <w:rStyle w:val="a3"/>
          <w:rFonts w:ascii="Times New Roman" w:hAnsi="Times New Roman" w:cs="Times New Roman"/>
          <w:sz w:val="26"/>
          <w:szCs w:val="26"/>
        </w:rPr>
      </w:pPr>
      <w:r w:rsidRPr="00872EB7">
        <w:rPr>
          <w:rStyle w:val="a3"/>
          <w:rFonts w:ascii="Times New Roman" w:hAnsi="Times New Roman" w:cs="Times New Roman"/>
          <w:sz w:val="26"/>
          <w:szCs w:val="26"/>
        </w:rPr>
        <w:t>la proiectul hotăr</w:t>
      </w:r>
      <w:r w:rsidR="00872EB7" w:rsidRPr="00872EB7">
        <w:rPr>
          <w:rStyle w:val="a3"/>
          <w:rFonts w:ascii="Times New Roman" w:hAnsi="Times New Roman" w:cs="Times New Roman"/>
          <w:sz w:val="26"/>
          <w:szCs w:val="26"/>
        </w:rPr>
        <w:t>â</w:t>
      </w:r>
      <w:r w:rsidRPr="00872EB7">
        <w:rPr>
          <w:rStyle w:val="a3"/>
          <w:rFonts w:ascii="Times New Roman" w:hAnsi="Times New Roman" w:cs="Times New Roman"/>
          <w:sz w:val="26"/>
          <w:szCs w:val="26"/>
        </w:rPr>
        <w:t xml:space="preserve">rii de Guvern </w:t>
      </w:r>
      <w:r w:rsidRPr="00872EB7">
        <w:rPr>
          <w:rFonts w:ascii="Times New Roman" w:hAnsi="Times New Roman" w:cs="Times New Roman"/>
          <w:b/>
          <w:bCs/>
          <w:sz w:val="26"/>
          <w:szCs w:val="26"/>
        </w:rPr>
        <w:t>pentru modificarea Regulamentului cu privire la modul de prezentare de către beneficiarii subsolului a rapoartelor privind mișcarea rezervelor de substanțe minerale utile, aprobat prin Hotărârea Guvernului nr. 1131/2016</w:t>
      </w:r>
    </w:p>
    <w:tbl>
      <w:tblPr>
        <w:tblStyle w:val="a6"/>
        <w:tblW w:w="9919" w:type="dxa"/>
        <w:tblInd w:w="-426" w:type="dxa"/>
        <w:tblLook w:val="04A0"/>
      </w:tblPr>
      <w:tblGrid>
        <w:gridCol w:w="9919"/>
      </w:tblGrid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spacing w:before="40" w:after="20" w:line="240" w:lineRule="auto"/>
              <w:ind w:left="336" w:hanging="336"/>
              <w:jc w:val="both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RO"/>
              </w:rPr>
              <w:t>Denumirea  autorului și</w:t>
            </w:r>
            <w:r w:rsidR="009139AF" w:rsidRPr="00872EB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RO"/>
              </w:rPr>
              <w:t>, după caz, a participanților</w:t>
            </w:r>
            <w:r w:rsidRPr="00872EB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RO"/>
              </w:rPr>
              <w:t xml:space="preserve"> la elaborarea proiectului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A67CAE">
            <w:pPr>
              <w:spacing w:before="60" w:after="60" w:line="240" w:lineRule="auto"/>
              <w:ind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EB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Proiectul a fost elaborat de către Ministerul Mediului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, în temeiul prevederilor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art.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 lit.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67CAE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l)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și art.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54 ale Codului subsolului nr. 3</w:t>
            </w:r>
            <w:r w:rsidR="00A67CAE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2009 (Monitorul Oficial al Republicii Moldova, 2009, nr. 75-77, art. 197), cu modificările și completările ulterioare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RO"/>
              </w:rPr>
              <w:t>Condițiile ce au impus elaborarea proiectului de act normativ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897465" w:rsidP="00D255D1">
            <w:pPr>
              <w:shd w:val="clear" w:color="auto" w:fill="FFFFFF"/>
              <w:tabs>
                <w:tab w:val="left" w:pos="-5424"/>
              </w:tabs>
              <w:spacing w:before="60" w:after="60" w:line="240" w:lineRule="auto"/>
              <w:ind w:firstLine="5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Ministerul Mediului, în calitate de autoritate publică centrală în domeniul elaborării și promovării politicilor de protecție și utilizare durabilă a resurselor minerale u</w:t>
            </w:r>
            <w:r w:rsidR="00B0730B" w:rsidRPr="00872EB7">
              <w:rPr>
                <w:rFonts w:ascii="Times New Roman" w:hAnsi="Times New Roman" w:cs="Times New Roman"/>
                <w:sz w:val="28"/>
                <w:szCs w:val="28"/>
              </w:rPr>
              <w:t>tile, propune modificările date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în scopul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eliminării impedimentelor administrative, </w:t>
            </w:r>
            <w:r w:rsidR="0050489A"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simplificarea,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asigurarea coerenței și transparenței în procesul de raportare agenților economici din domeniul </w:t>
            </w:r>
            <w:r w:rsidR="00B0730B"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exploatării resurselor minerale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90A65" w:rsidRPr="00872EB7">
              <w:rPr>
                <w:rFonts w:ascii="Times New Roman" w:hAnsi="Times New Roman" w:cs="Times New Roman"/>
                <w:sz w:val="28"/>
                <w:szCs w:val="28"/>
              </w:rPr>
              <w:t>Necesitatea modificării HG 1131/2016 este determinată și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de dublarea atribuțiilor, astfel agenții economici sunt nevoiți să prezinte aceiași informație către două instituții din subordinea Ministerului Mediului (Agenți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pentru Geologie și Resurse 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Minerale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și Inspectoratul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pentru Protecția Mediului)</w:t>
            </w:r>
            <w:r w:rsidR="00A67CAE" w:rsidRPr="00872E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5D1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ceea ce repezintă o lacună în legislație. 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D255D1">
            <w:pPr>
              <w:pStyle w:val="a4"/>
              <w:numPr>
                <w:ilvl w:val="0"/>
                <w:numId w:val="4"/>
              </w:numPr>
              <w:spacing w:before="40" w:after="2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Descrierea gradului de compatibilitate pentru proiectele care au ca scop armonizarea </w:t>
            </w:r>
            <w:r w:rsidR="00BC0D47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legislației</w:t>
            </w:r>
            <w:r w:rsidR="00D2044F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 </w:t>
            </w:r>
            <w:r w:rsidR="00BC0D47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naționale</w:t>
            </w: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 cu </w:t>
            </w:r>
            <w:r w:rsidR="00BC0D47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legislația</w:t>
            </w: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 Uniunii Europene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E76957" w:rsidP="00B0730B">
            <w:pPr>
              <w:spacing w:before="60" w:after="60" w:line="240" w:lineRule="auto"/>
              <w:ind w:firstLine="5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Proiectul nu</w:t>
            </w:r>
            <w:r w:rsidR="00D90A65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implică acțiuni de armonizare a legislației naționale cu legislația Uniunii Europene. 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-551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RO"/>
              </w:rPr>
              <w:t>Principalele prevederi ale proiectului și evidențierea elementelor noi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D255D1">
            <w:pPr>
              <w:spacing w:before="60" w:after="120" w:line="240" w:lineRule="auto"/>
              <w:ind w:left="29" w:firstLine="533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hotărîrii de Guvern stabilește excluderea sintagmei 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„Direcția control geologic și resurse funciare a Inspectoratului pentru Protecția Mediului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din anexele</w:t>
            </w:r>
            <w:r w:rsidR="00897465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nr.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465" w:rsidRPr="00872EB7">
              <w:rPr>
                <w:rFonts w:ascii="Times New Roman" w:hAnsi="Times New Roman" w:cs="Times New Roman"/>
                <w:sz w:val="28"/>
                <w:szCs w:val="28"/>
              </w:rPr>
              <w:t>1, nr.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465" w:rsidRPr="00872EB7">
              <w:rPr>
                <w:rFonts w:ascii="Times New Roman" w:hAnsi="Times New Roman" w:cs="Times New Roman"/>
                <w:sz w:val="28"/>
                <w:szCs w:val="28"/>
              </w:rPr>
              <w:t>2 și nr.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465" w:rsidRPr="00872EB7">
              <w:rPr>
                <w:rFonts w:ascii="Times New Roman" w:hAnsi="Times New Roman" w:cs="Times New Roman"/>
                <w:sz w:val="28"/>
                <w:szCs w:val="28"/>
              </w:rPr>
              <w:t>3 al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HG 1131/2016. Excl</w:t>
            </w:r>
            <w:r w:rsidR="005F38A0" w:rsidRPr="00872EB7">
              <w:rPr>
                <w:rFonts w:ascii="Times New Roman" w:hAnsi="Times New Roman" w:cs="Times New Roman"/>
                <w:sz w:val="28"/>
                <w:szCs w:val="28"/>
              </w:rPr>
              <w:t>uderea acestei sintagme va simplifica procesul de raportare a agenților economici către instituțiile de stat</w:t>
            </w:r>
            <w:r w:rsidR="00897465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și va elimina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raportarea dublă </w:t>
            </w:r>
            <w:r w:rsidR="00B0730B" w:rsidRPr="00872EB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informații</w:t>
            </w:r>
            <w:r w:rsidR="00B0730B" w:rsidRPr="00872EB7">
              <w:rPr>
                <w:rFonts w:ascii="Times New Roman" w:hAnsi="Times New Roman" w:cs="Times New Roman"/>
                <w:sz w:val="28"/>
                <w:szCs w:val="28"/>
              </w:rPr>
              <w:t>lor privind mișcarea rezervelor de substanțe minerale utile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către două instituții aflate în subordinea Ministerului Mediului (Agenția pentru Geologie și Resurse 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Minerale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și Inspectoratul pentru Protecția Mediului). Solicitarea modificărilor propuse vine de la mai mulți agenți economici din domeniul extragerii resurselor minerale utile care întâlnesc anumite dificultăți în procesul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de raportare.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Din cauza că </w:t>
            </w:r>
            <w:r w:rsidR="0098686A" w:rsidRPr="00872EB7">
              <w:rPr>
                <w:rFonts w:ascii="Times New Roman" w:hAnsi="Times New Roman" w:cs="Times New Roman"/>
                <w:sz w:val="28"/>
                <w:szCs w:val="28"/>
              </w:rPr>
              <w:t>rapoartele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prezentat</w:t>
            </w:r>
            <w:r w:rsidR="00D2044F" w:rsidRPr="00872EB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86A" w:rsidRPr="00872EB7">
              <w:rPr>
                <w:rFonts w:ascii="Times New Roman" w:hAnsi="Times New Roman" w:cs="Times New Roman"/>
                <w:sz w:val="28"/>
                <w:szCs w:val="28"/>
              </w:rPr>
              <w:t>conțin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doar informații statistice cu privire la extragerea zăcămintelor minerale utile, informații la care Inspectoratul pentru </w:t>
            </w:r>
            <w:r w:rsidR="0098686A" w:rsidRPr="00872EB7">
              <w:rPr>
                <w:rFonts w:ascii="Times New Roman" w:hAnsi="Times New Roman" w:cs="Times New Roman"/>
                <w:sz w:val="28"/>
                <w:szCs w:val="28"/>
              </w:rPr>
              <w:t>Protecția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Mediului are acces liber, se </w:t>
            </w:r>
            <w:r w:rsidR="0098686A" w:rsidRPr="00872EB7">
              <w:rPr>
                <w:rFonts w:ascii="Times New Roman" w:hAnsi="Times New Roman" w:cs="Times New Roman"/>
                <w:sz w:val="28"/>
                <w:szCs w:val="28"/>
              </w:rPr>
              <w:t>consideră inu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>tilă coordonarea acestor r</w:t>
            </w:r>
            <w:r w:rsidR="0098686A" w:rsidRPr="00872EB7">
              <w:rPr>
                <w:rFonts w:ascii="Times New Roman" w:hAnsi="Times New Roman" w:cs="Times New Roman"/>
                <w:sz w:val="28"/>
                <w:szCs w:val="28"/>
              </w:rPr>
              <w:t>apoarte cu instituția menționată</w:t>
            </w:r>
            <w:r w:rsidR="00484679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255D1" w:rsidRPr="00872EB7">
              <w:rPr>
                <w:rFonts w:ascii="Times New Roman" w:hAnsi="Times New Roman" w:cs="Times New Roman"/>
                <w:sz w:val="28"/>
                <w:szCs w:val="28"/>
              </w:rPr>
              <w:t>Reieșind din faptul că, beneficiarii subsolului trebuie să prezinte rapoartele pînă la data de 15 februarie a anului următor  anului de gestiune, se propune intrarea în vigoare a prezentei hotărâri la data publicării în în Monitorul Oficial al Republicii Moldova.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Fundamentarea economică-financiară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9014DA" w:rsidP="00B0730B">
            <w:pPr>
              <w:pStyle w:val="al"/>
              <w:shd w:val="clear" w:color="auto" w:fill="FFFFFF"/>
              <w:spacing w:before="60" w:beforeAutospacing="0" w:after="60" w:afterAutospacing="0"/>
              <w:ind w:firstLine="562"/>
              <w:jc w:val="both"/>
              <w:rPr>
                <w:rFonts w:eastAsiaTheme="minorHAnsi"/>
                <w:sz w:val="28"/>
                <w:szCs w:val="28"/>
                <w:lang w:val="ro-RO" w:eastAsia="en-US"/>
              </w:rPr>
            </w:pPr>
            <w:r w:rsidRPr="00872EB7">
              <w:rPr>
                <w:sz w:val="28"/>
                <w:szCs w:val="28"/>
                <w:lang w:val="ro-RO"/>
              </w:rPr>
              <w:t>Modificarea HG 1131/2016, nu implică cheltuieli financiare suplimentare de la buget.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lastRenderedPageBreak/>
              <w:t>Modul de încorporare a actului în cadrul normativ în vigoare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872EB7">
            <w:pPr>
              <w:pStyle w:val="a4"/>
              <w:tabs>
                <w:tab w:val="left" w:pos="284"/>
                <w:tab w:val="left" w:pos="851"/>
                <w:tab w:val="left" w:pos="993"/>
              </w:tabs>
              <w:spacing w:before="60" w:after="60" w:line="240" w:lineRule="auto"/>
              <w:ind w:left="0" w:firstLine="56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de hotăr</w:t>
            </w:r>
            <w:r w:rsid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 de Guvern nu va necesita modificarea altor acte normative.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Avizarea </w:t>
            </w:r>
            <w:r w:rsidR="00BC0D47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și</w:t>
            </w: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 consultarea publică a proiectului</w:t>
            </w:r>
          </w:p>
        </w:tc>
      </w:tr>
      <w:tr w:rsidR="00D90A65" w:rsidRPr="00872EB7" w:rsidTr="00020594">
        <w:tc>
          <w:tcPr>
            <w:tcW w:w="9919" w:type="dxa"/>
          </w:tcPr>
          <w:p w:rsidR="00BC0D47" w:rsidRPr="00872EB7" w:rsidRDefault="00D90A65" w:rsidP="00B0730B">
            <w:pPr>
              <w:pStyle w:val="2"/>
              <w:shd w:val="clear" w:color="auto" w:fill="FFFFFF"/>
              <w:spacing w:before="60" w:beforeAutospacing="0" w:after="60" w:afterAutospacing="0" w:line="329" w:lineRule="atLeast"/>
              <w:ind w:firstLine="597"/>
              <w:textAlignment w:val="baseline"/>
              <w:outlineLvl w:val="1"/>
              <w:rPr>
                <w:b w:val="0"/>
                <w:sz w:val="28"/>
                <w:szCs w:val="28"/>
                <w:lang w:val="ro-RO"/>
              </w:rPr>
            </w:pPr>
            <w:r w:rsidRPr="00872EB7">
              <w:rPr>
                <w:b w:val="0"/>
                <w:sz w:val="28"/>
                <w:szCs w:val="28"/>
                <w:lang w:val="ro-RO"/>
              </w:rPr>
              <w:t xml:space="preserve">Întru respectarea prevederilor Legii nr. 239/2008 privind </w:t>
            </w:r>
            <w:r w:rsidR="00BC0D47" w:rsidRPr="00872EB7">
              <w:rPr>
                <w:b w:val="0"/>
                <w:sz w:val="28"/>
                <w:szCs w:val="28"/>
                <w:lang w:val="ro-RO"/>
              </w:rPr>
              <w:t>transparența</w:t>
            </w:r>
            <w:r w:rsidRPr="00872EB7">
              <w:rPr>
                <w:b w:val="0"/>
                <w:sz w:val="28"/>
                <w:szCs w:val="28"/>
                <w:lang w:val="ro-RO"/>
              </w:rPr>
              <w:t xml:space="preserve"> în procesul decizional,</w:t>
            </w:r>
            <w:r w:rsidR="00BC0D47" w:rsidRPr="00872EB7">
              <w:rPr>
                <w:b w:val="0"/>
                <w:sz w:val="28"/>
                <w:szCs w:val="28"/>
                <w:lang w:val="ro-RO"/>
              </w:rPr>
              <w:t xml:space="preserve"> anunțul de inițiere a modificării HG 1131/2016,</w:t>
            </w:r>
            <w:r w:rsidR="00D2044F" w:rsidRPr="00872EB7"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="00BC0D47" w:rsidRPr="00872EB7">
              <w:rPr>
                <w:b w:val="0"/>
                <w:sz w:val="28"/>
                <w:szCs w:val="28"/>
                <w:lang w:val="ro-RO"/>
              </w:rPr>
              <w:t>a</w:t>
            </w:r>
            <w:r w:rsidRPr="00872EB7">
              <w:rPr>
                <w:b w:val="0"/>
                <w:sz w:val="28"/>
                <w:szCs w:val="28"/>
                <w:lang w:val="ro-RO"/>
              </w:rPr>
              <w:t xml:space="preserve"> fost plasat pe pagina web a Ministerului Mediului la compartimentul Transparență decizională/</w:t>
            </w:r>
            <w:r w:rsidR="00BC0D47" w:rsidRPr="00872EB7">
              <w:rPr>
                <w:b w:val="0"/>
                <w:sz w:val="28"/>
                <w:szCs w:val="28"/>
                <w:lang w:val="ro-RO"/>
              </w:rPr>
              <w:t>Anunțuri de inițiere a elaborării deciziilor</w:t>
            </w:r>
          </w:p>
          <w:p w:rsidR="00D90A65" w:rsidRPr="00872EB7" w:rsidRDefault="00D90A65" w:rsidP="00B0730B">
            <w:pPr>
              <w:pStyle w:val="a4"/>
              <w:tabs>
                <w:tab w:val="left" w:pos="284"/>
                <w:tab w:val="left" w:pos="851"/>
                <w:tab w:val="left" w:pos="993"/>
              </w:tabs>
              <w:spacing w:before="60" w:after="60" w:line="240" w:lineRule="auto"/>
              <w:ind w:left="0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743315"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remis </w:t>
            </w:r>
            <w:r w:rsidR="00BC0D47"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avizare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43315"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către</w:t>
            </w:r>
            <w:r w:rsidRPr="00872E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următoarele instituții:</w:t>
            </w:r>
          </w:p>
          <w:p w:rsidR="00BC0D47" w:rsidRPr="00872EB7" w:rsidRDefault="00BC0D47" w:rsidP="00B0730B">
            <w:pPr>
              <w:pStyle w:val="a8"/>
              <w:numPr>
                <w:ilvl w:val="0"/>
                <w:numId w:val="3"/>
              </w:numPr>
              <w:spacing w:before="60" w:after="60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  <w:r w:rsidRPr="00872EB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Ministerul Justiției;</w:t>
            </w:r>
          </w:p>
          <w:p w:rsidR="00BC0D47" w:rsidRPr="00872EB7" w:rsidRDefault="00BC0D47" w:rsidP="00B0730B">
            <w:pPr>
              <w:pStyle w:val="a8"/>
              <w:numPr>
                <w:ilvl w:val="0"/>
                <w:numId w:val="3"/>
              </w:numPr>
              <w:spacing w:before="60" w:after="60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72EB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Ministerul Economiei;</w:t>
            </w:r>
          </w:p>
          <w:p w:rsidR="00BC0D47" w:rsidRPr="00872EB7" w:rsidRDefault="00BC0D47" w:rsidP="00B0730B">
            <w:pPr>
              <w:pStyle w:val="a8"/>
              <w:numPr>
                <w:ilvl w:val="0"/>
                <w:numId w:val="3"/>
              </w:numPr>
              <w:spacing w:before="60" w:after="60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72EB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Ministerul Infrastructurii  și Dezvoltării Regionale; </w:t>
            </w:r>
          </w:p>
          <w:p w:rsidR="00D90A65" w:rsidRPr="00872EB7" w:rsidRDefault="00BC0D47" w:rsidP="00B0730B">
            <w:pPr>
              <w:pStyle w:val="a8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872EB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Centrul Național Anticorupție.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D90A65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Consultările expertizei anticorupție</w:t>
            </w:r>
          </w:p>
        </w:tc>
      </w:tr>
      <w:tr w:rsidR="00897465" w:rsidRPr="00872EB7" w:rsidTr="00020594">
        <w:tc>
          <w:tcPr>
            <w:tcW w:w="9919" w:type="dxa"/>
          </w:tcPr>
          <w:p w:rsidR="00897465" w:rsidRPr="00872EB7" w:rsidRDefault="00897465" w:rsidP="006A5D0C">
            <w:pPr>
              <w:tabs>
                <w:tab w:val="left" w:pos="284"/>
                <w:tab w:val="left" w:pos="851"/>
                <w:tab w:val="left" w:pos="993"/>
              </w:tabs>
              <w:spacing w:before="60" w:after="60" w:line="240" w:lineRule="auto"/>
              <w:ind w:right="7" w:firstLine="5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Proiectul va fi supus expertizei anticorupție, conform art. 35 din Legea 100/2017, fiind solicitat</w:t>
            </w:r>
            <w:r w:rsidR="006A5D0C" w:rsidRPr="00872EB7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efectuarea expertizei de către Centrul National Anticorupție.</w:t>
            </w:r>
          </w:p>
        </w:tc>
      </w:tr>
      <w:tr w:rsidR="005F38A0" w:rsidRPr="00872EB7" w:rsidTr="00020594">
        <w:tc>
          <w:tcPr>
            <w:tcW w:w="9919" w:type="dxa"/>
          </w:tcPr>
          <w:p w:rsidR="005F38A0" w:rsidRPr="00872EB7" w:rsidRDefault="005F38A0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  <w:tab w:val="left" w:pos="-5334"/>
              </w:tabs>
              <w:spacing w:before="40" w:after="20" w:line="240" w:lineRule="auto"/>
              <w:ind w:left="336" w:right="-432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Constatările expertizei de compatibilitate</w:t>
            </w:r>
          </w:p>
        </w:tc>
      </w:tr>
      <w:tr w:rsidR="005F38A0" w:rsidRPr="00872EB7" w:rsidTr="00020594">
        <w:tc>
          <w:tcPr>
            <w:tcW w:w="9919" w:type="dxa"/>
          </w:tcPr>
          <w:p w:rsidR="005F38A0" w:rsidRPr="00872EB7" w:rsidRDefault="005F38A0" w:rsidP="00872EB7">
            <w:pPr>
              <w:tabs>
                <w:tab w:val="left" w:pos="284"/>
                <w:tab w:val="left" w:pos="851"/>
                <w:tab w:val="left" w:pos="993"/>
              </w:tabs>
              <w:spacing w:before="60" w:after="60" w:line="240" w:lineRule="auto"/>
              <w:ind w:right="7" w:firstLine="59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Proiectul de hotăr</w:t>
            </w:r>
            <w:r w:rsidR="00872EB7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>re de Guvern nu</w:t>
            </w:r>
            <w:r w:rsidR="00E76957"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are ca scop armonizarea cu legislația UE și nu </w:t>
            </w:r>
            <w:r w:rsidRPr="00872EB7">
              <w:rPr>
                <w:rFonts w:ascii="Times New Roman" w:hAnsi="Times New Roman" w:cs="Times New Roman"/>
                <w:sz w:val="28"/>
                <w:szCs w:val="28"/>
              </w:rPr>
              <w:t xml:space="preserve"> va necesita expertiza de compatibilitate.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9139AF" w:rsidP="009139AF">
            <w:pPr>
              <w:pStyle w:val="a4"/>
              <w:numPr>
                <w:ilvl w:val="0"/>
                <w:numId w:val="4"/>
              </w:numPr>
              <w:tabs>
                <w:tab w:val="left" w:pos="-5424"/>
              </w:tabs>
              <w:spacing w:before="40" w:after="20" w:line="240" w:lineRule="auto"/>
              <w:ind w:left="336"/>
              <w:jc w:val="both"/>
              <w:rPr>
                <w:rFonts w:ascii="Times New Roman" w:hAnsi="Times New Roman" w:cs="Times New Roman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 xml:space="preserve">  </w:t>
            </w:r>
            <w:r w:rsidR="00D90A65" w:rsidRPr="00872EB7">
              <w:rPr>
                <w:rFonts w:ascii="Times New Roman" w:hAnsi="Times New Roman" w:cs="Times New Roman"/>
                <w:b/>
                <w:sz w:val="27"/>
                <w:szCs w:val="27"/>
                <w:lang w:val="ro-RO"/>
              </w:rPr>
              <w:t>Consultările expertizei juridice</w:t>
            </w:r>
          </w:p>
        </w:tc>
      </w:tr>
      <w:tr w:rsidR="00D90A65" w:rsidRPr="00872EB7" w:rsidTr="00020594">
        <w:tc>
          <w:tcPr>
            <w:tcW w:w="9919" w:type="dxa"/>
          </w:tcPr>
          <w:p w:rsidR="00D90A65" w:rsidRPr="00872EB7" w:rsidRDefault="00BC0D47" w:rsidP="006A5D0C">
            <w:pPr>
              <w:pStyle w:val="Default"/>
              <w:spacing w:before="60" w:after="60"/>
              <w:ind w:firstLine="59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872EB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Proiectul va fi</w:t>
            </w:r>
            <w:r w:rsidR="009014DA" w:rsidRPr="00872EB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supus expertizei juridice conform art. 37 din Legea 100/2017, fiind  solicitată efectuarea expertizei de către Ministerul Justiției.</w:t>
            </w:r>
          </w:p>
        </w:tc>
      </w:tr>
      <w:tr w:rsidR="005F38A0" w:rsidRPr="00872EB7" w:rsidTr="00020594">
        <w:tc>
          <w:tcPr>
            <w:tcW w:w="9919" w:type="dxa"/>
          </w:tcPr>
          <w:p w:rsidR="005F38A0" w:rsidRPr="00872EB7" w:rsidRDefault="009139AF" w:rsidP="009139AF">
            <w:pPr>
              <w:pStyle w:val="Default"/>
              <w:numPr>
                <w:ilvl w:val="0"/>
                <w:numId w:val="4"/>
              </w:numPr>
              <w:spacing w:before="40" w:after="20"/>
              <w:ind w:left="336"/>
              <w:rPr>
                <w:rFonts w:ascii="Times New Roman" w:hAnsi="Times New Roman" w:cs="Times New Roman"/>
                <w:color w:val="auto"/>
                <w:sz w:val="27"/>
                <w:szCs w:val="27"/>
                <w:lang w:val="ro-RO"/>
              </w:rPr>
            </w:pPr>
            <w:r w:rsidRPr="00872EB7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 xml:space="preserve">  </w:t>
            </w:r>
            <w:r w:rsidR="005F38A0" w:rsidRPr="00872EB7">
              <w:rPr>
                <w:rFonts w:ascii="Times New Roman" w:hAnsi="Times New Roman" w:cs="Times New Roman"/>
                <w:b/>
                <w:color w:val="auto"/>
                <w:sz w:val="27"/>
                <w:szCs w:val="27"/>
                <w:lang w:val="ro-RO"/>
              </w:rPr>
              <w:t>Constatările altor expertize</w:t>
            </w:r>
          </w:p>
        </w:tc>
      </w:tr>
      <w:tr w:rsidR="005F38A0" w:rsidRPr="00872EB7" w:rsidTr="00020594">
        <w:tc>
          <w:tcPr>
            <w:tcW w:w="9919" w:type="dxa"/>
          </w:tcPr>
          <w:p w:rsidR="005F38A0" w:rsidRPr="00872EB7" w:rsidRDefault="005F38A0" w:rsidP="006A5D0C">
            <w:pPr>
              <w:pStyle w:val="Default"/>
              <w:spacing w:before="60" w:after="60"/>
              <w:ind w:firstLine="590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872EB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Proiectul de hotărîre de Guvern nu va n</w:t>
            </w:r>
            <w:r w:rsidR="006A5D0C" w:rsidRPr="00872EB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ecesita efectuarea expertizelor </w:t>
            </w:r>
            <w:r w:rsidRPr="00872EB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suplimentare.</w:t>
            </w:r>
          </w:p>
        </w:tc>
      </w:tr>
    </w:tbl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72EB7">
        <w:rPr>
          <w:rFonts w:ascii="Times New Roman" w:hAnsi="Times New Roman" w:cs="Times New Roman"/>
          <w:b/>
          <w:sz w:val="28"/>
          <w:szCs w:val="28"/>
        </w:rPr>
        <w:t xml:space="preserve">Ministru                                                  </w:t>
      </w:r>
      <w:r w:rsidR="00DC7F6A" w:rsidRPr="00872EB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872E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F6A" w:rsidRPr="00872EB7">
        <w:rPr>
          <w:rFonts w:ascii="Times New Roman" w:hAnsi="Times New Roman" w:cs="Times New Roman"/>
          <w:b/>
          <w:sz w:val="28"/>
          <w:szCs w:val="28"/>
        </w:rPr>
        <w:t>Iordanca-Rodica IORDANOV</w:t>
      </w: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A65" w:rsidRPr="00872EB7" w:rsidRDefault="00D90A65" w:rsidP="00D90A65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A02C9" w:rsidRPr="00872EB7" w:rsidRDefault="00DA02C9">
      <w:pPr>
        <w:rPr>
          <w:rFonts w:ascii="Times New Roman" w:hAnsi="Times New Roman" w:cs="Times New Roman"/>
        </w:rPr>
      </w:pPr>
    </w:p>
    <w:sectPr w:rsidR="00DA02C9" w:rsidRPr="00872EB7" w:rsidSect="00656AA6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3CC9"/>
    <w:multiLevelType w:val="hybridMultilevel"/>
    <w:tmpl w:val="7646DEB6"/>
    <w:lvl w:ilvl="0" w:tplc="8C8A1F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3A0379"/>
    <w:multiLevelType w:val="hybridMultilevel"/>
    <w:tmpl w:val="E69C7A02"/>
    <w:lvl w:ilvl="0" w:tplc="A1E2ED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946AA"/>
    <w:multiLevelType w:val="hybridMultilevel"/>
    <w:tmpl w:val="071029A8"/>
    <w:lvl w:ilvl="0" w:tplc="56161C6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7C5066F6"/>
    <w:multiLevelType w:val="hybridMultilevel"/>
    <w:tmpl w:val="6080A394"/>
    <w:lvl w:ilvl="0" w:tplc="56161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90A65"/>
    <w:rsid w:val="00484679"/>
    <w:rsid w:val="0050489A"/>
    <w:rsid w:val="0053546C"/>
    <w:rsid w:val="005C5F13"/>
    <w:rsid w:val="005F38A0"/>
    <w:rsid w:val="006A5D0C"/>
    <w:rsid w:val="00743315"/>
    <w:rsid w:val="00854587"/>
    <w:rsid w:val="00872EB7"/>
    <w:rsid w:val="00897465"/>
    <w:rsid w:val="008B32C1"/>
    <w:rsid w:val="008F4599"/>
    <w:rsid w:val="009014DA"/>
    <w:rsid w:val="009139AF"/>
    <w:rsid w:val="0098686A"/>
    <w:rsid w:val="009F2BC0"/>
    <w:rsid w:val="00A67CAE"/>
    <w:rsid w:val="00B0730B"/>
    <w:rsid w:val="00BC0D47"/>
    <w:rsid w:val="00BF4601"/>
    <w:rsid w:val="00D2044F"/>
    <w:rsid w:val="00D255D1"/>
    <w:rsid w:val="00D90A65"/>
    <w:rsid w:val="00DA02C9"/>
    <w:rsid w:val="00DC7F6A"/>
    <w:rsid w:val="00E7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65"/>
    <w:pPr>
      <w:spacing w:after="200" w:line="276" w:lineRule="auto"/>
    </w:pPr>
    <w:rPr>
      <w:lang w:val="ro-RO"/>
    </w:rPr>
  </w:style>
  <w:style w:type="paragraph" w:styleId="2">
    <w:name w:val="heading 2"/>
    <w:basedOn w:val="a"/>
    <w:link w:val="20"/>
    <w:uiPriority w:val="9"/>
    <w:qFormat/>
    <w:rsid w:val="00BC0D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A65"/>
    <w:rPr>
      <w:b/>
      <w:bCs/>
    </w:rPr>
  </w:style>
  <w:style w:type="paragraph" w:customStyle="1" w:styleId="Default">
    <w:name w:val="Default"/>
    <w:rsid w:val="00D90A6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styleId="a4">
    <w:name w:val="List Paragraph"/>
    <w:basedOn w:val="a"/>
    <w:link w:val="a5"/>
    <w:qFormat/>
    <w:rsid w:val="00D90A65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D90A65"/>
  </w:style>
  <w:style w:type="character" w:customStyle="1" w:styleId="a5">
    <w:name w:val="Абзац списка Знак"/>
    <w:link w:val="a4"/>
    <w:locked/>
    <w:rsid w:val="00D90A65"/>
    <w:rPr>
      <w:lang w:val="ru-RU"/>
    </w:rPr>
  </w:style>
  <w:style w:type="table" w:styleId="a6">
    <w:name w:val="Table Grid"/>
    <w:basedOn w:val="a1"/>
    <w:uiPriority w:val="59"/>
    <w:rsid w:val="00D90A6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">
    <w:name w:val="a_l"/>
    <w:basedOn w:val="a"/>
    <w:rsid w:val="00D9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rsid w:val="00BC0D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uiPriority w:val="99"/>
    <w:rsid w:val="00BC0D47"/>
    <w:rPr>
      <w:color w:val="0000FF"/>
      <w:u w:val="single"/>
    </w:rPr>
  </w:style>
  <w:style w:type="paragraph" w:styleId="a8">
    <w:name w:val="No Spacing"/>
    <w:uiPriority w:val="1"/>
    <w:qFormat/>
    <w:rsid w:val="00BC0D47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Tambur Alexandru</dc:creator>
  <cp:lastModifiedBy>MM</cp:lastModifiedBy>
  <cp:revision>5</cp:revision>
  <cp:lastPrinted>2022-12-01T13:33:00Z</cp:lastPrinted>
  <dcterms:created xsi:type="dcterms:W3CDTF">2022-12-01T12:49:00Z</dcterms:created>
  <dcterms:modified xsi:type="dcterms:W3CDTF">2022-12-01T13:33:00Z</dcterms:modified>
</cp:coreProperties>
</file>