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622ED04" w14:textId="77777777" w:rsidR="00346CC8" w:rsidRPr="00035A3E" w:rsidRDefault="00346CC8" w:rsidP="00346CC8">
      <w:pPr>
        <w:spacing w:after="0" w:line="240" w:lineRule="auto"/>
        <w:jc w:val="center"/>
        <w:rPr>
          <w:rFonts w:ascii="Times New Roman" w:eastAsia="Times New Roman" w:hAnsi="Times New Roman" w:cs="Times New Roman"/>
          <w:b/>
          <w:sz w:val="26"/>
          <w:szCs w:val="26"/>
          <w:lang w:val="ro-RO" w:eastAsia="ru-RU"/>
        </w:rPr>
      </w:pPr>
      <w:bookmarkStart w:id="0" w:name="_GoBack"/>
      <w:bookmarkEnd w:id="0"/>
      <w:r w:rsidRPr="00035A3E">
        <w:rPr>
          <w:rFonts w:ascii="Times New Roman" w:eastAsia="Times New Roman" w:hAnsi="Times New Roman" w:cs="Times New Roman"/>
          <w:b/>
          <w:sz w:val="26"/>
          <w:szCs w:val="26"/>
          <w:lang w:val="ro-RO" w:eastAsia="ru-RU"/>
        </w:rPr>
        <w:t>Notă informativă</w:t>
      </w:r>
    </w:p>
    <w:p w14:paraId="64EB943C" w14:textId="77777777" w:rsidR="00346CC8" w:rsidRDefault="00346CC8" w:rsidP="00346CC8">
      <w:pPr>
        <w:spacing w:after="0" w:line="240" w:lineRule="auto"/>
        <w:ind w:firstLine="567"/>
        <w:jc w:val="center"/>
        <w:rPr>
          <w:rFonts w:ascii="Times New Roman" w:eastAsia="Times New Roman" w:hAnsi="Times New Roman" w:cs="Times New Roman"/>
          <w:sz w:val="28"/>
          <w:szCs w:val="28"/>
          <w:lang w:val="ro-RO" w:eastAsia="ru-RU"/>
        </w:rPr>
      </w:pPr>
      <w:r w:rsidRPr="00035A3E">
        <w:rPr>
          <w:rFonts w:ascii="Times New Roman" w:eastAsia="Times New Roman" w:hAnsi="Times New Roman" w:cs="Times New Roman"/>
          <w:sz w:val="28"/>
          <w:szCs w:val="28"/>
          <w:lang w:val="ro-RO" w:eastAsia="ru-RU"/>
        </w:rPr>
        <w:t xml:space="preserve">la proiectul hotărârii de Guvern </w:t>
      </w:r>
    </w:p>
    <w:p w14:paraId="3CA29D36" w14:textId="77777777" w:rsidR="00346CC8" w:rsidRDefault="00346CC8" w:rsidP="00346CC8">
      <w:pPr>
        <w:spacing w:after="0" w:line="240" w:lineRule="auto"/>
        <w:ind w:firstLine="567"/>
        <w:jc w:val="center"/>
        <w:rPr>
          <w:rFonts w:ascii="Times New Roman" w:eastAsia="Times New Roman" w:hAnsi="Times New Roman" w:cs="Times New Roman"/>
          <w:sz w:val="28"/>
          <w:szCs w:val="28"/>
          <w:lang w:val="ro-RO" w:eastAsia="ru-RU"/>
        </w:rPr>
      </w:pPr>
      <w:r w:rsidRPr="00035A3E">
        <w:rPr>
          <w:rFonts w:ascii="Times New Roman" w:eastAsia="Times New Roman" w:hAnsi="Times New Roman" w:cs="Times New Roman"/>
          <w:sz w:val="28"/>
          <w:szCs w:val="28"/>
          <w:lang w:val="ro-RO" w:eastAsia="ru-RU"/>
        </w:rPr>
        <w:t xml:space="preserve">pentru aprobarea Graficului controalelor de stat </w:t>
      </w:r>
    </w:p>
    <w:p w14:paraId="4575EB2C" w14:textId="4BC3F87E" w:rsidR="00346CC8" w:rsidRPr="00684053" w:rsidRDefault="00346CC8" w:rsidP="00346CC8">
      <w:pPr>
        <w:spacing w:after="0" w:line="240" w:lineRule="auto"/>
        <w:ind w:firstLine="567"/>
        <w:jc w:val="center"/>
        <w:rPr>
          <w:rFonts w:ascii="Times New Roman" w:eastAsia="Times New Roman" w:hAnsi="Times New Roman" w:cs="Times New Roman"/>
          <w:sz w:val="28"/>
          <w:szCs w:val="28"/>
          <w:lang w:val="ro-RO" w:eastAsia="ru-RU"/>
        </w:rPr>
      </w:pPr>
      <w:r w:rsidRPr="00035A3E">
        <w:rPr>
          <w:rFonts w:ascii="Times New Roman" w:eastAsia="Times New Roman" w:hAnsi="Times New Roman" w:cs="Times New Roman"/>
          <w:sz w:val="28"/>
          <w:szCs w:val="28"/>
          <w:lang w:val="ro-RO" w:eastAsia="ru-RU"/>
        </w:rPr>
        <w:t>asupra activității rezidenților parcurilor industriale pentru anul 202</w:t>
      </w:r>
      <w:r w:rsidR="00247D62" w:rsidRPr="00247D62">
        <w:rPr>
          <w:rFonts w:ascii="Times New Roman" w:eastAsia="Times New Roman" w:hAnsi="Times New Roman" w:cs="Times New Roman"/>
          <w:sz w:val="28"/>
          <w:szCs w:val="28"/>
          <w:lang w:eastAsia="ru-RU"/>
        </w:rPr>
        <w:t>3</w:t>
      </w:r>
    </w:p>
    <w:p w14:paraId="57CBC68F" w14:textId="77777777" w:rsidR="00346CC8" w:rsidRDefault="00346CC8" w:rsidP="00346CC8">
      <w:pPr>
        <w:spacing w:after="0" w:line="240" w:lineRule="auto"/>
        <w:ind w:firstLine="567"/>
        <w:jc w:val="center"/>
        <w:rPr>
          <w:rFonts w:ascii="Times New Roman" w:eastAsia="Times New Roman" w:hAnsi="Times New Roman" w:cs="Times New Roman"/>
          <w:sz w:val="28"/>
          <w:szCs w:val="28"/>
          <w:lang w:val="ro-RO" w:eastAsia="ru-RU"/>
        </w:rPr>
      </w:pPr>
    </w:p>
    <w:p w14:paraId="3F8D320B" w14:textId="77777777" w:rsidR="00346CC8" w:rsidRPr="00035A3E" w:rsidRDefault="00346CC8" w:rsidP="00346CC8">
      <w:pPr>
        <w:spacing w:after="0" w:line="240" w:lineRule="auto"/>
        <w:ind w:firstLine="567"/>
        <w:jc w:val="center"/>
        <w:rPr>
          <w:rFonts w:ascii="Times New Roman" w:eastAsia="Times New Roman" w:hAnsi="Times New Roman" w:cs="Times New Roman"/>
          <w:sz w:val="28"/>
          <w:szCs w:val="28"/>
          <w:lang w:val="ro-RO" w:eastAsia="ru-RU"/>
        </w:rPr>
      </w:pPr>
    </w:p>
    <w:tbl>
      <w:tblPr>
        <w:tblStyle w:val="TableGrid"/>
        <w:tblW w:w="10164" w:type="dxa"/>
        <w:tblInd w:w="-289" w:type="dxa"/>
        <w:tblLook w:val="04A0" w:firstRow="1" w:lastRow="0" w:firstColumn="1" w:lastColumn="0" w:noHBand="0" w:noVBand="1"/>
      </w:tblPr>
      <w:tblGrid>
        <w:gridCol w:w="541"/>
        <w:gridCol w:w="9623"/>
      </w:tblGrid>
      <w:tr w:rsidR="00346CC8" w:rsidRPr="00035A3E" w14:paraId="0E8B6E69" w14:textId="77777777" w:rsidTr="00BB0934">
        <w:trPr>
          <w:trHeight w:val="535"/>
        </w:trPr>
        <w:tc>
          <w:tcPr>
            <w:tcW w:w="541" w:type="dxa"/>
            <w:shd w:val="clear" w:color="auto" w:fill="BFBFBF" w:themeFill="background1" w:themeFillShade="BF"/>
          </w:tcPr>
          <w:p w14:paraId="26C59E86"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1.</w:t>
            </w:r>
          </w:p>
        </w:tc>
        <w:tc>
          <w:tcPr>
            <w:tcW w:w="9623" w:type="dxa"/>
            <w:shd w:val="clear" w:color="auto" w:fill="BFBFBF" w:themeFill="background1" w:themeFillShade="BF"/>
          </w:tcPr>
          <w:p w14:paraId="065F3BF2"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Denumirea autorului şi, după caz, a participanților la elaborarea proiectului</w:t>
            </w:r>
          </w:p>
        </w:tc>
      </w:tr>
      <w:tr w:rsidR="00346CC8" w:rsidRPr="00035A3E" w14:paraId="7C35E13F" w14:textId="77777777" w:rsidTr="00BB0934">
        <w:trPr>
          <w:trHeight w:val="535"/>
        </w:trPr>
        <w:tc>
          <w:tcPr>
            <w:tcW w:w="541" w:type="dxa"/>
            <w:shd w:val="clear" w:color="auto" w:fill="FFFFFF" w:themeFill="background1"/>
          </w:tcPr>
          <w:p w14:paraId="16176E2A"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1BEA07B1"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Proiectul a fost elaborat de către Ministerul Economiei</w:t>
            </w:r>
          </w:p>
        </w:tc>
      </w:tr>
      <w:tr w:rsidR="00346CC8" w:rsidRPr="00035A3E" w14:paraId="2E475848" w14:textId="77777777" w:rsidTr="00BB0934">
        <w:trPr>
          <w:trHeight w:val="535"/>
        </w:trPr>
        <w:tc>
          <w:tcPr>
            <w:tcW w:w="541" w:type="dxa"/>
            <w:shd w:val="clear" w:color="auto" w:fill="BFBFBF" w:themeFill="background1" w:themeFillShade="BF"/>
          </w:tcPr>
          <w:p w14:paraId="3A0F26D2"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2.</w:t>
            </w:r>
          </w:p>
        </w:tc>
        <w:tc>
          <w:tcPr>
            <w:tcW w:w="9623" w:type="dxa"/>
            <w:shd w:val="clear" w:color="auto" w:fill="BFBFBF" w:themeFill="background1" w:themeFillShade="BF"/>
          </w:tcPr>
          <w:p w14:paraId="725126B8"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 xml:space="preserve">Condițiile ce au impus elaborarea proiectului de act normativ şi finalitățile urmărite </w:t>
            </w:r>
          </w:p>
        </w:tc>
      </w:tr>
      <w:tr w:rsidR="00346CC8" w:rsidRPr="00035A3E" w14:paraId="68F3ACE4" w14:textId="77777777" w:rsidTr="00BB0934">
        <w:tc>
          <w:tcPr>
            <w:tcW w:w="541" w:type="dxa"/>
          </w:tcPr>
          <w:p w14:paraId="02128A51" w14:textId="77777777" w:rsidR="00346CC8" w:rsidRPr="00035A3E" w:rsidRDefault="00346CC8" w:rsidP="00BB0934">
            <w:pPr>
              <w:ind w:firstLine="567"/>
              <w:jc w:val="both"/>
              <w:rPr>
                <w:rFonts w:ascii="Times New Roman" w:eastAsia="Times New Roman" w:hAnsi="Times New Roman" w:cs="Times New Roman"/>
                <w:sz w:val="26"/>
                <w:szCs w:val="26"/>
                <w:lang w:val="ro-RO" w:eastAsia="ru-RU"/>
              </w:rPr>
            </w:pPr>
          </w:p>
        </w:tc>
        <w:tc>
          <w:tcPr>
            <w:tcW w:w="9623" w:type="dxa"/>
          </w:tcPr>
          <w:p w14:paraId="1C50F5D5" w14:textId="77777777" w:rsidR="00346CC8" w:rsidRPr="00035A3E" w:rsidRDefault="00346CC8" w:rsidP="00BB0934">
            <w:pPr>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 xml:space="preserve">Drept temei </w:t>
            </w:r>
            <w:r>
              <w:rPr>
                <w:rFonts w:ascii="Times New Roman" w:eastAsia="Times New Roman" w:hAnsi="Times New Roman" w:cs="Times New Roman"/>
                <w:sz w:val="26"/>
                <w:szCs w:val="26"/>
                <w:lang w:val="ro-RO" w:eastAsia="ru-RU"/>
              </w:rPr>
              <w:t>pentru</w:t>
            </w:r>
            <w:r w:rsidRPr="00035A3E">
              <w:rPr>
                <w:rFonts w:ascii="Times New Roman" w:eastAsia="Times New Roman" w:hAnsi="Times New Roman" w:cs="Times New Roman"/>
                <w:sz w:val="26"/>
                <w:szCs w:val="26"/>
                <w:lang w:val="ro-RO" w:eastAsia="ru-RU"/>
              </w:rPr>
              <w:t xml:space="preserve"> elaborarea acestui proiect a servit lit. f), alin. (1), art. 12 din Legea</w:t>
            </w:r>
            <w:r>
              <w:rPr>
                <w:rFonts w:ascii="Times New Roman" w:eastAsia="Times New Roman" w:hAnsi="Times New Roman" w:cs="Times New Roman"/>
                <w:sz w:val="26"/>
                <w:szCs w:val="26"/>
                <w:lang w:val="ro-RO" w:eastAsia="ru-RU"/>
              </w:rPr>
              <w:t xml:space="preserve"> nr.182/2010</w:t>
            </w:r>
            <w:r w:rsidRPr="00035A3E">
              <w:rPr>
                <w:rFonts w:ascii="Times New Roman" w:eastAsia="Times New Roman" w:hAnsi="Times New Roman" w:cs="Times New Roman"/>
                <w:sz w:val="26"/>
                <w:szCs w:val="26"/>
                <w:lang w:val="ro-RO" w:eastAsia="ru-RU"/>
              </w:rPr>
              <w:t xml:space="preserve"> cu privire la parcurile industriale, care prevede că în vederea optimizării controalelor de stat asupra activității rezidenților parcurilor industriale, anual la propunerea organelor de control  se aprobă anual graficul controalelor de stat planificate prin hotărâre de Guvern.</w:t>
            </w:r>
          </w:p>
        </w:tc>
      </w:tr>
      <w:tr w:rsidR="00346CC8" w:rsidRPr="00035A3E" w14:paraId="39A2F298" w14:textId="77777777" w:rsidTr="00BB0934">
        <w:tc>
          <w:tcPr>
            <w:tcW w:w="541" w:type="dxa"/>
            <w:shd w:val="clear" w:color="auto" w:fill="BFBFBF" w:themeFill="background1" w:themeFillShade="BF"/>
          </w:tcPr>
          <w:p w14:paraId="673CA6BB"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3.</w:t>
            </w:r>
          </w:p>
        </w:tc>
        <w:tc>
          <w:tcPr>
            <w:tcW w:w="9623" w:type="dxa"/>
            <w:shd w:val="clear" w:color="auto" w:fill="BFBFBF" w:themeFill="background1" w:themeFillShade="BF"/>
          </w:tcPr>
          <w:p w14:paraId="1CD53019"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Descrierea gradului de compatibilitate a prevederilor proiectului cu legislația Uniunii Europene</w:t>
            </w:r>
          </w:p>
        </w:tc>
      </w:tr>
      <w:tr w:rsidR="00346CC8" w:rsidRPr="00035A3E" w14:paraId="69036BC8" w14:textId="77777777" w:rsidTr="00BB0934">
        <w:tc>
          <w:tcPr>
            <w:tcW w:w="541" w:type="dxa"/>
          </w:tcPr>
          <w:p w14:paraId="3B417DF2"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tcPr>
          <w:p w14:paraId="5A8986C0"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Prezentul proiect de act normativ nu contravine legislației Uniunii Europene</w:t>
            </w:r>
          </w:p>
        </w:tc>
      </w:tr>
      <w:tr w:rsidR="00346CC8" w:rsidRPr="00035A3E" w14:paraId="3072F944" w14:textId="77777777" w:rsidTr="00BB0934">
        <w:tc>
          <w:tcPr>
            <w:tcW w:w="541" w:type="dxa"/>
            <w:shd w:val="clear" w:color="auto" w:fill="D9D9D9" w:themeFill="background1" w:themeFillShade="D9"/>
          </w:tcPr>
          <w:p w14:paraId="434AD769"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4.</w:t>
            </w:r>
          </w:p>
        </w:tc>
        <w:tc>
          <w:tcPr>
            <w:tcW w:w="9623" w:type="dxa"/>
            <w:shd w:val="clear" w:color="auto" w:fill="D9D9D9" w:themeFill="background1" w:themeFillShade="D9"/>
          </w:tcPr>
          <w:p w14:paraId="2936A55F"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b/>
                <w:sz w:val="26"/>
                <w:szCs w:val="26"/>
                <w:lang w:val="ro-RO" w:eastAsia="ru-RU"/>
              </w:rPr>
              <w:t>Principalele prevederi ale proiectului şi evidențierea elementelor noi</w:t>
            </w:r>
          </w:p>
        </w:tc>
      </w:tr>
      <w:tr w:rsidR="00346CC8" w:rsidRPr="00035A3E" w14:paraId="20545BCE" w14:textId="77777777" w:rsidTr="00BB0934">
        <w:tc>
          <w:tcPr>
            <w:tcW w:w="541" w:type="dxa"/>
          </w:tcPr>
          <w:p w14:paraId="45D171AE" w14:textId="77777777" w:rsidR="00346CC8" w:rsidRPr="00035A3E" w:rsidRDefault="00346CC8" w:rsidP="00BB0934">
            <w:pPr>
              <w:ind w:left="29" w:firstLine="709"/>
              <w:jc w:val="both"/>
              <w:rPr>
                <w:rFonts w:ascii="Times New Roman" w:eastAsia="Times New Roman" w:hAnsi="Times New Roman" w:cs="Times New Roman"/>
                <w:sz w:val="26"/>
                <w:szCs w:val="26"/>
                <w:lang w:val="ro-RO" w:eastAsia="ru-RU"/>
              </w:rPr>
            </w:pPr>
          </w:p>
        </w:tc>
        <w:tc>
          <w:tcPr>
            <w:tcW w:w="9623" w:type="dxa"/>
          </w:tcPr>
          <w:p w14:paraId="0F030119" w14:textId="3FBF5E27" w:rsidR="00346CC8" w:rsidRPr="00035A3E" w:rsidRDefault="00346CC8" w:rsidP="00BB0934">
            <w:pPr>
              <w:spacing w:before="120" w:after="120"/>
              <w:ind w:left="28"/>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Urmare evaluării riscurilor a celor 8</w:t>
            </w:r>
            <w:r>
              <w:rPr>
                <w:rFonts w:ascii="Times New Roman" w:eastAsia="Times New Roman" w:hAnsi="Times New Roman" w:cs="Times New Roman"/>
                <w:sz w:val="26"/>
                <w:szCs w:val="26"/>
                <w:lang w:val="ro-RO" w:eastAsia="ru-RU"/>
              </w:rPr>
              <w:t>7</w:t>
            </w:r>
            <w:r w:rsidRPr="00035A3E">
              <w:rPr>
                <w:rFonts w:ascii="Times New Roman" w:eastAsia="Times New Roman" w:hAnsi="Times New Roman" w:cs="Times New Roman"/>
                <w:sz w:val="26"/>
                <w:szCs w:val="26"/>
                <w:lang w:val="ro-RO" w:eastAsia="ru-RU"/>
              </w:rPr>
              <w:t xml:space="preserve"> agenți economici, rezidenți ai parcurilor industriale, </w:t>
            </w:r>
            <w:r>
              <w:rPr>
                <w:rFonts w:ascii="Times New Roman" w:eastAsia="Times New Roman" w:hAnsi="Times New Roman" w:cs="Times New Roman"/>
                <w:sz w:val="26"/>
                <w:szCs w:val="26"/>
                <w:lang w:val="ro-RO" w:eastAsia="ru-RU"/>
              </w:rPr>
              <w:t xml:space="preserve">trei </w:t>
            </w:r>
            <w:r w:rsidRPr="00035A3E">
              <w:rPr>
                <w:rFonts w:ascii="Times New Roman" w:eastAsia="Times New Roman" w:hAnsi="Times New Roman" w:cs="Times New Roman"/>
                <w:sz w:val="26"/>
                <w:szCs w:val="26"/>
                <w:lang w:val="ro-RO" w:eastAsia="ru-RU"/>
              </w:rPr>
              <w:t xml:space="preserve">Organe de control </w:t>
            </w:r>
            <w:r w:rsidRPr="00035A3E">
              <w:rPr>
                <w:rFonts w:ascii="Times New Roman" w:eastAsia="Times New Roman" w:hAnsi="Times New Roman" w:cs="Times New Roman"/>
                <w:i/>
                <w:iCs/>
                <w:sz w:val="26"/>
                <w:szCs w:val="26"/>
                <w:lang w:val="ro-RO" w:eastAsia="ru-RU"/>
              </w:rPr>
              <w:t>(</w:t>
            </w:r>
            <w:r>
              <w:rPr>
                <w:rFonts w:ascii="Times New Roman" w:eastAsia="Times New Roman" w:hAnsi="Times New Roman" w:cs="Times New Roman"/>
                <w:i/>
                <w:iCs/>
                <w:sz w:val="26"/>
                <w:szCs w:val="26"/>
                <w:lang w:val="ro-RO" w:eastAsia="ru-RU"/>
              </w:rPr>
              <w:t xml:space="preserve">Serviciul Vamal,  </w:t>
            </w:r>
            <w:r w:rsidRPr="00055379">
              <w:rPr>
                <w:rFonts w:ascii="Times New Roman" w:eastAsia="Times New Roman" w:hAnsi="Times New Roman" w:cs="Times New Roman"/>
                <w:i/>
                <w:iCs/>
                <w:sz w:val="26"/>
                <w:szCs w:val="26"/>
                <w:lang w:val="ro-RO" w:eastAsia="ru-RU"/>
              </w:rPr>
              <w:t>Agenția Națională pentru Siguranța Alimentară</w:t>
            </w:r>
            <w:r>
              <w:rPr>
                <w:rFonts w:ascii="Times New Roman" w:eastAsia="Times New Roman" w:hAnsi="Times New Roman" w:cs="Times New Roman"/>
                <w:i/>
                <w:iCs/>
                <w:sz w:val="26"/>
                <w:szCs w:val="26"/>
                <w:lang w:val="ro-RO" w:eastAsia="ru-RU"/>
              </w:rPr>
              <w:t xml:space="preserve"> și</w:t>
            </w:r>
            <w:r w:rsidRPr="00247D62">
              <w:rPr>
                <w:lang w:val="en-US"/>
              </w:rPr>
              <w:t xml:space="preserve"> </w:t>
            </w:r>
            <w:r w:rsidRPr="00FF68C7">
              <w:rPr>
                <w:rFonts w:ascii="Times New Roman" w:eastAsia="Times New Roman" w:hAnsi="Times New Roman" w:cs="Times New Roman"/>
                <w:i/>
                <w:iCs/>
                <w:sz w:val="26"/>
                <w:szCs w:val="26"/>
                <w:lang w:val="ro-RO" w:eastAsia="ru-RU"/>
              </w:rPr>
              <w:t>Inspectoratul pentru Protecția Mediului</w:t>
            </w:r>
            <w:r>
              <w:rPr>
                <w:rFonts w:ascii="Times New Roman" w:eastAsia="Times New Roman" w:hAnsi="Times New Roman" w:cs="Times New Roman"/>
                <w:i/>
                <w:iCs/>
                <w:sz w:val="26"/>
                <w:szCs w:val="26"/>
                <w:lang w:val="ro-RO" w:eastAsia="ru-RU"/>
              </w:rPr>
              <w:t xml:space="preserve"> </w:t>
            </w:r>
            <w:r w:rsidRPr="00035A3E">
              <w:rPr>
                <w:rFonts w:ascii="Times New Roman" w:eastAsia="Times New Roman" w:hAnsi="Times New Roman" w:cs="Times New Roman"/>
                <w:i/>
                <w:iCs/>
                <w:sz w:val="26"/>
                <w:szCs w:val="26"/>
                <w:lang w:val="ro-RO" w:eastAsia="ru-RU"/>
              </w:rPr>
              <w:t xml:space="preserve">) </w:t>
            </w:r>
            <w:r w:rsidRPr="00035A3E">
              <w:rPr>
                <w:rFonts w:ascii="Times New Roman" w:eastAsia="Times New Roman" w:hAnsi="Times New Roman" w:cs="Times New Roman"/>
                <w:sz w:val="26"/>
                <w:szCs w:val="26"/>
                <w:lang w:val="ro-RO" w:eastAsia="ru-RU"/>
              </w:rPr>
              <w:t>au solicitat supunerea controlului pe parcursul anului 202</w:t>
            </w:r>
            <w:r w:rsidR="00684053">
              <w:rPr>
                <w:rFonts w:ascii="Times New Roman" w:eastAsia="Times New Roman" w:hAnsi="Times New Roman" w:cs="Times New Roman"/>
                <w:sz w:val="26"/>
                <w:szCs w:val="26"/>
                <w:lang w:val="ro-RO" w:eastAsia="ru-RU"/>
              </w:rPr>
              <w:t>3</w:t>
            </w:r>
            <w:r w:rsidRPr="00035A3E">
              <w:rPr>
                <w:rFonts w:ascii="Times New Roman" w:eastAsia="Times New Roman" w:hAnsi="Times New Roman" w:cs="Times New Roman"/>
                <w:sz w:val="26"/>
                <w:szCs w:val="26"/>
                <w:lang w:val="ro-RO" w:eastAsia="ru-RU"/>
              </w:rPr>
              <w:t xml:space="preserve"> a </w:t>
            </w:r>
            <w:r w:rsidR="00684053">
              <w:rPr>
                <w:rFonts w:ascii="Times New Roman" w:eastAsia="Times New Roman" w:hAnsi="Times New Roman" w:cs="Times New Roman"/>
                <w:sz w:val="26"/>
                <w:szCs w:val="26"/>
                <w:lang w:val="ro-RO" w:eastAsia="ru-RU"/>
              </w:rPr>
              <w:t>12</w:t>
            </w:r>
            <w:r w:rsidRPr="00035A3E">
              <w:rPr>
                <w:rFonts w:ascii="Times New Roman" w:eastAsia="Times New Roman" w:hAnsi="Times New Roman" w:cs="Times New Roman"/>
                <w:sz w:val="26"/>
                <w:szCs w:val="26"/>
                <w:lang w:val="ro-RO" w:eastAsia="ru-RU"/>
              </w:rPr>
              <w:t xml:space="preserve"> agenți economici din cadrul Parcuri</w:t>
            </w:r>
            <w:r>
              <w:rPr>
                <w:rFonts w:ascii="Times New Roman" w:eastAsia="Times New Roman" w:hAnsi="Times New Roman" w:cs="Times New Roman"/>
                <w:sz w:val="26"/>
                <w:szCs w:val="26"/>
                <w:lang w:val="ro-RO" w:eastAsia="ru-RU"/>
              </w:rPr>
              <w:t>lor</w:t>
            </w:r>
            <w:r w:rsidRPr="00035A3E">
              <w:rPr>
                <w:rFonts w:ascii="Times New Roman" w:eastAsia="Times New Roman" w:hAnsi="Times New Roman" w:cs="Times New Roman"/>
                <w:sz w:val="26"/>
                <w:szCs w:val="26"/>
                <w:lang w:val="ro-RO" w:eastAsia="ru-RU"/>
              </w:rPr>
              <w:t xml:space="preserve"> Industriale </w:t>
            </w:r>
            <w:r w:rsidR="00684053" w:rsidRPr="00035A3E">
              <w:rPr>
                <w:rFonts w:ascii="Times New Roman" w:eastAsia="Times New Roman" w:hAnsi="Times New Roman" w:cs="Times New Roman"/>
                <w:sz w:val="26"/>
                <w:szCs w:val="26"/>
                <w:lang w:val="ro-RO" w:eastAsia="ru-RU"/>
              </w:rPr>
              <w:t>„Edineț”</w:t>
            </w:r>
            <w:r w:rsidR="00684053">
              <w:rPr>
                <w:rFonts w:ascii="Times New Roman" w:eastAsia="Times New Roman" w:hAnsi="Times New Roman" w:cs="Times New Roman"/>
                <w:sz w:val="26"/>
                <w:szCs w:val="26"/>
                <w:lang w:val="ro-RO" w:eastAsia="ru-RU"/>
              </w:rPr>
              <w:t>,</w:t>
            </w:r>
            <w:r w:rsidR="00684053" w:rsidRPr="00035A3E">
              <w:rPr>
                <w:rFonts w:ascii="Times New Roman" w:eastAsia="Times New Roman" w:hAnsi="Times New Roman" w:cs="Times New Roman"/>
                <w:sz w:val="26"/>
                <w:szCs w:val="26"/>
                <w:lang w:val="ro-RO" w:eastAsia="ru-RU"/>
              </w:rPr>
              <w:t xml:space="preserve"> </w:t>
            </w:r>
            <w:r w:rsidRPr="00035A3E">
              <w:rPr>
                <w:rFonts w:ascii="Times New Roman" w:eastAsia="Times New Roman" w:hAnsi="Times New Roman" w:cs="Times New Roman"/>
                <w:sz w:val="26"/>
                <w:szCs w:val="26"/>
                <w:lang w:val="ro-RO" w:eastAsia="ru-RU"/>
              </w:rPr>
              <w:t>„</w:t>
            </w:r>
            <w:r>
              <w:rPr>
                <w:rFonts w:ascii="Times New Roman" w:eastAsia="Times New Roman" w:hAnsi="Times New Roman" w:cs="Times New Roman"/>
                <w:sz w:val="26"/>
                <w:szCs w:val="26"/>
                <w:lang w:val="ro-RO" w:eastAsia="ru-RU"/>
              </w:rPr>
              <w:t>Cimișlia</w:t>
            </w:r>
            <w:r w:rsidRPr="00035A3E">
              <w:rPr>
                <w:rFonts w:ascii="Times New Roman" w:eastAsia="Times New Roman" w:hAnsi="Times New Roman" w:cs="Times New Roman"/>
                <w:sz w:val="26"/>
                <w:szCs w:val="26"/>
                <w:lang w:val="ro-RO" w:eastAsia="ru-RU"/>
              </w:rPr>
              <w:t>” și</w:t>
            </w:r>
            <w:r w:rsidR="00684053">
              <w:rPr>
                <w:rFonts w:ascii="Times New Roman" w:eastAsia="Times New Roman" w:hAnsi="Times New Roman" w:cs="Times New Roman"/>
                <w:sz w:val="26"/>
                <w:szCs w:val="26"/>
                <w:lang w:val="ro-RO" w:eastAsia="ru-RU"/>
              </w:rPr>
              <w:t xml:space="preserve"> „Tracom”</w:t>
            </w:r>
            <w:r w:rsidRPr="00035A3E">
              <w:rPr>
                <w:rFonts w:ascii="Times New Roman" w:eastAsia="Times New Roman" w:hAnsi="Times New Roman" w:cs="Times New Roman"/>
                <w:sz w:val="26"/>
                <w:szCs w:val="26"/>
                <w:lang w:val="ro-RO" w:eastAsia="ru-RU"/>
              </w:rPr>
              <w:t xml:space="preserve">. </w:t>
            </w:r>
          </w:p>
          <w:p w14:paraId="014DCA3E" w14:textId="2C4434EC" w:rsidR="00346CC8" w:rsidRPr="00035A3E" w:rsidRDefault="00346CC8" w:rsidP="00684053">
            <w:pPr>
              <w:spacing w:before="120" w:after="120"/>
              <w:ind w:left="28"/>
              <w:jc w:val="both"/>
              <w:rPr>
                <w:rFonts w:ascii="Times New Roman" w:eastAsia="Times New Roman" w:hAnsi="Times New Roman" w:cs="Times New Roman"/>
                <w:sz w:val="26"/>
                <w:szCs w:val="26"/>
                <w:lang w:val="ro-RO" w:eastAsia="ru-RU"/>
              </w:rPr>
            </w:pPr>
            <w:r w:rsidRPr="00E27BB3">
              <w:rPr>
                <w:rFonts w:ascii="Times New Roman" w:eastAsia="Times New Roman" w:hAnsi="Times New Roman" w:cs="Times New Roman"/>
                <w:sz w:val="26"/>
                <w:szCs w:val="26"/>
                <w:lang w:val="ro-RO" w:eastAsia="ru-RU"/>
              </w:rPr>
              <w:t>Așadar, conform celor expuse, proiectul prevede aprobarea Graficului controalelor de stat asupra activității rezidenților parcurilor industriale pentru anul 202</w:t>
            </w:r>
            <w:r w:rsidR="00684053">
              <w:rPr>
                <w:rFonts w:ascii="Times New Roman" w:eastAsia="Times New Roman" w:hAnsi="Times New Roman" w:cs="Times New Roman"/>
                <w:sz w:val="26"/>
                <w:szCs w:val="26"/>
                <w:lang w:val="ro-RO" w:eastAsia="ru-RU"/>
              </w:rPr>
              <w:t>3</w:t>
            </w:r>
            <w:r w:rsidRPr="00E27BB3">
              <w:rPr>
                <w:rFonts w:ascii="Times New Roman" w:eastAsia="Times New Roman" w:hAnsi="Times New Roman" w:cs="Times New Roman"/>
                <w:sz w:val="26"/>
                <w:szCs w:val="26"/>
                <w:lang w:val="ro-RO" w:eastAsia="ru-RU"/>
              </w:rPr>
              <w:t>. Acesta cuprinde în sine lista rezidenților și organelor de control cu specificarea perioadei supunerii controlului.</w:t>
            </w:r>
          </w:p>
        </w:tc>
      </w:tr>
      <w:tr w:rsidR="00346CC8" w:rsidRPr="00035A3E" w14:paraId="4BDACC6E" w14:textId="77777777" w:rsidTr="00BB0934">
        <w:tc>
          <w:tcPr>
            <w:tcW w:w="541" w:type="dxa"/>
            <w:shd w:val="clear" w:color="auto" w:fill="BFBFBF" w:themeFill="background1" w:themeFillShade="BF"/>
          </w:tcPr>
          <w:p w14:paraId="5F52B8EA"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5.</w:t>
            </w:r>
          </w:p>
        </w:tc>
        <w:tc>
          <w:tcPr>
            <w:tcW w:w="9623" w:type="dxa"/>
            <w:shd w:val="clear" w:color="auto" w:fill="BFBFBF" w:themeFill="background1" w:themeFillShade="BF"/>
          </w:tcPr>
          <w:p w14:paraId="038CCE81"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Fundamentarea economico-financiară</w:t>
            </w:r>
          </w:p>
        </w:tc>
      </w:tr>
      <w:tr w:rsidR="00346CC8" w:rsidRPr="00035A3E" w14:paraId="109DAAD7" w14:textId="77777777" w:rsidTr="00BB0934">
        <w:tc>
          <w:tcPr>
            <w:tcW w:w="541" w:type="dxa"/>
            <w:shd w:val="clear" w:color="auto" w:fill="FFFFFF" w:themeFill="background1"/>
          </w:tcPr>
          <w:p w14:paraId="23E18030" w14:textId="77777777" w:rsidR="00346CC8" w:rsidRPr="00035A3E" w:rsidRDefault="00346CC8" w:rsidP="00BB0934">
            <w:pPr>
              <w:spacing w:line="276" w:lineRule="auto"/>
              <w:ind w:firstLine="738"/>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1CFF7E51"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Realizarea proiectului dat nu implică cheltuieli bugetare și nebugetare</w:t>
            </w:r>
          </w:p>
        </w:tc>
      </w:tr>
      <w:tr w:rsidR="00346CC8" w:rsidRPr="00035A3E" w14:paraId="57AD09D3" w14:textId="77777777" w:rsidTr="00BB0934">
        <w:tc>
          <w:tcPr>
            <w:tcW w:w="541" w:type="dxa"/>
            <w:shd w:val="clear" w:color="auto" w:fill="D9D9D9" w:themeFill="background1" w:themeFillShade="D9"/>
          </w:tcPr>
          <w:p w14:paraId="0BAFC38A" w14:textId="77777777" w:rsidR="00346CC8" w:rsidRPr="00035A3E" w:rsidRDefault="00346CC8" w:rsidP="00BB0934">
            <w:pPr>
              <w:spacing w:line="276" w:lineRule="auto"/>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6.</w:t>
            </w:r>
          </w:p>
        </w:tc>
        <w:tc>
          <w:tcPr>
            <w:tcW w:w="9623" w:type="dxa"/>
            <w:shd w:val="clear" w:color="auto" w:fill="D9D9D9" w:themeFill="background1" w:themeFillShade="D9"/>
          </w:tcPr>
          <w:p w14:paraId="70ED38E8" w14:textId="77777777" w:rsidR="00346CC8" w:rsidRPr="00035A3E" w:rsidRDefault="00346CC8" w:rsidP="00BB0934">
            <w:pPr>
              <w:spacing w:line="276" w:lineRule="auto"/>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Modul de încorporare a actului în cadrul normativ în vigoare</w:t>
            </w:r>
          </w:p>
        </w:tc>
      </w:tr>
      <w:tr w:rsidR="00346CC8" w:rsidRPr="00035A3E" w14:paraId="3C567B51" w14:textId="77777777" w:rsidTr="00BB0934">
        <w:tc>
          <w:tcPr>
            <w:tcW w:w="541" w:type="dxa"/>
            <w:shd w:val="clear" w:color="auto" w:fill="FFFFFF" w:themeFill="background1"/>
          </w:tcPr>
          <w:p w14:paraId="245ED313"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64D43733"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Punerea în aplicare a prevederilor proiectului în cauză nu necesită modificarea sau abrogarea altor acte normative</w:t>
            </w:r>
          </w:p>
        </w:tc>
      </w:tr>
      <w:tr w:rsidR="00346CC8" w:rsidRPr="00035A3E" w14:paraId="58E92FB5" w14:textId="77777777" w:rsidTr="00BB0934">
        <w:tc>
          <w:tcPr>
            <w:tcW w:w="541" w:type="dxa"/>
            <w:shd w:val="clear" w:color="auto" w:fill="D9D9D9" w:themeFill="background1" w:themeFillShade="D9"/>
          </w:tcPr>
          <w:p w14:paraId="5CC59975"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7.</w:t>
            </w:r>
          </w:p>
        </w:tc>
        <w:tc>
          <w:tcPr>
            <w:tcW w:w="9623" w:type="dxa"/>
            <w:shd w:val="clear" w:color="auto" w:fill="D9D9D9" w:themeFill="background1" w:themeFillShade="D9"/>
          </w:tcPr>
          <w:p w14:paraId="239CFED6"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b/>
                <w:sz w:val="26"/>
                <w:szCs w:val="26"/>
                <w:lang w:val="ro-RO" w:eastAsia="ru-RU"/>
              </w:rPr>
              <w:t>Avizarea şi consultarea publică a proiectului</w:t>
            </w:r>
          </w:p>
        </w:tc>
      </w:tr>
      <w:tr w:rsidR="00346CC8" w:rsidRPr="00035A3E" w14:paraId="48D2C671" w14:textId="77777777" w:rsidTr="00BB0934">
        <w:tc>
          <w:tcPr>
            <w:tcW w:w="541" w:type="dxa"/>
            <w:shd w:val="clear" w:color="auto" w:fill="FFFFFF" w:themeFill="background1"/>
          </w:tcPr>
          <w:p w14:paraId="04D8160A"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70D22498" w14:textId="07F613CA" w:rsidR="00346CC8" w:rsidRPr="00035A3E" w:rsidRDefault="00A926F7" w:rsidP="00684053">
            <w:pPr>
              <w:spacing w:line="276" w:lineRule="auto"/>
              <w:jc w:val="both"/>
              <w:rPr>
                <w:rFonts w:ascii="Times New Roman" w:eastAsia="Times New Roman" w:hAnsi="Times New Roman" w:cs="Times New Roman"/>
                <w:sz w:val="26"/>
                <w:szCs w:val="26"/>
                <w:lang w:val="ro-RO" w:eastAsia="ru-RU"/>
              </w:rPr>
            </w:pPr>
            <w:r w:rsidRPr="00A926F7">
              <w:rPr>
                <w:rFonts w:ascii="Times New Roman" w:eastAsia="Times New Roman" w:hAnsi="Times New Roman" w:cs="Times New Roman"/>
                <w:sz w:val="26"/>
                <w:szCs w:val="26"/>
                <w:lang w:val="ro-RO" w:eastAsia="ru-RU"/>
              </w:rPr>
              <w:t xml:space="preserve">Întru respectarea prevederilor Legii nr. 239/2008 privind transparența în procesul decizional, proiectul </w:t>
            </w:r>
            <w:r w:rsidR="00684053">
              <w:rPr>
                <w:rFonts w:ascii="Times New Roman" w:eastAsia="Times New Roman" w:hAnsi="Times New Roman" w:cs="Times New Roman"/>
                <w:sz w:val="26"/>
                <w:szCs w:val="26"/>
                <w:lang w:val="ro-RO" w:eastAsia="ru-RU"/>
              </w:rPr>
              <w:t>va fi</w:t>
            </w:r>
            <w:r w:rsidRPr="00A926F7">
              <w:rPr>
                <w:rFonts w:ascii="Times New Roman" w:eastAsia="Times New Roman" w:hAnsi="Times New Roman" w:cs="Times New Roman"/>
                <w:sz w:val="26"/>
                <w:szCs w:val="26"/>
                <w:lang w:val="ro-RO" w:eastAsia="ru-RU"/>
              </w:rPr>
              <w:t xml:space="preserve"> plasat pe pagina web oficială a Ministerului Economiei la compartimentul /transparența decizională/ și http://particip.gov.md/</w:t>
            </w:r>
          </w:p>
        </w:tc>
      </w:tr>
      <w:tr w:rsidR="00346CC8" w:rsidRPr="00035A3E" w14:paraId="3A8A95D4" w14:textId="77777777" w:rsidTr="00BB0934">
        <w:tc>
          <w:tcPr>
            <w:tcW w:w="541" w:type="dxa"/>
            <w:shd w:val="clear" w:color="auto" w:fill="D9D9D9" w:themeFill="background1" w:themeFillShade="D9"/>
          </w:tcPr>
          <w:p w14:paraId="5913B431"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8.</w:t>
            </w:r>
          </w:p>
        </w:tc>
        <w:tc>
          <w:tcPr>
            <w:tcW w:w="9623" w:type="dxa"/>
            <w:shd w:val="clear" w:color="auto" w:fill="D9D9D9" w:themeFill="background1" w:themeFillShade="D9"/>
          </w:tcPr>
          <w:p w14:paraId="63F49F27" w14:textId="77777777" w:rsidR="00346CC8" w:rsidRPr="00055379"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Constatările expertizei anticorupție</w:t>
            </w:r>
          </w:p>
        </w:tc>
      </w:tr>
      <w:tr w:rsidR="00346CC8" w:rsidRPr="00035A3E" w14:paraId="53824D86" w14:textId="77777777" w:rsidTr="00BB0934">
        <w:tc>
          <w:tcPr>
            <w:tcW w:w="541" w:type="dxa"/>
            <w:shd w:val="clear" w:color="auto" w:fill="FFFFFF" w:themeFill="background1"/>
          </w:tcPr>
          <w:p w14:paraId="71A2A6C0"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07E4118F" w14:textId="758AB8EF" w:rsidR="00346CC8" w:rsidRPr="00035A3E" w:rsidRDefault="00346CC8" w:rsidP="00684053">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 xml:space="preserve">Proiectul </w:t>
            </w:r>
            <w:r w:rsidR="00684053">
              <w:rPr>
                <w:rFonts w:ascii="Times New Roman" w:eastAsia="Times New Roman" w:hAnsi="Times New Roman" w:cs="Times New Roman"/>
                <w:sz w:val="26"/>
                <w:szCs w:val="26"/>
                <w:lang w:val="ro-RO" w:eastAsia="ru-RU"/>
              </w:rPr>
              <w:t>va fi</w:t>
            </w:r>
            <w:r>
              <w:rPr>
                <w:rFonts w:ascii="Times New Roman" w:eastAsia="Times New Roman" w:hAnsi="Times New Roman" w:cs="Times New Roman"/>
                <w:sz w:val="26"/>
                <w:szCs w:val="26"/>
                <w:lang w:val="ro-RO" w:eastAsia="ru-RU"/>
              </w:rPr>
              <w:t xml:space="preserve"> </w:t>
            </w:r>
            <w:r w:rsidRPr="00035A3E">
              <w:rPr>
                <w:rFonts w:ascii="Times New Roman" w:eastAsia="Times New Roman" w:hAnsi="Times New Roman" w:cs="Times New Roman"/>
                <w:sz w:val="26"/>
                <w:szCs w:val="26"/>
                <w:lang w:val="ro-RO" w:eastAsia="ru-RU"/>
              </w:rPr>
              <w:t>supus expertizei anticorupție</w:t>
            </w:r>
          </w:p>
        </w:tc>
      </w:tr>
      <w:tr w:rsidR="00346CC8" w:rsidRPr="00035A3E" w14:paraId="5D41294B" w14:textId="77777777" w:rsidTr="00BB0934">
        <w:tc>
          <w:tcPr>
            <w:tcW w:w="541" w:type="dxa"/>
            <w:shd w:val="clear" w:color="auto" w:fill="D9D9D9" w:themeFill="background1" w:themeFillShade="D9"/>
          </w:tcPr>
          <w:p w14:paraId="48E4FED2"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9.</w:t>
            </w:r>
          </w:p>
        </w:tc>
        <w:tc>
          <w:tcPr>
            <w:tcW w:w="9623" w:type="dxa"/>
            <w:shd w:val="clear" w:color="auto" w:fill="D9D9D9" w:themeFill="background1" w:themeFillShade="D9"/>
          </w:tcPr>
          <w:p w14:paraId="1410A2C5"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b/>
                <w:sz w:val="26"/>
                <w:szCs w:val="26"/>
                <w:lang w:val="ro-RO" w:eastAsia="ru-RU"/>
              </w:rPr>
              <w:t>Constatările expertizei de compatibilitate</w:t>
            </w:r>
          </w:p>
        </w:tc>
      </w:tr>
      <w:tr w:rsidR="00346CC8" w:rsidRPr="00035A3E" w14:paraId="08ED3F0A" w14:textId="77777777" w:rsidTr="00BB0934">
        <w:tc>
          <w:tcPr>
            <w:tcW w:w="541" w:type="dxa"/>
            <w:shd w:val="clear" w:color="auto" w:fill="FFFFFF" w:themeFill="background1"/>
          </w:tcPr>
          <w:p w14:paraId="27DA1843"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74E17909" w14:textId="78563B90" w:rsidR="00346CC8" w:rsidRPr="00FA06E1" w:rsidRDefault="000304EA" w:rsidP="00BB0934">
            <w:pPr>
              <w:spacing w:line="276" w:lineRule="auto"/>
              <w:jc w:val="both"/>
              <w:rPr>
                <w:rFonts w:ascii="Times New Roman" w:eastAsia="Times New Roman" w:hAnsi="Times New Roman" w:cs="Times New Roman"/>
                <w:iCs/>
                <w:sz w:val="26"/>
                <w:szCs w:val="26"/>
                <w:lang w:val="ro-RO" w:eastAsia="ru-RU"/>
              </w:rPr>
            </w:pPr>
            <w:r w:rsidRPr="00FA06E1">
              <w:rPr>
                <w:rFonts w:ascii="Times New Roman" w:eastAsia="Times New Roman" w:hAnsi="Times New Roman" w:cs="Times New Roman"/>
                <w:iCs/>
                <w:sz w:val="26"/>
                <w:szCs w:val="26"/>
                <w:lang w:val="ro-RO" w:eastAsia="ru-RU"/>
              </w:rPr>
              <w:t>Nu este necesar</w:t>
            </w:r>
          </w:p>
        </w:tc>
      </w:tr>
      <w:tr w:rsidR="00346CC8" w:rsidRPr="00035A3E" w14:paraId="08B72C17" w14:textId="77777777" w:rsidTr="00BB0934">
        <w:tc>
          <w:tcPr>
            <w:tcW w:w="541" w:type="dxa"/>
            <w:shd w:val="clear" w:color="auto" w:fill="D9D9D9" w:themeFill="background1" w:themeFillShade="D9"/>
          </w:tcPr>
          <w:p w14:paraId="10982459"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10.</w:t>
            </w:r>
          </w:p>
        </w:tc>
        <w:tc>
          <w:tcPr>
            <w:tcW w:w="9623" w:type="dxa"/>
            <w:shd w:val="clear" w:color="auto" w:fill="D9D9D9" w:themeFill="background1" w:themeFillShade="D9"/>
          </w:tcPr>
          <w:p w14:paraId="37B72946"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b/>
                <w:sz w:val="26"/>
                <w:szCs w:val="26"/>
                <w:lang w:val="ro-RO" w:eastAsia="ru-RU"/>
              </w:rPr>
              <w:t>Constatările expertizei juridice</w:t>
            </w:r>
          </w:p>
        </w:tc>
      </w:tr>
      <w:tr w:rsidR="00346CC8" w:rsidRPr="00035A3E" w14:paraId="4952A53A" w14:textId="77777777" w:rsidTr="00BB0934">
        <w:tc>
          <w:tcPr>
            <w:tcW w:w="541" w:type="dxa"/>
            <w:shd w:val="clear" w:color="auto" w:fill="FFFFFF" w:themeFill="background1"/>
          </w:tcPr>
          <w:p w14:paraId="762310AB"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3A4377AB" w14:textId="2DDD6B84" w:rsidR="00A24FDB" w:rsidRPr="00035A3E" w:rsidRDefault="00684053"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 xml:space="preserve">Proiectul </w:t>
            </w:r>
            <w:r>
              <w:rPr>
                <w:rFonts w:ascii="Times New Roman" w:eastAsia="Times New Roman" w:hAnsi="Times New Roman" w:cs="Times New Roman"/>
                <w:sz w:val="26"/>
                <w:szCs w:val="26"/>
                <w:lang w:val="ro-RO" w:eastAsia="ru-RU"/>
              </w:rPr>
              <w:t xml:space="preserve">va fi </w:t>
            </w:r>
            <w:r w:rsidRPr="00035A3E">
              <w:rPr>
                <w:rFonts w:ascii="Times New Roman" w:eastAsia="Times New Roman" w:hAnsi="Times New Roman" w:cs="Times New Roman"/>
                <w:sz w:val="26"/>
                <w:szCs w:val="26"/>
                <w:lang w:val="ro-RO" w:eastAsia="ru-RU"/>
              </w:rPr>
              <w:t>supus expertizei</w:t>
            </w:r>
            <w:r>
              <w:rPr>
                <w:rFonts w:ascii="Times New Roman" w:eastAsia="Times New Roman" w:hAnsi="Times New Roman" w:cs="Times New Roman"/>
                <w:sz w:val="26"/>
                <w:szCs w:val="26"/>
                <w:lang w:val="ro-RO" w:eastAsia="ru-RU"/>
              </w:rPr>
              <w:t xml:space="preserve"> juridice</w:t>
            </w:r>
          </w:p>
        </w:tc>
      </w:tr>
      <w:tr w:rsidR="00346CC8" w:rsidRPr="00035A3E" w14:paraId="5C5329D3" w14:textId="77777777" w:rsidTr="00BB0934">
        <w:tc>
          <w:tcPr>
            <w:tcW w:w="541" w:type="dxa"/>
            <w:shd w:val="clear" w:color="auto" w:fill="D9D9D9" w:themeFill="background1" w:themeFillShade="D9"/>
          </w:tcPr>
          <w:p w14:paraId="02996E34"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11.</w:t>
            </w:r>
          </w:p>
        </w:tc>
        <w:tc>
          <w:tcPr>
            <w:tcW w:w="9623" w:type="dxa"/>
            <w:shd w:val="clear" w:color="auto" w:fill="D9D9D9" w:themeFill="background1" w:themeFillShade="D9"/>
          </w:tcPr>
          <w:p w14:paraId="532562FB" w14:textId="77777777" w:rsidR="00346CC8" w:rsidRPr="00035A3E" w:rsidRDefault="00346CC8" w:rsidP="00BB0934">
            <w:pPr>
              <w:spacing w:line="276" w:lineRule="auto"/>
              <w:jc w:val="both"/>
              <w:rPr>
                <w:rFonts w:ascii="Times New Roman" w:eastAsia="Times New Roman" w:hAnsi="Times New Roman" w:cs="Times New Roman"/>
                <w:b/>
                <w:sz w:val="26"/>
                <w:szCs w:val="26"/>
                <w:lang w:val="ro-RO" w:eastAsia="ru-RU"/>
              </w:rPr>
            </w:pPr>
            <w:r w:rsidRPr="00035A3E">
              <w:rPr>
                <w:rFonts w:ascii="Times New Roman" w:eastAsia="Times New Roman" w:hAnsi="Times New Roman" w:cs="Times New Roman"/>
                <w:b/>
                <w:sz w:val="26"/>
                <w:szCs w:val="26"/>
                <w:lang w:val="ro-RO" w:eastAsia="ru-RU"/>
              </w:rPr>
              <w:t>Constatările altor expertize</w:t>
            </w:r>
          </w:p>
        </w:tc>
      </w:tr>
      <w:tr w:rsidR="00346CC8" w:rsidRPr="00035A3E" w14:paraId="5B27F057" w14:textId="77777777" w:rsidTr="00BB0934">
        <w:tc>
          <w:tcPr>
            <w:tcW w:w="541" w:type="dxa"/>
            <w:shd w:val="clear" w:color="auto" w:fill="FFFFFF" w:themeFill="background1"/>
          </w:tcPr>
          <w:p w14:paraId="7D78710B"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p>
        </w:tc>
        <w:tc>
          <w:tcPr>
            <w:tcW w:w="9623" w:type="dxa"/>
            <w:shd w:val="clear" w:color="auto" w:fill="FFFFFF" w:themeFill="background1"/>
          </w:tcPr>
          <w:p w14:paraId="1095BAB2" w14:textId="77777777" w:rsidR="00346CC8" w:rsidRPr="00035A3E" w:rsidRDefault="00346CC8" w:rsidP="00BB0934">
            <w:pPr>
              <w:spacing w:line="276" w:lineRule="auto"/>
              <w:jc w:val="both"/>
              <w:rPr>
                <w:rFonts w:ascii="Times New Roman" w:eastAsia="Times New Roman" w:hAnsi="Times New Roman" w:cs="Times New Roman"/>
                <w:sz w:val="26"/>
                <w:szCs w:val="26"/>
                <w:lang w:val="ro-RO" w:eastAsia="ru-RU"/>
              </w:rPr>
            </w:pPr>
            <w:r w:rsidRPr="00035A3E">
              <w:rPr>
                <w:rFonts w:ascii="Times New Roman" w:eastAsia="Times New Roman" w:hAnsi="Times New Roman" w:cs="Times New Roman"/>
                <w:sz w:val="26"/>
                <w:szCs w:val="26"/>
                <w:lang w:val="ro-RO" w:eastAsia="ru-RU"/>
              </w:rPr>
              <w:t xml:space="preserve">Nu este necesar </w:t>
            </w:r>
          </w:p>
        </w:tc>
      </w:tr>
    </w:tbl>
    <w:p w14:paraId="263C23DB" w14:textId="77777777" w:rsidR="00346CC8" w:rsidRPr="00035A3E" w:rsidRDefault="00346CC8" w:rsidP="00346CC8">
      <w:pPr>
        <w:spacing w:after="0" w:line="276" w:lineRule="auto"/>
        <w:ind w:firstLine="567"/>
        <w:jc w:val="both"/>
        <w:rPr>
          <w:rFonts w:ascii="Times New Roman" w:eastAsia="Times New Roman" w:hAnsi="Times New Roman" w:cs="Times New Roman"/>
          <w:sz w:val="26"/>
          <w:szCs w:val="26"/>
          <w:lang w:val="ro-RO" w:eastAsia="ru-RU"/>
        </w:rPr>
      </w:pPr>
    </w:p>
    <w:p w14:paraId="6C3851C3" w14:textId="77777777" w:rsidR="00346CC8" w:rsidRDefault="00346CC8" w:rsidP="00346CC8">
      <w:pPr>
        <w:spacing w:after="0" w:line="240" w:lineRule="auto"/>
        <w:ind w:firstLine="567"/>
        <w:jc w:val="both"/>
        <w:rPr>
          <w:rFonts w:ascii="Times New Roman" w:eastAsia="Times New Roman" w:hAnsi="Times New Roman" w:cs="Times New Roman"/>
          <w:b/>
          <w:sz w:val="26"/>
          <w:szCs w:val="26"/>
          <w:lang w:val="ro-RO" w:eastAsia="ru-RU"/>
        </w:rPr>
      </w:pPr>
    </w:p>
    <w:p w14:paraId="47A59170" w14:textId="77777777" w:rsidR="00346CC8" w:rsidRDefault="00346CC8" w:rsidP="00346CC8">
      <w:pPr>
        <w:spacing w:after="0" w:line="240" w:lineRule="auto"/>
        <w:ind w:firstLine="567"/>
        <w:jc w:val="both"/>
        <w:rPr>
          <w:rFonts w:ascii="Times New Roman" w:eastAsia="Times New Roman" w:hAnsi="Times New Roman" w:cs="Times New Roman"/>
          <w:b/>
          <w:sz w:val="26"/>
          <w:szCs w:val="26"/>
          <w:lang w:val="ro-RO" w:eastAsia="ru-RU"/>
        </w:rPr>
      </w:pPr>
    </w:p>
    <w:p w14:paraId="35C9493C" w14:textId="77777777" w:rsidR="00346CC8" w:rsidRDefault="00346CC8" w:rsidP="00346CC8">
      <w:pPr>
        <w:spacing w:after="0" w:line="240" w:lineRule="auto"/>
        <w:ind w:firstLine="567"/>
        <w:jc w:val="both"/>
        <w:rPr>
          <w:rFonts w:ascii="Times New Roman" w:eastAsia="Times New Roman" w:hAnsi="Times New Roman" w:cs="Times New Roman"/>
          <w:b/>
          <w:sz w:val="26"/>
          <w:szCs w:val="26"/>
          <w:lang w:val="ro-RO" w:eastAsia="ru-RU"/>
        </w:rPr>
      </w:pPr>
    </w:p>
    <w:p w14:paraId="67F1EF56" w14:textId="77777777" w:rsidR="000304EA" w:rsidRDefault="000304EA" w:rsidP="00346CC8">
      <w:pPr>
        <w:spacing w:after="0" w:line="240" w:lineRule="auto"/>
        <w:ind w:firstLine="567"/>
        <w:jc w:val="both"/>
        <w:rPr>
          <w:rFonts w:ascii="Times New Roman" w:eastAsia="Times New Roman" w:hAnsi="Times New Roman" w:cs="Times New Roman"/>
          <w:b/>
          <w:sz w:val="26"/>
          <w:szCs w:val="26"/>
          <w:lang w:val="ro-RO" w:eastAsia="ru-RU"/>
        </w:rPr>
      </w:pPr>
    </w:p>
    <w:p w14:paraId="47779759" w14:textId="77777777" w:rsidR="000304EA" w:rsidRDefault="000304EA" w:rsidP="00346CC8">
      <w:pPr>
        <w:spacing w:after="0" w:line="240" w:lineRule="auto"/>
        <w:ind w:firstLine="567"/>
        <w:jc w:val="both"/>
        <w:rPr>
          <w:rFonts w:ascii="Times New Roman" w:eastAsia="Times New Roman" w:hAnsi="Times New Roman" w:cs="Times New Roman"/>
          <w:b/>
          <w:sz w:val="26"/>
          <w:szCs w:val="26"/>
          <w:lang w:val="ro-RO" w:eastAsia="ru-RU"/>
        </w:rPr>
      </w:pPr>
    </w:p>
    <w:p w14:paraId="51F61AC1" w14:textId="77777777" w:rsidR="000304EA" w:rsidRDefault="000304EA" w:rsidP="00346CC8">
      <w:pPr>
        <w:spacing w:after="0" w:line="240" w:lineRule="auto"/>
        <w:ind w:firstLine="567"/>
        <w:jc w:val="both"/>
        <w:rPr>
          <w:rFonts w:ascii="Times New Roman" w:eastAsia="Times New Roman" w:hAnsi="Times New Roman" w:cs="Times New Roman"/>
          <w:b/>
          <w:sz w:val="26"/>
          <w:szCs w:val="26"/>
          <w:lang w:val="ro-RO" w:eastAsia="ru-RU"/>
        </w:rPr>
      </w:pPr>
    </w:p>
    <w:p w14:paraId="060B4A95" w14:textId="382B15D9" w:rsidR="00346CC8" w:rsidRPr="000304EA" w:rsidRDefault="00346CC8" w:rsidP="00346CC8">
      <w:pPr>
        <w:spacing w:after="0" w:line="240" w:lineRule="auto"/>
        <w:ind w:firstLine="567"/>
        <w:jc w:val="both"/>
        <w:rPr>
          <w:rFonts w:ascii="Times New Roman" w:eastAsia="Times New Roman" w:hAnsi="Times New Roman" w:cs="Times New Roman"/>
          <w:sz w:val="28"/>
          <w:szCs w:val="28"/>
          <w:lang w:val="ro-RO" w:eastAsia="ru-RU"/>
        </w:rPr>
      </w:pPr>
      <w:r w:rsidRPr="000304EA">
        <w:rPr>
          <w:rFonts w:ascii="Times New Roman" w:eastAsia="Times New Roman" w:hAnsi="Times New Roman" w:cs="Times New Roman"/>
          <w:b/>
          <w:sz w:val="28"/>
          <w:szCs w:val="28"/>
          <w:lang w:val="ro-RO" w:eastAsia="ru-RU"/>
        </w:rPr>
        <w:t xml:space="preserve">Ministru  </w:t>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Pr="000304EA">
        <w:rPr>
          <w:rFonts w:ascii="Times New Roman" w:eastAsia="Times New Roman" w:hAnsi="Times New Roman" w:cs="Times New Roman"/>
          <w:b/>
          <w:sz w:val="28"/>
          <w:szCs w:val="28"/>
          <w:lang w:val="ro-RO" w:eastAsia="ru-RU"/>
        </w:rPr>
        <w:tab/>
      </w:r>
      <w:r w:rsidR="000304EA" w:rsidRPr="000304EA">
        <w:rPr>
          <w:rFonts w:ascii="Times New Roman" w:eastAsia="Times New Roman" w:hAnsi="Times New Roman" w:cs="Times New Roman"/>
          <w:b/>
          <w:sz w:val="28"/>
          <w:szCs w:val="28"/>
          <w:lang w:val="ro-RO" w:eastAsia="ru-RU"/>
        </w:rPr>
        <w:t>Dumitru ALAIBA</w:t>
      </w:r>
    </w:p>
    <w:p w14:paraId="7A38EA0D" w14:textId="77777777" w:rsidR="00F53E6D" w:rsidRPr="000304EA" w:rsidRDefault="00F53E6D">
      <w:pPr>
        <w:rPr>
          <w:sz w:val="28"/>
          <w:szCs w:val="28"/>
        </w:rPr>
      </w:pPr>
    </w:p>
    <w:sectPr w:rsidR="00F53E6D" w:rsidRPr="000304EA" w:rsidSect="009E619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6CC8"/>
    <w:rsid w:val="000304EA"/>
    <w:rsid w:val="00247D62"/>
    <w:rsid w:val="00346CC8"/>
    <w:rsid w:val="005F566D"/>
    <w:rsid w:val="00684053"/>
    <w:rsid w:val="006C016E"/>
    <w:rsid w:val="009E619C"/>
    <w:rsid w:val="00A01B1A"/>
    <w:rsid w:val="00A24FDB"/>
    <w:rsid w:val="00A926F7"/>
    <w:rsid w:val="00D42B79"/>
    <w:rsid w:val="00E04D77"/>
    <w:rsid w:val="00E75027"/>
    <w:rsid w:val="00F53E6D"/>
    <w:rsid w:val="00FA06E1"/>
  </w:rsids>
  <m:mathPr>
    <m:mathFont m:val="Cambria Math"/>
    <m:brkBin m:val="before"/>
    <m:brkBinSub m:val="--"/>
    <m:smallFrac m:val="0"/>
    <m:dispDef/>
    <m:lMargin m:val="0"/>
    <m:rMargin m:val="0"/>
    <m:defJc m:val="centerGroup"/>
    <m:wrapIndent m:val="1440"/>
    <m:intLim m:val="subSup"/>
    <m:naryLim m:val="undOvr"/>
  </m:mathPr>
  <w:themeFontLang w:val="ro-R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6E1EB"/>
  <w15:chartTrackingRefBased/>
  <w15:docId w15:val="{8D38FCA2-2A98-478A-923A-81C83E2C22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46CC8"/>
  </w:style>
  <w:style w:type="paragraph" w:styleId="Heading1">
    <w:name w:val="heading 1"/>
    <w:basedOn w:val="Normal"/>
    <w:next w:val="Normal"/>
    <w:link w:val="Heading1Char"/>
    <w:uiPriority w:val="9"/>
    <w:qFormat/>
    <w:rsid w:val="00E04D77"/>
    <w:pPr>
      <w:keepNext/>
      <w:keepLines/>
      <w:spacing w:before="400" w:after="40" w:line="240" w:lineRule="auto"/>
      <w:outlineLvl w:val="0"/>
    </w:pPr>
    <w:rPr>
      <w:rFonts w:asciiTheme="majorHAnsi" w:eastAsiaTheme="majorEastAsia" w:hAnsiTheme="majorHAnsi" w:cstheme="majorBidi"/>
      <w:caps/>
      <w:sz w:val="36"/>
      <w:szCs w:val="36"/>
    </w:rPr>
  </w:style>
  <w:style w:type="paragraph" w:styleId="Heading2">
    <w:name w:val="heading 2"/>
    <w:basedOn w:val="Normal"/>
    <w:next w:val="Normal"/>
    <w:link w:val="Heading2Char"/>
    <w:uiPriority w:val="9"/>
    <w:semiHidden/>
    <w:unhideWhenUsed/>
    <w:qFormat/>
    <w:rsid w:val="00E04D77"/>
    <w:pPr>
      <w:keepNext/>
      <w:keepLines/>
      <w:spacing w:before="120" w:after="0" w:line="240" w:lineRule="auto"/>
      <w:outlineLvl w:val="1"/>
    </w:pPr>
    <w:rPr>
      <w:rFonts w:asciiTheme="majorHAnsi" w:eastAsiaTheme="majorEastAsia" w:hAnsiTheme="majorHAnsi" w:cstheme="majorBidi"/>
      <w:caps/>
      <w:sz w:val="28"/>
      <w:szCs w:val="28"/>
    </w:rPr>
  </w:style>
  <w:style w:type="paragraph" w:styleId="Heading3">
    <w:name w:val="heading 3"/>
    <w:basedOn w:val="Normal"/>
    <w:next w:val="Normal"/>
    <w:link w:val="Heading3Char"/>
    <w:uiPriority w:val="9"/>
    <w:semiHidden/>
    <w:unhideWhenUsed/>
    <w:qFormat/>
    <w:rsid w:val="00E04D77"/>
    <w:pPr>
      <w:keepNext/>
      <w:keepLines/>
      <w:spacing w:before="120" w:after="0" w:line="240" w:lineRule="auto"/>
      <w:outlineLvl w:val="2"/>
    </w:pPr>
    <w:rPr>
      <w:rFonts w:asciiTheme="majorHAnsi" w:eastAsiaTheme="majorEastAsia" w:hAnsiTheme="majorHAnsi" w:cstheme="majorBidi"/>
      <w:smallCaps/>
      <w:sz w:val="28"/>
      <w:szCs w:val="28"/>
    </w:rPr>
  </w:style>
  <w:style w:type="paragraph" w:styleId="Heading4">
    <w:name w:val="heading 4"/>
    <w:basedOn w:val="Normal"/>
    <w:next w:val="Normal"/>
    <w:link w:val="Heading4Char"/>
    <w:uiPriority w:val="9"/>
    <w:semiHidden/>
    <w:unhideWhenUsed/>
    <w:qFormat/>
    <w:rsid w:val="00E04D77"/>
    <w:pPr>
      <w:keepNext/>
      <w:keepLines/>
      <w:spacing w:before="120" w:after="0"/>
      <w:outlineLvl w:val="3"/>
    </w:pPr>
    <w:rPr>
      <w:rFonts w:asciiTheme="majorHAnsi" w:eastAsiaTheme="majorEastAsia" w:hAnsiTheme="majorHAnsi" w:cstheme="majorBidi"/>
      <w:caps/>
    </w:rPr>
  </w:style>
  <w:style w:type="paragraph" w:styleId="Heading5">
    <w:name w:val="heading 5"/>
    <w:basedOn w:val="Normal"/>
    <w:next w:val="Normal"/>
    <w:link w:val="Heading5Char"/>
    <w:uiPriority w:val="9"/>
    <w:semiHidden/>
    <w:unhideWhenUsed/>
    <w:qFormat/>
    <w:rsid w:val="00E04D77"/>
    <w:pPr>
      <w:keepNext/>
      <w:keepLines/>
      <w:spacing w:before="120" w:after="0"/>
      <w:outlineLvl w:val="4"/>
    </w:pPr>
    <w:rPr>
      <w:rFonts w:asciiTheme="majorHAnsi" w:eastAsiaTheme="majorEastAsia" w:hAnsiTheme="majorHAnsi" w:cstheme="majorBidi"/>
      <w:i/>
      <w:iCs/>
      <w:caps/>
    </w:rPr>
  </w:style>
  <w:style w:type="paragraph" w:styleId="Heading6">
    <w:name w:val="heading 6"/>
    <w:basedOn w:val="Normal"/>
    <w:next w:val="Normal"/>
    <w:link w:val="Heading6Char"/>
    <w:uiPriority w:val="9"/>
    <w:semiHidden/>
    <w:unhideWhenUsed/>
    <w:qFormat/>
    <w:rsid w:val="00E04D77"/>
    <w:pPr>
      <w:keepNext/>
      <w:keepLines/>
      <w:spacing w:before="120" w:after="0"/>
      <w:outlineLvl w:val="5"/>
    </w:pPr>
    <w:rPr>
      <w:rFonts w:asciiTheme="majorHAnsi" w:eastAsiaTheme="majorEastAsia" w:hAnsiTheme="majorHAnsi" w:cstheme="majorBidi"/>
      <w:b/>
      <w:bCs/>
      <w:caps/>
      <w:color w:val="262626" w:themeColor="text1" w:themeTint="D9"/>
      <w:sz w:val="20"/>
      <w:szCs w:val="20"/>
    </w:rPr>
  </w:style>
  <w:style w:type="paragraph" w:styleId="Heading7">
    <w:name w:val="heading 7"/>
    <w:basedOn w:val="Normal"/>
    <w:next w:val="Normal"/>
    <w:link w:val="Heading7Char"/>
    <w:uiPriority w:val="9"/>
    <w:semiHidden/>
    <w:unhideWhenUsed/>
    <w:qFormat/>
    <w:rsid w:val="00E04D77"/>
    <w:pPr>
      <w:keepNext/>
      <w:keepLines/>
      <w:spacing w:before="120" w:after="0"/>
      <w:outlineLvl w:val="6"/>
    </w:pPr>
    <w:rPr>
      <w:rFonts w:asciiTheme="majorHAnsi" w:eastAsiaTheme="majorEastAsia" w:hAnsiTheme="majorHAnsi" w:cstheme="majorBidi"/>
      <w:b/>
      <w:bCs/>
      <w:i/>
      <w:iCs/>
      <w:caps/>
      <w:color w:val="262626" w:themeColor="text1" w:themeTint="D9"/>
      <w:sz w:val="20"/>
      <w:szCs w:val="20"/>
    </w:rPr>
  </w:style>
  <w:style w:type="paragraph" w:styleId="Heading8">
    <w:name w:val="heading 8"/>
    <w:basedOn w:val="Normal"/>
    <w:next w:val="Normal"/>
    <w:link w:val="Heading8Char"/>
    <w:uiPriority w:val="9"/>
    <w:semiHidden/>
    <w:unhideWhenUsed/>
    <w:qFormat/>
    <w:rsid w:val="00E04D77"/>
    <w:pPr>
      <w:keepNext/>
      <w:keepLines/>
      <w:spacing w:before="120" w:after="0"/>
      <w:outlineLvl w:val="7"/>
    </w:pPr>
    <w:rPr>
      <w:rFonts w:asciiTheme="majorHAnsi" w:eastAsiaTheme="majorEastAsia" w:hAnsiTheme="majorHAnsi" w:cstheme="majorBidi"/>
      <w:b/>
      <w:bCs/>
      <w:caps/>
      <w:color w:val="7F7F7F" w:themeColor="text1" w:themeTint="80"/>
      <w:sz w:val="20"/>
      <w:szCs w:val="20"/>
    </w:rPr>
  </w:style>
  <w:style w:type="paragraph" w:styleId="Heading9">
    <w:name w:val="heading 9"/>
    <w:basedOn w:val="Normal"/>
    <w:next w:val="Normal"/>
    <w:link w:val="Heading9Char"/>
    <w:uiPriority w:val="9"/>
    <w:semiHidden/>
    <w:unhideWhenUsed/>
    <w:qFormat/>
    <w:rsid w:val="00E04D77"/>
    <w:pPr>
      <w:keepNext/>
      <w:keepLines/>
      <w:spacing w:before="120" w:after="0"/>
      <w:outlineLvl w:val="8"/>
    </w:pPr>
    <w:rPr>
      <w:rFonts w:asciiTheme="majorHAnsi" w:eastAsiaTheme="majorEastAsia" w:hAnsiTheme="majorHAnsi" w:cstheme="majorBidi"/>
      <w:b/>
      <w:bCs/>
      <w:i/>
      <w:iCs/>
      <w:caps/>
      <w:color w:val="7F7F7F" w:themeColor="text1" w:themeTint="8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4D77"/>
    <w:rPr>
      <w:rFonts w:asciiTheme="majorHAnsi" w:eastAsiaTheme="majorEastAsia" w:hAnsiTheme="majorHAnsi" w:cstheme="majorBidi"/>
      <w:caps/>
      <w:sz w:val="36"/>
      <w:szCs w:val="36"/>
    </w:rPr>
  </w:style>
  <w:style w:type="character" w:customStyle="1" w:styleId="Heading2Char">
    <w:name w:val="Heading 2 Char"/>
    <w:basedOn w:val="DefaultParagraphFont"/>
    <w:link w:val="Heading2"/>
    <w:uiPriority w:val="9"/>
    <w:semiHidden/>
    <w:rsid w:val="00E04D77"/>
    <w:rPr>
      <w:rFonts w:asciiTheme="majorHAnsi" w:eastAsiaTheme="majorEastAsia" w:hAnsiTheme="majorHAnsi" w:cstheme="majorBidi"/>
      <w:caps/>
      <w:sz w:val="28"/>
      <w:szCs w:val="28"/>
    </w:rPr>
  </w:style>
  <w:style w:type="character" w:customStyle="1" w:styleId="Heading3Char">
    <w:name w:val="Heading 3 Char"/>
    <w:basedOn w:val="DefaultParagraphFont"/>
    <w:link w:val="Heading3"/>
    <w:uiPriority w:val="9"/>
    <w:semiHidden/>
    <w:rsid w:val="00E04D77"/>
    <w:rPr>
      <w:rFonts w:asciiTheme="majorHAnsi" w:eastAsiaTheme="majorEastAsia" w:hAnsiTheme="majorHAnsi" w:cstheme="majorBidi"/>
      <w:smallCaps/>
      <w:sz w:val="28"/>
      <w:szCs w:val="28"/>
    </w:rPr>
  </w:style>
  <w:style w:type="character" w:customStyle="1" w:styleId="Heading4Char">
    <w:name w:val="Heading 4 Char"/>
    <w:basedOn w:val="DefaultParagraphFont"/>
    <w:link w:val="Heading4"/>
    <w:uiPriority w:val="9"/>
    <w:semiHidden/>
    <w:rsid w:val="00E04D77"/>
    <w:rPr>
      <w:rFonts w:asciiTheme="majorHAnsi" w:eastAsiaTheme="majorEastAsia" w:hAnsiTheme="majorHAnsi" w:cstheme="majorBidi"/>
      <w:caps/>
    </w:rPr>
  </w:style>
  <w:style w:type="character" w:customStyle="1" w:styleId="Heading5Char">
    <w:name w:val="Heading 5 Char"/>
    <w:basedOn w:val="DefaultParagraphFont"/>
    <w:link w:val="Heading5"/>
    <w:uiPriority w:val="9"/>
    <w:semiHidden/>
    <w:rsid w:val="00E04D77"/>
    <w:rPr>
      <w:rFonts w:asciiTheme="majorHAnsi" w:eastAsiaTheme="majorEastAsia" w:hAnsiTheme="majorHAnsi" w:cstheme="majorBidi"/>
      <w:i/>
      <w:iCs/>
      <w:caps/>
    </w:rPr>
  </w:style>
  <w:style w:type="character" w:customStyle="1" w:styleId="Heading6Char">
    <w:name w:val="Heading 6 Char"/>
    <w:basedOn w:val="DefaultParagraphFont"/>
    <w:link w:val="Heading6"/>
    <w:uiPriority w:val="9"/>
    <w:semiHidden/>
    <w:rsid w:val="00E04D77"/>
    <w:rPr>
      <w:rFonts w:asciiTheme="majorHAnsi" w:eastAsiaTheme="majorEastAsia" w:hAnsiTheme="majorHAnsi" w:cstheme="majorBidi"/>
      <w:b/>
      <w:bCs/>
      <w:caps/>
      <w:color w:val="262626" w:themeColor="text1" w:themeTint="D9"/>
      <w:sz w:val="20"/>
      <w:szCs w:val="20"/>
    </w:rPr>
  </w:style>
  <w:style w:type="character" w:customStyle="1" w:styleId="Heading7Char">
    <w:name w:val="Heading 7 Char"/>
    <w:basedOn w:val="DefaultParagraphFont"/>
    <w:link w:val="Heading7"/>
    <w:uiPriority w:val="9"/>
    <w:semiHidden/>
    <w:rsid w:val="00E04D77"/>
    <w:rPr>
      <w:rFonts w:asciiTheme="majorHAnsi" w:eastAsiaTheme="majorEastAsia" w:hAnsiTheme="majorHAnsi" w:cstheme="majorBidi"/>
      <w:b/>
      <w:bCs/>
      <w:i/>
      <w:iCs/>
      <w:caps/>
      <w:color w:val="262626" w:themeColor="text1" w:themeTint="D9"/>
      <w:sz w:val="20"/>
      <w:szCs w:val="20"/>
    </w:rPr>
  </w:style>
  <w:style w:type="character" w:customStyle="1" w:styleId="Heading8Char">
    <w:name w:val="Heading 8 Char"/>
    <w:basedOn w:val="DefaultParagraphFont"/>
    <w:link w:val="Heading8"/>
    <w:uiPriority w:val="9"/>
    <w:semiHidden/>
    <w:rsid w:val="00E04D77"/>
    <w:rPr>
      <w:rFonts w:asciiTheme="majorHAnsi" w:eastAsiaTheme="majorEastAsia" w:hAnsiTheme="majorHAnsi" w:cstheme="majorBidi"/>
      <w:b/>
      <w:bCs/>
      <w:caps/>
      <w:color w:val="7F7F7F" w:themeColor="text1" w:themeTint="80"/>
      <w:sz w:val="20"/>
      <w:szCs w:val="20"/>
    </w:rPr>
  </w:style>
  <w:style w:type="character" w:customStyle="1" w:styleId="Heading9Char">
    <w:name w:val="Heading 9 Char"/>
    <w:basedOn w:val="DefaultParagraphFont"/>
    <w:link w:val="Heading9"/>
    <w:uiPriority w:val="9"/>
    <w:semiHidden/>
    <w:rsid w:val="00E04D77"/>
    <w:rPr>
      <w:rFonts w:asciiTheme="majorHAnsi" w:eastAsiaTheme="majorEastAsia" w:hAnsiTheme="majorHAnsi" w:cstheme="majorBidi"/>
      <w:b/>
      <w:bCs/>
      <w:i/>
      <w:iCs/>
      <w:caps/>
      <w:color w:val="7F7F7F" w:themeColor="text1" w:themeTint="80"/>
      <w:sz w:val="20"/>
      <w:szCs w:val="20"/>
    </w:rPr>
  </w:style>
  <w:style w:type="paragraph" w:styleId="Caption">
    <w:name w:val="caption"/>
    <w:basedOn w:val="Normal"/>
    <w:next w:val="Normal"/>
    <w:uiPriority w:val="35"/>
    <w:semiHidden/>
    <w:unhideWhenUsed/>
    <w:qFormat/>
    <w:rsid w:val="00E04D77"/>
    <w:pPr>
      <w:spacing w:line="240" w:lineRule="auto"/>
    </w:pPr>
    <w:rPr>
      <w:b/>
      <w:bCs/>
      <w:smallCaps/>
      <w:color w:val="595959" w:themeColor="text1" w:themeTint="A6"/>
    </w:rPr>
  </w:style>
  <w:style w:type="paragraph" w:styleId="Title">
    <w:name w:val="Title"/>
    <w:basedOn w:val="Normal"/>
    <w:next w:val="Normal"/>
    <w:link w:val="TitleChar"/>
    <w:uiPriority w:val="10"/>
    <w:qFormat/>
    <w:rsid w:val="00E04D77"/>
    <w:pPr>
      <w:spacing w:after="0" w:line="240" w:lineRule="auto"/>
      <w:contextualSpacing/>
    </w:pPr>
    <w:rPr>
      <w:rFonts w:asciiTheme="majorHAnsi" w:eastAsiaTheme="majorEastAsia" w:hAnsiTheme="majorHAnsi" w:cstheme="majorBidi"/>
      <w:caps/>
      <w:color w:val="404040" w:themeColor="text1" w:themeTint="BF"/>
      <w:spacing w:val="-10"/>
      <w:sz w:val="72"/>
      <w:szCs w:val="72"/>
    </w:rPr>
  </w:style>
  <w:style w:type="character" w:customStyle="1" w:styleId="TitleChar">
    <w:name w:val="Title Char"/>
    <w:basedOn w:val="DefaultParagraphFont"/>
    <w:link w:val="Title"/>
    <w:uiPriority w:val="10"/>
    <w:rsid w:val="00E04D77"/>
    <w:rPr>
      <w:rFonts w:asciiTheme="majorHAnsi" w:eastAsiaTheme="majorEastAsia" w:hAnsiTheme="majorHAnsi" w:cstheme="majorBidi"/>
      <w:caps/>
      <w:color w:val="404040" w:themeColor="text1" w:themeTint="BF"/>
      <w:spacing w:val="-10"/>
      <w:sz w:val="72"/>
      <w:szCs w:val="72"/>
    </w:rPr>
  </w:style>
  <w:style w:type="paragraph" w:styleId="Subtitle">
    <w:name w:val="Subtitle"/>
    <w:basedOn w:val="Normal"/>
    <w:next w:val="Normal"/>
    <w:link w:val="SubtitleChar"/>
    <w:uiPriority w:val="11"/>
    <w:qFormat/>
    <w:rsid w:val="00E04D77"/>
    <w:pPr>
      <w:numPr>
        <w:ilvl w:val="1"/>
      </w:numPr>
    </w:pPr>
    <w:rPr>
      <w:rFonts w:asciiTheme="majorHAnsi" w:eastAsiaTheme="majorEastAsia" w:hAnsiTheme="majorHAnsi" w:cstheme="majorBidi"/>
      <w:smallCaps/>
      <w:color w:val="595959" w:themeColor="text1" w:themeTint="A6"/>
      <w:sz w:val="28"/>
      <w:szCs w:val="28"/>
    </w:rPr>
  </w:style>
  <w:style w:type="character" w:customStyle="1" w:styleId="SubtitleChar">
    <w:name w:val="Subtitle Char"/>
    <w:basedOn w:val="DefaultParagraphFont"/>
    <w:link w:val="Subtitle"/>
    <w:uiPriority w:val="11"/>
    <w:rsid w:val="00E04D77"/>
    <w:rPr>
      <w:rFonts w:asciiTheme="majorHAnsi" w:eastAsiaTheme="majorEastAsia" w:hAnsiTheme="majorHAnsi" w:cstheme="majorBidi"/>
      <w:smallCaps/>
      <w:color w:val="595959" w:themeColor="text1" w:themeTint="A6"/>
      <w:sz w:val="28"/>
      <w:szCs w:val="28"/>
    </w:rPr>
  </w:style>
  <w:style w:type="character" w:styleId="Strong">
    <w:name w:val="Strong"/>
    <w:basedOn w:val="DefaultParagraphFont"/>
    <w:uiPriority w:val="22"/>
    <w:qFormat/>
    <w:rsid w:val="00E04D77"/>
    <w:rPr>
      <w:b/>
      <w:bCs/>
    </w:rPr>
  </w:style>
  <w:style w:type="character" w:styleId="Emphasis">
    <w:name w:val="Emphasis"/>
    <w:basedOn w:val="DefaultParagraphFont"/>
    <w:uiPriority w:val="20"/>
    <w:qFormat/>
    <w:rsid w:val="00E04D77"/>
    <w:rPr>
      <w:i/>
      <w:iCs/>
    </w:rPr>
  </w:style>
  <w:style w:type="paragraph" w:styleId="NoSpacing">
    <w:name w:val="No Spacing"/>
    <w:uiPriority w:val="1"/>
    <w:qFormat/>
    <w:rsid w:val="00E04D77"/>
    <w:pPr>
      <w:spacing w:after="0" w:line="240" w:lineRule="auto"/>
    </w:pPr>
  </w:style>
  <w:style w:type="paragraph" w:styleId="ListParagraph">
    <w:name w:val="List Paragraph"/>
    <w:basedOn w:val="Normal"/>
    <w:uiPriority w:val="34"/>
    <w:qFormat/>
    <w:rsid w:val="00E04D77"/>
    <w:pPr>
      <w:ind w:left="720"/>
      <w:contextualSpacing/>
    </w:pPr>
  </w:style>
  <w:style w:type="paragraph" w:styleId="Quote">
    <w:name w:val="Quote"/>
    <w:basedOn w:val="Normal"/>
    <w:next w:val="Normal"/>
    <w:link w:val="QuoteChar"/>
    <w:uiPriority w:val="29"/>
    <w:qFormat/>
    <w:rsid w:val="00E04D77"/>
    <w:pPr>
      <w:spacing w:before="160" w:line="240" w:lineRule="auto"/>
      <w:ind w:left="720" w:right="720"/>
    </w:pPr>
    <w:rPr>
      <w:rFonts w:asciiTheme="majorHAnsi" w:eastAsiaTheme="majorEastAsia" w:hAnsiTheme="majorHAnsi" w:cstheme="majorBidi"/>
      <w:sz w:val="25"/>
      <w:szCs w:val="25"/>
    </w:rPr>
  </w:style>
  <w:style w:type="character" w:customStyle="1" w:styleId="QuoteChar">
    <w:name w:val="Quote Char"/>
    <w:basedOn w:val="DefaultParagraphFont"/>
    <w:link w:val="Quote"/>
    <w:uiPriority w:val="29"/>
    <w:rsid w:val="00E04D77"/>
    <w:rPr>
      <w:rFonts w:asciiTheme="majorHAnsi" w:eastAsiaTheme="majorEastAsia" w:hAnsiTheme="majorHAnsi" w:cstheme="majorBidi"/>
      <w:sz w:val="25"/>
      <w:szCs w:val="25"/>
    </w:rPr>
  </w:style>
  <w:style w:type="paragraph" w:styleId="IntenseQuote">
    <w:name w:val="Intense Quote"/>
    <w:basedOn w:val="Normal"/>
    <w:next w:val="Normal"/>
    <w:link w:val="IntenseQuoteChar"/>
    <w:uiPriority w:val="30"/>
    <w:qFormat/>
    <w:rsid w:val="00E04D77"/>
    <w:pPr>
      <w:spacing w:before="280" w:after="280" w:line="240" w:lineRule="auto"/>
      <w:ind w:left="1080" w:right="1080"/>
      <w:jc w:val="center"/>
    </w:pPr>
    <w:rPr>
      <w:color w:val="404040" w:themeColor="text1" w:themeTint="BF"/>
      <w:sz w:val="32"/>
      <w:szCs w:val="32"/>
    </w:rPr>
  </w:style>
  <w:style w:type="character" w:customStyle="1" w:styleId="IntenseQuoteChar">
    <w:name w:val="Intense Quote Char"/>
    <w:basedOn w:val="DefaultParagraphFont"/>
    <w:link w:val="IntenseQuote"/>
    <w:uiPriority w:val="30"/>
    <w:rsid w:val="00E04D77"/>
    <w:rPr>
      <w:color w:val="404040" w:themeColor="text1" w:themeTint="BF"/>
      <w:sz w:val="32"/>
      <w:szCs w:val="32"/>
    </w:rPr>
  </w:style>
  <w:style w:type="character" w:styleId="SubtleEmphasis">
    <w:name w:val="Subtle Emphasis"/>
    <w:basedOn w:val="DefaultParagraphFont"/>
    <w:uiPriority w:val="19"/>
    <w:qFormat/>
    <w:rsid w:val="00E04D77"/>
    <w:rPr>
      <w:i/>
      <w:iCs/>
      <w:color w:val="595959" w:themeColor="text1" w:themeTint="A6"/>
    </w:rPr>
  </w:style>
  <w:style w:type="character" w:styleId="IntenseEmphasis">
    <w:name w:val="Intense Emphasis"/>
    <w:basedOn w:val="DefaultParagraphFont"/>
    <w:uiPriority w:val="21"/>
    <w:qFormat/>
    <w:rsid w:val="00E04D77"/>
    <w:rPr>
      <w:b/>
      <w:bCs/>
      <w:i/>
      <w:iCs/>
    </w:rPr>
  </w:style>
  <w:style w:type="character" w:styleId="SubtleReference">
    <w:name w:val="Subtle Reference"/>
    <w:basedOn w:val="DefaultParagraphFont"/>
    <w:uiPriority w:val="31"/>
    <w:qFormat/>
    <w:rsid w:val="00E04D77"/>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E04D77"/>
    <w:rPr>
      <w:b/>
      <w:bCs/>
      <w:caps w:val="0"/>
      <w:smallCaps/>
      <w:color w:val="auto"/>
      <w:spacing w:val="3"/>
      <w:u w:val="single"/>
    </w:rPr>
  </w:style>
  <w:style w:type="character" w:styleId="BookTitle">
    <w:name w:val="Book Title"/>
    <w:basedOn w:val="DefaultParagraphFont"/>
    <w:uiPriority w:val="33"/>
    <w:qFormat/>
    <w:rsid w:val="00E04D77"/>
    <w:rPr>
      <w:b/>
      <w:bCs/>
      <w:smallCaps/>
      <w:spacing w:val="7"/>
    </w:rPr>
  </w:style>
  <w:style w:type="paragraph" w:styleId="TOCHeading">
    <w:name w:val="TOC Heading"/>
    <w:basedOn w:val="Heading1"/>
    <w:next w:val="Normal"/>
    <w:uiPriority w:val="39"/>
    <w:semiHidden/>
    <w:unhideWhenUsed/>
    <w:qFormat/>
    <w:rsid w:val="00E04D77"/>
    <w:pPr>
      <w:outlineLvl w:val="9"/>
    </w:pPr>
  </w:style>
  <w:style w:type="table" w:styleId="TableGrid">
    <w:name w:val="Table Grid"/>
    <w:basedOn w:val="TableNormal"/>
    <w:uiPriority w:val="39"/>
    <w:rsid w:val="00346CC8"/>
    <w:pPr>
      <w:spacing w:after="0" w:line="240" w:lineRule="auto"/>
    </w:pPr>
    <w:rPr>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391</Words>
  <Characters>2229</Characters>
  <Application>Microsoft Office Word</Application>
  <DocSecurity>0</DocSecurity>
  <Lines>18</Lines>
  <Paragraphs>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Ion Raulet</dc:creator>
  <cp:keywords/>
  <dc:description/>
  <cp:lastModifiedBy>Diana</cp:lastModifiedBy>
  <cp:revision>2</cp:revision>
  <dcterms:created xsi:type="dcterms:W3CDTF">2022-12-09T08:46:00Z</dcterms:created>
  <dcterms:modified xsi:type="dcterms:W3CDTF">2022-12-09T08:46:00Z</dcterms:modified>
</cp:coreProperties>
</file>