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07F" w:rsidRPr="00503BEB" w:rsidRDefault="0043007F" w:rsidP="00927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503BEB">
        <w:rPr>
          <w:rFonts w:ascii="Times New Roman" w:hAnsi="Times New Roman" w:cs="Times New Roman"/>
          <w:b/>
          <w:sz w:val="28"/>
          <w:szCs w:val="28"/>
          <w:lang w:val="ro-MD"/>
        </w:rPr>
        <w:t>TABEL COMPARATIV</w:t>
      </w:r>
    </w:p>
    <w:p w:rsidR="0043007F" w:rsidRPr="00503BEB" w:rsidRDefault="0043007F" w:rsidP="00927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503BE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la proiectul </w:t>
      </w:r>
      <w:r w:rsidR="00616BE0" w:rsidRPr="00503BE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hotărârii Guvernului pentru </w:t>
      </w:r>
      <w:r w:rsidR="009017A7" w:rsidRPr="00503BEB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modificarea unor hotărâri ale Guvernului</w:t>
      </w:r>
    </w:p>
    <w:p w:rsidR="0043007F" w:rsidRPr="00503BEB" w:rsidRDefault="0043007F" w:rsidP="00AF2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503BEB">
        <w:rPr>
          <w:rFonts w:ascii="Times New Roman" w:eastAsia="Times New Roman" w:hAnsi="Times New Roman" w:cs="Times New Roman"/>
          <w:color w:val="000000"/>
          <w:sz w:val="24"/>
          <w:szCs w:val="24"/>
          <w:lang w:val="ro-MD" w:eastAsia="ru-RU"/>
        </w:rPr>
        <w:t>(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Hotărârea Guvernului nr.357/2009 cu privire la aprobarea Regulamentului circula</w:t>
      </w:r>
      <w:r w:rsidR="00503BEB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ț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iei rutiere </w:t>
      </w:r>
      <w:r w:rsidR="00503BEB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</w:t>
      </w:r>
      <w:r w:rsidR="00AF2D59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hyperlink r:id="rId8" w:history="1">
        <w:r w:rsidR="009017A7" w:rsidRPr="00503BEB">
          <w:rPr>
            <w:rFonts w:ascii="Times New Roman" w:eastAsia="Times New Roman" w:hAnsi="Times New Roman" w:cs="Times New Roman"/>
            <w:sz w:val="24"/>
            <w:szCs w:val="24"/>
            <w:lang w:val="ro-MD" w:eastAsia="ru-RU"/>
          </w:rPr>
          <w:t>Hotărârea Guvernului nr.500/2018</w:t>
        </w:r>
      </w:hyperlink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pentru aprobarea Regulamentului privind cerin</w:t>
      </w:r>
      <w:r w:rsidR="00503BEB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ț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ele generale de</w:t>
      </w:r>
      <w:r w:rsidR="00AF2D59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echipare a autovehiculelor cu regim prioritar de circula</w:t>
      </w:r>
      <w:r w:rsidR="00503BEB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ț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ie </w:t>
      </w:r>
      <w:r w:rsidR="00503BEB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  <w:r w:rsidR="009017A7" w:rsidRPr="00503BEB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i a autovehiculelor speciale</w:t>
      </w:r>
      <w:r w:rsidR="00CA0133" w:rsidRPr="00503BEB">
        <w:rPr>
          <w:rFonts w:ascii="Times New Roman" w:eastAsia="Times New Roman" w:hAnsi="Times New Roman" w:cs="Times New Roman"/>
          <w:sz w:val="24"/>
          <w:szCs w:val="24"/>
          <w:lang w:val="ro-MD"/>
        </w:rPr>
        <w:t>)</w:t>
      </w:r>
    </w:p>
    <w:p w:rsidR="00DC51B4" w:rsidRPr="00503BEB" w:rsidRDefault="00DC51B4" w:rsidP="00927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lang w:val="ro-MD" w:eastAsia="ru-RU"/>
        </w:rPr>
      </w:pPr>
    </w:p>
    <w:tbl>
      <w:tblPr>
        <w:tblW w:w="14451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6904"/>
        <w:gridCol w:w="6861"/>
      </w:tblGrid>
      <w:tr w:rsidR="0043007F" w:rsidRPr="00211B11" w:rsidTr="00B72CCB">
        <w:trPr>
          <w:trHeight w:val="243"/>
        </w:trPr>
        <w:tc>
          <w:tcPr>
            <w:tcW w:w="1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F" w:rsidRPr="00503BEB" w:rsidRDefault="00007C8A" w:rsidP="00927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I. </w:t>
            </w:r>
            <w:r w:rsidR="009017A7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Hotărârea Guvernului nr.357/2009 cu privire la aprobarea Regulamentului circula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="009017A7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iei rutiere</w:t>
            </w:r>
          </w:p>
        </w:tc>
      </w:tr>
      <w:tr w:rsidR="0043007F" w:rsidRPr="00503BEB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F" w:rsidRPr="00503BEB" w:rsidRDefault="00CA0133" w:rsidP="009278D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Nr.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F" w:rsidRPr="00503BEB" w:rsidRDefault="0043007F" w:rsidP="00927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Text în vigoare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7F" w:rsidRPr="00503BEB" w:rsidRDefault="0043007F" w:rsidP="009278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Text propus</w:t>
            </w:r>
          </w:p>
        </w:tc>
      </w:tr>
      <w:tr w:rsidR="0043007F" w:rsidRPr="00211B11" w:rsidTr="00B72CCB">
        <w:trPr>
          <w:trHeight w:val="254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1.</w:t>
            </w:r>
          </w:p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9236B4" w:rsidRPr="00503BEB" w:rsidRDefault="009236B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7B" w:rsidRPr="00503BEB" w:rsidRDefault="00C4787B" w:rsidP="00B17D5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punctul 105.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</w:p>
          <w:p w:rsidR="00B17D55" w:rsidRPr="00503BEB" w:rsidRDefault="00C4787B" w:rsidP="00B17D5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1) Autovehiculele Ministerului Afacerilor Interne, Ministerului Apărării, Serviciului de Informa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ii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Securitate, Centrului Na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ional Anticorup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ie, Administra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iei Na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ionale a Penitenciarelor a Ministerului Justi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iei, Serviciului de Protec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Pază de Stat, ale echipelor mobile ale Serviciului Vamal, cele destinate stingerii incendiilor, ambulan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ele, care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sînt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echipate cu semnale luminoase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sonore speciale, conform punctului 38 din prezentul Regulament,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i care </w:t>
            </w:r>
            <w:proofErr w:type="spellStart"/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sînt</w:t>
            </w:r>
            <w:proofErr w:type="spellEnd"/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vopsite în mod special,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în cazul în care execută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misiuni urgente de serviciu, pot devia de la exigen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ele Regulamentului în cauză (cu excep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ia capitolului II; capitolului III sec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iunile a 2-a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a 8-a; capitolului IV sec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iunea a 18-a), cu condi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ia că se vor întreprinde măsurile necesare de precau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 pentru a evita orice accident în traficul rutier.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87B" w:rsidRPr="00503BEB" w:rsidRDefault="00C4787B" w:rsidP="00B17D55">
            <w:pPr>
              <w:tabs>
                <w:tab w:val="left" w:pos="938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punctul 105.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</w:p>
          <w:p w:rsidR="00B17D55" w:rsidRPr="00503BEB" w:rsidRDefault="00C4787B" w:rsidP="00B17D55">
            <w:pPr>
              <w:tabs>
                <w:tab w:val="left" w:pos="938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o-RO"/>
              </w:rPr>
            </w:pP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1) Autovehiculele Ministerului Afacerilor Interne, Ministerului Apărării, Serviciului de Informa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ii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Securitate, Centrului Na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ional Anticorup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ie, Administra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iei Na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ionale a Penitenciarelor a Ministerului Justi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iei, Serviciului de Protec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Pază de Stat, ale echipelor mobile ale Serviciului Vamal, cele destinate stingerii incendiilor, ambulan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ele, care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sînt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echipate cu semnale luminoase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sonore speciale, conform punctului 38 din prezentul Regulament,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="009534E3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i care, după caz, sunt vopsite în mod special, în timpul executării</w:t>
            </w:r>
            <w:r w:rsidR="009534E3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misiuni</w:t>
            </w:r>
            <w:r w:rsidR="00CD7851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lor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urgente de serviciu, pot devia de la exigen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ele Regulamentului în cauză (cu excep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ia capitolului II; capitolului III sec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iunile a 2-a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a 8-a; capitolului IV sec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iunea a 18-a), cu condi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ia că se vor întreprinde măsurile necesare de precau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 pentru a evita orice accident în traficul rutier.</w:t>
            </w:r>
          </w:p>
        </w:tc>
      </w:tr>
      <w:tr w:rsidR="0043007F" w:rsidRPr="00211B11" w:rsidTr="00B72CCB">
        <w:trPr>
          <w:trHeight w:val="243"/>
        </w:trPr>
        <w:tc>
          <w:tcPr>
            <w:tcW w:w="1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7" w:rsidRPr="00503BEB" w:rsidRDefault="00007C8A" w:rsidP="0090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II. </w:t>
            </w:r>
            <w:hyperlink r:id="rId9" w:history="1">
              <w:r w:rsidR="009017A7" w:rsidRPr="00503BEB">
                <w:rPr>
                  <w:rFonts w:ascii="Times New Roman" w:eastAsia="Times New Roman" w:hAnsi="Times New Roman" w:cs="Times New Roman"/>
                  <w:b/>
                  <w:sz w:val="27"/>
                  <w:szCs w:val="27"/>
                  <w:lang w:val="ro-MD" w:eastAsia="ru-RU"/>
                </w:rPr>
                <w:t>Hotărârea Guvernului nr.500/2018</w:t>
              </w:r>
            </w:hyperlink>
            <w:r w:rsidR="009017A7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 pentru aprobarea Regulamentului privind cerin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="009017A7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ele generale de </w:t>
            </w:r>
          </w:p>
          <w:p w:rsidR="00173442" w:rsidRPr="00503BEB" w:rsidRDefault="009017A7" w:rsidP="009017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echipare a autovehiculelor cu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a autovehiculelor speciale</w:t>
            </w:r>
          </w:p>
        </w:tc>
      </w:tr>
      <w:tr w:rsidR="0043007F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F" w:rsidRPr="00503BEB" w:rsidRDefault="00210F08" w:rsidP="00210F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4" w:rsidRPr="00503BEB" w:rsidRDefault="00DC51B4" w:rsidP="009C7AB8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7F" w:rsidRDefault="009C7AB8" w:rsidP="00CD7851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o-MD"/>
              </w:rPr>
              <w:t xml:space="preserve">În tot cuprinsul, 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/>
              </w:rPr>
              <w:t>textul ,,</w:t>
            </w:r>
            <w:r w:rsidRPr="00503BE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  <w:t xml:space="preserve">autovehicul cu regim prioritar”, ,,autovehicul special” </w:t>
            </w:r>
            <w:r w:rsidR="00503BEB" w:rsidRPr="00503BE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  <w:t xml:space="preserve">i ,,autovehicul de încasare”, la orice formă gramaticală, se substituie cu textul ,,vehicul cu regim prioritar”, ,,vehicul special” </w:t>
            </w:r>
            <w:r w:rsidR="00503BEB" w:rsidRPr="00503BE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ro-MD" w:eastAsia="ru-RU"/>
              </w:rPr>
              <w:t>i ,,vehicul special de încasare” la forma gramaticală corespunzătoare;</w:t>
            </w:r>
          </w:p>
          <w:p w:rsidR="00CD7851" w:rsidRPr="00503BEB" w:rsidRDefault="00CD7851" w:rsidP="00CD7851">
            <w:pPr>
              <w:shd w:val="clear" w:color="auto" w:fill="FFFFFF"/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</w:p>
        </w:tc>
      </w:tr>
      <w:tr w:rsidR="0032620C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0C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623" w:rsidRPr="00503BEB" w:rsidRDefault="00F4604C" w:rsidP="00F4604C">
            <w:pPr>
              <w:spacing w:after="0" w:line="240" w:lineRule="auto"/>
              <w:ind w:firstLine="551"/>
              <w:jc w:val="both"/>
              <w:rPr>
                <w:rFonts w:ascii="Times New Roman" w:hAnsi="Times New Roman" w:cs="Times New Roman"/>
                <w:b/>
                <w:strike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2.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Scopul Regulamentului este asigurarea securită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ii circula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iei rutiere în timpul executării misiunilor de serviciu urgente cu autovehiculele cu regim prioritar de circula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cu autovehiculele speciale (în continuare – </w:t>
            </w:r>
            <w:r w:rsidRPr="00503BEB">
              <w:rPr>
                <w:rFonts w:ascii="Times New Roman" w:hAnsi="Times New Roman" w:cs="Times New Roman"/>
                <w:i/>
                <w:iCs/>
                <w:sz w:val="27"/>
                <w:szCs w:val="27"/>
                <w:lang w:val="ro-MD"/>
              </w:rPr>
              <w:t>autovehicule speciale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), precum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unificarea schemelor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coloro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-grafice ale acestora.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0C" w:rsidRPr="00503BEB" w:rsidRDefault="00F4604C" w:rsidP="00046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shd w:val="clear" w:color="auto" w:fill="FFFFFF"/>
                <w:lang w:val="ro-MD"/>
              </w:rPr>
              <w:t xml:space="preserve">2.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Scopul Regulamentului este asigurarea identificării vehiculelor speciale în traficul rutier, cu sau fără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 xml:space="preserve">ie, care dispun de dispozitive sonore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 xml:space="preserve">i luminoase speciale, după caz, de scheme </w:t>
            </w:r>
            <w:proofErr w:type="spellStart"/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coloro</w:t>
            </w:r>
            <w:proofErr w:type="spellEnd"/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 xml:space="preserve">-grafice, marcaje de identificare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i inscrip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ii în vederea asigurării securită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ii circula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iei rutiere în timpul deplasării la interven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ie sau în misiuni de serviciu cu caracter de urgen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ă.</w:t>
            </w:r>
          </w:p>
        </w:tc>
      </w:tr>
      <w:tr w:rsidR="00EE2115" w:rsidRPr="00503BEB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15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3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  <w:t>3.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 Regulamentul se aplică pentru autovehiculele speciale ale: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1)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2)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 de Frontieră;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3) Inspectoratului General de Carabinieri;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4) Inspectoratului General pentru Situa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ii de Urgen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ă;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4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val="ro-MD" w:eastAsia="ru-RU"/>
              </w:rPr>
              <w:t>1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) Centrului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 Anticorup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5) Serviciului de Protec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 Pază de Stat;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6) Ministerului Sănătă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ii, </w:t>
            </w:r>
            <w:r w:rsidRPr="00503BEB"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  <w:t xml:space="preserve">Muncii </w:t>
            </w:r>
            <w:r w:rsidR="00503BEB" w:rsidRPr="00503BEB"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  <w:t>i Protec</w:t>
            </w:r>
            <w:r w:rsidR="00503BEB" w:rsidRPr="00503BEB"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trike/>
                <w:sz w:val="27"/>
                <w:szCs w:val="27"/>
                <w:lang w:val="ro-MD" w:eastAsia="ru-RU"/>
              </w:rPr>
              <w:t>iei Sociale;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7) Ministerului Apărării;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8) Băncii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ionale a Moldovei;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9) Administra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ionale a Penitenciarelor;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10) Serviciului Vamal;</w:t>
            </w:r>
          </w:p>
          <w:p w:rsidR="00EE2115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11) serviciilor de depanare.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  <w:t>3.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 Regulamentul se aplică pentru autovehiculele speciale ale: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1)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2)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 de Frontieră;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3) Inspectoratului General de Carabinieri;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4) Inspectoratului General pentru Situa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ii de Urgen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ă;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4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val="ro-MD" w:eastAsia="ru-RU"/>
              </w:rPr>
              <w:t>1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) Centrului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 Anticorup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5) Serviciului de Protec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 Pază de Stat;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6)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Ministerului Sănătă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7) Ministerului Apărării;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8) Băncii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ionale a Moldovei;</w:t>
            </w:r>
          </w:p>
          <w:p w:rsidR="00F4604C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9) Administra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iei Na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ionale a Penitenciarelor;</w:t>
            </w:r>
          </w:p>
          <w:p w:rsidR="00F4604C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10) Serviciului Vamal;</w:t>
            </w:r>
          </w:p>
          <w:p w:rsidR="00CD7851" w:rsidRPr="00503BEB" w:rsidRDefault="00CD7851" w:rsidP="00CD7851">
            <w:pPr>
              <w:spacing w:after="0" w:line="240" w:lineRule="auto"/>
              <w:ind w:firstLine="5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10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vertAlign w:val="superscript"/>
                <w:lang w:val="ro-MD"/>
              </w:rPr>
              <w:t>1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 xml:space="preserve">) serviciilor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/>
              </w:rPr>
              <w:t xml:space="preserve">destinate transportării 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shd w:val="clear" w:color="auto" w:fill="FFFFFF"/>
                <w:lang w:val="ro-MD"/>
              </w:rPr>
              <w:t>titlurilor de valoare, banilor și valorilor materiale (vehicule speciale de încasare);</w:t>
            </w:r>
          </w:p>
          <w:p w:rsidR="00EE2115" w:rsidRPr="00503BEB" w:rsidRDefault="00F4604C" w:rsidP="00F4604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11) serviciilor de depanare.</w:t>
            </w:r>
          </w:p>
        </w:tc>
      </w:tr>
      <w:tr w:rsidR="0032620C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0C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1B4" w:rsidRPr="00503BEB" w:rsidRDefault="00676714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5.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Aplicarea schemelor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coloro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-grafice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a mijloacelor de semnalizare sonoră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luminoasă specială pe alte autovehicule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decît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cele ale institu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iilor prevăzute la punctul 3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fără permisiunea Direc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iei supraveghere transport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 circula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ie rutieră nu se admite.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714" w:rsidRPr="00503BEB" w:rsidRDefault="00676714" w:rsidP="006767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5.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Aplicarea schemelor </w:t>
            </w:r>
            <w:proofErr w:type="spellStart"/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coloro</w:t>
            </w:r>
            <w:proofErr w:type="spellEnd"/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-grafice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i a mijloacelor de semnalizare sonoră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i luminoasă specială pe alte vehiculele </w:t>
            </w:r>
            <w:r w:rsidR="00874B16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speciale 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decât cele ale institu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iilor prevăzute la punctul 3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i fără permisiunea Inspectoratului na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ional de securitate publică nu se admite.</w:t>
            </w:r>
          </w:p>
          <w:p w:rsidR="0032620C" w:rsidRPr="00503BEB" w:rsidRDefault="0032620C" w:rsidP="009278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</w:p>
        </w:tc>
      </w:tr>
      <w:tr w:rsidR="0032620C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20C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5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4" w:rsidRPr="00503BEB" w:rsidRDefault="00B83B74" w:rsidP="00B83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7.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În sensul prezentului Regulament se definesc următoarele no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iuni:</w:t>
            </w:r>
          </w:p>
          <w:p w:rsidR="0032620C" w:rsidRPr="00503BEB" w:rsidRDefault="00B83B74" w:rsidP="00B83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i/>
                <w:iCs/>
                <w:sz w:val="27"/>
                <w:szCs w:val="27"/>
                <w:lang w:val="ro-MD"/>
              </w:rPr>
              <w:t xml:space="preserve">autovehicul special – 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autovehicul cu sau fără regim prioritar de circula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ie, echipat cu semnale luminoase </w:t>
            </w:r>
            <w:r w:rsidR="00503BEB"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i sonore 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 xml:space="preserve">speciale </w:t>
            </w:r>
            <w:r w:rsidR="00503BEB"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sz w:val="27"/>
                <w:szCs w:val="27"/>
                <w:lang w:val="ro-MD"/>
              </w:rPr>
              <w:t>i scheme</w:t>
            </w:r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proofErr w:type="spellStart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coloro</w:t>
            </w:r>
            <w:proofErr w:type="spellEnd"/>
            <w:r w:rsidRPr="00503BEB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-grafice;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4" w:rsidRPr="00503BEB" w:rsidRDefault="00B83B74" w:rsidP="00B83B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  <w:t>7.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 În sensul prezentului Regulament se definesc următoarele no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iuni:</w:t>
            </w:r>
          </w:p>
          <w:p w:rsidR="00CD7851" w:rsidRPr="00211B11" w:rsidRDefault="00B83B74" w:rsidP="00211B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ro-MD"/>
              </w:rPr>
            </w:pPr>
            <w:r w:rsidRPr="00503BEB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  <w:lang w:val="ro-MD" w:eastAsia="ru-RU"/>
              </w:rPr>
              <w:t xml:space="preserve">vehicul special – 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vehicul cu sau fără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ie, echipat cu semnale luminoase </w:t>
            </w:r>
            <w:r w:rsidR="00503BEB"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 xml:space="preserve">i sonore </w:t>
            </w:r>
            <w:r w:rsidRPr="00503BE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o-MD"/>
              </w:rPr>
              <w:t xml:space="preserve">speciale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o-MD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shd w:val="clear" w:color="auto" w:fill="FFFFFF"/>
                <w:lang w:val="ro-MD"/>
              </w:rPr>
              <w:t>i, după caz, scheme</w:t>
            </w:r>
            <w:r w:rsidR="00211B11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 xml:space="preserve"> </w:t>
            </w:r>
            <w:proofErr w:type="spellStart"/>
            <w:r w:rsidR="00211B11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coloro</w:t>
            </w:r>
            <w:proofErr w:type="spellEnd"/>
            <w:r w:rsidR="00211B11">
              <w:rPr>
                <w:rFonts w:ascii="Times New Roman" w:hAnsi="Times New Roman" w:cs="Times New Roman"/>
                <w:sz w:val="27"/>
                <w:szCs w:val="27"/>
                <w:lang w:val="ro-MD"/>
              </w:rPr>
              <w:t>-grafice</w:t>
            </w:r>
            <w:r w:rsidR="00CD7851" w:rsidRPr="00CD7851"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  <w:t>;</w:t>
            </w:r>
          </w:p>
        </w:tc>
      </w:tr>
      <w:tr w:rsidR="00671272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2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2" w:rsidRPr="00503BEB" w:rsidRDefault="00671272" w:rsidP="00671272">
            <w:pPr>
              <w:jc w:val="both"/>
              <w:rPr>
                <w:sz w:val="27"/>
                <w:szCs w:val="27"/>
                <w:lang w:val="ro-MD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272" w:rsidRPr="00503BEB" w:rsidRDefault="00671272" w:rsidP="006712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ro-MD" w:eastAsia="ru-RU"/>
              </w:rPr>
              <w:t>se completează cu punctele 15</w:t>
            </w:r>
            <w:r w:rsidRPr="00503BEB">
              <w:rPr>
                <w:rFonts w:ascii="Times New Roman" w:eastAsia="Times New Roman" w:hAnsi="Times New Roman" w:cs="Times New Roman"/>
                <w:iCs/>
                <w:sz w:val="27"/>
                <w:szCs w:val="27"/>
                <w:vertAlign w:val="superscript"/>
                <w:lang w:val="ro-MD" w:eastAsia="ru-RU"/>
              </w:rPr>
              <w:t xml:space="preserve">1 </w:t>
            </w:r>
            <w:r w:rsidRPr="00503BEB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ro-MD" w:eastAsia="ru-RU"/>
              </w:rPr>
              <w:t>– 15</w:t>
            </w:r>
            <w:r w:rsidRPr="00503BEB">
              <w:rPr>
                <w:rFonts w:ascii="Times New Roman" w:eastAsia="Times New Roman" w:hAnsi="Times New Roman" w:cs="Times New Roman"/>
                <w:iCs/>
                <w:sz w:val="27"/>
                <w:szCs w:val="27"/>
                <w:vertAlign w:val="superscript"/>
                <w:lang w:val="ro-MD" w:eastAsia="ru-RU"/>
              </w:rPr>
              <w:t xml:space="preserve">3 </w:t>
            </w:r>
            <w:r w:rsidRPr="00503BEB">
              <w:rPr>
                <w:rFonts w:ascii="Times New Roman" w:eastAsia="Times New Roman" w:hAnsi="Times New Roman" w:cs="Times New Roman"/>
                <w:iCs/>
                <w:sz w:val="27"/>
                <w:szCs w:val="27"/>
                <w:lang w:val="ro-MD" w:eastAsia="ru-RU"/>
              </w:rPr>
              <w:t xml:space="preserve"> cu următorul cuprins:</w:t>
            </w:r>
          </w:p>
          <w:p w:rsidR="00671272" w:rsidRPr="00503BEB" w:rsidRDefault="00671272" w:rsidP="006712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15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>1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.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 xml:space="preserve">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În temeiul legilor speciale care reglementează atribu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iile func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ionale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prin d</w:t>
            </w:r>
            <w:r w:rsidR="00FA14F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erogare de la prevederile pct.6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, Serviciul de Informa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ii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Securitate, Serviciul de Protec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Pază de Stat, Centrul Na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ional Anticorup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ie, Inspectoratul General al Poli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iei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 Biroul de Curieri Speciali pot utiliza vehicule speciale dotate cu sisteme de semnalizare sonoră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 luminoasă specială, în modul stabilit de prezentul Regulament, fără aplicarea schemelor </w:t>
            </w:r>
            <w:proofErr w:type="spellStart"/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coloro</w:t>
            </w:r>
            <w:proofErr w:type="spellEnd"/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-grafice, marcajelor de identificare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inscrip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iilor.</w:t>
            </w:r>
          </w:p>
          <w:p w:rsidR="00671272" w:rsidRPr="00503BEB" w:rsidRDefault="00671272" w:rsidP="006712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15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>2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. Folosirea vehiculelor speciale conform prevederilor pct.15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 xml:space="preserve">1 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din prezentul Regulament se </w:t>
            </w:r>
            <w:r w:rsidR="00FA14F3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admite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 doar cu permisiunea Inspectoratului na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ional de securitate publică.</w:t>
            </w:r>
          </w:p>
          <w:p w:rsidR="00671272" w:rsidRPr="00503BEB" w:rsidRDefault="00671272" w:rsidP="0067127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15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>3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. Autorită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ile prevăzute la pct.15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val="ro-MD" w:eastAsia="ru-RU"/>
              </w:rPr>
              <w:t>1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 din prezentul Regulament vor asigura atribuirea men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 xml:space="preserve">iunii ,,Vehicul special” în certificatul de înmatriculare a vehiculelor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 nu vor admite utilizarea acestora contrar destina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 w:eastAsia="ru-RU"/>
              </w:rPr>
              <w:t>iei.</w:t>
            </w:r>
          </w:p>
        </w:tc>
      </w:tr>
      <w:tr w:rsidR="00B83B74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4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7</w:t>
            </w:r>
          </w:p>
          <w:p w:rsidR="00B83B74" w:rsidRPr="00503BEB" w:rsidRDefault="00B83B74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4" w:rsidRPr="00503BEB" w:rsidRDefault="00B41192" w:rsidP="00B83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 xml:space="preserve">20. 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Autovehiculele Biroului de Curieri Speciali, </w:t>
            </w: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 xml:space="preserve">ale serviciilor bancare (autovehiculele de încasare) </w:t>
            </w:r>
            <w:r w:rsidR="00503BEB"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i autovehiculele destinate transportării valorilor importante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trebuie să aibă semnale luminoase speciale de culoare albă 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i semnal sonor special, care nu oferă prioritate 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lastRenderedPageBreak/>
              <w:t xml:space="preserve">în trafic, dar care </w:t>
            </w:r>
            <w:proofErr w:type="spellStart"/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sînt</w:t>
            </w:r>
            <w:proofErr w:type="spellEnd"/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utilizate în caz de atac asupra acestora pentru alertarea poli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iei 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i participan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ilor la trafic despre pericolul apărut.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74" w:rsidRPr="00503BEB" w:rsidRDefault="00B41192" w:rsidP="00B83B7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o-MD" w:eastAsia="ru-RU"/>
              </w:rPr>
            </w:pPr>
            <w:r w:rsidRPr="00503BEB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lastRenderedPageBreak/>
              <w:t>20.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Autovehicule</w:t>
            </w:r>
            <w:r w:rsidR="00D8700E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le Biroului de Curieri Speciali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/>
              </w:rPr>
              <w:t>ș</w:t>
            </w:r>
            <w:r w:rsidR="00D8700E" w:rsidRPr="00503BEB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ro-MD"/>
              </w:rPr>
              <w:t>i vehiculele speciale de încasare</w:t>
            </w:r>
            <w:r w:rsidR="00D8700E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trebuie să aibă semnale luminoase speciale de culoare albă 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i semnal sonor special, care nu oferă prioritate în trafic, dar care </w:t>
            </w:r>
            <w:proofErr w:type="spellStart"/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sînt</w:t>
            </w:r>
            <w:proofErr w:type="spellEnd"/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utilizate în caz de atac asupra acestora pentru alertarea poli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iei 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ș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i 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lastRenderedPageBreak/>
              <w:t>participan</w:t>
            </w:r>
            <w:r w:rsidR="00503BEB"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ț</w:t>
            </w:r>
            <w:r w:rsidRPr="00503BEB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ilor la trafic despre pericolul apărut.</w:t>
            </w:r>
          </w:p>
        </w:tc>
      </w:tr>
      <w:tr w:rsidR="004F5035" w:rsidRPr="00211B11" w:rsidTr="00B72CCB">
        <w:trPr>
          <w:trHeight w:val="2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5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8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5" w:rsidRPr="00503BEB" w:rsidRDefault="004F5035" w:rsidP="00B83B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35" w:rsidRPr="004F5035" w:rsidRDefault="000341BE" w:rsidP="000341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  </w:t>
            </w:r>
            <w:r w:rsidR="004F5035" w:rsidRPr="004F5035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>se completează cu punctele 20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vertAlign w:val="superscript"/>
                <w:lang w:val="ro-MD"/>
              </w:rPr>
              <w:t>1</w:t>
            </w:r>
            <w:r w:rsidR="004F5035" w:rsidRPr="004F5035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– 20</w:t>
            </w:r>
            <w:r>
              <w:rPr>
                <w:rFonts w:ascii="Times New Roman" w:hAnsi="Times New Roman" w:cs="Times New Roman"/>
                <w:bCs/>
                <w:sz w:val="27"/>
                <w:szCs w:val="27"/>
                <w:vertAlign w:val="superscript"/>
                <w:lang w:val="ro-MD"/>
              </w:rPr>
              <w:t>3</w:t>
            </w:r>
            <w:r w:rsidR="004F5035" w:rsidRPr="004F5035"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  <w:t xml:space="preserve"> cu următorul cuprins:</w:t>
            </w:r>
          </w:p>
          <w:p w:rsidR="004F5035" w:rsidRPr="000341BE" w:rsidRDefault="00296F97" w:rsidP="004F50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„20</w:t>
            </w: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vertAlign w:val="superscript"/>
                <w:lang w:val="ro-MD"/>
              </w:rPr>
              <w:t>1</w:t>
            </w:r>
            <w:r w:rsidR="004F5035"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. Transportarea de către serviciile de încasare a titlurilor de valoare, banilor și valorilor materiale sau de către serviciile de comunicare specială a corespondenței speciale se efectuează în baza permisului special eliberat de către Inspectoratul național de securitate publică.</w:t>
            </w:r>
          </w:p>
          <w:p w:rsidR="004F5035" w:rsidRPr="000341BE" w:rsidRDefault="00296F97" w:rsidP="004F50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20</w:t>
            </w: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vertAlign w:val="superscript"/>
                <w:lang w:val="ro-MD"/>
              </w:rPr>
              <w:t>2</w:t>
            </w:r>
            <w:r w:rsidR="004F5035"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. Permisul special se înmânează doar conducătorilor de automobile care urmează să exercite misiunile de serviciu prevăzute la pct.201. Transmiterea acestuia altor conducători auto, decât celor nominalizați, este interzisă.</w:t>
            </w:r>
          </w:p>
          <w:p w:rsidR="004F5035" w:rsidRPr="000341BE" w:rsidRDefault="00296F97" w:rsidP="004F50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</w:pP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20</w:t>
            </w:r>
            <w:r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vertAlign w:val="superscript"/>
                <w:lang w:val="ro-MD"/>
              </w:rPr>
              <w:t>3</w:t>
            </w:r>
            <w:r w:rsidR="004F5035"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. Pentru efectuarea în cadrul traficului rutier a misiunilor de serviciu stipulate la pct.201 este necesară deținerea simultană a permisului special și a vehiculelor speciale care corespund cerințelor prevăzute în anexele nr.1 și nr.2 la prezent</w:t>
            </w:r>
            <w:r w:rsidR="00FA14F3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ul Regulament</w:t>
            </w:r>
            <w:r w:rsidR="004F5035" w:rsidRPr="000341BE">
              <w:rPr>
                <w:rFonts w:ascii="Times New Roman" w:hAnsi="Times New Roman" w:cs="Times New Roman"/>
                <w:b/>
                <w:bCs/>
                <w:sz w:val="27"/>
                <w:szCs w:val="27"/>
                <w:lang w:val="ro-MD"/>
              </w:rPr>
              <w:t>.”;</w:t>
            </w:r>
          </w:p>
          <w:p w:rsidR="004F5035" w:rsidRPr="004F5035" w:rsidRDefault="004F5035" w:rsidP="004F5035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7"/>
                <w:szCs w:val="27"/>
                <w:lang w:val="ro-MD"/>
              </w:rPr>
            </w:pPr>
          </w:p>
        </w:tc>
      </w:tr>
      <w:tr w:rsidR="006F1BF9" w:rsidRPr="00503BEB" w:rsidTr="00B72CCB">
        <w:trPr>
          <w:trHeight w:val="28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F9" w:rsidRPr="00503BEB" w:rsidRDefault="00CD7851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9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47" w:rsidRPr="00503BEB" w:rsidRDefault="001B5C47" w:rsidP="001B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Anexa nr.1 </w:t>
            </w:r>
          </w:p>
          <w:p w:rsidR="001B5C47" w:rsidRPr="00503BEB" w:rsidRDefault="001B5C47" w:rsidP="001B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Regulamentul privind cerin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ele generale de echipare a autovehiculelor cu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a autovehiculelor speciale </w:t>
            </w:r>
          </w:p>
          <w:p w:rsidR="001B5C47" w:rsidRPr="00503BEB" w:rsidRDefault="001B5C47" w:rsidP="001B5C4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 </w:t>
            </w:r>
          </w:p>
          <w:p w:rsidR="001B5C47" w:rsidRPr="00503BEB" w:rsidRDefault="001B5C47" w:rsidP="001B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LISTA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</w:p>
          <w:p w:rsidR="001B5C47" w:rsidRPr="00503BEB" w:rsidRDefault="001B5C47" w:rsidP="001B5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culorilor de bază 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i a culorilor benzilor reflectorizante </w:t>
            </w:r>
          </w:p>
          <w:p w:rsidR="006F1BF9" w:rsidRPr="00503BEB" w:rsidRDefault="001B5C47" w:rsidP="001B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ale autovehiculelor speciale</w:t>
            </w:r>
          </w:p>
          <w:p w:rsidR="001B5C47" w:rsidRPr="00503BEB" w:rsidRDefault="001B5C47" w:rsidP="001B5C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tbl>
            <w:tblPr>
              <w:tblW w:w="4996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1"/>
              <w:gridCol w:w="3946"/>
              <w:gridCol w:w="1288"/>
              <w:gridCol w:w="1002"/>
            </w:tblGrid>
            <w:tr w:rsidR="00AA2CCA" w:rsidRPr="00503BEB" w:rsidTr="001B5C47">
              <w:trPr>
                <w:jc w:val="center"/>
              </w:trPr>
              <w:tc>
                <w:tcPr>
                  <w:tcW w:w="4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9.</w:t>
                  </w:r>
                </w:p>
              </w:tc>
              <w:tc>
                <w:tcPr>
                  <w:tcW w:w="39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 xml:space="preserve">Serviciile de încasare 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ale băncilor comerciale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portocaliu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verde</w:t>
                  </w:r>
                </w:p>
              </w:tc>
            </w:tr>
          </w:tbl>
          <w:p w:rsidR="001B5C47" w:rsidRPr="00503BEB" w:rsidRDefault="001B5C47" w:rsidP="001B5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  <w:p w:rsidR="008A4574" w:rsidRPr="00503BEB" w:rsidRDefault="008A4574" w:rsidP="001B5C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F9" w:rsidRPr="00503BEB" w:rsidRDefault="006F1BF9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1B5C47" w:rsidRPr="00503BEB" w:rsidRDefault="001B5C47" w:rsidP="003261FB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3261FB" w:rsidRPr="00503BEB" w:rsidRDefault="003261FB" w:rsidP="003261FB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tbl>
            <w:tblPr>
              <w:tblpPr w:leftFromText="180" w:rightFromText="180" w:vertAnchor="text" w:horzAnchor="margin" w:tblpY="-88"/>
              <w:tblOverlap w:val="never"/>
              <w:tblW w:w="442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8"/>
              <w:gridCol w:w="2719"/>
              <w:gridCol w:w="1756"/>
              <w:gridCol w:w="1107"/>
            </w:tblGrid>
            <w:tr w:rsidR="00AA2CCA" w:rsidRPr="00503BEB" w:rsidTr="001B5C47">
              <w:tc>
                <w:tcPr>
                  <w:tcW w:w="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9.</w:t>
                  </w:r>
                </w:p>
              </w:tc>
              <w:tc>
                <w:tcPr>
                  <w:tcW w:w="26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 xml:space="preserve">Serviciile de încasare </w:t>
                  </w:r>
                </w:p>
              </w:tc>
              <w:tc>
                <w:tcPr>
                  <w:tcW w:w="17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portocaliu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1B5C47" w:rsidRPr="00503BEB" w:rsidRDefault="001B5C47" w:rsidP="001B5C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verde</w:t>
                  </w:r>
                </w:p>
              </w:tc>
            </w:tr>
          </w:tbl>
          <w:p w:rsidR="001B5C47" w:rsidRPr="00503BEB" w:rsidRDefault="001B5C47" w:rsidP="003261FB">
            <w:pPr>
              <w:tabs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</w:tr>
      <w:tr w:rsidR="00F60ECF" w:rsidRPr="00503BEB" w:rsidTr="00B72CCB">
        <w:trPr>
          <w:trHeight w:val="28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CF" w:rsidRPr="00503BEB" w:rsidRDefault="000341BE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lastRenderedPageBreak/>
              <w:t>11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CF" w:rsidRPr="00503BEB" w:rsidRDefault="00F60ECF" w:rsidP="00F60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Anexa nr.2 </w:t>
            </w:r>
          </w:p>
          <w:p w:rsidR="00F60ECF" w:rsidRPr="00503BEB" w:rsidRDefault="00F60ECF" w:rsidP="00F60E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Regulamentul privind cerin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ele generale de echipare a autovehiculelor cu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a autovehiculelor speciale </w:t>
            </w:r>
          </w:p>
          <w:tbl>
            <w:tblPr>
              <w:tblW w:w="4469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1658"/>
              <w:gridCol w:w="2609"/>
              <w:gridCol w:w="1287"/>
            </w:tblGrid>
            <w:tr w:rsidR="00F60ECF" w:rsidRPr="00503BEB" w:rsidTr="00B65DC3">
              <w:trPr>
                <w:jc w:val="center"/>
              </w:trPr>
              <w:tc>
                <w:tcPr>
                  <w:tcW w:w="59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 xml:space="preserve">LISTA </w:t>
                  </w:r>
                </w:p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inscrip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iilor informa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 xml:space="preserve">ionale 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ș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 a marcajelor de identificare</w:t>
                  </w:r>
                </w:p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ale autovehiculelor speciale</w:t>
                  </w: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 xml:space="preserve"> </w:t>
                  </w:r>
                </w:p>
                <w:p w:rsidR="00F60ECF" w:rsidRPr="00503BEB" w:rsidRDefault="00F60ECF" w:rsidP="00B65DC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 </w:t>
                  </w:r>
                </w:p>
              </w:tc>
            </w:tr>
            <w:tr w:rsidR="00F60ECF" w:rsidRPr="00503BEB" w:rsidTr="00B65DC3">
              <w:trPr>
                <w:jc w:val="center"/>
              </w:trPr>
              <w:tc>
                <w:tcPr>
                  <w:tcW w:w="4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Nr. crt.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Denumirea institu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iei</w:t>
                  </w:r>
                </w:p>
              </w:tc>
              <w:tc>
                <w:tcPr>
                  <w:tcW w:w="2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Inscrip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ia informa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 xml:space="preserve">ională 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ș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 marcajul de identificare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br/>
                    <w:t>ale autovehiculelor speciale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Înăl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t>imea</w:t>
                  </w:r>
                  <w:r w:rsidRPr="00503BEB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ro-MD" w:eastAsia="ru-RU"/>
                    </w:rPr>
                    <w:br/>
                    <w:t>literelor</w:t>
                  </w:r>
                </w:p>
              </w:tc>
            </w:tr>
            <w:tr w:rsidR="00F60ECF" w:rsidRPr="00503BEB" w:rsidTr="00B65DC3">
              <w:trPr>
                <w:jc w:val="center"/>
              </w:trPr>
              <w:tc>
                <w:tcPr>
                  <w:tcW w:w="42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1.</w:t>
                  </w: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Inspectoratul General al Poli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iei:</w:t>
                  </w:r>
                </w:p>
              </w:tc>
              <w:tc>
                <w:tcPr>
                  <w:tcW w:w="2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 </w:t>
                  </w:r>
                </w:p>
              </w:tc>
            </w:tr>
            <w:tr w:rsidR="00F60ECF" w:rsidRPr="00503BEB" w:rsidTr="00B65DC3">
              <w:trPr>
                <w:jc w:val="center"/>
              </w:trPr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1) autovehiculele Inspectoratului Na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ional de Securitate Publică</w:t>
                  </w:r>
                </w:p>
              </w:tc>
              <w:tc>
                <w:tcPr>
                  <w:tcW w:w="2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Direc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ia patrulare Centru/Nord/Sud”, numărul de bord, denumirea institu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iei, adresa e-mail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100 mm</w:t>
                  </w:r>
                </w:p>
              </w:tc>
            </w:tr>
            <w:tr w:rsidR="00F60ECF" w:rsidRPr="00503BEB" w:rsidTr="00B65DC3">
              <w:trPr>
                <w:jc w:val="center"/>
              </w:trPr>
              <w:tc>
                <w:tcPr>
                  <w:tcW w:w="42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2) alte autovehicule</w:t>
                  </w:r>
                </w:p>
              </w:tc>
              <w:tc>
                <w:tcPr>
                  <w:tcW w:w="25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„POLI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IA”, numărul de bord, denumirea institu</w:t>
                  </w:r>
                  <w:r w:rsidR="00503BEB"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ț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iei, adresa e-mail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100 mm</w:t>
                  </w:r>
                </w:p>
              </w:tc>
            </w:tr>
          </w:tbl>
          <w:p w:rsidR="00F60ECF" w:rsidRPr="00503BEB" w:rsidRDefault="00F60ECF" w:rsidP="00F60EC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tbl>
            <w:tblPr>
              <w:tblW w:w="4366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"/>
              <w:gridCol w:w="3004"/>
              <w:gridCol w:w="1810"/>
              <w:gridCol w:w="583"/>
            </w:tblGrid>
            <w:tr w:rsidR="00F60ECF" w:rsidRPr="00503BEB" w:rsidTr="00B65DC3">
              <w:trPr>
                <w:jc w:val="center"/>
              </w:trPr>
              <w:tc>
                <w:tcPr>
                  <w:tcW w:w="4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9.</w:t>
                  </w:r>
                </w:p>
              </w:tc>
              <w:tc>
                <w:tcPr>
                  <w:tcW w:w="29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 xml:space="preserve">Serviciile de încasare </w:t>
                  </w:r>
                  <w:r w:rsidRPr="00503BEB">
                    <w:rPr>
                      <w:rFonts w:ascii="Times New Roman" w:eastAsia="Times New Roman" w:hAnsi="Times New Roman" w:cs="Times New Roman"/>
                      <w:strike/>
                      <w:sz w:val="20"/>
                      <w:szCs w:val="20"/>
                      <w:lang w:val="ro-MD" w:eastAsia="ru-RU"/>
                    </w:rPr>
                    <w:t>ale băncilor comerciale</w:t>
                  </w:r>
                </w:p>
              </w:tc>
              <w:tc>
                <w:tcPr>
                  <w:tcW w:w="17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Denumirea băncii comerciale</w:t>
                  </w:r>
                </w:p>
              </w:tc>
              <w:tc>
                <w:tcPr>
                  <w:tcW w:w="5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60ECF" w:rsidRPr="00503BEB" w:rsidRDefault="00F60ECF" w:rsidP="00B65D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100 mm</w:t>
                  </w:r>
                </w:p>
              </w:tc>
            </w:tr>
          </w:tbl>
          <w:p w:rsidR="00F60ECF" w:rsidRPr="00503BEB" w:rsidRDefault="00F60ECF" w:rsidP="001B5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c"/>
              <w:tblpPr w:leftFromText="180" w:rightFromText="180" w:vertAnchor="page" w:horzAnchor="margin" w:tblpY="1606"/>
              <w:tblOverlap w:val="never"/>
              <w:tblW w:w="6292" w:type="dxa"/>
              <w:tblLayout w:type="fixed"/>
              <w:tblLook w:val="04A0" w:firstRow="1" w:lastRow="0" w:firstColumn="1" w:lastColumn="0" w:noHBand="0" w:noVBand="1"/>
            </w:tblPr>
            <w:tblGrid>
              <w:gridCol w:w="336"/>
              <w:gridCol w:w="2129"/>
              <w:gridCol w:w="2552"/>
              <w:gridCol w:w="1275"/>
            </w:tblGrid>
            <w:tr w:rsidR="00752B8E" w:rsidRPr="00CD7851" w:rsidTr="00752B8E">
              <w:tc>
                <w:tcPr>
                  <w:tcW w:w="336" w:type="dxa"/>
                </w:tcPr>
                <w:p w:rsidR="00752B8E" w:rsidRPr="00503BEB" w:rsidRDefault="00752B8E" w:rsidP="00752B8E">
                  <w:pPr>
                    <w:tabs>
                      <w:tab w:val="left" w:pos="993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</w:pP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  <w:t>1</w:t>
                  </w:r>
                </w:p>
              </w:tc>
              <w:tc>
                <w:tcPr>
                  <w:tcW w:w="2129" w:type="dxa"/>
                </w:tcPr>
                <w:p w:rsidR="00752B8E" w:rsidRPr="00503BEB" w:rsidRDefault="00752B8E" w:rsidP="00752B8E">
                  <w:pPr>
                    <w:tabs>
                      <w:tab w:val="left" w:pos="993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</w:pP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  <w:t>Inspectoratul General al Poli</w:t>
                  </w:r>
                  <w:r w:rsidR="00503BEB"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  <w:t>ț</w:t>
                  </w: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  <w:t>iei</w:t>
                  </w:r>
                </w:p>
              </w:tc>
              <w:tc>
                <w:tcPr>
                  <w:tcW w:w="2552" w:type="dxa"/>
                </w:tcPr>
                <w:p w:rsidR="00752B8E" w:rsidRPr="00503BEB" w:rsidRDefault="00752B8E" w:rsidP="00232748">
                  <w:pPr>
                    <w:tabs>
                      <w:tab w:val="left" w:pos="993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</w:pP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MD"/>
                    </w:rPr>
                    <w:t>„POLI</w:t>
                  </w:r>
                  <w:r w:rsidR="00503BEB"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MD"/>
                    </w:rPr>
                    <w:t>Ț</w:t>
                  </w: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MD"/>
                    </w:rPr>
                    <w:t>IA”, numărul de bord, apel de urgen</w:t>
                  </w:r>
                  <w:r w:rsidR="00503BEB"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MD"/>
                    </w:rPr>
                    <w:t>ț</w:t>
                  </w:r>
                  <w:r w:rsidRPr="00503BEB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MD"/>
                    </w:rPr>
                    <w:t>ă 112</w:t>
                  </w:r>
                </w:p>
              </w:tc>
              <w:tc>
                <w:tcPr>
                  <w:tcW w:w="1275" w:type="dxa"/>
                </w:tcPr>
                <w:p w:rsidR="00752B8E" w:rsidRPr="00503BEB" w:rsidRDefault="00FA14F3" w:rsidP="00752B8E">
                  <w:pPr>
                    <w:pStyle w:val="a4"/>
                    <w:numPr>
                      <w:ilvl w:val="0"/>
                      <w:numId w:val="13"/>
                    </w:numPr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shd w:val="clear" w:color="auto" w:fill="FFFFFF"/>
                      <w:lang w:val="ro-MD"/>
                    </w:rPr>
                    <w:t>mm</w:t>
                  </w:r>
                </w:p>
              </w:tc>
            </w:tr>
          </w:tbl>
          <w:tbl>
            <w:tblPr>
              <w:tblStyle w:val="ac"/>
              <w:tblpPr w:leftFromText="180" w:rightFromText="180" w:vertAnchor="text" w:horzAnchor="margin" w:tblpY="493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9"/>
              <w:gridCol w:w="2268"/>
              <w:gridCol w:w="2335"/>
              <w:gridCol w:w="1658"/>
            </w:tblGrid>
            <w:tr w:rsidR="00752B8E" w:rsidRPr="00503BEB" w:rsidTr="00752B8E">
              <w:tc>
                <w:tcPr>
                  <w:tcW w:w="369" w:type="dxa"/>
                </w:tcPr>
                <w:p w:rsidR="00752B8E" w:rsidRPr="00503BEB" w:rsidRDefault="00752B8E" w:rsidP="00752B8E">
                  <w:pPr>
                    <w:tabs>
                      <w:tab w:val="left" w:pos="851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9.</w:t>
                  </w:r>
                </w:p>
              </w:tc>
              <w:tc>
                <w:tcPr>
                  <w:tcW w:w="2268" w:type="dxa"/>
                </w:tcPr>
                <w:p w:rsidR="00752B8E" w:rsidRPr="00503BEB" w:rsidRDefault="00752B8E" w:rsidP="00752B8E">
                  <w:pPr>
                    <w:tabs>
                      <w:tab w:val="left" w:pos="851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Serviciile de încasare</w:t>
                  </w:r>
                </w:p>
              </w:tc>
              <w:tc>
                <w:tcPr>
                  <w:tcW w:w="2335" w:type="dxa"/>
                </w:tcPr>
                <w:p w:rsidR="00752B8E" w:rsidRPr="00503BEB" w:rsidRDefault="00752B8E" w:rsidP="00FA14F3">
                  <w:pPr>
                    <w:tabs>
                      <w:tab w:val="left" w:pos="851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 xml:space="preserve">Denumirea </w:t>
                  </w:r>
                  <w:r w:rsidR="00FA14F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val="ro-MD" w:eastAsia="ru-RU"/>
                    </w:rPr>
                    <w:t>persoanei juridice</w:t>
                  </w:r>
                </w:p>
              </w:tc>
              <w:tc>
                <w:tcPr>
                  <w:tcW w:w="1658" w:type="dxa"/>
                </w:tcPr>
                <w:p w:rsidR="00752B8E" w:rsidRPr="00503BEB" w:rsidRDefault="00752B8E" w:rsidP="00752B8E">
                  <w:pPr>
                    <w:tabs>
                      <w:tab w:val="left" w:pos="851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</w:pPr>
                  <w:r w:rsidRPr="00503B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MD" w:eastAsia="ru-RU"/>
                    </w:rPr>
                    <w:t>100 mm</w:t>
                  </w:r>
                </w:p>
              </w:tc>
            </w:tr>
          </w:tbl>
          <w:p w:rsidR="00F60ECF" w:rsidRPr="00503BEB" w:rsidRDefault="00F60ECF" w:rsidP="00F033A6">
            <w:pPr>
              <w:tabs>
                <w:tab w:val="left" w:pos="851"/>
              </w:tabs>
              <w:spacing w:after="0" w:line="240" w:lineRule="auto"/>
              <w:ind w:firstLine="4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</w:tc>
      </w:tr>
      <w:tr w:rsidR="00AF2D59" w:rsidRPr="00503BEB" w:rsidTr="00B72CCB">
        <w:trPr>
          <w:trHeight w:val="1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9" w:rsidRPr="00503BEB" w:rsidRDefault="000341BE" w:rsidP="00210F0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12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9" w:rsidRPr="00503BEB" w:rsidRDefault="00AF2D59" w:rsidP="0072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:rsidR="00AF2D59" w:rsidRPr="00503BEB" w:rsidRDefault="00AF2D59" w:rsidP="00724A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Anexa nr.3</w:t>
            </w:r>
          </w:p>
          <w:p w:rsidR="00AF2D59" w:rsidRPr="00503BEB" w:rsidRDefault="00AF2D59" w:rsidP="00724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la Regulamentul privind cerin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ele generale de echipare a autovehiculelor cu regim prioritar de circula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ie </w:t>
            </w:r>
            <w:r w:rsidR="00503BEB"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ș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i a autovehiculelor speciale </w:t>
            </w:r>
          </w:p>
          <w:p w:rsidR="00AF2D59" w:rsidRPr="00503BEB" w:rsidRDefault="00AF2D59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Imaginile vectoriale ale autovehiculelor speciale</w:t>
            </w:r>
          </w:p>
          <w:p w:rsidR="00AF2D59" w:rsidRPr="00503BEB" w:rsidRDefault="00AF2D59" w:rsidP="00724A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 </w:t>
            </w:r>
          </w:p>
          <w:p w:rsidR="00AF2D59" w:rsidRPr="00503BEB" w:rsidRDefault="00AF2D59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1. AUTOVEHICULELE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IEI</w:t>
            </w:r>
          </w:p>
          <w:p w:rsidR="00AF2D59" w:rsidRPr="00503BEB" w:rsidRDefault="00AF2D59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MD" w:eastAsia="ru-RU"/>
              </w:rPr>
            </w:pPr>
          </w:p>
          <w:p w:rsidR="00503BEB" w:rsidRDefault="00503BEB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  <w:p w:rsidR="000E0A17" w:rsidRPr="000E0A17" w:rsidRDefault="000E0A17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ro-MD" w:eastAsia="ru-RU"/>
              </w:rPr>
            </w:pPr>
          </w:p>
          <w:p w:rsidR="00AF2D59" w:rsidRPr="00503BEB" w:rsidRDefault="00AF2D59" w:rsidP="00724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9. AUTOVEHICULELE SERVICIILOR DE ÎNCASARE </w:t>
            </w:r>
          </w:p>
          <w:p w:rsidR="00AF2D59" w:rsidRPr="00503BEB" w:rsidRDefault="00AF2D59" w:rsidP="00724AB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val="ro-MD" w:eastAsia="ru-RU"/>
              </w:rPr>
              <w:t>ALE BĂNCILOR COMERCIALE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D59" w:rsidRPr="00503BEB" w:rsidRDefault="00AF2D59" w:rsidP="00724A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AF2D59" w:rsidRPr="00503BEB" w:rsidRDefault="00AF2D59" w:rsidP="00724A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AF2D59" w:rsidRPr="00503BEB" w:rsidRDefault="00AF2D59" w:rsidP="00724AB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</w:p>
          <w:p w:rsidR="00AF2D59" w:rsidRDefault="00AF2D59" w:rsidP="00724A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Cuprins nou pentru 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FA14F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pozi</w:t>
            </w:r>
            <w:r w:rsidR="00503BEB" w:rsidRPr="00FA14F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ț</w:t>
            </w:r>
            <w:r w:rsidRPr="00FA14F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ia</w:t>
            </w:r>
            <w:r w:rsidRPr="00503BEB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</w:t>
            </w: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1. VEHICULELE INSPECTORATULUI GENERAL AL POLI</w:t>
            </w:r>
            <w:r w:rsidR="00503BEB"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Ț</w:t>
            </w: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IEI</w:t>
            </w:r>
          </w:p>
          <w:p w:rsidR="00503BEB" w:rsidRDefault="00503BEB" w:rsidP="00503BEB">
            <w:pPr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>…….a se vedea desenele grafice din proiect……..</w:t>
            </w:r>
          </w:p>
          <w:p w:rsidR="00AF2D59" w:rsidRPr="00503BEB" w:rsidRDefault="00AF2D59" w:rsidP="000E0A17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ro-MD" w:eastAsia="ru-RU"/>
              </w:rPr>
            </w:pPr>
            <w:r w:rsidRPr="00503B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  <w:t xml:space="preserve">9. AUTOVEHICULELE SERVICIILOR DE ÎNCASARE </w:t>
            </w:r>
            <w:bookmarkStart w:id="0" w:name="_GoBack"/>
            <w:bookmarkEnd w:id="0"/>
          </w:p>
        </w:tc>
      </w:tr>
    </w:tbl>
    <w:p w:rsidR="00EC37C7" w:rsidRPr="00503BEB" w:rsidRDefault="00EC37C7" w:rsidP="000E0A17">
      <w:pPr>
        <w:rPr>
          <w:rFonts w:ascii="Times New Roman" w:hAnsi="Times New Roman" w:cs="Times New Roman"/>
          <w:sz w:val="26"/>
          <w:szCs w:val="26"/>
          <w:lang w:val="ro-MD"/>
        </w:rPr>
      </w:pPr>
    </w:p>
    <w:sectPr w:rsidR="00EC37C7" w:rsidRPr="00503BEB" w:rsidSect="00B72CCB">
      <w:footerReference w:type="default" r:id="rId10"/>
      <w:pgSz w:w="16838" w:h="11906" w:orient="landscape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740" w:rsidRDefault="00E93740" w:rsidP="00396CA7">
      <w:pPr>
        <w:spacing w:after="0" w:line="240" w:lineRule="auto"/>
      </w:pPr>
      <w:r>
        <w:separator/>
      </w:r>
    </w:p>
  </w:endnote>
  <w:endnote w:type="continuationSeparator" w:id="0">
    <w:p w:rsidR="00E93740" w:rsidRDefault="00E93740" w:rsidP="0039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1718688"/>
      <w:docPartObj>
        <w:docPartGallery w:val="Page Numbers (Bottom of Page)"/>
        <w:docPartUnique/>
      </w:docPartObj>
    </w:sdtPr>
    <w:sdtEndPr/>
    <w:sdtContent>
      <w:p w:rsidR="00396CA7" w:rsidRPr="003261FB" w:rsidRDefault="00396CA7" w:rsidP="003261F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A1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740" w:rsidRDefault="00E93740" w:rsidP="00396CA7">
      <w:pPr>
        <w:spacing w:after="0" w:line="240" w:lineRule="auto"/>
      </w:pPr>
      <w:r>
        <w:separator/>
      </w:r>
    </w:p>
  </w:footnote>
  <w:footnote w:type="continuationSeparator" w:id="0">
    <w:p w:rsidR="00E93740" w:rsidRDefault="00E93740" w:rsidP="00396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783B"/>
    <w:multiLevelType w:val="hybridMultilevel"/>
    <w:tmpl w:val="921236B6"/>
    <w:lvl w:ilvl="0" w:tplc="3526639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603"/>
    <w:multiLevelType w:val="hybridMultilevel"/>
    <w:tmpl w:val="602AB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64C"/>
    <w:multiLevelType w:val="hybridMultilevel"/>
    <w:tmpl w:val="3CB44F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B78"/>
    <w:multiLevelType w:val="hybridMultilevel"/>
    <w:tmpl w:val="E91686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2045B"/>
    <w:multiLevelType w:val="hybridMultilevel"/>
    <w:tmpl w:val="AD200F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A632F"/>
    <w:multiLevelType w:val="hybridMultilevel"/>
    <w:tmpl w:val="9A483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65B66"/>
    <w:multiLevelType w:val="hybridMultilevel"/>
    <w:tmpl w:val="CC127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7016E"/>
    <w:multiLevelType w:val="hybridMultilevel"/>
    <w:tmpl w:val="24040C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052929"/>
    <w:multiLevelType w:val="hybridMultilevel"/>
    <w:tmpl w:val="C71053CC"/>
    <w:lvl w:ilvl="0" w:tplc="4900097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5522EE"/>
    <w:multiLevelType w:val="hybridMultilevel"/>
    <w:tmpl w:val="C8FE5C90"/>
    <w:lvl w:ilvl="0" w:tplc="562C390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5E32EB"/>
    <w:multiLevelType w:val="hybridMultilevel"/>
    <w:tmpl w:val="C71053CC"/>
    <w:lvl w:ilvl="0" w:tplc="4900097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20730"/>
    <w:multiLevelType w:val="hybridMultilevel"/>
    <w:tmpl w:val="FBBAA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0A53"/>
    <w:multiLevelType w:val="hybridMultilevel"/>
    <w:tmpl w:val="E1FAD5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22F85"/>
    <w:multiLevelType w:val="hybridMultilevel"/>
    <w:tmpl w:val="79AE8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1"/>
  </w:num>
  <w:num w:numId="10">
    <w:abstractNumId w:val="10"/>
  </w:num>
  <w:num w:numId="11">
    <w:abstractNumId w:val="8"/>
  </w:num>
  <w:num w:numId="12">
    <w:abstractNumId w:val="9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C5"/>
    <w:rsid w:val="00007C8A"/>
    <w:rsid w:val="00022B25"/>
    <w:rsid w:val="0002738F"/>
    <w:rsid w:val="000341BE"/>
    <w:rsid w:val="00040EB2"/>
    <w:rsid w:val="00046BA0"/>
    <w:rsid w:val="000540B4"/>
    <w:rsid w:val="00063EBC"/>
    <w:rsid w:val="00066CA6"/>
    <w:rsid w:val="00070DEC"/>
    <w:rsid w:val="000E0A17"/>
    <w:rsid w:val="000E4058"/>
    <w:rsid w:val="00105223"/>
    <w:rsid w:val="00107909"/>
    <w:rsid w:val="00164BA1"/>
    <w:rsid w:val="00173442"/>
    <w:rsid w:val="00186460"/>
    <w:rsid w:val="001B149F"/>
    <w:rsid w:val="001B5C47"/>
    <w:rsid w:val="001C44B7"/>
    <w:rsid w:val="00210F08"/>
    <w:rsid w:val="00211B11"/>
    <w:rsid w:val="0021733D"/>
    <w:rsid w:val="00232748"/>
    <w:rsid w:val="0024434A"/>
    <w:rsid w:val="00255F76"/>
    <w:rsid w:val="00262B37"/>
    <w:rsid w:val="00284B5B"/>
    <w:rsid w:val="002950C5"/>
    <w:rsid w:val="00296F97"/>
    <w:rsid w:val="002B25D6"/>
    <w:rsid w:val="002C6293"/>
    <w:rsid w:val="002D086C"/>
    <w:rsid w:val="002D6429"/>
    <w:rsid w:val="002F3982"/>
    <w:rsid w:val="002F4756"/>
    <w:rsid w:val="00303BCB"/>
    <w:rsid w:val="00325DDD"/>
    <w:rsid w:val="003261FB"/>
    <w:rsid w:val="0032620C"/>
    <w:rsid w:val="00330623"/>
    <w:rsid w:val="00396CA7"/>
    <w:rsid w:val="00397077"/>
    <w:rsid w:val="003A7BA9"/>
    <w:rsid w:val="003C7CF5"/>
    <w:rsid w:val="003D35F9"/>
    <w:rsid w:val="003D3D22"/>
    <w:rsid w:val="003F646A"/>
    <w:rsid w:val="004119AB"/>
    <w:rsid w:val="0043007F"/>
    <w:rsid w:val="00453FD2"/>
    <w:rsid w:val="0047390E"/>
    <w:rsid w:val="00481F91"/>
    <w:rsid w:val="004B6258"/>
    <w:rsid w:val="004B6836"/>
    <w:rsid w:val="004F169D"/>
    <w:rsid w:val="004F5035"/>
    <w:rsid w:val="00502F71"/>
    <w:rsid w:val="00503BEB"/>
    <w:rsid w:val="00525659"/>
    <w:rsid w:val="005327DC"/>
    <w:rsid w:val="0055480B"/>
    <w:rsid w:val="00562AC9"/>
    <w:rsid w:val="005C393A"/>
    <w:rsid w:val="005D0A71"/>
    <w:rsid w:val="005D47C1"/>
    <w:rsid w:val="00616BE0"/>
    <w:rsid w:val="00625E2B"/>
    <w:rsid w:val="00627D3A"/>
    <w:rsid w:val="00644368"/>
    <w:rsid w:val="00656A9B"/>
    <w:rsid w:val="00671272"/>
    <w:rsid w:val="00676714"/>
    <w:rsid w:val="006A5A0D"/>
    <w:rsid w:val="006B09BC"/>
    <w:rsid w:val="006B1EF9"/>
    <w:rsid w:val="006B5793"/>
    <w:rsid w:val="006F1BF9"/>
    <w:rsid w:val="006F4300"/>
    <w:rsid w:val="00752B8E"/>
    <w:rsid w:val="007777D2"/>
    <w:rsid w:val="007B24A5"/>
    <w:rsid w:val="007B61D4"/>
    <w:rsid w:val="007B6E18"/>
    <w:rsid w:val="007C0F49"/>
    <w:rsid w:val="007C1BB2"/>
    <w:rsid w:val="0080374F"/>
    <w:rsid w:val="00806EBF"/>
    <w:rsid w:val="00824112"/>
    <w:rsid w:val="008375F9"/>
    <w:rsid w:val="00837D13"/>
    <w:rsid w:val="00850519"/>
    <w:rsid w:val="00865AB1"/>
    <w:rsid w:val="00874B16"/>
    <w:rsid w:val="008878D7"/>
    <w:rsid w:val="008A4574"/>
    <w:rsid w:val="008C6040"/>
    <w:rsid w:val="008D59E7"/>
    <w:rsid w:val="008D7D04"/>
    <w:rsid w:val="008F4D8C"/>
    <w:rsid w:val="009017A7"/>
    <w:rsid w:val="009236B4"/>
    <w:rsid w:val="009278D9"/>
    <w:rsid w:val="009534E3"/>
    <w:rsid w:val="009815DA"/>
    <w:rsid w:val="00992C13"/>
    <w:rsid w:val="009B0420"/>
    <w:rsid w:val="009B2279"/>
    <w:rsid w:val="009B6C9A"/>
    <w:rsid w:val="009C7AB8"/>
    <w:rsid w:val="009D508B"/>
    <w:rsid w:val="009D6DD4"/>
    <w:rsid w:val="009D72D3"/>
    <w:rsid w:val="00A0736C"/>
    <w:rsid w:val="00A21762"/>
    <w:rsid w:val="00A2385D"/>
    <w:rsid w:val="00AA2CCA"/>
    <w:rsid w:val="00AB0501"/>
    <w:rsid w:val="00AC5543"/>
    <w:rsid w:val="00AD66B8"/>
    <w:rsid w:val="00AF0A92"/>
    <w:rsid w:val="00AF2D59"/>
    <w:rsid w:val="00B13449"/>
    <w:rsid w:val="00B1607A"/>
    <w:rsid w:val="00B17D55"/>
    <w:rsid w:val="00B21B0F"/>
    <w:rsid w:val="00B31DD3"/>
    <w:rsid w:val="00B41192"/>
    <w:rsid w:val="00B72CCB"/>
    <w:rsid w:val="00B7577A"/>
    <w:rsid w:val="00B83B74"/>
    <w:rsid w:val="00BC6683"/>
    <w:rsid w:val="00BD544F"/>
    <w:rsid w:val="00BF6D8C"/>
    <w:rsid w:val="00C17BA7"/>
    <w:rsid w:val="00C2476A"/>
    <w:rsid w:val="00C3152E"/>
    <w:rsid w:val="00C315EE"/>
    <w:rsid w:val="00C40EC9"/>
    <w:rsid w:val="00C464C5"/>
    <w:rsid w:val="00C4787B"/>
    <w:rsid w:val="00C50290"/>
    <w:rsid w:val="00C63502"/>
    <w:rsid w:val="00C641D9"/>
    <w:rsid w:val="00C651B0"/>
    <w:rsid w:val="00CA0133"/>
    <w:rsid w:val="00CB7CE1"/>
    <w:rsid w:val="00CD7851"/>
    <w:rsid w:val="00CE0373"/>
    <w:rsid w:val="00CE3C54"/>
    <w:rsid w:val="00D13D3E"/>
    <w:rsid w:val="00D22670"/>
    <w:rsid w:val="00D254D4"/>
    <w:rsid w:val="00D27B46"/>
    <w:rsid w:val="00D62186"/>
    <w:rsid w:val="00D844B5"/>
    <w:rsid w:val="00D8700E"/>
    <w:rsid w:val="00DC51B4"/>
    <w:rsid w:val="00DD0C7B"/>
    <w:rsid w:val="00DE0860"/>
    <w:rsid w:val="00DE2C1E"/>
    <w:rsid w:val="00DE4174"/>
    <w:rsid w:val="00DE7F42"/>
    <w:rsid w:val="00DF7619"/>
    <w:rsid w:val="00E1694F"/>
    <w:rsid w:val="00E25987"/>
    <w:rsid w:val="00E43C35"/>
    <w:rsid w:val="00E46013"/>
    <w:rsid w:val="00E93740"/>
    <w:rsid w:val="00EA0AA4"/>
    <w:rsid w:val="00EA11C4"/>
    <w:rsid w:val="00EB6799"/>
    <w:rsid w:val="00EB7EF3"/>
    <w:rsid w:val="00EC37C7"/>
    <w:rsid w:val="00ED152E"/>
    <w:rsid w:val="00EE2115"/>
    <w:rsid w:val="00F033A6"/>
    <w:rsid w:val="00F42E40"/>
    <w:rsid w:val="00F4604C"/>
    <w:rsid w:val="00F60ECF"/>
    <w:rsid w:val="00F85A55"/>
    <w:rsid w:val="00F91ADA"/>
    <w:rsid w:val="00FA14F3"/>
    <w:rsid w:val="00FA60B8"/>
    <w:rsid w:val="00FB32C4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BBD1A6-E579-4A03-9241-3B32AE51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 1 Знак,standaard met opsomming Знак,strikethrough Знак,Scriptoria bullet points Знак"/>
    <w:link w:val="a4"/>
    <w:uiPriority w:val="34"/>
    <w:locked/>
    <w:rsid w:val="0043007F"/>
  </w:style>
  <w:style w:type="paragraph" w:styleId="a4">
    <w:name w:val="List Paragraph"/>
    <w:aliases w:val="List Paragraph 1,standaard met opsomming,strikethrough,Scriptoria bullet points"/>
    <w:basedOn w:val="a"/>
    <w:link w:val="a3"/>
    <w:uiPriority w:val="34"/>
    <w:qFormat/>
    <w:rsid w:val="0043007F"/>
    <w:pPr>
      <w:spacing w:after="160" w:line="25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24434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4434A"/>
    <w:rPr>
      <w:color w:val="0000FF"/>
      <w:u w:val="single"/>
    </w:rPr>
  </w:style>
  <w:style w:type="paragraph" w:customStyle="1" w:styleId="times">
    <w:name w:val="times"/>
    <w:basedOn w:val="a"/>
    <w:uiPriority w:val="99"/>
    <w:rsid w:val="00AB050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MS Mincho" w:hAnsi="Times New Roman" w:cs="Times New Roman"/>
      <w:sz w:val="28"/>
      <w:szCs w:val="28"/>
      <w:lang w:val="en" w:eastAsia="ja-JP"/>
    </w:rPr>
  </w:style>
  <w:style w:type="paragraph" w:styleId="a7">
    <w:name w:val="header"/>
    <w:basedOn w:val="a"/>
    <w:link w:val="a8"/>
    <w:uiPriority w:val="99"/>
    <w:unhideWhenUsed/>
    <w:rsid w:val="0039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6CA7"/>
  </w:style>
  <w:style w:type="paragraph" w:styleId="a9">
    <w:name w:val="footer"/>
    <w:basedOn w:val="a"/>
    <w:link w:val="aa"/>
    <w:uiPriority w:val="99"/>
    <w:unhideWhenUsed/>
    <w:rsid w:val="00396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6CA7"/>
  </w:style>
  <w:style w:type="character" w:styleId="ab">
    <w:name w:val="line number"/>
    <w:basedOn w:val="a0"/>
    <w:uiPriority w:val="99"/>
    <w:semiHidden/>
    <w:unhideWhenUsed/>
    <w:rsid w:val="00396CA7"/>
  </w:style>
  <w:style w:type="table" w:styleId="ac">
    <w:name w:val="Table Grid"/>
    <w:basedOn w:val="a1"/>
    <w:uiPriority w:val="59"/>
    <w:rsid w:val="0047390E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a"/>
    <w:rsid w:val="0047390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">
    <w:name w:val="rg"/>
    <w:basedOn w:val="a"/>
    <w:rsid w:val="0047390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C5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C5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HGHG20180529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lex:HGHG201805295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6A2C1-2986-4C24-B511-2C573C004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122</cp:revision>
  <cp:lastPrinted>2022-11-29T07:59:00Z</cp:lastPrinted>
  <dcterms:created xsi:type="dcterms:W3CDTF">2022-11-03T13:31:00Z</dcterms:created>
  <dcterms:modified xsi:type="dcterms:W3CDTF">2023-01-03T14:11:00Z</dcterms:modified>
</cp:coreProperties>
</file>