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E0" w:rsidRPr="001071D4" w:rsidRDefault="000D459B" w:rsidP="003F3E8C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MD"/>
        </w:rPr>
      </w:pPr>
      <w:r w:rsidRPr="001071D4">
        <w:rPr>
          <w:b/>
          <w:sz w:val="28"/>
          <w:szCs w:val="28"/>
        </w:rPr>
        <w:t>NOT</w:t>
      </w:r>
      <w:r w:rsidR="001F4813" w:rsidRPr="001071D4">
        <w:rPr>
          <w:b/>
          <w:sz w:val="28"/>
          <w:szCs w:val="28"/>
        </w:rPr>
        <w:t>Ă</w:t>
      </w:r>
      <w:r w:rsidRPr="001071D4">
        <w:rPr>
          <w:b/>
          <w:sz w:val="28"/>
          <w:szCs w:val="28"/>
        </w:rPr>
        <w:t xml:space="preserve"> INFORMATIVĂ</w:t>
      </w:r>
      <w:r w:rsidR="00FA431D" w:rsidRPr="001071D4">
        <w:rPr>
          <w:b/>
          <w:sz w:val="28"/>
          <w:szCs w:val="28"/>
        </w:rPr>
        <w:br/>
        <w:t>la</w:t>
      </w:r>
      <w:r w:rsidR="001F611C" w:rsidRPr="001071D4">
        <w:rPr>
          <w:b/>
          <w:sz w:val="28"/>
          <w:szCs w:val="28"/>
        </w:rPr>
        <w:t xml:space="preserve"> proiectul </w:t>
      </w:r>
      <w:r w:rsidR="00D10562" w:rsidRPr="001071D4">
        <w:rPr>
          <w:b/>
          <w:sz w:val="28"/>
          <w:szCs w:val="28"/>
        </w:rPr>
        <w:t>hotărârii</w:t>
      </w:r>
      <w:r w:rsidR="001F611C" w:rsidRPr="001071D4">
        <w:rPr>
          <w:b/>
          <w:sz w:val="28"/>
          <w:szCs w:val="28"/>
        </w:rPr>
        <w:t xml:space="preserve"> Gu</w:t>
      </w:r>
      <w:r w:rsidR="008702F7" w:rsidRPr="001071D4">
        <w:rPr>
          <w:b/>
          <w:sz w:val="28"/>
          <w:szCs w:val="28"/>
        </w:rPr>
        <w:t xml:space="preserve">vernului </w:t>
      </w:r>
      <w:r w:rsidR="00BC03BB" w:rsidRPr="001071D4">
        <w:rPr>
          <w:b/>
          <w:sz w:val="28"/>
          <w:szCs w:val="28"/>
        </w:rPr>
        <w:t>privind propunerea transmiterii unor bunuri imobile (din proprietatea orașului Otaci în proprietatea statului)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Denumirea autorului și, după </w:t>
            </w:r>
            <w:r w:rsidR="00125802"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caz</w:t>
            </w:r>
            <w:r w:rsidR="001D7D51"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, a participanților la</w:t>
            </w: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elaborarea proiectului 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125802" w:rsidP="00D067A9">
            <w:pPr>
              <w:tabs>
                <w:tab w:val="left" w:pos="720"/>
                <w:tab w:val="left" w:pos="900"/>
              </w:tabs>
              <w:ind w:firstLine="709"/>
              <w:jc w:val="both"/>
              <w:rPr>
                <w:color w:val="000000" w:themeColor="text1"/>
                <w:sz w:val="28"/>
                <w:szCs w:val="28"/>
                <w:lang w:val="ro-MD"/>
              </w:rPr>
            </w:pPr>
            <w:r w:rsidRPr="001071D4">
              <w:rPr>
                <w:sz w:val="28"/>
                <w:szCs w:val="28"/>
              </w:rPr>
              <w:t xml:space="preserve">Proiectul </w:t>
            </w:r>
            <w:r w:rsidR="00D10562" w:rsidRPr="001071D4">
              <w:rPr>
                <w:sz w:val="28"/>
                <w:szCs w:val="28"/>
              </w:rPr>
              <w:t>hotărârii</w:t>
            </w:r>
            <w:r w:rsidR="004614B8" w:rsidRPr="001071D4">
              <w:rPr>
                <w:sz w:val="28"/>
                <w:szCs w:val="28"/>
              </w:rPr>
              <w:t xml:space="preserve"> Guvernului </w:t>
            </w:r>
            <w:r w:rsidR="00D067A9" w:rsidRPr="001071D4">
              <w:rPr>
                <w:sz w:val="28"/>
                <w:szCs w:val="28"/>
              </w:rPr>
              <w:t xml:space="preserve">privind propunerea transmiterii unor bunuri imobile (din proprietatea orașului Otaci în proprietatea statului) </w:t>
            </w:r>
            <w:r w:rsidRPr="001071D4">
              <w:rPr>
                <w:sz w:val="28"/>
                <w:szCs w:val="28"/>
              </w:rPr>
              <w:t>a fost elaborat de către Ministerul Afacerilor Interne</w:t>
            </w:r>
            <w:r w:rsidR="008900B7" w:rsidRPr="001071D4">
              <w:rPr>
                <w:sz w:val="28"/>
                <w:szCs w:val="28"/>
              </w:rPr>
              <w:t>.</w:t>
            </w:r>
            <w:r w:rsidR="004614B8" w:rsidRPr="001071D4">
              <w:rPr>
                <w:sz w:val="28"/>
                <w:szCs w:val="28"/>
                <w:lang w:val="ro-MD"/>
              </w:rPr>
              <w:t xml:space="preserve"> 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AF7A4E" w:rsidRPr="001071D4" w:rsidTr="008B03D2">
        <w:tc>
          <w:tcPr>
            <w:tcW w:w="9286" w:type="dxa"/>
          </w:tcPr>
          <w:p w:rsidR="00D800B0" w:rsidRPr="001071D4" w:rsidRDefault="00C902E4" w:rsidP="00D13FB0">
            <w:pPr>
              <w:tabs>
                <w:tab w:val="left" w:pos="884"/>
                <w:tab w:val="left" w:pos="1196"/>
              </w:tabs>
              <w:ind w:firstLine="709"/>
              <w:jc w:val="both"/>
              <w:rPr>
                <w:sz w:val="28"/>
                <w:szCs w:val="28"/>
              </w:rPr>
            </w:pPr>
            <w:r w:rsidRPr="001071D4">
              <w:rPr>
                <w:rFonts w:eastAsia="Calibri"/>
                <w:sz w:val="28"/>
                <w:szCs w:val="28"/>
                <w:lang w:val="ro-MD"/>
              </w:rPr>
              <w:t>Proiectul a fost elaborat în temeiul</w:t>
            </w:r>
            <w:r w:rsidR="00263572">
              <w:rPr>
                <w:rFonts w:eastAsia="Calibri"/>
                <w:sz w:val="28"/>
                <w:szCs w:val="28"/>
                <w:lang w:val="ro-MD"/>
              </w:rPr>
              <w:t xml:space="preserve"> </w:t>
            </w:r>
            <w:r w:rsidR="00643041" w:rsidRPr="001071D4">
              <w:rPr>
                <w:color w:val="000000" w:themeColor="text1"/>
                <w:sz w:val="28"/>
                <w:szCs w:val="28"/>
              </w:rPr>
              <w:t xml:space="preserve">art. 8 alin.(3) din Legea nr. 523/1999 cu privire la proprietatea publică a unităților administrativ-teritoriale (Monitorul Oficial al Republicii Moldova, 1999, nr. 124-125, art. 611), cu modificările ulterioare, </w:t>
            </w:r>
            <w:r w:rsidR="00643041" w:rsidRPr="001071D4">
              <w:rPr>
                <w:sz w:val="28"/>
                <w:szCs w:val="28"/>
              </w:rPr>
              <w:t>al art. 9 alin.(2) lit.b), art. 14 alin.(1) lit.b) din Legea nr. 121/2007 privind administrarea şi deetatizarea proprietăţii publice (Monitorul Oficial al Republicii Moldova, 2007, nr.90-93, art. 401), cu modificările ulterioare, şi al art. 16 alin.(1) lit.f) din Legea nr. 29/2018 privind delimitarea proprietăţii publice (Monitorul Oficial al Republicii Moldova, 2018, nr.142-148, art. 279).</w:t>
            </w:r>
          </w:p>
          <w:p w:rsidR="00B7717A" w:rsidRPr="001071D4" w:rsidRDefault="00317325" w:rsidP="00D13FB0">
            <w:pPr>
              <w:tabs>
                <w:tab w:val="left" w:pos="884"/>
                <w:tab w:val="left" w:pos="1196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1071D4">
              <w:rPr>
                <w:rFonts w:eastAsia="Times New Roman"/>
                <w:sz w:val="28"/>
                <w:szCs w:val="28"/>
              </w:rPr>
              <w:t xml:space="preserve">Actualmente, </w:t>
            </w:r>
            <w:r w:rsidRPr="001071D4">
              <w:rPr>
                <w:rFonts w:eastAsia="Calibri"/>
                <w:sz w:val="28"/>
                <w:szCs w:val="28"/>
              </w:rPr>
              <w:t>bunurile imobile ce se propun a fi transmise sunt utilizate de către Poliţia de Frontieră</w:t>
            </w:r>
            <w:r w:rsidR="006403B7" w:rsidRPr="001071D4">
              <w:rPr>
                <w:rFonts w:eastAsia="Calibri"/>
                <w:sz w:val="28"/>
                <w:szCs w:val="28"/>
              </w:rPr>
              <w:t xml:space="preserve">. Construcția și terenurile sunt utilizate în calitate de sediu </w:t>
            </w:r>
            <w:r w:rsidR="00B7717A" w:rsidRPr="001071D4">
              <w:rPr>
                <w:rFonts w:eastAsia="Calibri"/>
                <w:sz w:val="28"/>
                <w:szCs w:val="28"/>
              </w:rPr>
              <w:t xml:space="preserve">pentru </w:t>
            </w:r>
            <w:r w:rsidRPr="001071D4">
              <w:rPr>
                <w:rFonts w:eastAsia="Calibri"/>
                <w:sz w:val="28"/>
                <w:szCs w:val="28"/>
              </w:rPr>
              <w:t>Sectorul poliției de frontieră „Otaci” al Direcției regionale Nord. Totodată, este important să menționăm că acest sediu este într-o stare nesatisfăcătoare și necesită a fi reconstruit</w:t>
            </w:r>
            <w:r w:rsidR="00B7717A" w:rsidRPr="001071D4">
              <w:rPr>
                <w:rFonts w:eastAsia="Calibri"/>
                <w:sz w:val="28"/>
                <w:szCs w:val="28"/>
              </w:rPr>
              <w:t>.</w:t>
            </w:r>
          </w:p>
          <w:p w:rsidR="00D13FB0" w:rsidRPr="001071D4" w:rsidRDefault="00B7717A" w:rsidP="005F4E6A">
            <w:pPr>
              <w:tabs>
                <w:tab w:val="left" w:pos="884"/>
                <w:tab w:val="left" w:pos="1196"/>
              </w:tabs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1071D4">
              <w:rPr>
                <w:rFonts w:eastAsia="Calibri"/>
                <w:sz w:val="28"/>
                <w:szCs w:val="28"/>
              </w:rPr>
              <w:t>P</w:t>
            </w:r>
            <w:r w:rsidR="00317325" w:rsidRPr="001071D4">
              <w:rPr>
                <w:rFonts w:eastAsia="Calibri"/>
                <w:sz w:val="28"/>
                <w:szCs w:val="28"/>
              </w:rPr>
              <w:t>artenerii de dezvoltare și-au arătat disponibilitate</w:t>
            </w:r>
            <w:r w:rsidRPr="001071D4">
              <w:rPr>
                <w:rFonts w:eastAsia="Calibri"/>
                <w:sz w:val="28"/>
                <w:szCs w:val="28"/>
              </w:rPr>
              <w:t>a de a acorda suport financiar pentru reconstrucția sediului Sectorul poliției de frontieră „Otaci” al Direcției regionale Nord</w:t>
            </w:r>
            <w:r w:rsidR="00FE3E5C" w:rsidRPr="001071D4">
              <w:rPr>
                <w:rFonts w:eastAsia="Calibri"/>
                <w:sz w:val="28"/>
                <w:szCs w:val="28"/>
              </w:rPr>
              <w:t>, însă pentru materializarea acestuia este necesar a deține d</w:t>
            </w:r>
            <w:r w:rsidR="00317325" w:rsidRPr="001071D4">
              <w:rPr>
                <w:rFonts w:eastAsia="Calibri"/>
                <w:sz w:val="28"/>
                <w:szCs w:val="28"/>
              </w:rPr>
              <w:t>reptul de proprietate asupra acestor bunuri</w:t>
            </w:r>
            <w:r w:rsidR="005F4E6A" w:rsidRPr="001071D4">
              <w:rPr>
                <w:rFonts w:eastAsia="Calibri"/>
                <w:sz w:val="28"/>
                <w:szCs w:val="28"/>
              </w:rPr>
              <w:t xml:space="preserve"> (obiect al reconstrucției)</w:t>
            </w:r>
            <w:r w:rsidR="00317325" w:rsidRPr="001071D4">
              <w:rPr>
                <w:rFonts w:eastAsia="Calibri"/>
                <w:sz w:val="28"/>
                <w:szCs w:val="28"/>
              </w:rPr>
              <w:t>.</w:t>
            </w:r>
          </w:p>
          <w:p w:rsidR="001071D4" w:rsidRDefault="006452AC" w:rsidP="00AA7146">
            <w:pPr>
              <w:tabs>
                <w:tab w:val="left" w:pos="884"/>
                <w:tab w:val="left" w:pos="1196"/>
              </w:tabs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1071D4">
              <w:rPr>
                <w:rFonts w:eastAsia="Calibri"/>
                <w:sz w:val="28"/>
                <w:szCs w:val="28"/>
              </w:rPr>
              <w:t xml:space="preserve">Menționăm că anterior, </w:t>
            </w:r>
            <w:r w:rsidR="00AF27DE" w:rsidRPr="001071D4">
              <w:rPr>
                <w:rFonts w:eastAsia="Calibri"/>
                <w:sz w:val="28"/>
                <w:szCs w:val="28"/>
              </w:rPr>
              <w:t xml:space="preserve">din discuțiile purtate de factorii de decizie din cadrul Inspectoratului General al Poliției de Frontieră cu reprezentanții administrației publice locale </w:t>
            </w:r>
            <w:r w:rsidR="00A6697B" w:rsidRPr="001071D4">
              <w:rPr>
                <w:rFonts w:eastAsia="Calibri"/>
                <w:sz w:val="28"/>
                <w:szCs w:val="28"/>
              </w:rPr>
              <w:t xml:space="preserve">vizate, aceștia din urmă au reiterat disponibilitatea pentru </w:t>
            </w:r>
            <w:r w:rsidR="000D318D" w:rsidRPr="001071D4">
              <w:rPr>
                <w:rFonts w:eastAsia="Calibri"/>
                <w:sz w:val="28"/>
                <w:szCs w:val="28"/>
              </w:rPr>
              <w:t>transmiterea bunurilor imobile.</w:t>
            </w:r>
            <w:r w:rsidR="00AA7146" w:rsidRPr="001071D4">
              <w:rPr>
                <w:color w:val="000000"/>
                <w:sz w:val="28"/>
                <w:szCs w:val="28"/>
              </w:rPr>
              <w:t xml:space="preserve"> </w:t>
            </w:r>
          </w:p>
          <w:p w:rsidR="000C1ADC" w:rsidRPr="001071D4" w:rsidRDefault="00AA7146" w:rsidP="00AA7146">
            <w:pPr>
              <w:tabs>
                <w:tab w:val="left" w:pos="884"/>
                <w:tab w:val="left" w:pos="1196"/>
              </w:tabs>
              <w:ind w:firstLine="709"/>
              <w:jc w:val="both"/>
              <w:rPr>
                <w:rFonts w:eastAsia="Times New Roman"/>
                <w:color w:val="FF0000"/>
                <w:sz w:val="28"/>
                <w:szCs w:val="28"/>
              </w:rPr>
            </w:pPr>
            <w:r w:rsidRPr="001071D4">
              <w:rPr>
                <w:color w:val="000000"/>
                <w:sz w:val="28"/>
                <w:szCs w:val="28"/>
              </w:rPr>
              <w:t xml:space="preserve">Astfel, prin aprobarea proiectului actului normativ se urmărește </w:t>
            </w:r>
            <w:r w:rsidR="001071D4" w:rsidRPr="001071D4">
              <w:rPr>
                <w:color w:val="000000"/>
                <w:sz w:val="28"/>
                <w:szCs w:val="28"/>
              </w:rPr>
              <w:t>îmbunătățirea</w:t>
            </w:r>
            <w:r w:rsidRPr="001071D4">
              <w:rPr>
                <w:color w:val="000000"/>
                <w:sz w:val="28"/>
                <w:szCs w:val="28"/>
              </w:rPr>
              <w:t xml:space="preserve"> infrastructurii subdiviziunilor Inspect</w:t>
            </w:r>
            <w:bookmarkStart w:id="0" w:name="_GoBack"/>
            <w:bookmarkEnd w:id="0"/>
            <w:r w:rsidRPr="001071D4">
              <w:rPr>
                <w:color w:val="000000"/>
                <w:sz w:val="28"/>
                <w:szCs w:val="28"/>
              </w:rPr>
              <w:t>oratului General al Poliției de Frontieră, în particular, posibilitatea reconstruirii sediului Sectorului Poliției de Frontieră „Otaci”</w:t>
            </w:r>
            <w:r w:rsidR="001071D4">
              <w:rPr>
                <w:color w:val="000000"/>
                <w:sz w:val="28"/>
                <w:szCs w:val="28"/>
              </w:rPr>
              <w:t xml:space="preserve">, fapt care va contribui substanțial la sporirea condițiilor de muncă a angajaților </w:t>
            </w:r>
            <w:r w:rsidR="000163D9">
              <w:rPr>
                <w:color w:val="000000"/>
                <w:sz w:val="28"/>
                <w:szCs w:val="28"/>
              </w:rPr>
              <w:t>Poliției de Frontieră, respectiv alinierea a</w:t>
            </w:r>
            <w:r w:rsidR="002B0969">
              <w:rPr>
                <w:color w:val="000000"/>
                <w:sz w:val="28"/>
                <w:szCs w:val="28"/>
              </w:rPr>
              <w:t>cestora la standardele europene.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Principalele prevederi ale proiectului și evidențierea elementelor noi</w:t>
            </w:r>
          </w:p>
        </w:tc>
      </w:tr>
      <w:tr w:rsidR="00AF7A4E" w:rsidRPr="001071D4" w:rsidTr="002B0969">
        <w:trPr>
          <w:trHeight w:val="274"/>
        </w:trPr>
        <w:tc>
          <w:tcPr>
            <w:tcW w:w="9286" w:type="dxa"/>
          </w:tcPr>
          <w:p w:rsidR="001D6BEC" w:rsidRPr="001071D4" w:rsidRDefault="0006180B" w:rsidP="00522097">
            <w:pPr>
              <w:tabs>
                <w:tab w:val="left" w:pos="1134"/>
              </w:tabs>
              <w:ind w:firstLine="709"/>
              <w:jc w:val="both"/>
              <w:rPr>
                <w:sz w:val="28"/>
                <w:szCs w:val="28"/>
              </w:rPr>
            </w:pPr>
            <w:r w:rsidRPr="001071D4">
              <w:rPr>
                <w:sz w:val="28"/>
                <w:szCs w:val="28"/>
              </w:rPr>
              <w:t>Proiectul prevede</w:t>
            </w:r>
            <w:r w:rsidR="00C902E4" w:rsidRPr="001071D4">
              <w:rPr>
                <w:sz w:val="28"/>
                <w:szCs w:val="28"/>
                <w:lang w:val="ro-MD"/>
              </w:rPr>
              <w:t xml:space="preserve"> </w:t>
            </w:r>
            <w:r w:rsidR="00E32E5A" w:rsidRPr="001071D4">
              <w:rPr>
                <w:sz w:val="28"/>
                <w:szCs w:val="28"/>
                <w:lang w:val="ro-MD"/>
              </w:rPr>
              <w:t>propunerea transmiterii</w:t>
            </w:r>
            <w:r w:rsidR="00522097" w:rsidRPr="001071D4">
              <w:rPr>
                <w:sz w:val="28"/>
                <w:szCs w:val="28"/>
                <w:lang w:val="ro-MD"/>
              </w:rPr>
              <w:t>, cu titlu gratuit, d</w:t>
            </w:r>
            <w:r w:rsidR="000D318D" w:rsidRPr="001071D4">
              <w:rPr>
                <w:sz w:val="28"/>
                <w:szCs w:val="28"/>
              </w:rPr>
              <w:t xml:space="preserve">in proprietatea orașului Otaci, raionul Ocnița, în proprietatea statului, administrarea Ministerului Afacerilor Interne (gestiunea Inspectoratului General al Poliției de Frontieră), a bunului imobil </w:t>
            </w:r>
            <w:r w:rsidR="000D318D" w:rsidRPr="001071D4">
              <w:rPr>
                <w:rFonts w:eastAsia="Calibri"/>
                <w:sz w:val="28"/>
                <w:szCs w:val="28"/>
              </w:rPr>
              <w:t>(construcție) situată pe strada Ștefan cel Mare și Sfânt nr. 35, orașul Otaci, raionul Ocnița (număr cadastral 6203108.187.01), iar în administrarea Agenției Proprietății Publice (gestiunea Inspectoratului General al</w:t>
            </w:r>
            <w:r w:rsidR="000D318D" w:rsidRPr="001071D4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0D318D" w:rsidRPr="001071D4">
              <w:rPr>
                <w:rFonts w:eastAsia="Calibri"/>
                <w:sz w:val="28"/>
                <w:szCs w:val="28"/>
              </w:rPr>
              <w:t xml:space="preserve">Poliției de Frontieră), a terenurilor cu numerele cadastrale 6203108.187 și </w:t>
            </w:r>
            <w:r w:rsidR="000D318D" w:rsidRPr="001071D4">
              <w:rPr>
                <w:rFonts w:eastAsia="Calibri"/>
                <w:sz w:val="28"/>
                <w:szCs w:val="28"/>
              </w:rPr>
              <w:lastRenderedPageBreak/>
              <w:t>6203108.188</w:t>
            </w:r>
            <w:r w:rsidR="000D318D" w:rsidRPr="001071D4">
              <w:rPr>
                <w:sz w:val="28"/>
                <w:szCs w:val="28"/>
              </w:rPr>
              <w:t>.</w:t>
            </w:r>
            <w:r w:rsidR="00E663DD" w:rsidRPr="001071D4">
              <w:rPr>
                <w:sz w:val="28"/>
                <w:szCs w:val="28"/>
              </w:rPr>
              <w:t xml:space="preserve"> 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Fundamentarea </w:t>
            </w:r>
            <w:proofErr w:type="spellStart"/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-fina</w:t>
            </w:r>
            <w:r w:rsidR="001C7181"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</w:t>
            </w: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ciară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E9512B" w:rsidP="003F3E8C">
            <w:pPr>
              <w:pStyle w:val="cn"/>
              <w:tabs>
                <w:tab w:val="left" w:pos="270"/>
                <w:tab w:val="left" w:pos="420"/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 w:rsidRPr="001071D4">
              <w:rPr>
                <w:sz w:val="28"/>
                <w:szCs w:val="28"/>
              </w:rPr>
              <w:t>Implementarea prevederilor proiectului nu necesită cheltuieli financiare suplimentare.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0C42CB" w:rsidP="00D13FB0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>Urmare aprobării proiectului nu va fi necesară modificarea și</w:t>
            </w:r>
            <w:r w:rsidR="00B15D7F" w:rsidRPr="001071D4">
              <w:rPr>
                <w:rFonts w:ascii="Times New Roman" w:hAnsi="Times New Roman"/>
                <w:sz w:val="28"/>
                <w:szCs w:val="28"/>
                <w:lang w:val="ro-RO"/>
              </w:rPr>
              <w:t>/sau</w:t>
            </w: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completarea altor acte normative.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AF7A4E" w:rsidRPr="001071D4" w:rsidTr="008B03D2">
        <w:tc>
          <w:tcPr>
            <w:tcW w:w="9286" w:type="dxa"/>
          </w:tcPr>
          <w:p w:rsidR="00D13FB0" w:rsidRPr="001071D4" w:rsidRDefault="00D13FB0" w:rsidP="00D13FB0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vederea respectării prevederilor Legii nr. 239/2008 privind transparența în procesul decizional, proiectul urmează să fie plasat pe pagina-web oficială a Ministerului Afacerilor Interne în rețeaua Internet </w:t>
            </w:r>
            <w:hyperlink r:id="rId5" w:history="1">
              <w:r w:rsidRPr="001071D4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www.mai.gov.md</w:t>
              </w:r>
            </w:hyperlink>
            <w:r w:rsidRPr="001071D4">
              <w:rPr>
                <w:rFonts w:ascii="Times New Roman" w:hAnsi="Times New Roman"/>
                <w:sz w:val="28"/>
                <w:szCs w:val="28"/>
                <w:u w:val="single"/>
                <w:lang w:val="ro-RO"/>
              </w:rPr>
              <w:t>,</w:t>
            </w: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la compartimentul „Transparența”, secțiunea „Consultări</w:t>
            </w:r>
            <w:r w:rsidRPr="001071D4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</w:t>
            </w: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>publice”, rubrica „Consultări</w:t>
            </w:r>
            <w:r w:rsidRPr="001071D4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</w:t>
            </w: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publice” și pe pagina-web </w:t>
            </w:r>
            <w:hyperlink r:id="rId6" w:history="1">
              <w:r w:rsidRPr="001071D4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8039D3" w:rsidRPr="001071D4" w:rsidRDefault="00D13FB0" w:rsidP="00D13FB0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>Totodată, proiectul urmează să fie supus procedurii de avizare.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anticorupție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D13FB0" w:rsidP="00D13FB0">
            <w:pPr>
              <w:pStyle w:val="Frspaiere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>Proiectul urmează să fie supus expertizei anticorupție.</w:t>
            </w:r>
          </w:p>
        </w:tc>
      </w:tr>
      <w:tr w:rsidR="00AF7A4E" w:rsidRPr="001071D4" w:rsidTr="008B03D2">
        <w:tc>
          <w:tcPr>
            <w:tcW w:w="9286" w:type="dxa"/>
          </w:tcPr>
          <w:p w:rsidR="00AF7A4E" w:rsidRPr="001071D4" w:rsidRDefault="00AF7A4E" w:rsidP="003F3E8C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8B03D2" w:rsidRPr="001071D4" w:rsidTr="008B03D2">
        <w:tc>
          <w:tcPr>
            <w:tcW w:w="9286" w:type="dxa"/>
          </w:tcPr>
          <w:p w:rsidR="008B03D2" w:rsidRPr="001071D4" w:rsidRDefault="001E202A" w:rsidP="001E202A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071D4">
              <w:rPr>
                <w:rFonts w:ascii="Times New Roman" w:hAnsi="Times New Roman"/>
                <w:sz w:val="28"/>
                <w:szCs w:val="28"/>
                <w:lang w:val="ro-RO"/>
              </w:rPr>
              <w:t>Proiectul urmează să fie supus expertizei juridice.</w:t>
            </w:r>
          </w:p>
        </w:tc>
      </w:tr>
    </w:tbl>
    <w:p w:rsidR="008037F9" w:rsidRPr="001071D4" w:rsidRDefault="008037F9" w:rsidP="003F3E8C">
      <w:pPr>
        <w:tabs>
          <w:tab w:val="left" w:pos="0"/>
        </w:tabs>
        <w:jc w:val="both"/>
        <w:rPr>
          <w:rStyle w:val="docsign1"/>
          <w:b/>
          <w:color w:val="000000" w:themeColor="text1"/>
          <w:sz w:val="28"/>
          <w:szCs w:val="28"/>
        </w:rPr>
      </w:pPr>
    </w:p>
    <w:p w:rsidR="00C62B97" w:rsidRPr="001071D4" w:rsidRDefault="00C62B97" w:rsidP="003F3E8C">
      <w:pPr>
        <w:tabs>
          <w:tab w:val="left" w:pos="0"/>
        </w:tabs>
        <w:jc w:val="both"/>
        <w:rPr>
          <w:rStyle w:val="docsign1"/>
          <w:b/>
          <w:color w:val="000000" w:themeColor="text1"/>
          <w:sz w:val="28"/>
          <w:szCs w:val="28"/>
        </w:rPr>
      </w:pPr>
    </w:p>
    <w:p w:rsidR="001F611C" w:rsidRPr="001071D4" w:rsidRDefault="00352BF9" w:rsidP="00E663DD">
      <w:pPr>
        <w:tabs>
          <w:tab w:val="left" w:pos="0"/>
        </w:tabs>
        <w:jc w:val="both"/>
        <w:rPr>
          <w:sz w:val="28"/>
          <w:szCs w:val="28"/>
          <w:lang w:val="ro-MD"/>
        </w:rPr>
      </w:pPr>
      <w:r w:rsidRPr="001071D4">
        <w:rPr>
          <w:rStyle w:val="docsign1"/>
          <w:b/>
          <w:color w:val="000000" w:themeColor="text1"/>
          <w:sz w:val="28"/>
          <w:szCs w:val="28"/>
          <w:lang w:val="ro-MD"/>
        </w:rPr>
        <w:t xml:space="preserve">Secretar </w:t>
      </w:r>
      <w:r w:rsidR="00E663DD" w:rsidRPr="001071D4">
        <w:rPr>
          <w:rStyle w:val="docsign1"/>
          <w:b/>
          <w:color w:val="000000" w:themeColor="text1"/>
          <w:sz w:val="28"/>
          <w:szCs w:val="28"/>
          <w:lang w:val="ro-MD"/>
        </w:rPr>
        <w:t>de stat</w:t>
      </w:r>
      <w:r w:rsidR="00E663DD" w:rsidRPr="001071D4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E663DD" w:rsidRPr="001071D4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E663DD" w:rsidRPr="001071D4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E663DD" w:rsidRPr="001071D4">
        <w:rPr>
          <w:rStyle w:val="docsign1"/>
          <w:b/>
          <w:color w:val="000000" w:themeColor="text1"/>
          <w:sz w:val="28"/>
          <w:szCs w:val="28"/>
          <w:lang w:val="ro-MD"/>
        </w:rPr>
        <w:tab/>
      </w:r>
      <w:r w:rsidR="00E663DD" w:rsidRPr="001071D4">
        <w:rPr>
          <w:rStyle w:val="docsign1"/>
          <w:b/>
          <w:color w:val="000000" w:themeColor="text1"/>
          <w:sz w:val="28"/>
          <w:szCs w:val="28"/>
          <w:lang w:val="ro-MD"/>
        </w:rPr>
        <w:tab/>
        <w:t xml:space="preserve">        Daniella MISAIL-NICHITIN</w:t>
      </w:r>
    </w:p>
    <w:sectPr w:rsidR="001F611C" w:rsidRPr="001071D4" w:rsidSect="00376EF6">
      <w:pgSz w:w="11906" w:h="16838"/>
      <w:pgMar w:top="1134" w:right="851" w:bottom="107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24B47"/>
    <w:multiLevelType w:val="hybridMultilevel"/>
    <w:tmpl w:val="E4E238DE"/>
    <w:lvl w:ilvl="0" w:tplc="74D0CE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3608"/>
    <w:multiLevelType w:val="hybridMultilevel"/>
    <w:tmpl w:val="5AC813E8"/>
    <w:lvl w:ilvl="0" w:tplc="09660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E40833"/>
    <w:multiLevelType w:val="hybridMultilevel"/>
    <w:tmpl w:val="DB58432E"/>
    <w:lvl w:ilvl="0" w:tplc="47EA6CE4">
      <w:start w:val="6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21E76C9"/>
    <w:multiLevelType w:val="hybridMultilevel"/>
    <w:tmpl w:val="AAA4FBB6"/>
    <w:lvl w:ilvl="0" w:tplc="93861AF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9AA523E"/>
    <w:multiLevelType w:val="hybridMultilevel"/>
    <w:tmpl w:val="8048DD66"/>
    <w:lvl w:ilvl="0" w:tplc="327E74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1C"/>
    <w:rsid w:val="000031D6"/>
    <w:rsid w:val="000163D9"/>
    <w:rsid w:val="0004033F"/>
    <w:rsid w:val="0006180B"/>
    <w:rsid w:val="000670DA"/>
    <w:rsid w:val="000864B1"/>
    <w:rsid w:val="00095BA8"/>
    <w:rsid w:val="000973F8"/>
    <w:rsid w:val="000A0AA6"/>
    <w:rsid w:val="000C1ADC"/>
    <w:rsid w:val="000C42CB"/>
    <w:rsid w:val="000D0ACC"/>
    <w:rsid w:val="000D318D"/>
    <w:rsid w:val="000D43EF"/>
    <w:rsid w:val="000D459B"/>
    <w:rsid w:val="000F1B34"/>
    <w:rsid w:val="001071D4"/>
    <w:rsid w:val="00125802"/>
    <w:rsid w:val="00130F45"/>
    <w:rsid w:val="001701CB"/>
    <w:rsid w:val="00184928"/>
    <w:rsid w:val="001C7181"/>
    <w:rsid w:val="001D6BEC"/>
    <w:rsid w:val="001D7D51"/>
    <w:rsid w:val="001E202A"/>
    <w:rsid w:val="001E6706"/>
    <w:rsid w:val="001E75DA"/>
    <w:rsid w:val="001F4813"/>
    <w:rsid w:val="001F611C"/>
    <w:rsid w:val="002128B1"/>
    <w:rsid w:val="00263572"/>
    <w:rsid w:val="00282D27"/>
    <w:rsid w:val="002849C0"/>
    <w:rsid w:val="002A448E"/>
    <w:rsid w:val="002A6AB8"/>
    <w:rsid w:val="002B0969"/>
    <w:rsid w:val="002E0B2F"/>
    <w:rsid w:val="002E5BDA"/>
    <w:rsid w:val="00306D09"/>
    <w:rsid w:val="00317325"/>
    <w:rsid w:val="003339CD"/>
    <w:rsid w:val="00341793"/>
    <w:rsid w:val="00343F83"/>
    <w:rsid w:val="00352BF9"/>
    <w:rsid w:val="0036179C"/>
    <w:rsid w:val="00371CE7"/>
    <w:rsid w:val="00374AE8"/>
    <w:rsid w:val="00376EF6"/>
    <w:rsid w:val="00387741"/>
    <w:rsid w:val="003A1E44"/>
    <w:rsid w:val="003F3E8C"/>
    <w:rsid w:val="00411CA6"/>
    <w:rsid w:val="00420808"/>
    <w:rsid w:val="004250FF"/>
    <w:rsid w:val="00425D8C"/>
    <w:rsid w:val="004355ED"/>
    <w:rsid w:val="00441487"/>
    <w:rsid w:val="00454634"/>
    <w:rsid w:val="0045528F"/>
    <w:rsid w:val="004614B8"/>
    <w:rsid w:val="00470371"/>
    <w:rsid w:val="00474E6D"/>
    <w:rsid w:val="0047749A"/>
    <w:rsid w:val="00486166"/>
    <w:rsid w:val="004C75F6"/>
    <w:rsid w:val="004F3D61"/>
    <w:rsid w:val="00513740"/>
    <w:rsid w:val="00522097"/>
    <w:rsid w:val="0055069E"/>
    <w:rsid w:val="00561621"/>
    <w:rsid w:val="00566D5E"/>
    <w:rsid w:val="005947AC"/>
    <w:rsid w:val="005A2C2A"/>
    <w:rsid w:val="005C3528"/>
    <w:rsid w:val="005C7C1D"/>
    <w:rsid w:val="005D4C6D"/>
    <w:rsid w:val="005F4E6A"/>
    <w:rsid w:val="006270E5"/>
    <w:rsid w:val="00635AED"/>
    <w:rsid w:val="006403B7"/>
    <w:rsid w:val="00643041"/>
    <w:rsid w:val="006452AC"/>
    <w:rsid w:val="00664F9D"/>
    <w:rsid w:val="00665456"/>
    <w:rsid w:val="00690A6B"/>
    <w:rsid w:val="00691F6C"/>
    <w:rsid w:val="0069683F"/>
    <w:rsid w:val="006A2EEB"/>
    <w:rsid w:val="006A5EE4"/>
    <w:rsid w:val="006B6876"/>
    <w:rsid w:val="006C6283"/>
    <w:rsid w:val="006D4B9B"/>
    <w:rsid w:val="006F6242"/>
    <w:rsid w:val="006F68A7"/>
    <w:rsid w:val="00706068"/>
    <w:rsid w:val="00725332"/>
    <w:rsid w:val="0074218A"/>
    <w:rsid w:val="00762BB3"/>
    <w:rsid w:val="00764592"/>
    <w:rsid w:val="007C629D"/>
    <w:rsid w:val="008037F9"/>
    <w:rsid w:val="008039D3"/>
    <w:rsid w:val="008214B6"/>
    <w:rsid w:val="008229E0"/>
    <w:rsid w:val="00844680"/>
    <w:rsid w:val="00850AFC"/>
    <w:rsid w:val="00857BD8"/>
    <w:rsid w:val="008702F7"/>
    <w:rsid w:val="0088196C"/>
    <w:rsid w:val="008900B7"/>
    <w:rsid w:val="00892065"/>
    <w:rsid w:val="008A0888"/>
    <w:rsid w:val="008A1436"/>
    <w:rsid w:val="008B03D2"/>
    <w:rsid w:val="008B1575"/>
    <w:rsid w:val="008B7D10"/>
    <w:rsid w:val="008E34AD"/>
    <w:rsid w:val="00904D2B"/>
    <w:rsid w:val="00941525"/>
    <w:rsid w:val="00942E2E"/>
    <w:rsid w:val="00953680"/>
    <w:rsid w:val="009648FF"/>
    <w:rsid w:val="00967D87"/>
    <w:rsid w:val="0097111E"/>
    <w:rsid w:val="00990257"/>
    <w:rsid w:val="009A6BFC"/>
    <w:rsid w:val="009C50C2"/>
    <w:rsid w:val="009D2257"/>
    <w:rsid w:val="009D3E65"/>
    <w:rsid w:val="009D42B9"/>
    <w:rsid w:val="009D5740"/>
    <w:rsid w:val="009E6763"/>
    <w:rsid w:val="009F1F96"/>
    <w:rsid w:val="00A22E5A"/>
    <w:rsid w:val="00A232E8"/>
    <w:rsid w:val="00A24665"/>
    <w:rsid w:val="00A32A19"/>
    <w:rsid w:val="00A37441"/>
    <w:rsid w:val="00A63458"/>
    <w:rsid w:val="00A6697B"/>
    <w:rsid w:val="00A760C5"/>
    <w:rsid w:val="00A92C9F"/>
    <w:rsid w:val="00AA7146"/>
    <w:rsid w:val="00AB7840"/>
    <w:rsid w:val="00AD38B6"/>
    <w:rsid w:val="00AF27DE"/>
    <w:rsid w:val="00AF7A4E"/>
    <w:rsid w:val="00B00852"/>
    <w:rsid w:val="00B15D7F"/>
    <w:rsid w:val="00B1650F"/>
    <w:rsid w:val="00B20D8D"/>
    <w:rsid w:val="00B3121B"/>
    <w:rsid w:val="00B43770"/>
    <w:rsid w:val="00B60A4A"/>
    <w:rsid w:val="00B7717A"/>
    <w:rsid w:val="00B8774A"/>
    <w:rsid w:val="00BA1B87"/>
    <w:rsid w:val="00BB3514"/>
    <w:rsid w:val="00BC03BB"/>
    <w:rsid w:val="00C0592B"/>
    <w:rsid w:val="00C36B46"/>
    <w:rsid w:val="00C57E0D"/>
    <w:rsid w:val="00C62B97"/>
    <w:rsid w:val="00C82B54"/>
    <w:rsid w:val="00C902E4"/>
    <w:rsid w:val="00C94DF1"/>
    <w:rsid w:val="00CC1869"/>
    <w:rsid w:val="00CF4417"/>
    <w:rsid w:val="00D067A9"/>
    <w:rsid w:val="00D10562"/>
    <w:rsid w:val="00D13FB0"/>
    <w:rsid w:val="00D44713"/>
    <w:rsid w:val="00D77C70"/>
    <w:rsid w:val="00D800B0"/>
    <w:rsid w:val="00D82F63"/>
    <w:rsid w:val="00D9730A"/>
    <w:rsid w:val="00DA79EB"/>
    <w:rsid w:val="00DB15BE"/>
    <w:rsid w:val="00E064D3"/>
    <w:rsid w:val="00E32E5A"/>
    <w:rsid w:val="00E4156C"/>
    <w:rsid w:val="00E46678"/>
    <w:rsid w:val="00E663DD"/>
    <w:rsid w:val="00E9512B"/>
    <w:rsid w:val="00EA4688"/>
    <w:rsid w:val="00EB2A6B"/>
    <w:rsid w:val="00ED03C3"/>
    <w:rsid w:val="00EE5C5A"/>
    <w:rsid w:val="00F0393B"/>
    <w:rsid w:val="00F45BD4"/>
    <w:rsid w:val="00F53415"/>
    <w:rsid w:val="00F943CE"/>
    <w:rsid w:val="00F96D03"/>
    <w:rsid w:val="00FA431D"/>
    <w:rsid w:val="00FC7AED"/>
    <w:rsid w:val="00FD31BE"/>
    <w:rsid w:val="00FD6A73"/>
    <w:rsid w:val="00FE3E5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934F-881E-46FA-AFE2-515E8ED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1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1F611C"/>
    <w:pPr>
      <w:jc w:val="center"/>
    </w:pPr>
    <w:rPr>
      <w:b/>
      <w:bCs/>
    </w:rPr>
  </w:style>
  <w:style w:type="paragraph" w:customStyle="1" w:styleId="cn">
    <w:name w:val="cn"/>
    <w:basedOn w:val="Normal"/>
    <w:rsid w:val="001F611C"/>
    <w:pPr>
      <w:jc w:val="center"/>
    </w:pPr>
  </w:style>
  <w:style w:type="paragraph" w:styleId="Frspaiere">
    <w:name w:val="No Spacing"/>
    <w:uiPriority w:val="1"/>
    <w:qFormat/>
    <w:rsid w:val="001F61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59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59B"/>
    <w:rPr>
      <w:rFonts w:ascii="Segoe UI" w:eastAsiaTheme="minorEastAsia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iPriority w:val="59"/>
    <w:rsid w:val="00AF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0031D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E75DA"/>
    <w:pPr>
      <w:ind w:left="720"/>
      <w:contextualSpacing/>
    </w:pPr>
  </w:style>
  <w:style w:type="character" w:customStyle="1" w:styleId="docsign1">
    <w:name w:val="doc_sign1"/>
    <w:basedOn w:val="Fontdeparagrafimplicit"/>
    <w:rsid w:val="008037F9"/>
  </w:style>
  <w:style w:type="paragraph" w:customStyle="1" w:styleId="Default">
    <w:name w:val="Default"/>
    <w:rsid w:val="00D800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a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2</Pages>
  <Words>624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Mihalachi</dc:creator>
  <cp:lastModifiedBy>ADMIN</cp:lastModifiedBy>
  <cp:revision>87</cp:revision>
  <cp:lastPrinted>2020-04-02T05:55:00Z</cp:lastPrinted>
  <dcterms:created xsi:type="dcterms:W3CDTF">2018-05-02T08:07:00Z</dcterms:created>
  <dcterms:modified xsi:type="dcterms:W3CDTF">2023-01-11T14:01:00Z</dcterms:modified>
</cp:coreProperties>
</file>