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B2A01" w14:textId="6218B8A6" w:rsidR="00047E40" w:rsidRPr="00F42CE0" w:rsidRDefault="00047E40" w:rsidP="004A2A8A">
      <w:pPr>
        <w:spacing w:after="0" w:line="276" w:lineRule="auto"/>
        <w:contextualSpacing/>
        <w:jc w:val="center"/>
        <w:rPr>
          <w:rFonts w:ascii="Times New Roman" w:hAnsi="Times New Roman" w:cs="Times New Roman"/>
          <w:b/>
          <w:bCs/>
          <w:sz w:val="28"/>
          <w:szCs w:val="28"/>
          <w:lang w:val="ro-MD"/>
        </w:rPr>
      </w:pPr>
      <w:r w:rsidRPr="00F42CE0">
        <w:rPr>
          <w:rFonts w:ascii="Times New Roman" w:hAnsi="Times New Roman" w:cs="Times New Roman"/>
          <w:b/>
          <w:bCs/>
          <w:sz w:val="28"/>
          <w:szCs w:val="28"/>
          <w:lang w:val="ro-MD"/>
        </w:rPr>
        <w:t>Nota informativă</w:t>
      </w:r>
    </w:p>
    <w:p w14:paraId="298F02A4" w14:textId="77777777" w:rsidR="004A2A8A" w:rsidRDefault="00047E40" w:rsidP="004A2A8A">
      <w:pPr>
        <w:spacing w:line="276" w:lineRule="auto"/>
        <w:contextualSpacing/>
        <w:jc w:val="center"/>
        <w:rPr>
          <w:rFonts w:ascii="Times New Roman" w:hAnsi="Times New Roman" w:cs="Times New Roman"/>
          <w:b/>
          <w:sz w:val="28"/>
          <w:szCs w:val="28"/>
          <w:lang w:val="ro-RO"/>
        </w:rPr>
      </w:pPr>
      <w:r w:rsidRPr="00F42CE0">
        <w:rPr>
          <w:rFonts w:ascii="Times New Roman" w:hAnsi="Times New Roman" w:cs="Times New Roman"/>
          <w:b/>
          <w:bCs/>
          <w:sz w:val="28"/>
          <w:szCs w:val="28"/>
          <w:lang w:val="ro-MD"/>
        </w:rPr>
        <w:t xml:space="preserve">la proiectul </w:t>
      </w:r>
      <w:r w:rsidR="00CB2A85">
        <w:rPr>
          <w:rFonts w:ascii="Times New Roman" w:hAnsi="Times New Roman" w:cs="Times New Roman"/>
          <w:b/>
          <w:bCs/>
          <w:sz w:val="28"/>
          <w:szCs w:val="28"/>
          <w:lang w:val="ro-MD"/>
        </w:rPr>
        <w:t xml:space="preserve">de lege </w:t>
      </w:r>
      <w:r w:rsidRPr="00F42CE0">
        <w:rPr>
          <w:rFonts w:ascii="Times New Roman" w:hAnsi="Times New Roman" w:cs="Times New Roman"/>
          <w:b/>
          <w:bCs/>
          <w:sz w:val="28"/>
          <w:szCs w:val="28"/>
          <w:lang w:val="ro-MD"/>
        </w:rPr>
        <w:t xml:space="preserve">pentru </w:t>
      </w:r>
      <w:r w:rsidRPr="00F42CE0">
        <w:rPr>
          <w:rFonts w:ascii="Times New Roman" w:hAnsi="Times New Roman" w:cs="Times New Roman"/>
          <w:b/>
          <w:sz w:val="28"/>
          <w:szCs w:val="28"/>
          <w:lang w:val="ro-RO"/>
        </w:rPr>
        <w:t xml:space="preserve">modificarea şi </w:t>
      </w:r>
    </w:p>
    <w:p w14:paraId="01FC1CE4" w14:textId="1F876DE1" w:rsidR="00047E40" w:rsidRPr="00F42CE0" w:rsidRDefault="00047E40" w:rsidP="004A2A8A">
      <w:pPr>
        <w:spacing w:line="276" w:lineRule="auto"/>
        <w:contextualSpacing/>
        <w:jc w:val="center"/>
        <w:rPr>
          <w:rFonts w:ascii="Times New Roman" w:hAnsi="Times New Roman" w:cs="Times New Roman"/>
          <w:b/>
          <w:sz w:val="28"/>
          <w:szCs w:val="28"/>
          <w:lang w:val="ro-RO"/>
        </w:rPr>
      </w:pPr>
      <w:r w:rsidRPr="00F42CE0">
        <w:rPr>
          <w:rFonts w:ascii="Times New Roman" w:hAnsi="Times New Roman" w:cs="Times New Roman"/>
          <w:b/>
          <w:sz w:val="28"/>
          <w:szCs w:val="28"/>
          <w:lang w:val="ro-RO"/>
        </w:rPr>
        <w:t>completarea unor acte legislative</w:t>
      </w:r>
    </w:p>
    <w:p w14:paraId="1678FAC9" w14:textId="3FECF912" w:rsidR="00047E40" w:rsidRPr="00FF357F" w:rsidRDefault="00047E40" w:rsidP="00FF357F">
      <w:pPr>
        <w:spacing w:after="0" w:line="276" w:lineRule="auto"/>
        <w:ind w:firstLine="708"/>
        <w:jc w:val="center"/>
        <w:rPr>
          <w:rFonts w:ascii="Times New Roman" w:hAnsi="Times New Roman" w:cs="Times New Roman"/>
          <w:b/>
          <w:bCs/>
          <w:sz w:val="24"/>
          <w:szCs w:val="24"/>
          <w:lang w:val="ro-RO"/>
        </w:rPr>
      </w:pPr>
    </w:p>
    <w:tbl>
      <w:tblPr>
        <w:tblStyle w:val="a6"/>
        <w:tblW w:w="0" w:type="auto"/>
        <w:tblCellMar>
          <w:top w:w="85" w:type="dxa"/>
          <w:left w:w="85" w:type="dxa"/>
          <w:bottom w:w="85" w:type="dxa"/>
          <w:right w:w="85" w:type="dxa"/>
        </w:tblCellMar>
        <w:tblLook w:val="04A0" w:firstRow="1" w:lastRow="0" w:firstColumn="1" w:lastColumn="0" w:noHBand="0" w:noVBand="1"/>
      </w:tblPr>
      <w:tblGrid>
        <w:gridCol w:w="9345"/>
      </w:tblGrid>
      <w:tr w:rsidR="00047E40" w:rsidRPr="00AE4FB2" w14:paraId="1056058F" w14:textId="77777777" w:rsidTr="003404F6">
        <w:tc>
          <w:tcPr>
            <w:tcW w:w="9345" w:type="dxa"/>
          </w:tcPr>
          <w:p w14:paraId="3A39A326" w14:textId="77777777" w:rsidR="00047E40" w:rsidRPr="00FF357F" w:rsidRDefault="00047E40" w:rsidP="00FF357F">
            <w:pPr>
              <w:pStyle w:val="TableParagraph"/>
              <w:spacing w:line="276" w:lineRule="auto"/>
              <w:jc w:val="both"/>
              <w:rPr>
                <w:b/>
                <w:sz w:val="24"/>
                <w:szCs w:val="24"/>
                <w:lang w:val="ro-MD"/>
              </w:rPr>
            </w:pPr>
            <w:r w:rsidRPr="00FF357F">
              <w:rPr>
                <w:b/>
                <w:sz w:val="24"/>
                <w:szCs w:val="24"/>
                <w:lang w:val="ro-MD"/>
              </w:rPr>
              <w:t>1.</w:t>
            </w:r>
            <w:r w:rsidRPr="00FF357F">
              <w:rPr>
                <w:b/>
                <w:spacing w:val="40"/>
                <w:sz w:val="24"/>
                <w:szCs w:val="24"/>
                <w:lang w:val="ro-MD"/>
              </w:rPr>
              <w:t xml:space="preserve"> </w:t>
            </w:r>
            <w:r w:rsidRPr="00FF357F">
              <w:rPr>
                <w:b/>
                <w:sz w:val="24"/>
                <w:szCs w:val="24"/>
                <w:lang w:val="ro-MD"/>
              </w:rPr>
              <w:t>Denumirea</w:t>
            </w:r>
            <w:r w:rsidRPr="00FF357F">
              <w:rPr>
                <w:b/>
                <w:spacing w:val="-1"/>
                <w:sz w:val="24"/>
                <w:szCs w:val="24"/>
                <w:lang w:val="ro-MD"/>
              </w:rPr>
              <w:t xml:space="preserve"> </w:t>
            </w:r>
            <w:r w:rsidRPr="00FF357F">
              <w:rPr>
                <w:b/>
                <w:sz w:val="24"/>
                <w:szCs w:val="24"/>
                <w:lang w:val="ro-MD"/>
              </w:rPr>
              <w:t>autorului</w:t>
            </w:r>
            <w:r w:rsidRPr="00FF357F">
              <w:rPr>
                <w:b/>
                <w:spacing w:val="-1"/>
                <w:sz w:val="24"/>
                <w:szCs w:val="24"/>
                <w:lang w:val="ro-MD"/>
              </w:rPr>
              <w:t xml:space="preserve"> </w:t>
            </w:r>
            <w:r w:rsidRPr="00FF357F">
              <w:rPr>
                <w:b/>
                <w:sz w:val="24"/>
                <w:szCs w:val="24"/>
                <w:lang w:val="ro-MD"/>
              </w:rPr>
              <w:t>şi,</w:t>
            </w:r>
            <w:r w:rsidRPr="00FF357F">
              <w:rPr>
                <w:b/>
                <w:spacing w:val="-1"/>
                <w:sz w:val="24"/>
                <w:szCs w:val="24"/>
                <w:lang w:val="ro-MD"/>
              </w:rPr>
              <w:t xml:space="preserve"> </w:t>
            </w:r>
            <w:r w:rsidRPr="00FF357F">
              <w:rPr>
                <w:b/>
                <w:sz w:val="24"/>
                <w:szCs w:val="24"/>
                <w:lang w:val="ro-MD"/>
              </w:rPr>
              <w:t>după</w:t>
            </w:r>
            <w:r w:rsidRPr="00FF357F">
              <w:rPr>
                <w:b/>
                <w:spacing w:val="-2"/>
                <w:sz w:val="24"/>
                <w:szCs w:val="24"/>
                <w:lang w:val="ro-MD"/>
              </w:rPr>
              <w:t xml:space="preserve"> </w:t>
            </w:r>
            <w:r w:rsidRPr="00FF357F">
              <w:rPr>
                <w:b/>
                <w:sz w:val="24"/>
                <w:szCs w:val="24"/>
                <w:lang w:val="ro-MD"/>
              </w:rPr>
              <w:t>caz,</w:t>
            </w:r>
            <w:r w:rsidRPr="00FF357F">
              <w:rPr>
                <w:b/>
                <w:spacing w:val="-1"/>
                <w:sz w:val="24"/>
                <w:szCs w:val="24"/>
                <w:lang w:val="ro-MD"/>
              </w:rPr>
              <w:t xml:space="preserve"> </w:t>
            </w:r>
            <w:r w:rsidRPr="00FF357F">
              <w:rPr>
                <w:b/>
                <w:sz w:val="24"/>
                <w:szCs w:val="24"/>
                <w:lang w:val="ro-MD"/>
              </w:rPr>
              <w:t>a</w:t>
            </w:r>
            <w:r w:rsidRPr="00FF357F">
              <w:rPr>
                <w:b/>
                <w:spacing w:val="-1"/>
                <w:sz w:val="24"/>
                <w:szCs w:val="24"/>
                <w:lang w:val="ro-MD"/>
              </w:rPr>
              <w:t xml:space="preserve"> </w:t>
            </w:r>
            <w:r w:rsidRPr="00FF357F">
              <w:rPr>
                <w:b/>
                <w:sz w:val="24"/>
                <w:szCs w:val="24"/>
                <w:lang w:val="ro-MD"/>
              </w:rPr>
              <w:t>participanţilor</w:t>
            </w:r>
            <w:r w:rsidRPr="00FF357F">
              <w:rPr>
                <w:b/>
                <w:spacing w:val="-2"/>
                <w:sz w:val="24"/>
                <w:szCs w:val="24"/>
                <w:lang w:val="ro-MD"/>
              </w:rPr>
              <w:t xml:space="preserve"> </w:t>
            </w:r>
            <w:r w:rsidRPr="00FF357F">
              <w:rPr>
                <w:b/>
                <w:sz w:val="24"/>
                <w:szCs w:val="24"/>
                <w:lang w:val="ro-MD"/>
              </w:rPr>
              <w:t>la</w:t>
            </w:r>
            <w:r w:rsidRPr="00FF357F">
              <w:rPr>
                <w:b/>
                <w:spacing w:val="-2"/>
                <w:sz w:val="24"/>
                <w:szCs w:val="24"/>
                <w:lang w:val="ro-MD"/>
              </w:rPr>
              <w:t xml:space="preserve"> </w:t>
            </w:r>
            <w:r w:rsidRPr="00FF357F">
              <w:rPr>
                <w:b/>
                <w:sz w:val="24"/>
                <w:szCs w:val="24"/>
                <w:lang w:val="ro-MD"/>
              </w:rPr>
              <w:t>elaborarea</w:t>
            </w:r>
            <w:r w:rsidRPr="00FF357F">
              <w:rPr>
                <w:b/>
                <w:spacing w:val="-1"/>
                <w:sz w:val="24"/>
                <w:szCs w:val="24"/>
                <w:lang w:val="ro-MD"/>
              </w:rPr>
              <w:t xml:space="preserve"> </w:t>
            </w:r>
            <w:r w:rsidRPr="00FF357F">
              <w:rPr>
                <w:b/>
                <w:sz w:val="24"/>
                <w:szCs w:val="24"/>
                <w:lang w:val="ro-MD"/>
              </w:rPr>
              <w:t>proiectului:</w:t>
            </w:r>
          </w:p>
          <w:p w14:paraId="5034B023" w14:textId="42948546"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sz w:val="24"/>
                <w:szCs w:val="24"/>
                <w:lang w:val="ro-MD"/>
              </w:rPr>
              <w:tab/>
              <w:t xml:space="preserve">Proiectul </w:t>
            </w:r>
            <w:r w:rsidR="00875238">
              <w:rPr>
                <w:rFonts w:ascii="Times New Roman" w:hAnsi="Times New Roman" w:cs="Times New Roman"/>
                <w:sz w:val="24"/>
                <w:szCs w:val="24"/>
                <w:lang w:val="ro-MD"/>
              </w:rPr>
              <w:t>de lege</w:t>
            </w:r>
            <w:r w:rsidRPr="00FF357F">
              <w:rPr>
                <w:rFonts w:ascii="Times New Roman" w:hAnsi="Times New Roman" w:cs="Times New Roman"/>
                <w:sz w:val="24"/>
                <w:szCs w:val="24"/>
                <w:lang w:val="ro-MD"/>
              </w:rPr>
              <w:t xml:space="preserve"> pentru modificarea şi completarea unor acte legislative, este elaborat de </w:t>
            </w:r>
            <w:r w:rsidRPr="00FF357F">
              <w:rPr>
                <w:rFonts w:ascii="Times New Roman" w:hAnsi="Times New Roman" w:cs="Times New Roman"/>
                <w:color w:val="000000" w:themeColor="text1"/>
                <w:sz w:val="24"/>
                <w:szCs w:val="24"/>
                <w:lang w:val="ro-MD"/>
              </w:rPr>
              <w:t>Agenția Relații Funciare și Cadastru</w:t>
            </w:r>
            <w:r w:rsidR="00EA7712">
              <w:rPr>
                <w:rFonts w:ascii="Times New Roman" w:hAnsi="Times New Roman" w:cs="Times New Roman"/>
                <w:color w:val="000000" w:themeColor="text1"/>
                <w:sz w:val="24"/>
                <w:szCs w:val="24"/>
                <w:lang w:val="ro-MD"/>
              </w:rPr>
              <w:t>, în comun cu</w:t>
            </w:r>
            <w:r w:rsidRPr="00FF357F">
              <w:rPr>
                <w:rFonts w:ascii="Times New Roman" w:hAnsi="Times New Roman" w:cs="Times New Roman"/>
                <w:sz w:val="24"/>
                <w:szCs w:val="24"/>
                <w:lang w:val="ro-MD"/>
              </w:rPr>
              <w:t xml:space="preserve"> Agenţia Servicii Publice.</w:t>
            </w:r>
          </w:p>
        </w:tc>
      </w:tr>
      <w:tr w:rsidR="00047E40" w:rsidRPr="00AE4FB2" w14:paraId="09B537F0" w14:textId="77777777" w:rsidTr="003404F6">
        <w:tc>
          <w:tcPr>
            <w:tcW w:w="9345" w:type="dxa"/>
          </w:tcPr>
          <w:p w14:paraId="4F20066E"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2. Condiţiile ce au impus elaborarea proiectului de act normativ şi finalităţile urmărite: </w:t>
            </w:r>
          </w:p>
          <w:p w14:paraId="78EAD883" w14:textId="481BAB8B" w:rsidR="00047E40" w:rsidRPr="00FF357F" w:rsidRDefault="00047E40" w:rsidP="00FF357F">
            <w:pPr>
              <w:spacing w:line="276" w:lineRule="auto"/>
              <w:ind w:firstLine="708"/>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Scopul proiectului este ajustarea cadrului juridic, în partea ce ține de domeniul infrastructurii tehnico-edilitare, la prevederile Legii 150/2017 cu privire la Registrul obiectivelor de infrastructură tehnico-edilitară.</w:t>
            </w:r>
          </w:p>
          <w:p w14:paraId="170263D4" w14:textId="600C049C" w:rsidR="00047E40" w:rsidRPr="00FF357F" w:rsidRDefault="00047E40" w:rsidP="00FF357F">
            <w:pPr>
              <w:spacing w:line="276" w:lineRule="auto"/>
              <w:ind w:firstLine="708"/>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Așadar, completările propuse la art. I-III și V-VII al proiectului au drept scop aducerea în concordanță a unor acte legislative cu Legea 150/2017 cu privire la Registrul obiectivelor de infrastructură tehnico-edilitară, prin includerea prevederilor privind înregistrarea obiectivelor de infrastructură tehnico-edilitare în Registrul acestora.</w:t>
            </w:r>
          </w:p>
          <w:p w14:paraId="51BC86DE" w14:textId="77777777"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RO"/>
              </w:rPr>
              <w:tab/>
              <w:t xml:space="preserve">Completările propuse la art. VIII prevăd modificarea și completarea unor articole din Legea nr.150/2017 </w:t>
            </w:r>
            <w:r w:rsidRPr="00FF357F">
              <w:rPr>
                <w:rFonts w:ascii="Times New Roman" w:hAnsi="Times New Roman" w:cs="Times New Roman"/>
                <w:sz w:val="24"/>
                <w:szCs w:val="24"/>
                <w:lang w:val="ro-MD"/>
              </w:rPr>
              <w:t>cu privire la Registrul obiectivelor de infrastructură tehnico-edilitară.</w:t>
            </w:r>
          </w:p>
          <w:p w14:paraId="488EDE18" w14:textId="77777777" w:rsidR="00047E40" w:rsidRPr="00FF357F" w:rsidRDefault="00047E40" w:rsidP="00FF357F">
            <w:pPr>
              <w:spacing w:line="276" w:lineRule="auto"/>
              <w:ind w:firstLine="708"/>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 xml:space="preserve">Completarea propusă la art. X al proiectului are drept scop simplificarea procedurii de delimitare după apartenență a obiectivelor de infrastructură tehnico-edilitare proprietate publică. </w:t>
            </w:r>
          </w:p>
          <w:p w14:paraId="2BEB2AB1" w14:textId="77777777" w:rsidR="00047E40" w:rsidRPr="00FF357F" w:rsidRDefault="00047E40" w:rsidP="00FF357F">
            <w:pPr>
              <w:spacing w:line="276" w:lineRule="auto"/>
              <w:ind w:firstLine="708"/>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Completarea propusă la art. 20 prevede excluderea alin (2</w:t>
            </w:r>
            <w:r w:rsidRPr="00FF357F">
              <w:rPr>
                <w:rFonts w:ascii="Times New Roman" w:hAnsi="Times New Roman" w:cs="Times New Roman"/>
                <w:sz w:val="24"/>
                <w:szCs w:val="24"/>
                <w:vertAlign w:val="superscript"/>
                <w:lang w:val="ro-RO"/>
              </w:rPr>
              <w:t>1</w:t>
            </w:r>
            <w:r w:rsidRPr="00FF357F">
              <w:rPr>
                <w:rFonts w:ascii="Times New Roman" w:hAnsi="Times New Roman" w:cs="Times New Roman"/>
                <w:sz w:val="24"/>
                <w:szCs w:val="24"/>
                <w:lang w:val="ro-RO"/>
              </w:rPr>
              <w:t xml:space="preserve">), deoarece astfel de cazuri (determinarea cotelor-părți) pot fi întâlnite atât la obiectivele de infrastructură proprietate publică cât și la cele private. Totodată completarea dată este inclusă la art. 21 alin </w:t>
            </w:r>
            <w:r w:rsidRPr="00FF357F">
              <w:rPr>
                <w:rFonts w:ascii="Times New Roman" w:hAnsi="Times New Roman" w:cs="Times New Roman"/>
                <w:sz w:val="24"/>
                <w:szCs w:val="24"/>
                <w:lang w:val="ro-MD"/>
              </w:rPr>
              <w:t>(3</w:t>
            </w:r>
            <w:r w:rsidRPr="00FF357F">
              <w:rPr>
                <w:rFonts w:ascii="Times New Roman" w:hAnsi="Times New Roman" w:cs="Times New Roman"/>
                <w:sz w:val="24"/>
                <w:szCs w:val="24"/>
                <w:vertAlign w:val="superscript"/>
                <w:lang w:val="ro-MD"/>
              </w:rPr>
              <w:t>1</w:t>
            </w:r>
            <w:r w:rsidRPr="00FF357F">
              <w:rPr>
                <w:rFonts w:ascii="Times New Roman" w:hAnsi="Times New Roman" w:cs="Times New Roman"/>
                <w:sz w:val="24"/>
                <w:szCs w:val="24"/>
                <w:lang w:val="ro-MD"/>
              </w:rPr>
              <w:t xml:space="preserve">) </w:t>
            </w:r>
            <w:r w:rsidRPr="00FF357F">
              <w:rPr>
                <w:rFonts w:ascii="Times New Roman" w:hAnsi="Times New Roman" w:cs="Times New Roman"/>
                <w:sz w:val="24"/>
                <w:szCs w:val="24"/>
                <w:lang w:val="ro-RO"/>
              </w:rPr>
              <w:t xml:space="preserve"> a Legii 150/2017. </w:t>
            </w:r>
          </w:p>
          <w:p w14:paraId="77D19852" w14:textId="77777777" w:rsidR="00047E40" w:rsidRPr="00FF357F" w:rsidRDefault="00047E40" w:rsidP="00FF357F">
            <w:pPr>
              <w:spacing w:line="276" w:lineRule="auto"/>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ab/>
              <w:t>Completările propuse la art. 22, alin. (5) din Legea nr. 29 din 05.04.2018 privind delimitarea proprietății publice, au drept scop:</w:t>
            </w:r>
          </w:p>
          <w:p w14:paraId="3ECD81B1" w14:textId="77777777" w:rsidR="00047E40" w:rsidRPr="00FF357F" w:rsidRDefault="00047E40" w:rsidP="00FF357F">
            <w:pPr>
              <w:pStyle w:val="a7"/>
              <w:numPr>
                <w:ilvl w:val="0"/>
                <w:numId w:val="2"/>
              </w:numPr>
              <w:spacing w:line="276" w:lineRule="auto"/>
              <w:ind w:left="0" w:firstLine="360"/>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 xml:space="preserve">completarea aliniatului (5) cu sintagma ”registrul obiectivelor de infrastructură tehnico-edilitare”; </w:t>
            </w:r>
          </w:p>
          <w:p w14:paraId="6CF53F89" w14:textId="77777777" w:rsidR="00047E40" w:rsidRPr="00FF357F" w:rsidRDefault="00047E40" w:rsidP="00FF357F">
            <w:pPr>
              <w:pStyle w:val="a7"/>
              <w:numPr>
                <w:ilvl w:val="0"/>
                <w:numId w:val="2"/>
              </w:numPr>
              <w:spacing w:line="276" w:lineRule="auto"/>
              <w:ind w:left="0" w:firstLine="360"/>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substituirea cuvântului ”suprafețele” prin cuvintele ”parametrii tehnici (suprafața, lungimea, volumul), deoarece unele bunuri imobile (ex. rețele de infrastructură tehnici-edilitară) au alți parametri tehnici de bază.</w:t>
            </w:r>
          </w:p>
          <w:p w14:paraId="39D3B435" w14:textId="0C23F00C" w:rsidR="00047E40" w:rsidRPr="00FF357F" w:rsidRDefault="00047E40" w:rsidP="00FF357F">
            <w:pPr>
              <w:spacing w:line="276" w:lineRule="auto"/>
              <w:ind w:firstLine="708"/>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Finalitățile urmărite au drept scop dezvoltarea cadrului juridic în domeniul infrastructurii tehnico-edilitare și funcționarea eficientă a  Registrului obiectivelor de infrastructură tehnico-edilitară.</w:t>
            </w:r>
          </w:p>
        </w:tc>
      </w:tr>
      <w:tr w:rsidR="00047E40" w:rsidRPr="00FF357F" w14:paraId="0976DF00" w14:textId="77777777" w:rsidTr="003404F6">
        <w:tc>
          <w:tcPr>
            <w:tcW w:w="9345" w:type="dxa"/>
          </w:tcPr>
          <w:p w14:paraId="082FAE22"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3. Descrierea gradului de compatibilitate pentru proiectele care au scop armonizarea legislaţiei naţionale cu legislaţia Uniunii Europene. </w:t>
            </w:r>
          </w:p>
          <w:p w14:paraId="28380DD1" w14:textId="77777777"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b/>
              <w:t>Nu este cazul.</w:t>
            </w:r>
          </w:p>
        </w:tc>
      </w:tr>
      <w:tr w:rsidR="00047E40" w:rsidRPr="00AE4FB2" w14:paraId="03926A69" w14:textId="77777777" w:rsidTr="003404F6">
        <w:tc>
          <w:tcPr>
            <w:tcW w:w="9345" w:type="dxa"/>
          </w:tcPr>
          <w:p w14:paraId="6221052E" w14:textId="485280A0"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4. Principalele prevederi ale proiectului şi evidenţierea elementelor noi Prezentul proiect de hotărîre a Guvernului prevede: </w:t>
            </w:r>
          </w:p>
          <w:p w14:paraId="28951D9F" w14:textId="243C7646" w:rsidR="00047E40" w:rsidRPr="00FF357F" w:rsidRDefault="00FF357F" w:rsidP="00FF357F">
            <w:pPr>
              <w:spacing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ab/>
            </w:r>
            <w:r w:rsidR="00047E40" w:rsidRPr="00FF357F">
              <w:rPr>
                <w:rFonts w:ascii="Times New Roman" w:hAnsi="Times New Roman" w:cs="Times New Roman"/>
                <w:b/>
                <w:bCs/>
                <w:sz w:val="24"/>
                <w:szCs w:val="24"/>
                <w:lang w:val="ro-MD"/>
              </w:rPr>
              <w:t>Art. I</w:t>
            </w:r>
            <w:r w:rsidR="00047E40" w:rsidRPr="00FF357F">
              <w:rPr>
                <w:rFonts w:ascii="Times New Roman" w:hAnsi="Times New Roman" w:cs="Times New Roman"/>
                <w:sz w:val="24"/>
                <w:szCs w:val="24"/>
                <w:lang w:val="ro-MD"/>
              </w:rPr>
              <w:t xml:space="preserve"> al proiectului prevede ca art. </w:t>
            </w:r>
            <w:r w:rsidR="00047E40" w:rsidRPr="00FF357F">
              <w:rPr>
                <w:rFonts w:ascii="Times New Roman" w:hAnsi="Times New Roman" w:cs="Times New Roman"/>
                <w:sz w:val="24"/>
                <w:szCs w:val="24"/>
                <w:lang w:val="ro-RO"/>
              </w:rPr>
              <w:t>10</w:t>
            </w:r>
            <w:r w:rsidR="00047E40" w:rsidRPr="00FF357F">
              <w:rPr>
                <w:rFonts w:ascii="Times New Roman" w:hAnsi="Times New Roman" w:cs="Times New Roman"/>
                <w:sz w:val="24"/>
                <w:szCs w:val="24"/>
                <w:vertAlign w:val="superscript"/>
                <w:lang w:val="ro-RO"/>
              </w:rPr>
              <w:t>1</w:t>
            </w:r>
            <w:r w:rsidR="00047E40" w:rsidRPr="00FF357F">
              <w:rPr>
                <w:rFonts w:ascii="Times New Roman" w:hAnsi="Times New Roman" w:cs="Times New Roman"/>
                <w:sz w:val="24"/>
                <w:szCs w:val="24"/>
                <w:lang w:val="ro-RO"/>
              </w:rPr>
              <w:t xml:space="preserve"> din Legea nr. 121 din 04 mai 2007 privind modul de delimitare a bunurilor imobile proprietate publică să fie expus în redacție nouă, ținând cont de faptul că în anul 2018 a fost aprobată Legea nr. 29/2018 privind delimitarea proprietății </w:t>
            </w:r>
            <w:r w:rsidR="00047E40" w:rsidRPr="00FF357F">
              <w:rPr>
                <w:rFonts w:ascii="Times New Roman" w:hAnsi="Times New Roman" w:cs="Times New Roman"/>
                <w:sz w:val="24"/>
                <w:szCs w:val="24"/>
                <w:lang w:val="ro-RO"/>
              </w:rPr>
              <w:lastRenderedPageBreak/>
              <w:t>publice.</w:t>
            </w:r>
            <w:r w:rsidR="00047E40" w:rsidRPr="00FF357F">
              <w:rPr>
                <w:rFonts w:ascii="Times New Roman" w:hAnsi="Times New Roman" w:cs="Times New Roman"/>
                <w:sz w:val="24"/>
                <w:szCs w:val="24"/>
                <w:lang w:val="ro-MD"/>
              </w:rPr>
              <w:br/>
              <w:t xml:space="preserve">Modificările şi completările propuse la </w:t>
            </w:r>
            <w:r w:rsidR="00047E40" w:rsidRPr="00FF357F">
              <w:rPr>
                <w:rFonts w:ascii="Times New Roman" w:hAnsi="Times New Roman" w:cs="Times New Roman"/>
                <w:b/>
                <w:bCs/>
                <w:sz w:val="24"/>
                <w:szCs w:val="24"/>
                <w:lang w:val="ro-MD"/>
              </w:rPr>
              <w:t>art. II – IV, VI-VIII:</w:t>
            </w:r>
            <w:r w:rsidR="00047E40" w:rsidRPr="00FF357F">
              <w:rPr>
                <w:rFonts w:ascii="Times New Roman" w:hAnsi="Times New Roman" w:cs="Times New Roman"/>
                <w:sz w:val="24"/>
                <w:szCs w:val="24"/>
                <w:lang w:val="ro-MD"/>
              </w:rPr>
              <w:t xml:space="preserve"> </w:t>
            </w:r>
          </w:p>
          <w:p w14:paraId="7B9E315A" w14:textId="77777777" w:rsidR="00047E40" w:rsidRPr="00FF357F" w:rsidRDefault="00047E40" w:rsidP="00FF357F">
            <w:pPr>
              <w:autoSpaceDE w:val="0"/>
              <w:autoSpaceDN w:val="0"/>
              <w:adjustRightInd w:val="0"/>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Prin Legea nr.154/2015 în unele acte legislative în domeniul infrastructurii tehnico-edilitare (</w:t>
            </w:r>
            <w:r w:rsidRPr="00FF357F">
              <w:rPr>
                <w:rFonts w:ascii="Times New Roman" w:hAnsi="Times New Roman" w:cs="Times New Roman"/>
                <w:i/>
                <w:sz w:val="24"/>
                <w:szCs w:val="24"/>
                <w:lang w:val="ro-MD" w:eastAsia="zh-CN"/>
              </w:rPr>
              <w:t>Legea drumurilor nr. 509/1995, Legea nr. 592/1995 privind transportul prin conducte magistrale, Legea aviației civile nr. 1237/1997, Legea nr. 272/1999 cu privire la apa potabilă, Codul navigației maritime comerciale al Republicii Moldova, aprobat prin Legea nr. 599/1999, Legea nr. 461/2001 privind piaţa produselor petroliere, Legea serviciilor publice de gospodărie comunală nr. 1402/ 2002, Codul transportului feroviar nr. 309/2003, Legea comunicațiilor electronice nr. 241/2007, Legea nr. 123/2009 cu privire la gazele naturale, Legea nr. 124/2009 cu privire la energia electrică</w:t>
            </w:r>
            <w:r w:rsidRPr="00FF357F">
              <w:rPr>
                <w:rFonts w:ascii="Times New Roman" w:hAnsi="Times New Roman" w:cs="Times New Roman"/>
                <w:sz w:val="24"/>
                <w:szCs w:val="24"/>
                <w:lang w:val="ro-MD" w:eastAsia="zh-CN"/>
              </w:rPr>
              <w:t>)</w:t>
            </w:r>
            <w:r w:rsidRPr="00FF357F">
              <w:rPr>
                <w:rFonts w:ascii="Times New Roman" w:hAnsi="Times New Roman" w:cs="Times New Roman"/>
                <w:sz w:val="24"/>
                <w:szCs w:val="24"/>
                <w:lang w:val="ro-MD"/>
              </w:rPr>
              <w:t xml:space="preserve"> au fost incluse articole ce prevăd că obiectivele de infrastructură tehnico-edilitare respective se înregistrează în Registrul acestora. Pe parcursul anilor unele legi au fost abrogate (</w:t>
            </w:r>
            <w:r w:rsidRPr="00FF357F">
              <w:rPr>
                <w:rFonts w:ascii="Times New Roman" w:hAnsi="Times New Roman" w:cs="Times New Roman"/>
                <w:i/>
                <w:iCs/>
                <w:sz w:val="24"/>
                <w:szCs w:val="24"/>
                <w:lang w:val="ro-MD"/>
              </w:rPr>
              <w:t>ex.</w:t>
            </w:r>
            <w:r w:rsidRPr="00FF357F">
              <w:rPr>
                <w:rFonts w:ascii="Times New Roman" w:hAnsi="Times New Roman" w:cs="Times New Roman"/>
                <w:i/>
                <w:iCs/>
                <w:sz w:val="24"/>
                <w:szCs w:val="24"/>
                <w:lang w:val="ro-MD" w:eastAsia="zh-CN"/>
              </w:rPr>
              <w:t xml:space="preserve"> Legea nr. 123/2009 cu privire la gazele naturale, Legea nr. 124/2009 cu privire la energia electrică</w:t>
            </w:r>
            <w:r w:rsidRPr="00FF357F">
              <w:rPr>
                <w:rFonts w:ascii="Times New Roman" w:hAnsi="Times New Roman" w:cs="Times New Roman"/>
                <w:sz w:val="24"/>
                <w:szCs w:val="24"/>
                <w:lang w:val="ro-MD" w:eastAsia="zh-CN"/>
              </w:rPr>
              <w:t>)</w:t>
            </w:r>
            <w:r w:rsidRPr="00FF357F">
              <w:rPr>
                <w:rFonts w:ascii="Times New Roman" w:hAnsi="Times New Roman" w:cs="Times New Roman"/>
                <w:sz w:val="24"/>
                <w:szCs w:val="24"/>
                <w:lang w:val="ro-MD"/>
              </w:rPr>
              <w:t xml:space="preserve"> și aprobate legi noi în domeniul infrastructurii tehnico-edilitare </w:t>
            </w:r>
            <w:r w:rsidRPr="00FF357F">
              <w:rPr>
                <w:rFonts w:ascii="Times New Roman" w:hAnsi="Times New Roman" w:cs="Times New Roman"/>
                <w:i/>
                <w:sz w:val="24"/>
                <w:szCs w:val="24"/>
                <w:lang w:val="ro-MD"/>
              </w:rPr>
              <w:t>(</w:t>
            </w:r>
            <w:r w:rsidRPr="00FF357F">
              <w:rPr>
                <w:rFonts w:ascii="Times New Roman" w:hAnsi="Times New Roman" w:cs="Times New Roman"/>
                <w:i/>
                <w:sz w:val="24"/>
                <w:szCs w:val="24"/>
                <w:lang w:val="ro-RO"/>
              </w:rPr>
              <w:t>Legea nr. 107/2016 cu privire la energia electrică, Legea nr. 108 /2016 privind gazele naturale</w:t>
            </w:r>
            <w:r w:rsidRPr="00FF357F">
              <w:rPr>
                <w:rFonts w:ascii="Times New Roman" w:hAnsi="Times New Roman" w:cs="Times New Roman"/>
                <w:i/>
                <w:sz w:val="24"/>
                <w:szCs w:val="24"/>
                <w:lang w:val="ro-MD"/>
              </w:rPr>
              <w:t>,</w:t>
            </w:r>
            <w:r w:rsidRPr="00FF357F">
              <w:rPr>
                <w:rFonts w:ascii="Times New Roman" w:hAnsi="Times New Roman" w:cs="Times New Roman"/>
                <w:i/>
                <w:sz w:val="24"/>
                <w:szCs w:val="24"/>
                <w:lang w:val="ro-RO"/>
              </w:rPr>
              <w:t xml:space="preserve"> Legea nr.209/2016 privind deșeurile, Legea nr.92/2014 cu privire la energia termică și promovarea cogenerării, Legea nr. 303/2013 privind serviciul public de alimentare cu apă și de canalizare, Legea apelor nr.272 din 2011</w:t>
            </w:r>
            <w:r w:rsidRPr="00FF357F">
              <w:rPr>
                <w:rFonts w:ascii="Times New Roman" w:hAnsi="Times New Roman" w:cs="Times New Roman"/>
                <w:sz w:val="24"/>
                <w:szCs w:val="24"/>
                <w:lang w:val="ro-RO"/>
              </w:rPr>
              <w:t xml:space="preserve">) </w:t>
            </w:r>
            <w:r w:rsidRPr="00FF357F">
              <w:rPr>
                <w:rFonts w:ascii="Times New Roman" w:hAnsi="Times New Roman" w:cs="Times New Roman"/>
                <w:sz w:val="24"/>
                <w:szCs w:val="24"/>
                <w:lang w:val="ro-MD"/>
              </w:rPr>
              <w:t xml:space="preserve"> însă aceste acte legislative nu conțin prevederi privind înregistrarea obiectivelor de infrastructură tehnico-edilitare în Registrul acestora.</w:t>
            </w:r>
          </w:p>
          <w:p w14:paraId="7ED84CAB" w14:textId="3E922D7A" w:rsidR="00047E40" w:rsidRPr="00FF357F" w:rsidRDefault="00FF357F" w:rsidP="00FF357F">
            <w:pPr>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ab/>
            </w:r>
            <w:r w:rsidR="00047E40" w:rsidRPr="00FF357F">
              <w:rPr>
                <w:rFonts w:ascii="Times New Roman" w:hAnsi="Times New Roman" w:cs="Times New Roman"/>
                <w:sz w:val="24"/>
                <w:szCs w:val="24"/>
                <w:lang w:val="ro-MD"/>
              </w:rPr>
              <w:t xml:space="preserve">Astfel, </w:t>
            </w:r>
            <w:r w:rsidR="00047E40" w:rsidRPr="00FF357F">
              <w:rPr>
                <w:rFonts w:ascii="Times New Roman" w:hAnsi="Times New Roman" w:cs="Times New Roman"/>
                <w:b/>
                <w:bCs/>
                <w:sz w:val="24"/>
                <w:szCs w:val="24"/>
                <w:lang w:val="ro-MD"/>
              </w:rPr>
              <w:t>art. II – IV, VI-VIII</w:t>
            </w:r>
            <w:r w:rsidR="00047E40" w:rsidRPr="00FF357F">
              <w:rPr>
                <w:rFonts w:ascii="Times New Roman" w:hAnsi="Times New Roman" w:cs="Times New Roman"/>
                <w:sz w:val="24"/>
                <w:szCs w:val="24"/>
                <w:lang w:val="ro-MD"/>
              </w:rPr>
              <w:t xml:space="preserve"> ale proiectului  prevăd completarea unor acte legislative (</w:t>
            </w:r>
            <w:r w:rsidR="00047E40" w:rsidRPr="00FF357F">
              <w:rPr>
                <w:rFonts w:ascii="Times New Roman" w:hAnsi="Times New Roman" w:cs="Times New Roman"/>
                <w:i/>
                <w:sz w:val="24"/>
                <w:szCs w:val="24"/>
                <w:lang w:val="ro-RO"/>
              </w:rPr>
              <w:t>Legea nr. 107/2016 cu privire la energia electrică, Legea nr. 108 /2016 privind gazele naturale</w:t>
            </w:r>
            <w:r w:rsidR="00047E40" w:rsidRPr="00FF357F">
              <w:rPr>
                <w:rFonts w:ascii="Times New Roman" w:hAnsi="Times New Roman" w:cs="Times New Roman"/>
                <w:i/>
                <w:sz w:val="24"/>
                <w:szCs w:val="24"/>
                <w:lang w:val="ro-MD"/>
              </w:rPr>
              <w:t>,</w:t>
            </w:r>
            <w:r w:rsidR="00047E40" w:rsidRPr="00FF357F">
              <w:rPr>
                <w:rFonts w:ascii="Times New Roman" w:hAnsi="Times New Roman" w:cs="Times New Roman"/>
                <w:i/>
                <w:sz w:val="24"/>
                <w:szCs w:val="24"/>
                <w:lang w:val="ro-RO"/>
              </w:rPr>
              <w:t xml:space="preserve"> Legea nr.209/2016 privind deșeurile, Legea nr.92/2014 cu privire la energia termică și promovarea cogenerării, Legea nr. 303/2013 privind serviciul public de alimentare cu apă și de canalizare, Legea apelor nr.272 din 2011</w:t>
            </w:r>
            <w:r w:rsidR="00047E40" w:rsidRPr="00FF357F">
              <w:rPr>
                <w:rFonts w:ascii="Times New Roman" w:hAnsi="Times New Roman" w:cs="Times New Roman"/>
                <w:sz w:val="24"/>
                <w:szCs w:val="24"/>
                <w:lang w:val="ro-MD"/>
              </w:rPr>
              <w:t>) cu aliniate care prevăd înregistrarea  obiectivelor de infrastructură tehnico-edilitară în Registrul acestora. Propunerile de modificare și completare a actelor legislative menționate au drept scop funcționarea eficientă a Registrului.</w:t>
            </w:r>
          </w:p>
          <w:p w14:paraId="4B022971" w14:textId="5A8F4EAF" w:rsidR="00047E40" w:rsidRPr="00FF357F" w:rsidRDefault="00FF357F" w:rsidP="00FF357F">
            <w:pPr>
              <w:tabs>
                <w:tab w:val="left" w:pos="1276"/>
              </w:tabs>
              <w:spacing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 xml:space="preserve">           </w:t>
            </w:r>
            <w:r w:rsidR="00047E40" w:rsidRPr="00FF357F">
              <w:rPr>
                <w:rFonts w:ascii="Times New Roman" w:hAnsi="Times New Roman" w:cs="Times New Roman"/>
                <w:b/>
                <w:bCs/>
                <w:sz w:val="24"/>
                <w:szCs w:val="24"/>
                <w:lang w:val="ro-MD"/>
              </w:rPr>
              <w:t>Art. V</w:t>
            </w:r>
            <w:r w:rsidR="00047E40" w:rsidRPr="00FF357F">
              <w:rPr>
                <w:rFonts w:ascii="Times New Roman" w:hAnsi="Times New Roman" w:cs="Times New Roman"/>
                <w:sz w:val="24"/>
                <w:szCs w:val="24"/>
                <w:lang w:val="ro-MD"/>
              </w:rPr>
              <w:t xml:space="preserve"> al proiectului modifică data intrării în vigoare a Legii </w:t>
            </w:r>
            <w:r w:rsidR="00047E40" w:rsidRPr="00FF357F">
              <w:rPr>
                <w:rFonts w:ascii="Times New Roman" w:hAnsi="Times New Roman" w:cs="Times New Roman"/>
                <w:sz w:val="24"/>
                <w:szCs w:val="24"/>
                <w:lang w:val="ro-RO"/>
              </w:rPr>
              <w:t>nr.154 din 30 iulie 2015 pentru modificarea și completarea unor acte legislative</w:t>
            </w:r>
            <w:r w:rsidR="00047E40" w:rsidRPr="00FF357F">
              <w:rPr>
                <w:rFonts w:ascii="Times New Roman" w:hAnsi="Times New Roman" w:cs="Times New Roman"/>
                <w:sz w:val="24"/>
                <w:szCs w:val="24"/>
                <w:lang w:val="ro-MD"/>
              </w:rPr>
              <w:t xml:space="preserve"> și stabilește data intrării în vigoare a proiectului în cauză – 1 iunie 2024, argumentele fiind următoarele: </w:t>
            </w:r>
            <w:r w:rsidR="00047E40" w:rsidRPr="00FF357F">
              <w:rPr>
                <w:rFonts w:ascii="Times New Roman" w:hAnsi="Times New Roman" w:cs="Times New Roman"/>
                <w:sz w:val="24"/>
                <w:szCs w:val="24"/>
                <w:lang w:val="ro-RO"/>
              </w:rPr>
              <w:t>Actualmente  Agenția Servicii Publice prin intermediul Departamentului cadastru implementează în Republica Moldova  Proiectul ”Înregistrarea și evaluarea bunurilor imobile”. Proiectul în cauză are drept obiectiv finalizarea înregistrării primare masive a tuturor bunurilor imobile proprietate privată și publică, precum și alte obiective, printre care și elaborarea sistemului informațional automatizat Registrul obiectivelor de infrastructură tehnico-edilitară, prevăzut de Legea nr. 150/2017. Conform Planului de implementare a Proiectului SIA ROITE se prevede a fi elaborat în iunie, 2024.</w:t>
            </w:r>
          </w:p>
          <w:p w14:paraId="2CFCAE7E" w14:textId="56DCDE1E" w:rsidR="00047E40" w:rsidRPr="00FF357F" w:rsidRDefault="00FF357F" w:rsidP="00FF357F">
            <w:pPr>
              <w:tabs>
                <w:tab w:val="left" w:pos="1276"/>
              </w:tabs>
              <w:spacing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 xml:space="preserve">            </w:t>
            </w:r>
            <w:r w:rsidR="00047E40" w:rsidRPr="00FF357F">
              <w:rPr>
                <w:rFonts w:ascii="Times New Roman" w:hAnsi="Times New Roman" w:cs="Times New Roman"/>
                <w:b/>
                <w:bCs/>
                <w:sz w:val="24"/>
                <w:szCs w:val="24"/>
                <w:lang w:val="ro-MD"/>
              </w:rPr>
              <w:t>Art. IX</w:t>
            </w:r>
            <w:r w:rsidR="00047E40" w:rsidRPr="00FF357F">
              <w:rPr>
                <w:rFonts w:ascii="Times New Roman" w:hAnsi="Times New Roman" w:cs="Times New Roman"/>
                <w:sz w:val="24"/>
                <w:szCs w:val="24"/>
                <w:lang w:val="ro-MD"/>
              </w:rPr>
              <w:t xml:space="preserve"> al proiectului prevede modificarea și completarea Legii 150/2017 cu privire la Registrul obiectivelor de infrastructură tehnico-edilitară prin:</w:t>
            </w:r>
          </w:p>
          <w:p w14:paraId="74BED476" w14:textId="77777777" w:rsidR="00047E40" w:rsidRPr="00FF357F" w:rsidRDefault="00047E40" w:rsidP="00FF357F">
            <w:pPr>
              <w:pStyle w:val="a7"/>
              <w:numPr>
                <w:ilvl w:val="0"/>
                <w:numId w:val="4"/>
              </w:numPr>
              <w:tabs>
                <w:tab w:val="left" w:pos="851"/>
                <w:tab w:val="left" w:pos="1276"/>
              </w:tabs>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excluderea din articolul 2, la noțiunea ”înregistrare primară” cuvintele ”</w:t>
            </w:r>
            <w:r w:rsidRPr="00FF357F">
              <w:rPr>
                <w:rFonts w:ascii="Times New Roman" w:hAnsi="Times New Roman" w:cs="Times New Roman"/>
                <w:sz w:val="24"/>
                <w:szCs w:val="24"/>
                <w:shd w:val="clear" w:color="auto" w:fill="FFFFFF"/>
                <w:lang w:val="ro-MD"/>
              </w:rPr>
              <w:t>și interdicțiile privind folosința terenurilor incluse în zona de protecție”, deoarece interdicțiile nu vor fi înregistrate în Registru, doar se va face referință la actele normative</w:t>
            </w:r>
            <w:r w:rsidRPr="00FF357F">
              <w:rPr>
                <w:rFonts w:ascii="Times New Roman" w:hAnsi="Times New Roman" w:cs="Times New Roman"/>
                <w:sz w:val="24"/>
                <w:szCs w:val="24"/>
                <w:lang w:val="ro-MD"/>
              </w:rPr>
              <w:t xml:space="preserve"> care stabilește zona de protecție;</w:t>
            </w:r>
          </w:p>
          <w:p w14:paraId="57E9B803" w14:textId="77777777" w:rsidR="00047E40" w:rsidRPr="00FF357F" w:rsidRDefault="00047E40" w:rsidP="00FF357F">
            <w:pPr>
              <w:pStyle w:val="a7"/>
              <w:numPr>
                <w:ilvl w:val="0"/>
                <w:numId w:val="4"/>
              </w:numPr>
              <w:tabs>
                <w:tab w:val="left" w:pos="709"/>
                <w:tab w:val="left" w:pos="1276"/>
              </w:tabs>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includerea la articolul 4 alin. (3) o clasificare mai detaliată a obiectivelor de infrastructură tehnico-edilitară. Clasificatorul a fost consultat cu titularii de drepturi asupra obiectivelor de infrastructură tehnico-edilitară;</w:t>
            </w:r>
          </w:p>
          <w:p w14:paraId="3C4542C0" w14:textId="77777777" w:rsidR="00047E40" w:rsidRPr="00FF357F" w:rsidRDefault="00047E40" w:rsidP="00FF357F">
            <w:pPr>
              <w:pStyle w:val="a7"/>
              <w:numPr>
                <w:ilvl w:val="0"/>
                <w:numId w:val="4"/>
              </w:numPr>
              <w:tabs>
                <w:tab w:val="left" w:pos="709"/>
                <w:tab w:val="left" w:pos="1276"/>
              </w:tabs>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lastRenderedPageBreak/>
              <w:t>excluderea din lit. c) la art. 21 alin. (3) trimiterea la ”art. 10</w:t>
            </w:r>
            <w:r w:rsidRPr="00FF357F">
              <w:rPr>
                <w:rFonts w:ascii="Times New Roman" w:hAnsi="Times New Roman" w:cs="Times New Roman"/>
                <w:sz w:val="24"/>
                <w:szCs w:val="24"/>
                <w:vertAlign w:val="superscript"/>
                <w:lang w:val="ro-MD"/>
              </w:rPr>
              <w:t>1</w:t>
            </w:r>
            <w:r w:rsidRPr="00FF357F">
              <w:rPr>
                <w:rFonts w:ascii="Times New Roman" w:hAnsi="Times New Roman" w:cs="Times New Roman"/>
                <w:sz w:val="24"/>
                <w:szCs w:val="24"/>
                <w:lang w:val="ro-MD"/>
              </w:rPr>
              <w:t xml:space="preserve"> din Legea nr. 121/2007 privind administrarea și deetatizarea proprietății publice” ținând cont de existența Legii nr. 29/2018 privind delimitarea proprietății publice și propunerea la art. I a prezentei Legi de a expune art. </w:t>
            </w:r>
            <w:r w:rsidRPr="00FF357F">
              <w:rPr>
                <w:rFonts w:ascii="Times New Roman" w:hAnsi="Times New Roman" w:cs="Times New Roman"/>
                <w:sz w:val="24"/>
                <w:szCs w:val="24"/>
                <w:lang w:val="ro-RO"/>
              </w:rPr>
              <w:t>10</w:t>
            </w:r>
            <w:r w:rsidRPr="00FF357F">
              <w:rPr>
                <w:rFonts w:ascii="Times New Roman" w:hAnsi="Times New Roman" w:cs="Times New Roman"/>
                <w:sz w:val="24"/>
                <w:szCs w:val="24"/>
                <w:vertAlign w:val="superscript"/>
                <w:lang w:val="ro-RO"/>
              </w:rPr>
              <w:t>1</w:t>
            </w:r>
            <w:r w:rsidRPr="00FF357F">
              <w:rPr>
                <w:rFonts w:ascii="Times New Roman" w:hAnsi="Times New Roman" w:cs="Times New Roman"/>
                <w:sz w:val="24"/>
                <w:szCs w:val="24"/>
                <w:lang w:val="ro-RO"/>
              </w:rPr>
              <w:t xml:space="preserve"> din Legea nr. 121 din 04 mai 2007 în redacție nouă.</w:t>
            </w:r>
          </w:p>
          <w:p w14:paraId="481E9CA9" w14:textId="6600C786" w:rsidR="00047E40" w:rsidRPr="00FF357F" w:rsidRDefault="00047E40" w:rsidP="00FF357F">
            <w:pPr>
              <w:pStyle w:val="a7"/>
              <w:numPr>
                <w:ilvl w:val="0"/>
                <w:numId w:val="4"/>
              </w:numPr>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RO"/>
              </w:rPr>
              <w:t xml:space="preserve">excluderea </w:t>
            </w:r>
            <w:r w:rsidRPr="00FF357F">
              <w:rPr>
                <w:rFonts w:ascii="Times New Roman" w:hAnsi="Times New Roman" w:cs="Times New Roman"/>
                <w:sz w:val="24"/>
                <w:szCs w:val="24"/>
                <w:lang w:val="ro-MD"/>
              </w:rPr>
              <w:t>literei f) din aliniatul (2) sub aliniatul 1) din</w:t>
            </w:r>
            <w:r w:rsidRPr="00FF357F">
              <w:rPr>
                <w:rFonts w:ascii="Times New Roman" w:hAnsi="Times New Roman" w:cs="Times New Roman"/>
                <w:sz w:val="24"/>
                <w:szCs w:val="24"/>
                <w:lang w:val="ro-RO"/>
              </w:rPr>
              <w:t xml:space="preserve"> art. 7</w:t>
            </w:r>
            <w:r w:rsidRPr="00FF357F">
              <w:rPr>
                <w:rFonts w:ascii="Times New Roman" w:hAnsi="Times New Roman" w:cs="Times New Roman"/>
                <w:sz w:val="24"/>
                <w:szCs w:val="24"/>
                <w:lang w:val="ro-MD"/>
              </w:rPr>
              <w:t xml:space="preserve"> deoarece la elaborarea specificațiilor tehnice pentru SIA ROITE numărul și denumirea elementelor structurale nu vor fi înscrise în fișierul Registrului, doar vor fi reprezentate pe plan, iar datele atributive vor fi ținute în baza de date a Registrului.</w:t>
            </w:r>
          </w:p>
          <w:p w14:paraId="596CE239" w14:textId="77777777" w:rsidR="00047E40" w:rsidRPr="00FF357F" w:rsidRDefault="00047E40" w:rsidP="00FF357F">
            <w:pPr>
              <w:pStyle w:val="a7"/>
              <w:numPr>
                <w:ilvl w:val="0"/>
                <w:numId w:val="4"/>
              </w:numPr>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excluderea lit. i) din aliniatul (2) sub-aliniatul 4) din</w:t>
            </w:r>
            <w:r w:rsidRPr="00FF357F">
              <w:rPr>
                <w:rFonts w:ascii="Times New Roman" w:hAnsi="Times New Roman" w:cs="Times New Roman"/>
                <w:sz w:val="24"/>
                <w:szCs w:val="24"/>
                <w:lang w:val="ro-RO"/>
              </w:rPr>
              <w:t xml:space="preserve"> art. 7</w:t>
            </w:r>
            <w:r w:rsidRPr="00FF357F">
              <w:rPr>
                <w:rFonts w:ascii="Times New Roman" w:hAnsi="Times New Roman" w:cs="Times New Roman"/>
                <w:sz w:val="24"/>
                <w:szCs w:val="24"/>
                <w:lang w:val="ro-MD"/>
              </w:rPr>
              <w:t xml:space="preserve"> deoarece </w:t>
            </w:r>
            <w:r w:rsidRPr="00FF357F">
              <w:rPr>
                <w:rFonts w:ascii="Times New Roman" w:hAnsi="Times New Roman" w:cs="Times New Roman"/>
                <w:sz w:val="24"/>
                <w:szCs w:val="24"/>
                <w:shd w:val="clear" w:color="auto" w:fill="FFFFFF"/>
                <w:lang w:val="ro-MD"/>
              </w:rPr>
              <w:t>interdicțiile nu vor fi înregistrate în Registru, doar se va face referință la actul normativ care</w:t>
            </w:r>
            <w:r w:rsidRPr="00FF357F">
              <w:rPr>
                <w:rFonts w:ascii="Times New Roman" w:hAnsi="Times New Roman" w:cs="Times New Roman"/>
                <w:i/>
                <w:iCs/>
                <w:sz w:val="24"/>
                <w:szCs w:val="24"/>
                <w:lang w:val="ro-RO"/>
              </w:rPr>
              <w:t xml:space="preserve"> </w:t>
            </w:r>
            <w:r w:rsidRPr="00FF357F">
              <w:rPr>
                <w:rFonts w:ascii="Times New Roman" w:hAnsi="Times New Roman" w:cs="Times New Roman"/>
                <w:sz w:val="24"/>
                <w:szCs w:val="24"/>
                <w:lang w:val="ro-RO"/>
              </w:rPr>
              <w:t>stabilește restricțiile în zona de protecție;</w:t>
            </w:r>
          </w:p>
          <w:p w14:paraId="412F94F3" w14:textId="77777777" w:rsidR="00047E40" w:rsidRPr="00FF357F" w:rsidRDefault="00047E40" w:rsidP="00FF357F">
            <w:pPr>
              <w:pStyle w:val="a7"/>
              <w:numPr>
                <w:ilvl w:val="0"/>
                <w:numId w:val="4"/>
              </w:numPr>
              <w:tabs>
                <w:tab w:val="left" w:pos="851"/>
                <w:tab w:val="left" w:pos="1276"/>
              </w:tabs>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completarea art. 21 cu aliniatele (3</w:t>
            </w:r>
            <w:r w:rsidRPr="00FF357F">
              <w:rPr>
                <w:rFonts w:ascii="Times New Roman" w:hAnsi="Times New Roman" w:cs="Times New Roman"/>
                <w:sz w:val="24"/>
                <w:szCs w:val="24"/>
                <w:vertAlign w:val="superscript"/>
                <w:lang w:val="ro-MD"/>
              </w:rPr>
              <w:t>1</w:t>
            </w:r>
            <w:r w:rsidRPr="00FF357F">
              <w:rPr>
                <w:rFonts w:ascii="Times New Roman" w:hAnsi="Times New Roman" w:cs="Times New Roman"/>
                <w:sz w:val="24"/>
                <w:szCs w:val="24"/>
                <w:lang w:val="ro-MD"/>
              </w:rPr>
              <w:t>- 3</w:t>
            </w:r>
            <w:r w:rsidRPr="00FF357F">
              <w:rPr>
                <w:rFonts w:ascii="Times New Roman" w:hAnsi="Times New Roman" w:cs="Times New Roman"/>
                <w:sz w:val="24"/>
                <w:szCs w:val="24"/>
                <w:vertAlign w:val="superscript"/>
                <w:lang w:val="ro-MD"/>
              </w:rPr>
              <w:t>3</w:t>
            </w:r>
            <w:r w:rsidRPr="00FF357F">
              <w:rPr>
                <w:rFonts w:ascii="Times New Roman" w:hAnsi="Times New Roman" w:cs="Times New Roman"/>
                <w:sz w:val="24"/>
                <w:szCs w:val="24"/>
                <w:lang w:val="ro-MD"/>
              </w:rPr>
              <w:t>) pentru reglementarea chestiunilor legate de: i) (3</w:t>
            </w:r>
            <w:r w:rsidRPr="00FF357F">
              <w:rPr>
                <w:rFonts w:ascii="Times New Roman" w:hAnsi="Times New Roman" w:cs="Times New Roman"/>
                <w:sz w:val="24"/>
                <w:szCs w:val="24"/>
                <w:vertAlign w:val="superscript"/>
                <w:lang w:val="ro-MD"/>
              </w:rPr>
              <w:t>1</w:t>
            </w:r>
            <w:r w:rsidRPr="00FF357F">
              <w:rPr>
                <w:rFonts w:ascii="Times New Roman" w:hAnsi="Times New Roman" w:cs="Times New Roman"/>
                <w:sz w:val="24"/>
                <w:szCs w:val="24"/>
                <w:lang w:val="ro-MD"/>
              </w:rPr>
              <w:t>) stabilirea cotei</w:t>
            </w:r>
            <w:r w:rsidRPr="00FF357F">
              <w:rPr>
                <w:rFonts w:ascii="Times New Roman" w:hAnsi="Times New Roman" w:cs="Times New Roman"/>
                <w:sz w:val="24"/>
                <w:szCs w:val="24"/>
                <w:shd w:val="clear" w:color="auto" w:fill="FFFFFF"/>
                <w:lang w:val="ro-MD"/>
              </w:rPr>
              <w:t>-parte din bunul imobil comun, în cazul în care obiectivul de infrastructură tehnico-edilitară a fost construit de mai mulți investitori (proprietari); ii)</w:t>
            </w:r>
            <w:r w:rsidRPr="00FF357F">
              <w:rPr>
                <w:rFonts w:ascii="Times New Roman" w:hAnsi="Times New Roman" w:cs="Times New Roman"/>
                <w:sz w:val="24"/>
                <w:szCs w:val="24"/>
                <w:lang w:val="ro-MD"/>
              </w:rPr>
              <w:t xml:space="preserve"> (3</w:t>
            </w:r>
            <w:r w:rsidRPr="00FF357F">
              <w:rPr>
                <w:rFonts w:ascii="Times New Roman" w:hAnsi="Times New Roman" w:cs="Times New Roman"/>
                <w:sz w:val="24"/>
                <w:szCs w:val="24"/>
                <w:vertAlign w:val="superscript"/>
                <w:lang w:val="ro-MD"/>
              </w:rPr>
              <w:t>2</w:t>
            </w:r>
            <w:r w:rsidRPr="00FF357F">
              <w:rPr>
                <w:rFonts w:ascii="Times New Roman" w:hAnsi="Times New Roman" w:cs="Times New Roman"/>
                <w:sz w:val="24"/>
                <w:szCs w:val="24"/>
                <w:lang w:val="ro-MD"/>
              </w:rPr>
              <w:t xml:space="preserve">) imposibilitatea identificării proprietarului obiectivului de infrastructură tehnico-edilitară; iii) </w:t>
            </w:r>
            <w:r w:rsidRPr="00FF357F">
              <w:rPr>
                <w:rFonts w:ascii="Times New Roman" w:hAnsi="Times New Roman" w:cs="Times New Roman"/>
                <w:sz w:val="24"/>
                <w:szCs w:val="24"/>
                <w:lang w:val="en-US"/>
              </w:rPr>
              <w:t>(3</w:t>
            </w:r>
            <w:r w:rsidRPr="00FF357F">
              <w:rPr>
                <w:rFonts w:ascii="Times New Roman" w:hAnsi="Times New Roman" w:cs="Times New Roman"/>
                <w:sz w:val="24"/>
                <w:szCs w:val="24"/>
                <w:vertAlign w:val="superscript"/>
                <w:lang w:val="en-US"/>
              </w:rPr>
              <w:t>3</w:t>
            </w:r>
            <w:r w:rsidRPr="00FF357F">
              <w:rPr>
                <w:rFonts w:ascii="Times New Roman" w:hAnsi="Times New Roman" w:cs="Times New Roman"/>
                <w:sz w:val="24"/>
                <w:szCs w:val="24"/>
                <w:lang w:val="en-US"/>
              </w:rPr>
              <w:t xml:space="preserve">) </w:t>
            </w:r>
            <w:r w:rsidRPr="00FF357F">
              <w:rPr>
                <w:rFonts w:ascii="Times New Roman" w:hAnsi="Times New Roman" w:cs="Times New Roman"/>
                <w:sz w:val="24"/>
                <w:szCs w:val="24"/>
                <w:lang w:val="ro-MD"/>
              </w:rPr>
              <w:t>înregistrarea dreptului de proprietate pentru obiectivele de infrastructură pentru care nu sunt identificații proprietarii acestora, după trecerea timpului de 10 ani.</w:t>
            </w:r>
            <w:r w:rsidRPr="00FF357F">
              <w:rPr>
                <w:rFonts w:ascii="Times New Roman" w:hAnsi="Times New Roman" w:cs="Times New Roman"/>
                <w:sz w:val="24"/>
                <w:szCs w:val="24"/>
                <w:shd w:val="clear" w:color="auto" w:fill="FFFFFF"/>
                <w:lang w:val="ro-MD"/>
              </w:rPr>
              <w:t xml:space="preserve"> </w:t>
            </w:r>
          </w:p>
          <w:p w14:paraId="59720BDD" w14:textId="18270432" w:rsidR="00047E40" w:rsidRPr="00FF357F" w:rsidRDefault="00FF357F" w:rsidP="00FF357F">
            <w:pPr>
              <w:tabs>
                <w:tab w:val="left" w:pos="1276"/>
              </w:tabs>
              <w:spacing w:line="276" w:lineRule="auto"/>
              <w:jc w:val="both"/>
              <w:rPr>
                <w:rFonts w:ascii="Times New Roman" w:hAnsi="Times New Roman" w:cs="Times New Roman"/>
                <w:sz w:val="24"/>
                <w:szCs w:val="24"/>
                <w:lang w:val="ro-MD"/>
              </w:rPr>
            </w:pPr>
            <w:r>
              <w:rPr>
                <w:rFonts w:ascii="Times New Roman" w:hAnsi="Times New Roman" w:cs="Times New Roman"/>
                <w:b/>
                <w:bCs/>
                <w:sz w:val="24"/>
                <w:szCs w:val="24"/>
                <w:lang w:val="ro-MD"/>
              </w:rPr>
              <w:t xml:space="preserve">             </w:t>
            </w:r>
            <w:r w:rsidR="00047E40" w:rsidRPr="00FF357F">
              <w:rPr>
                <w:rFonts w:ascii="Times New Roman" w:hAnsi="Times New Roman" w:cs="Times New Roman"/>
                <w:b/>
                <w:bCs/>
                <w:sz w:val="24"/>
                <w:szCs w:val="24"/>
                <w:lang w:val="ro-MD"/>
              </w:rPr>
              <w:t>Art. X</w:t>
            </w:r>
            <w:r w:rsidR="00047E40" w:rsidRPr="00FF357F">
              <w:rPr>
                <w:rFonts w:ascii="Times New Roman" w:hAnsi="Times New Roman" w:cs="Times New Roman"/>
                <w:sz w:val="24"/>
                <w:szCs w:val="24"/>
                <w:lang w:val="ro-MD"/>
              </w:rPr>
              <w:t xml:space="preserve"> al proiectului are drept scop:</w:t>
            </w:r>
          </w:p>
          <w:p w14:paraId="073DF21C" w14:textId="77777777" w:rsidR="00047E40" w:rsidRPr="00FF357F" w:rsidRDefault="00047E40" w:rsidP="00FF357F">
            <w:pPr>
              <w:pStyle w:val="a7"/>
              <w:numPr>
                <w:ilvl w:val="0"/>
                <w:numId w:val="3"/>
              </w:numPr>
              <w:tabs>
                <w:tab w:val="left" w:pos="851"/>
                <w:tab w:val="left" w:pos="1276"/>
              </w:tabs>
              <w:spacing w:line="276" w:lineRule="auto"/>
              <w:ind w:left="0" w:firstLine="360"/>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simplificarea procedurii de delimitare a obiectivelor de infrastructură tehnico-edilitare (rețele liniare) proprietate publică a statului care sunt reflectate în contabilitatea entității care le gestionează, prin reducerea timpului și a surselor financiare la întocmirea materialelor de delimitare după apartenență (coordonarea listelor) a obiectivelor de infrastructură tehnico-edilitare amplasate pe teritoriul a zeci și sute de unități administrativ-teritoriale.</w:t>
            </w:r>
          </w:p>
          <w:p w14:paraId="6E7DC0F6" w14:textId="77777777" w:rsidR="00047E40" w:rsidRPr="00FF357F" w:rsidRDefault="00047E40" w:rsidP="00FF357F">
            <w:pPr>
              <w:spacing w:line="276" w:lineRule="auto"/>
              <w:ind w:firstLine="360"/>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Conform art. 20 alin (2) din Legea 29/2018, delimitarea bunurilor imobile după apartenență include: i)inventarierea bunurilor imobile, ii) întocmirea listelor bunurilor imobile proprietate publică (a statului și a unităților administrativ-teritoriale), iii) coordonarea listelor între autoritățile publice centrale și cele locale și iv) aprobarea listelor coordonate de către Guvern sau autoritățile deliberative ale administrației publice locale.</w:t>
            </w:r>
          </w:p>
          <w:p w14:paraId="69607E52" w14:textId="77777777" w:rsidR="00047E40" w:rsidRPr="00FF357F" w:rsidRDefault="00047E40" w:rsidP="00FF357F">
            <w:pPr>
              <w:spacing w:line="276" w:lineRule="auto"/>
              <w:ind w:firstLine="360"/>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 xml:space="preserve">Problema apare la delimitarea obiectivelor de infrastructură tehnico-edilitare proprietate publică (rețelele de drumuri naționale, rețelele de gaz și electricitate, rețelele de comunicații electronice) care sunt amplasate pe teritoriul a zeci și  sute de unități administrativ-teritoriale. În aceste cazuri gestionarul obiectivelor în cauză trebuie să coordoneze tronsoanele obiectivului care sunt amplasate în diferite unități administrativ-teritoriale, însă de fapt acesta este un obiectiv integru de la punctul inițial până la punctul terminus. </w:t>
            </w:r>
          </w:p>
          <w:p w14:paraId="35DB11CA" w14:textId="77777777" w:rsidR="00047E40" w:rsidRPr="00FF357F" w:rsidRDefault="00047E40" w:rsidP="00FF357F">
            <w:pPr>
              <w:spacing w:line="276" w:lineRule="auto"/>
              <w:ind w:firstLine="360"/>
              <w:jc w:val="both"/>
              <w:rPr>
                <w:rFonts w:ascii="Times New Roman" w:hAnsi="Times New Roman" w:cs="Times New Roman"/>
                <w:sz w:val="24"/>
                <w:szCs w:val="24"/>
                <w:lang w:val="ro-RO"/>
              </w:rPr>
            </w:pPr>
            <w:r w:rsidRPr="00FF357F">
              <w:rPr>
                <w:rFonts w:ascii="Times New Roman" w:hAnsi="Times New Roman" w:cs="Times New Roman"/>
                <w:sz w:val="24"/>
                <w:szCs w:val="24"/>
                <w:lang w:val="ro-RO"/>
              </w:rPr>
              <w:t xml:space="preserve">Totodată, apartenența acestor obiective este clară, dacă autoritatea publică centrală sau locală, prin acte de drept a transmis obiectivele în cauză entității în gestiune, iar entitatea le-a reflectat în contabilitate. Astfel, entitatea poate demonstra apartenența obiectivului prin eliberarea unei adeverințe </w:t>
            </w:r>
            <w:r w:rsidRPr="00FF357F">
              <w:rPr>
                <w:rStyle w:val="y2iqfc"/>
                <w:rFonts w:ascii="Times New Roman" w:hAnsi="Times New Roman" w:cs="Times New Roman"/>
                <w:color w:val="202124"/>
                <w:sz w:val="24"/>
                <w:szCs w:val="24"/>
                <w:lang w:val="ro-RO"/>
              </w:rPr>
              <w:t>privind apartenența de bilanț și valoarea bunului imobil, semnată de conducătorul și contabilul-șef, fără a mai pierde timp și surse financiare pentru coordonare.</w:t>
            </w:r>
            <w:r w:rsidRPr="00FF357F">
              <w:rPr>
                <w:rFonts w:ascii="Times New Roman" w:hAnsi="Times New Roman" w:cs="Times New Roman"/>
                <w:sz w:val="24"/>
                <w:szCs w:val="24"/>
                <w:lang w:val="ro-RO"/>
              </w:rPr>
              <w:t xml:space="preserve"> </w:t>
            </w:r>
          </w:p>
          <w:p w14:paraId="304651D8" w14:textId="77777777" w:rsidR="00047E40" w:rsidRPr="00FF357F" w:rsidRDefault="00047E40" w:rsidP="00FF357F">
            <w:pPr>
              <w:pStyle w:val="a7"/>
              <w:numPr>
                <w:ilvl w:val="0"/>
                <w:numId w:val="3"/>
              </w:numPr>
              <w:tabs>
                <w:tab w:val="left" w:pos="851"/>
                <w:tab w:val="left" w:pos="1276"/>
              </w:tabs>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RO"/>
              </w:rPr>
              <w:t>excluderea alin (2</w:t>
            </w:r>
            <w:r w:rsidRPr="00FF357F">
              <w:rPr>
                <w:rFonts w:ascii="Times New Roman" w:hAnsi="Times New Roman" w:cs="Times New Roman"/>
                <w:sz w:val="24"/>
                <w:szCs w:val="24"/>
                <w:vertAlign w:val="superscript"/>
                <w:lang w:val="ro-RO"/>
              </w:rPr>
              <w:t>1</w:t>
            </w:r>
            <w:r w:rsidRPr="00FF357F">
              <w:rPr>
                <w:rFonts w:ascii="Times New Roman" w:hAnsi="Times New Roman" w:cs="Times New Roman"/>
                <w:sz w:val="24"/>
                <w:szCs w:val="24"/>
                <w:lang w:val="ro-RO"/>
              </w:rPr>
              <w:t>), deoarece cazurile</w:t>
            </w:r>
            <w:r w:rsidRPr="00FF357F">
              <w:rPr>
                <w:rFonts w:ascii="Times New Roman" w:hAnsi="Times New Roman" w:cs="Times New Roman"/>
                <w:sz w:val="24"/>
                <w:szCs w:val="24"/>
                <w:shd w:val="clear" w:color="auto" w:fill="FFFFFF"/>
                <w:lang w:val="ro-MD"/>
              </w:rPr>
              <w:t xml:space="preserve"> cînd obiectivul de infrastructură tehnico-edilitară a fost construit de mai mulți investitori (proprietari),</w:t>
            </w:r>
            <w:r w:rsidRPr="00FF357F">
              <w:rPr>
                <w:rFonts w:ascii="Times New Roman" w:hAnsi="Times New Roman" w:cs="Times New Roman"/>
                <w:sz w:val="24"/>
                <w:szCs w:val="24"/>
                <w:lang w:val="ro-RO"/>
              </w:rPr>
              <w:t xml:space="preserve"> se referă nu numai la obiectivele proprietate publică ci și cele private. Astfel, se propune de a exclude alin (2</w:t>
            </w:r>
            <w:r w:rsidRPr="00FF357F">
              <w:rPr>
                <w:rFonts w:ascii="Times New Roman" w:hAnsi="Times New Roman" w:cs="Times New Roman"/>
                <w:sz w:val="24"/>
                <w:szCs w:val="24"/>
                <w:vertAlign w:val="superscript"/>
                <w:lang w:val="ro-RO"/>
              </w:rPr>
              <w:t>1</w:t>
            </w:r>
            <w:r w:rsidRPr="00FF357F">
              <w:rPr>
                <w:rFonts w:ascii="Times New Roman" w:hAnsi="Times New Roman" w:cs="Times New Roman"/>
                <w:sz w:val="24"/>
                <w:szCs w:val="24"/>
                <w:lang w:val="ro-RO"/>
              </w:rPr>
              <w:t>) din Legea nr. 29/2018 și a o include în Legea 150/2017 (a se vedea completările la art. IX a prezenti Legi;</w:t>
            </w:r>
          </w:p>
          <w:p w14:paraId="6D74806D" w14:textId="7626AEB1" w:rsidR="00047E40" w:rsidRPr="00FF357F" w:rsidRDefault="00047E40" w:rsidP="00FF357F">
            <w:pPr>
              <w:pStyle w:val="a7"/>
              <w:numPr>
                <w:ilvl w:val="0"/>
                <w:numId w:val="3"/>
              </w:numPr>
              <w:tabs>
                <w:tab w:val="left" w:pos="851"/>
                <w:tab w:val="left" w:pos="1276"/>
              </w:tabs>
              <w:spacing w:line="276" w:lineRule="auto"/>
              <w:ind w:left="0" w:firstLine="360"/>
              <w:jc w:val="both"/>
              <w:rPr>
                <w:rFonts w:ascii="Times New Roman" w:hAnsi="Times New Roman" w:cs="Times New Roman"/>
                <w:sz w:val="24"/>
                <w:szCs w:val="24"/>
                <w:lang w:val="ro-MD"/>
              </w:rPr>
            </w:pPr>
            <w:r w:rsidRPr="00FF357F">
              <w:rPr>
                <w:rFonts w:ascii="Times New Roman" w:hAnsi="Times New Roman" w:cs="Times New Roman"/>
                <w:sz w:val="24"/>
                <w:szCs w:val="24"/>
                <w:lang w:val="ro-RO"/>
              </w:rPr>
              <w:lastRenderedPageBreak/>
              <w:t>completarea art. 22, alin. (5) prin completarea cu cuvintele ”sau registrul obiectivelor de infrastructură tehnico-edilitară”, deoarece obiectivele de infrastructură tehnico-edilitară se înregistrează în Registrul dat.</w:t>
            </w:r>
          </w:p>
          <w:p w14:paraId="36E4D37E" w14:textId="7A59FC70" w:rsidR="00047E40" w:rsidRPr="00FF357F" w:rsidRDefault="00047E40" w:rsidP="00FF357F">
            <w:pPr>
              <w:tabs>
                <w:tab w:val="left" w:pos="1276"/>
              </w:tabs>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 xml:space="preserve">       </w:t>
            </w:r>
            <w:r w:rsidRPr="00FF357F">
              <w:rPr>
                <w:rFonts w:ascii="Times New Roman" w:hAnsi="Times New Roman" w:cs="Times New Roman"/>
                <w:b/>
                <w:bCs/>
                <w:sz w:val="24"/>
                <w:szCs w:val="24"/>
                <w:lang w:val="ro-MD"/>
              </w:rPr>
              <w:t>Art. XI</w:t>
            </w:r>
            <w:r w:rsidRPr="00FF357F">
              <w:rPr>
                <w:rFonts w:ascii="Times New Roman" w:hAnsi="Times New Roman" w:cs="Times New Roman"/>
                <w:sz w:val="24"/>
                <w:szCs w:val="24"/>
                <w:lang w:val="ro-MD"/>
              </w:rPr>
              <w:t xml:space="preserve"> al proiectului stabilește data intrării în vigoare a art. II-VIII  – 1 iunie 2024, ținând cont de faptul că Registrul obiectivelor de infrastructură tehnico-edilitară, va fi funcțional la această dată, conform Planului de implementare a Proiectului ”Înregistrarea și evaluarea funciară”</w:t>
            </w:r>
          </w:p>
        </w:tc>
      </w:tr>
      <w:tr w:rsidR="00047E40" w:rsidRPr="00AE4FB2" w14:paraId="3F7B65C1" w14:textId="77777777" w:rsidTr="003404F6">
        <w:tc>
          <w:tcPr>
            <w:tcW w:w="9345" w:type="dxa"/>
          </w:tcPr>
          <w:p w14:paraId="2308E542"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lastRenderedPageBreak/>
              <w:t xml:space="preserve">5. Fundamentarea economico-financiară </w:t>
            </w:r>
          </w:p>
          <w:p w14:paraId="274FE7C6" w14:textId="3CD38CC3"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b/>
              <w:t>Implementarea practică a proiectului nu presupune alocări financiare din contul mijloacelor bugetare, însă crearea sistemului informațional automatizat va necesita alocarea surselor financiare bugetare pentru proiectarea SIA “ROITE”. Cheltuielile pentru elaborarea sistemului informațional automatizat „Registrul obiectelor de infrastructură tehnico-edilitară” vor fi suportate din sursele financiare ale Proiectului „Înregistrarea şi Evaluarea Funciară”, implementat în conformitate cu prevederile Acordului de Finanțare încheiat între Guvernul Republicii Moldova  și Asociația Internațională pentru Dezvoltare, semnat la 17 septembrie 2018 şi ratificat prin Legea nr. 240 din 08 noiembrie 2018”.</w:t>
            </w:r>
          </w:p>
        </w:tc>
      </w:tr>
      <w:tr w:rsidR="00047E40" w:rsidRPr="00AE4FB2" w14:paraId="4D3D49CA" w14:textId="77777777" w:rsidTr="003404F6">
        <w:tc>
          <w:tcPr>
            <w:tcW w:w="9345" w:type="dxa"/>
          </w:tcPr>
          <w:p w14:paraId="7BFB7A3F"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6. Modul de incorporare a actului in cadrul normativ in vigoare </w:t>
            </w:r>
          </w:p>
          <w:p w14:paraId="798DBA9E" w14:textId="093FA825"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b/>
            </w:r>
            <w:r w:rsidR="00875238" w:rsidRPr="00FF357F">
              <w:rPr>
                <w:rFonts w:ascii="Times New Roman" w:hAnsi="Times New Roman" w:cs="Times New Roman"/>
                <w:sz w:val="24"/>
                <w:szCs w:val="24"/>
                <w:lang w:val="ro-MD"/>
              </w:rPr>
              <w:t xml:space="preserve">Proiectul </w:t>
            </w:r>
            <w:r w:rsidR="00875238">
              <w:rPr>
                <w:rFonts w:ascii="Times New Roman" w:hAnsi="Times New Roman" w:cs="Times New Roman"/>
                <w:sz w:val="24"/>
                <w:szCs w:val="24"/>
                <w:lang w:val="ro-MD"/>
              </w:rPr>
              <w:t>de lege</w:t>
            </w:r>
            <w:r w:rsidR="00875238" w:rsidRPr="00FF357F">
              <w:rPr>
                <w:rFonts w:ascii="Times New Roman" w:hAnsi="Times New Roman" w:cs="Times New Roman"/>
                <w:sz w:val="24"/>
                <w:szCs w:val="24"/>
                <w:lang w:val="ro-MD"/>
              </w:rPr>
              <w:t xml:space="preserve"> </w:t>
            </w:r>
            <w:r w:rsidRPr="00FF357F">
              <w:rPr>
                <w:rFonts w:ascii="Times New Roman" w:hAnsi="Times New Roman" w:cs="Times New Roman"/>
                <w:sz w:val="24"/>
                <w:szCs w:val="24"/>
                <w:lang w:val="ro-MD"/>
              </w:rPr>
              <w:t>prevede</w:t>
            </w:r>
            <w:r w:rsidR="00875238">
              <w:rPr>
                <w:rFonts w:ascii="Times New Roman" w:hAnsi="Times New Roman" w:cs="Times New Roman"/>
                <w:sz w:val="24"/>
                <w:szCs w:val="24"/>
                <w:lang w:val="ro-MD"/>
              </w:rPr>
              <w:t xml:space="preserve"> </w:t>
            </w:r>
            <w:r w:rsidRPr="00FF357F">
              <w:rPr>
                <w:rFonts w:ascii="Times New Roman" w:hAnsi="Times New Roman" w:cs="Times New Roman"/>
                <w:sz w:val="24"/>
                <w:szCs w:val="24"/>
                <w:lang w:val="ro-MD"/>
              </w:rPr>
              <w:t xml:space="preserve">modificarea și completarea unor acte </w:t>
            </w:r>
            <w:r w:rsidR="00875238">
              <w:rPr>
                <w:rFonts w:ascii="Times New Roman" w:hAnsi="Times New Roman" w:cs="Times New Roman"/>
                <w:sz w:val="24"/>
                <w:szCs w:val="24"/>
                <w:lang w:val="ro-MD"/>
              </w:rPr>
              <w:t>legislative</w:t>
            </w:r>
            <w:r w:rsidRPr="00FF357F">
              <w:rPr>
                <w:rFonts w:ascii="Times New Roman" w:hAnsi="Times New Roman" w:cs="Times New Roman"/>
                <w:sz w:val="24"/>
                <w:szCs w:val="24"/>
                <w:lang w:val="ro-MD"/>
              </w:rPr>
              <w:t>, care ar prevede înregistrarea obiectivelor în Registrul obiectivelor de infrastructură tehnico-edilitară.</w:t>
            </w:r>
          </w:p>
        </w:tc>
      </w:tr>
      <w:tr w:rsidR="00047E40" w:rsidRPr="00AE4FB2" w14:paraId="04CECF14" w14:textId="77777777" w:rsidTr="003404F6">
        <w:tc>
          <w:tcPr>
            <w:tcW w:w="9345" w:type="dxa"/>
          </w:tcPr>
          <w:p w14:paraId="4344B71B"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7. Avizarea şi consultarea publică a proiectului. </w:t>
            </w:r>
          </w:p>
          <w:p w14:paraId="042B7795" w14:textId="239DB1D0" w:rsidR="00047E40" w:rsidRPr="00641E1D" w:rsidRDefault="00047E40" w:rsidP="00FF357F">
            <w:pPr>
              <w:spacing w:line="276" w:lineRule="auto"/>
              <w:jc w:val="both"/>
              <w:rPr>
                <w:rFonts w:ascii="Times New Roman" w:hAnsi="Times New Roman" w:cs="Times New Roman"/>
                <w:sz w:val="24"/>
                <w:szCs w:val="24"/>
                <w:lang w:val="en-US"/>
              </w:rPr>
            </w:pPr>
            <w:r w:rsidRPr="00FF357F">
              <w:rPr>
                <w:rFonts w:ascii="Times New Roman" w:hAnsi="Times New Roman" w:cs="Times New Roman"/>
                <w:sz w:val="24"/>
                <w:szCs w:val="24"/>
                <w:lang w:val="ro-MD"/>
              </w:rPr>
              <w:tab/>
            </w:r>
            <w:r w:rsidR="00641E1D" w:rsidRPr="00641E1D">
              <w:rPr>
                <w:rFonts w:ascii="Times New Roman" w:hAnsi="Times New Roman" w:cs="Times New Roman"/>
                <w:sz w:val="24"/>
                <w:szCs w:val="24"/>
                <w:lang w:val="en-US"/>
              </w:rPr>
              <w:t>În scopul respectării prevederilor art. 11 al Legii nr. 239/2008 privind transparența în procesul decizional, anunțul privind inițierea elaborării proiectului de hotărîre a fost plasat pe plasat pe pagina web oficială a Agenției Relații Funciare și Cadastru (compartimentul „</w:t>
            </w:r>
            <w:r w:rsidR="00641E1D" w:rsidRPr="00641E1D">
              <w:rPr>
                <w:rFonts w:ascii="Times New Roman" w:hAnsi="Times New Roman" w:cs="Times New Roman"/>
                <w:sz w:val="24"/>
                <w:szCs w:val="24"/>
                <w:lang w:val="ro-MD"/>
              </w:rPr>
              <w:t>Transparență decizională</w:t>
            </w:r>
            <w:r w:rsidR="00641E1D" w:rsidRPr="00641E1D">
              <w:rPr>
                <w:rFonts w:ascii="Times New Roman" w:hAnsi="Times New Roman" w:cs="Times New Roman"/>
                <w:sz w:val="24"/>
                <w:szCs w:val="24"/>
                <w:lang w:val="en-US"/>
              </w:rPr>
              <w:t xml:space="preserve">”, </w:t>
            </w:r>
            <w:r w:rsidR="00AE4FB2">
              <w:rPr>
                <w:rFonts w:ascii="Times New Roman" w:hAnsi="Times New Roman" w:cs="Times New Roman"/>
                <w:sz w:val="24"/>
                <w:szCs w:val="24"/>
                <w:lang w:val="en-US"/>
              </w:rPr>
              <w:t>rubrica</w:t>
            </w:r>
            <w:r w:rsidR="00641E1D" w:rsidRPr="00641E1D">
              <w:rPr>
                <w:rFonts w:ascii="Times New Roman" w:hAnsi="Times New Roman" w:cs="Times New Roman"/>
                <w:sz w:val="24"/>
                <w:szCs w:val="24"/>
                <w:lang w:val="en-US"/>
              </w:rPr>
              <w:t xml:space="preserve"> ,,</w:t>
            </w:r>
            <w:r w:rsidR="00641E1D" w:rsidRPr="00641E1D">
              <w:rPr>
                <w:rFonts w:ascii="Times New Roman" w:hAnsi="Times New Roman" w:cs="Times New Roman"/>
                <w:sz w:val="24"/>
                <w:szCs w:val="24"/>
                <w:lang w:val="ro-MD"/>
              </w:rPr>
              <w:t xml:space="preserve">Proiecte </w:t>
            </w:r>
            <w:r w:rsidR="00AE4FB2">
              <w:rPr>
                <w:rFonts w:ascii="Times New Roman" w:hAnsi="Times New Roman" w:cs="Times New Roman"/>
                <w:sz w:val="24"/>
                <w:szCs w:val="24"/>
                <w:lang w:val="ro-MD"/>
              </w:rPr>
              <w:t>supuse consultărilor publice</w:t>
            </w:r>
            <w:r w:rsidR="00641E1D" w:rsidRPr="00641E1D">
              <w:rPr>
                <w:rFonts w:ascii="Times New Roman" w:hAnsi="Times New Roman" w:cs="Times New Roman"/>
                <w:sz w:val="24"/>
                <w:szCs w:val="24"/>
                <w:lang w:val="en-US"/>
              </w:rPr>
              <w:t>”) și pe portalul guvernamental particip.gov.md.</w:t>
            </w:r>
          </w:p>
          <w:p w14:paraId="3E314FCA" w14:textId="4EF9A575" w:rsidR="00641E1D" w:rsidRPr="00641E1D" w:rsidRDefault="00641E1D" w:rsidP="00FF357F">
            <w:pPr>
              <w:spacing w:line="276" w:lineRule="auto"/>
              <w:jc w:val="both"/>
              <w:rPr>
                <w:rFonts w:ascii="Times New Roman" w:hAnsi="Times New Roman" w:cs="Times New Roman"/>
                <w:sz w:val="24"/>
                <w:szCs w:val="24"/>
                <w:lang w:val="en-US"/>
              </w:rPr>
            </w:pPr>
            <w:r w:rsidRPr="00641E1D">
              <w:rPr>
                <w:rFonts w:ascii="Times New Roman" w:hAnsi="Times New Roman" w:cs="Times New Roman"/>
                <w:b/>
                <w:bCs/>
                <w:sz w:val="24"/>
                <w:szCs w:val="24"/>
                <w:lang w:val="en-US"/>
              </w:rPr>
              <w:tab/>
            </w:r>
            <w:r w:rsidRPr="00641E1D">
              <w:rPr>
                <w:rFonts w:ascii="Times New Roman" w:hAnsi="Times New Roman" w:cs="Times New Roman"/>
                <w:sz w:val="24"/>
                <w:szCs w:val="24"/>
                <w:lang w:val="en-US"/>
              </w:rPr>
              <w:t>La fel, întru respectarea prevederilor art. 32 al Legii nr. 100/2017 cu privire la actele normative, proiectul va fi plasat pe spre consultare publică pe paginile web menționate.</w:t>
            </w:r>
          </w:p>
        </w:tc>
      </w:tr>
      <w:tr w:rsidR="00047E40" w:rsidRPr="00AE4FB2" w14:paraId="68E9B632" w14:textId="77777777" w:rsidTr="003404F6">
        <w:tc>
          <w:tcPr>
            <w:tcW w:w="9345" w:type="dxa"/>
          </w:tcPr>
          <w:p w14:paraId="0CEAEBD0"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8. Constatările expertizei anticorupţie </w:t>
            </w:r>
          </w:p>
          <w:p w14:paraId="2B655139" w14:textId="77777777"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b/>
              <w:t>Proiectul urmează a fi supus expertizei anticorupţie, conform art. 35 din Legea 100/2017, fiind solicitată efectuarea  expertizei de către Centrul Naţional Anticorupţie.</w:t>
            </w:r>
          </w:p>
        </w:tc>
      </w:tr>
      <w:tr w:rsidR="00047E40" w:rsidRPr="00AE4FB2" w14:paraId="21095954" w14:textId="77777777" w:rsidTr="003404F6">
        <w:tc>
          <w:tcPr>
            <w:tcW w:w="9345" w:type="dxa"/>
          </w:tcPr>
          <w:p w14:paraId="68FF88BC"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9. Consultările expertizei de compatibilitate. </w:t>
            </w:r>
          </w:p>
          <w:p w14:paraId="2E2D75B4" w14:textId="77777777"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b/>
              <w:t>Proiectul nu are ca scop armonizarea legislaţiei naţionale cu legislaţia Uniunii Europene.</w:t>
            </w:r>
          </w:p>
        </w:tc>
      </w:tr>
      <w:tr w:rsidR="00047E40" w:rsidRPr="00AE4FB2" w14:paraId="5610469D" w14:textId="77777777" w:rsidTr="003404F6">
        <w:tc>
          <w:tcPr>
            <w:tcW w:w="9345" w:type="dxa"/>
          </w:tcPr>
          <w:p w14:paraId="7EB4A44F" w14:textId="77777777" w:rsidR="00047E40" w:rsidRPr="00FF357F" w:rsidRDefault="00047E40" w:rsidP="00FF357F">
            <w:pPr>
              <w:spacing w:line="276" w:lineRule="auto"/>
              <w:jc w:val="both"/>
              <w:rPr>
                <w:rFonts w:ascii="Times New Roman" w:hAnsi="Times New Roman" w:cs="Times New Roman"/>
                <w:b/>
                <w:bCs/>
                <w:sz w:val="24"/>
                <w:szCs w:val="24"/>
                <w:lang w:val="ro-MD"/>
              </w:rPr>
            </w:pPr>
            <w:r w:rsidRPr="00FF357F">
              <w:rPr>
                <w:rFonts w:ascii="Times New Roman" w:hAnsi="Times New Roman" w:cs="Times New Roman"/>
                <w:b/>
                <w:bCs/>
                <w:sz w:val="24"/>
                <w:szCs w:val="24"/>
                <w:lang w:val="ro-MD"/>
              </w:rPr>
              <w:t xml:space="preserve">10. Constatările expertizei juridice </w:t>
            </w:r>
          </w:p>
          <w:p w14:paraId="73105EC3" w14:textId="1BDEB951" w:rsidR="00047E40" w:rsidRPr="00FF357F" w:rsidRDefault="00047E40" w:rsidP="00FF357F">
            <w:pPr>
              <w:spacing w:line="276" w:lineRule="auto"/>
              <w:jc w:val="both"/>
              <w:rPr>
                <w:rFonts w:ascii="Times New Roman" w:hAnsi="Times New Roman" w:cs="Times New Roman"/>
                <w:sz w:val="24"/>
                <w:szCs w:val="24"/>
                <w:lang w:val="ro-MD"/>
              </w:rPr>
            </w:pPr>
            <w:r w:rsidRPr="00FF357F">
              <w:rPr>
                <w:rFonts w:ascii="Times New Roman" w:hAnsi="Times New Roman" w:cs="Times New Roman"/>
                <w:sz w:val="24"/>
                <w:szCs w:val="24"/>
                <w:lang w:val="ro-MD"/>
              </w:rPr>
              <w:tab/>
              <w:t>Proiectul urmează a fi supus expertizei juridice, conform art. 37 din Legea 100/2017, fiind solicitată efectuarea expertizei de către Ministerul Justiţiei.</w:t>
            </w:r>
          </w:p>
        </w:tc>
      </w:tr>
    </w:tbl>
    <w:p w14:paraId="1ECE852D" w14:textId="73D7D148" w:rsidR="00FF357F" w:rsidRDefault="00FF357F" w:rsidP="00FF357F">
      <w:pPr>
        <w:spacing w:after="0"/>
        <w:jc w:val="both"/>
        <w:rPr>
          <w:rFonts w:ascii="Times New Roman" w:hAnsi="Times New Roman" w:cs="Times New Roman"/>
          <w:b/>
          <w:bCs/>
          <w:sz w:val="28"/>
          <w:szCs w:val="28"/>
          <w:lang w:val="ro-MD"/>
        </w:rPr>
      </w:pPr>
    </w:p>
    <w:p w14:paraId="5D9CCAEA" w14:textId="77777777" w:rsidR="00BD27DB" w:rsidRDefault="00BD27DB" w:rsidP="00FF357F">
      <w:pPr>
        <w:spacing w:after="0"/>
        <w:ind w:firstLine="708"/>
        <w:jc w:val="both"/>
        <w:rPr>
          <w:rFonts w:ascii="Times New Roman" w:hAnsi="Times New Roman" w:cs="Times New Roman"/>
          <w:b/>
          <w:bCs/>
          <w:sz w:val="28"/>
          <w:szCs w:val="28"/>
          <w:lang w:val="ro-MD"/>
        </w:rPr>
      </w:pPr>
    </w:p>
    <w:p w14:paraId="6AAF99C3" w14:textId="3F0929FE" w:rsidR="001B0E12" w:rsidRPr="00FF357F" w:rsidRDefault="00047E40" w:rsidP="00FF357F">
      <w:pPr>
        <w:spacing w:after="0"/>
        <w:ind w:firstLine="708"/>
        <w:jc w:val="both"/>
        <w:rPr>
          <w:rFonts w:ascii="Times New Roman" w:hAnsi="Times New Roman" w:cs="Times New Roman"/>
          <w:sz w:val="28"/>
          <w:szCs w:val="28"/>
          <w:lang w:val="ro-MD"/>
        </w:rPr>
      </w:pPr>
      <w:r w:rsidRPr="00CE3571">
        <w:rPr>
          <w:rFonts w:ascii="Times New Roman" w:hAnsi="Times New Roman" w:cs="Times New Roman"/>
          <w:b/>
          <w:bCs/>
          <w:sz w:val="28"/>
          <w:szCs w:val="28"/>
          <w:lang w:val="ro-MD"/>
        </w:rPr>
        <w:t xml:space="preserve">Director general </w:t>
      </w:r>
      <w:r>
        <w:rPr>
          <w:rFonts w:ascii="Times New Roman" w:hAnsi="Times New Roman" w:cs="Times New Roman"/>
          <w:b/>
          <w:bCs/>
          <w:sz w:val="28"/>
          <w:szCs w:val="28"/>
          <w:lang w:val="ro-MD"/>
        </w:rPr>
        <w:t xml:space="preserve">adjunct                                           </w:t>
      </w:r>
      <w:r w:rsidRPr="00CE3571">
        <w:rPr>
          <w:rFonts w:ascii="Times New Roman" w:hAnsi="Times New Roman" w:cs="Times New Roman"/>
          <w:b/>
          <w:bCs/>
          <w:sz w:val="28"/>
          <w:szCs w:val="28"/>
          <w:lang w:val="ro-MD"/>
        </w:rPr>
        <w:t>Ştefan CRIGAN</w:t>
      </w:r>
    </w:p>
    <w:sectPr w:rsidR="001B0E12" w:rsidRPr="00FF357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7FA9F" w14:textId="77777777" w:rsidR="00D820CE" w:rsidRDefault="00D820CE">
      <w:pPr>
        <w:spacing w:after="0" w:line="240" w:lineRule="auto"/>
      </w:pPr>
      <w:r>
        <w:separator/>
      </w:r>
    </w:p>
  </w:endnote>
  <w:endnote w:type="continuationSeparator" w:id="0">
    <w:p w14:paraId="5492C783" w14:textId="77777777" w:rsidR="00D820CE" w:rsidRDefault="00D82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1C1D" w14:textId="77777777" w:rsidR="008808F6" w:rsidRPr="00015A0F" w:rsidRDefault="004E31CD" w:rsidP="008808F6">
    <w:pPr>
      <w:spacing w:after="0" w:line="240" w:lineRule="auto"/>
      <w:jc w:val="both"/>
      <w:rPr>
        <w:rFonts w:ascii="Times New Roman" w:hAnsi="Times New Roman"/>
        <w:sz w:val="16"/>
        <w:szCs w:val="16"/>
        <w:lang w:val="en-US"/>
      </w:rPr>
    </w:pPr>
    <w:r w:rsidRPr="00015A0F">
      <w:rPr>
        <w:rFonts w:ascii="Times New Roman" w:hAnsi="Times New Roman"/>
        <w:sz w:val="16"/>
        <w:szCs w:val="16"/>
        <w:lang w:val="en-US"/>
      </w:rPr>
      <w:t xml:space="preserve">Ex: </w:t>
    </w:r>
    <w:r>
      <w:rPr>
        <w:rFonts w:ascii="Times New Roman" w:hAnsi="Times New Roman"/>
        <w:sz w:val="16"/>
        <w:szCs w:val="16"/>
        <w:lang w:val="en-US"/>
      </w:rPr>
      <w:t>Gheorghe</w:t>
    </w:r>
    <w:r w:rsidRPr="00015A0F">
      <w:rPr>
        <w:rFonts w:ascii="Times New Roman" w:hAnsi="Times New Roman"/>
        <w:sz w:val="16"/>
        <w:szCs w:val="16"/>
        <w:lang w:val="en-US"/>
      </w:rPr>
      <w:t xml:space="preserve"> </w:t>
    </w:r>
    <w:r>
      <w:rPr>
        <w:rFonts w:ascii="Times New Roman" w:hAnsi="Times New Roman"/>
        <w:sz w:val="16"/>
        <w:szCs w:val="16"/>
        <w:lang w:val="en-US"/>
      </w:rPr>
      <w:t>Rusu</w:t>
    </w:r>
  </w:p>
  <w:p w14:paraId="62EC4100" w14:textId="77777777" w:rsidR="008808F6" w:rsidRDefault="004E31CD" w:rsidP="008808F6">
    <w:pPr>
      <w:tabs>
        <w:tab w:val="left" w:pos="7320"/>
      </w:tabs>
      <w:rPr>
        <w:rFonts w:ascii="Times New Roman" w:hAnsi="Times New Roman"/>
        <w:sz w:val="16"/>
        <w:szCs w:val="16"/>
        <w:lang w:val="it-IT"/>
      </w:rPr>
    </w:pPr>
    <w:r w:rsidRPr="00113EC3">
      <w:rPr>
        <w:rFonts w:ascii="Times New Roman" w:hAnsi="Times New Roman"/>
        <w:sz w:val="16"/>
        <w:szCs w:val="16"/>
        <w:lang w:val="it-IT"/>
      </w:rPr>
      <w:t>tel.: 88-12-</w:t>
    </w:r>
    <w:r>
      <w:rPr>
        <w:rFonts w:ascii="Times New Roman" w:hAnsi="Times New Roman"/>
        <w:sz w:val="16"/>
        <w:szCs w:val="16"/>
        <w:lang w:val="it-IT"/>
      </w:rPr>
      <w:t>68</w:t>
    </w:r>
    <w:r w:rsidRPr="00113EC3">
      <w:rPr>
        <w:rFonts w:ascii="Times New Roman" w:hAnsi="Times New Roman"/>
        <w:sz w:val="16"/>
        <w:szCs w:val="16"/>
        <w:lang w:val="it-IT"/>
      </w:rPr>
      <w:t xml:space="preserve">      </w:t>
    </w:r>
  </w:p>
  <w:p w14:paraId="1C868D3F" w14:textId="77777777" w:rsidR="008808F6" w:rsidRPr="008808F6" w:rsidRDefault="00D820CE" w:rsidP="008808F6">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8AEE" w14:textId="77777777" w:rsidR="00D820CE" w:rsidRDefault="00D820CE">
      <w:pPr>
        <w:spacing w:after="0" w:line="240" w:lineRule="auto"/>
      </w:pPr>
      <w:r>
        <w:separator/>
      </w:r>
    </w:p>
  </w:footnote>
  <w:footnote w:type="continuationSeparator" w:id="0">
    <w:p w14:paraId="45161AA5" w14:textId="77777777" w:rsidR="00D820CE" w:rsidRDefault="00D820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B5BF8"/>
    <w:multiLevelType w:val="hybridMultilevel"/>
    <w:tmpl w:val="8BD4AC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044E7"/>
    <w:multiLevelType w:val="hybridMultilevel"/>
    <w:tmpl w:val="62B88D5C"/>
    <w:lvl w:ilvl="0" w:tplc="D1320828">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15:restartNumberingAfterBreak="0">
    <w:nsid w:val="40D600E1"/>
    <w:multiLevelType w:val="hybridMultilevel"/>
    <w:tmpl w:val="CADE2C78"/>
    <w:lvl w:ilvl="0" w:tplc="D7266846">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EC50483"/>
    <w:multiLevelType w:val="hybridMultilevel"/>
    <w:tmpl w:val="9AF6390E"/>
    <w:lvl w:ilvl="0" w:tplc="37A417C8">
      <w:start w:val="1"/>
      <w:numFmt w:val="lowerLetter"/>
      <w:lvlText w:val="%1)"/>
      <w:lvlJc w:val="left"/>
      <w:pPr>
        <w:ind w:left="720" w:hanging="360"/>
      </w:pPr>
      <w:rPr>
        <w:rFonts w:hint="default"/>
        <w:color w:val="auto"/>
        <w:lang w:val="ro-MD"/>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2F3"/>
    <w:rsid w:val="00047E40"/>
    <w:rsid w:val="001B0E12"/>
    <w:rsid w:val="004A2A8A"/>
    <w:rsid w:val="004E31CD"/>
    <w:rsid w:val="004E636F"/>
    <w:rsid w:val="00510867"/>
    <w:rsid w:val="005627E4"/>
    <w:rsid w:val="00562E52"/>
    <w:rsid w:val="005741AE"/>
    <w:rsid w:val="005B46E7"/>
    <w:rsid w:val="00641E1D"/>
    <w:rsid w:val="00652A19"/>
    <w:rsid w:val="006C0B77"/>
    <w:rsid w:val="00745917"/>
    <w:rsid w:val="007E42F3"/>
    <w:rsid w:val="008242FF"/>
    <w:rsid w:val="00842E53"/>
    <w:rsid w:val="00870751"/>
    <w:rsid w:val="00875238"/>
    <w:rsid w:val="00922C48"/>
    <w:rsid w:val="009A196F"/>
    <w:rsid w:val="00AB4586"/>
    <w:rsid w:val="00AE4FB2"/>
    <w:rsid w:val="00B915B7"/>
    <w:rsid w:val="00BD27DB"/>
    <w:rsid w:val="00CB2A85"/>
    <w:rsid w:val="00D820CE"/>
    <w:rsid w:val="00DA155A"/>
    <w:rsid w:val="00DD3530"/>
    <w:rsid w:val="00EA59DF"/>
    <w:rsid w:val="00EA7712"/>
    <w:rsid w:val="00EB5CBD"/>
    <w:rsid w:val="00EE4070"/>
    <w:rsid w:val="00F12C76"/>
    <w:rsid w:val="00F3483D"/>
    <w:rsid w:val="00F42CE0"/>
    <w:rsid w:val="00F73B2A"/>
    <w:rsid w:val="00FB4B1C"/>
    <w:rsid w:val="00FE1267"/>
    <w:rsid w:val="00FF3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D42D"/>
  <w15:chartTrackingRefBased/>
  <w15:docId w15:val="{702DF422-DDCB-4C33-86D4-1DF614503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E1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0E12"/>
    <w:rPr>
      <w:color w:val="0563C1" w:themeColor="hyperlink"/>
      <w:u w:val="single"/>
    </w:rPr>
  </w:style>
  <w:style w:type="paragraph" w:styleId="a4">
    <w:name w:val="footer"/>
    <w:basedOn w:val="a"/>
    <w:link w:val="a5"/>
    <w:uiPriority w:val="99"/>
    <w:unhideWhenUsed/>
    <w:rsid w:val="001B0E12"/>
    <w:pPr>
      <w:tabs>
        <w:tab w:val="center" w:pos="4677"/>
        <w:tab w:val="right" w:pos="9355"/>
      </w:tabs>
      <w:spacing w:after="0" w:line="240" w:lineRule="auto"/>
    </w:pPr>
    <w:rPr>
      <w:rFonts w:eastAsiaTheme="minorHAnsi"/>
      <w:lang w:eastAsia="en-US"/>
    </w:rPr>
  </w:style>
  <w:style w:type="character" w:customStyle="1" w:styleId="a5">
    <w:name w:val="Нижний колонтитул Знак"/>
    <w:basedOn w:val="a0"/>
    <w:link w:val="a4"/>
    <w:uiPriority w:val="99"/>
    <w:rsid w:val="001B0E12"/>
  </w:style>
  <w:style w:type="table" w:styleId="a6">
    <w:name w:val="Table Grid"/>
    <w:basedOn w:val="a1"/>
    <w:uiPriority w:val="39"/>
    <w:rsid w:val="001B0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1B0E12"/>
    <w:pPr>
      <w:widowControl w:val="0"/>
      <w:autoSpaceDE w:val="0"/>
      <w:autoSpaceDN w:val="0"/>
      <w:spacing w:after="0" w:line="240" w:lineRule="auto"/>
      <w:ind w:left="107"/>
    </w:pPr>
    <w:rPr>
      <w:rFonts w:ascii="Times New Roman" w:eastAsia="Times New Roman" w:hAnsi="Times New Roman" w:cs="Times New Roman"/>
      <w:lang w:val="ro-RO" w:eastAsia="en-US"/>
    </w:rPr>
  </w:style>
  <w:style w:type="paragraph" w:styleId="a7">
    <w:name w:val="List Paragraph"/>
    <w:basedOn w:val="a"/>
    <w:uiPriority w:val="99"/>
    <w:qFormat/>
    <w:rsid w:val="005627E4"/>
    <w:pPr>
      <w:ind w:left="720"/>
      <w:contextualSpacing/>
    </w:pPr>
  </w:style>
  <w:style w:type="character" w:customStyle="1" w:styleId="y2iqfc">
    <w:name w:val="y2iqfc"/>
    <w:basedOn w:val="a0"/>
    <w:rsid w:val="00047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Nazarciuc</dc:creator>
  <cp:keywords/>
  <dc:description/>
  <cp:lastModifiedBy>G Rusu</cp:lastModifiedBy>
  <cp:revision>17</cp:revision>
  <cp:lastPrinted>2023-02-20T07:42:00Z</cp:lastPrinted>
  <dcterms:created xsi:type="dcterms:W3CDTF">2023-02-16T12:48:00Z</dcterms:created>
  <dcterms:modified xsi:type="dcterms:W3CDTF">2023-02-21T08:59:00Z</dcterms:modified>
</cp:coreProperties>
</file>