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CDCB9" w14:textId="77777777" w:rsidR="000750C2" w:rsidRPr="000750C2" w:rsidRDefault="000750C2" w:rsidP="000750C2">
      <w:pPr>
        <w:spacing w:after="0"/>
        <w:rPr>
          <w:rFonts w:ascii="Times New Roman" w:hAnsi="Times New Roman" w:cs="Times New Roman"/>
          <w:b/>
          <w:bCs/>
          <w:sz w:val="32"/>
          <w:szCs w:val="32"/>
          <w:lang w:val="ro-MD"/>
        </w:rPr>
      </w:pPr>
    </w:p>
    <w:p w14:paraId="75E6B931" w14:textId="283F217B" w:rsidR="008C4124" w:rsidRPr="000750C2" w:rsidRDefault="008C4124" w:rsidP="008C4124">
      <w:pPr>
        <w:spacing w:after="0"/>
        <w:ind w:firstLine="708"/>
        <w:jc w:val="center"/>
        <w:rPr>
          <w:rFonts w:ascii="Times New Roman" w:hAnsi="Times New Roman" w:cs="Times New Roman"/>
          <w:b/>
          <w:bCs/>
          <w:sz w:val="28"/>
          <w:szCs w:val="28"/>
          <w:lang w:val="ro-MD"/>
        </w:rPr>
      </w:pPr>
      <w:r w:rsidRPr="000750C2">
        <w:rPr>
          <w:rFonts w:ascii="Times New Roman" w:hAnsi="Times New Roman" w:cs="Times New Roman"/>
          <w:b/>
          <w:bCs/>
          <w:sz w:val="28"/>
          <w:szCs w:val="28"/>
          <w:lang w:val="ro-MD"/>
        </w:rPr>
        <w:t>Nota informativă</w:t>
      </w:r>
    </w:p>
    <w:p w14:paraId="19E34FCA" w14:textId="7669F67E" w:rsidR="008C4124" w:rsidRPr="000750C2" w:rsidRDefault="008C4124" w:rsidP="008C4124">
      <w:pPr>
        <w:spacing w:after="0"/>
        <w:ind w:firstLine="708"/>
        <w:jc w:val="center"/>
        <w:rPr>
          <w:rFonts w:ascii="Times New Roman" w:hAnsi="Times New Roman" w:cs="Times New Roman"/>
          <w:b/>
          <w:bCs/>
          <w:sz w:val="28"/>
          <w:szCs w:val="28"/>
          <w:lang w:val="ro-MD"/>
        </w:rPr>
      </w:pPr>
      <w:r w:rsidRPr="000750C2">
        <w:rPr>
          <w:rFonts w:ascii="Times New Roman" w:hAnsi="Times New Roman" w:cs="Times New Roman"/>
          <w:b/>
          <w:bCs/>
          <w:sz w:val="28"/>
          <w:szCs w:val="28"/>
          <w:lang w:val="ro-MD"/>
        </w:rPr>
        <w:t>la proiectul hotărârii Guvernului pentru modificarea</w:t>
      </w:r>
    </w:p>
    <w:p w14:paraId="71B665F4" w14:textId="3D2DD788" w:rsidR="008808F6" w:rsidRPr="000750C2" w:rsidRDefault="002C3845" w:rsidP="002C3845">
      <w:pPr>
        <w:spacing w:after="0"/>
        <w:ind w:firstLine="708"/>
        <w:jc w:val="center"/>
        <w:rPr>
          <w:rFonts w:ascii="Times New Roman" w:hAnsi="Times New Roman" w:cs="Times New Roman"/>
          <w:b/>
          <w:bCs/>
          <w:sz w:val="28"/>
          <w:szCs w:val="28"/>
          <w:lang w:val="ro-MD"/>
        </w:rPr>
      </w:pPr>
      <w:r w:rsidRPr="000750C2">
        <w:rPr>
          <w:rFonts w:ascii="Times New Roman" w:hAnsi="Times New Roman" w:cs="Times New Roman"/>
          <w:b/>
          <w:bCs/>
          <w:sz w:val="28"/>
          <w:szCs w:val="28"/>
          <w:lang w:val="ro-MD"/>
        </w:rPr>
        <w:t>unor hotărâri de Guvern</w:t>
      </w:r>
    </w:p>
    <w:p w14:paraId="1A51DDBE" w14:textId="77777777" w:rsidR="002C3845" w:rsidRPr="001D0655" w:rsidRDefault="002C3845" w:rsidP="000750C2">
      <w:pPr>
        <w:spacing w:after="0"/>
        <w:rPr>
          <w:rFonts w:ascii="Times New Roman" w:hAnsi="Times New Roman" w:cs="Times New Roman"/>
          <w:b/>
          <w:bCs/>
          <w:sz w:val="28"/>
          <w:szCs w:val="28"/>
          <w:lang w:val="ro-MD"/>
        </w:rPr>
      </w:pPr>
    </w:p>
    <w:tbl>
      <w:tblPr>
        <w:tblStyle w:val="ab"/>
        <w:tblW w:w="0" w:type="auto"/>
        <w:tblCellMar>
          <w:top w:w="85" w:type="dxa"/>
          <w:left w:w="85" w:type="dxa"/>
          <w:bottom w:w="85" w:type="dxa"/>
          <w:right w:w="85" w:type="dxa"/>
        </w:tblCellMar>
        <w:tblLook w:val="04A0" w:firstRow="1" w:lastRow="0" w:firstColumn="1" w:lastColumn="0" w:noHBand="0" w:noVBand="1"/>
      </w:tblPr>
      <w:tblGrid>
        <w:gridCol w:w="9345"/>
      </w:tblGrid>
      <w:tr w:rsidR="008C4124" w:rsidRPr="00E11586" w14:paraId="4D0744B6" w14:textId="77777777" w:rsidTr="00CE3571">
        <w:tc>
          <w:tcPr>
            <w:tcW w:w="9345" w:type="dxa"/>
          </w:tcPr>
          <w:p w14:paraId="0C8BA16D" w14:textId="77777777" w:rsidR="008C4124" w:rsidRPr="000750C2" w:rsidRDefault="008C4124" w:rsidP="009A2574">
            <w:pPr>
              <w:pStyle w:val="TableParagraph"/>
              <w:spacing w:line="276" w:lineRule="auto"/>
              <w:jc w:val="both"/>
              <w:rPr>
                <w:b/>
                <w:sz w:val="24"/>
                <w:lang w:val="ro-MD"/>
              </w:rPr>
            </w:pPr>
            <w:r w:rsidRPr="000750C2">
              <w:rPr>
                <w:b/>
                <w:sz w:val="24"/>
                <w:lang w:val="ro-MD"/>
              </w:rPr>
              <w:t>1.</w:t>
            </w:r>
            <w:r w:rsidRPr="000750C2">
              <w:rPr>
                <w:b/>
                <w:spacing w:val="40"/>
                <w:sz w:val="24"/>
                <w:lang w:val="ro-MD"/>
              </w:rPr>
              <w:t xml:space="preserve"> </w:t>
            </w:r>
            <w:r w:rsidRPr="000750C2">
              <w:rPr>
                <w:b/>
                <w:sz w:val="24"/>
                <w:lang w:val="ro-MD"/>
              </w:rPr>
              <w:t>Denumirea</w:t>
            </w:r>
            <w:r w:rsidRPr="000750C2">
              <w:rPr>
                <w:b/>
                <w:spacing w:val="-1"/>
                <w:sz w:val="24"/>
                <w:lang w:val="ro-MD"/>
              </w:rPr>
              <w:t xml:space="preserve"> </w:t>
            </w:r>
            <w:r w:rsidRPr="000750C2">
              <w:rPr>
                <w:b/>
                <w:sz w:val="24"/>
                <w:lang w:val="ro-MD"/>
              </w:rPr>
              <w:t>autorului</w:t>
            </w:r>
            <w:r w:rsidRPr="000750C2">
              <w:rPr>
                <w:b/>
                <w:spacing w:val="-1"/>
                <w:sz w:val="24"/>
                <w:lang w:val="ro-MD"/>
              </w:rPr>
              <w:t xml:space="preserve"> </w:t>
            </w:r>
            <w:r w:rsidRPr="000750C2">
              <w:rPr>
                <w:b/>
                <w:sz w:val="24"/>
                <w:lang w:val="ro-MD"/>
              </w:rPr>
              <w:t>şi,</w:t>
            </w:r>
            <w:r w:rsidRPr="000750C2">
              <w:rPr>
                <w:b/>
                <w:spacing w:val="-1"/>
                <w:sz w:val="24"/>
                <w:lang w:val="ro-MD"/>
              </w:rPr>
              <w:t xml:space="preserve"> </w:t>
            </w:r>
            <w:r w:rsidRPr="000750C2">
              <w:rPr>
                <w:b/>
                <w:sz w:val="24"/>
                <w:lang w:val="ro-MD"/>
              </w:rPr>
              <w:t>după</w:t>
            </w:r>
            <w:r w:rsidRPr="000750C2">
              <w:rPr>
                <w:b/>
                <w:spacing w:val="-2"/>
                <w:sz w:val="24"/>
                <w:lang w:val="ro-MD"/>
              </w:rPr>
              <w:t xml:space="preserve"> </w:t>
            </w:r>
            <w:r w:rsidRPr="000750C2">
              <w:rPr>
                <w:b/>
                <w:sz w:val="24"/>
                <w:lang w:val="ro-MD"/>
              </w:rPr>
              <w:t>caz,</w:t>
            </w:r>
            <w:r w:rsidRPr="000750C2">
              <w:rPr>
                <w:b/>
                <w:spacing w:val="-1"/>
                <w:sz w:val="24"/>
                <w:lang w:val="ro-MD"/>
              </w:rPr>
              <w:t xml:space="preserve"> </w:t>
            </w:r>
            <w:r w:rsidRPr="000750C2">
              <w:rPr>
                <w:b/>
                <w:sz w:val="24"/>
                <w:lang w:val="ro-MD"/>
              </w:rPr>
              <w:t>a</w:t>
            </w:r>
            <w:r w:rsidRPr="000750C2">
              <w:rPr>
                <w:b/>
                <w:spacing w:val="-1"/>
                <w:sz w:val="24"/>
                <w:lang w:val="ro-MD"/>
              </w:rPr>
              <w:t xml:space="preserve"> </w:t>
            </w:r>
            <w:r w:rsidRPr="000750C2">
              <w:rPr>
                <w:b/>
                <w:sz w:val="24"/>
                <w:lang w:val="ro-MD"/>
              </w:rPr>
              <w:t>participanţilor</w:t>
            </w:r>
            <w:r w:rsidRPr="000750C2">
              <w:rPr>
                <w:b/>
                <w:spacing w:val="-2"/>
                <w:sz w:val="24"/>
                <w:lang w:val="ro-MD"/>
              </w:rPr>
              <w:t xml:space="preserve"> </w:t>
            </w:r>
            <w:r w:rsidRPr="000750C2">
              <w:rPr>
                <w:b/>
                <w:sz w:val="24"/>
                <w:lang w:val="ro-MD"/>
              </w:rPr>
              <w:t>la</w:t>
            </w:r>
            <w:r w:rsidRPr="000750C2">
              <w:rPr>
                <w:b/>
                <w:spacing w:val="-2"/>
                <w:sz w:val="24"/>
                <w:lang w:val="ro-MD"/>
              </w:rPr>
              <w:t xml:space="preserve"> </w:t>
            </w:r>
            <w:r w:rsidRPr="000750C2">
              <w:rPr>
                <w:b/>
                <w:sz w:val="24"/>
                <w:lang w:val="ro-MD"/>
              </w:rPr>
              <w:t>elaborarea</w:t>
            </w:r>
            <w:r w:rsidRPr="000750C2">
              <w:rPr>
                <w:b/>
                <w:spacing w:val="-1"/>
                <w:sz w:val="24"/>
                <w:lang w:val="ro-MD"/>
              </w:rPr>
              <w:t xml:space="preserve"> </w:t>
            </w:r>
            <w:r w:rsidRPr="000750C2">
              <w:rPr>
                <w:b/>
                <w:sz w:val="24"/>
                <w:lang w:val="ro-MD"/>
              </w:rPr>
              <w:t>proiectului:</w:t>
            </w:r>
          </w:p>
          <w:p w14:paraId="6C607F79" w14:textId="0DD54E30" w:rsidR="008C4124" w:rsidRPr="000750C2" w:rsidRDefault="008C4124" w:rsidP="009A2574">
            <w:pPr>
              <w:spacing w:line="276" w:lineRule="auto"/>
              <w:jc w:val="both"/>
              <w:rPr>
                <w:rFonts w:ascii="Times New Roman" w:hAnsi="Times New Roman" w:cs="Times New Roman"/>
                <w:b/>
                <w:bCs/>
                <w:sz w:val="28"/>
                <w:szCs w:val="28"/>
                <w:lang w:val="ro-MD"/>
              </w:rPr>
            </w:pPr>
            <w:r w:rsidRPr="000750C2">
              <w:rPr>
                <w:rFonts w:ascii="Times New Roman" w:hAnsi="Times New Roman" w:cs="Times New Roman"/>
                <w:sz w:val="24"/>
                <w:lang w:val="ro-MD"/>
              </w:rPr>
              <w:tab/>
              <w:t xml:space="preserve">Proiectul hotărârii Guvernului pentru </w:t>
            </w:r>
            <w:r w:rsidR="002C3845" w:rsidRPr="000750C2">
              <w:rPr>
                <w:rFonts w:ascii="Times New Roman" w:hAnsi="Times New Roman" w:cs="Times New Roman"/>
                <w:sz w:val="24"/>
                <w:lang w:val="ro-MD"/>
              </w:rPr>
              <w:t>modificarea unor hotărâri de Guvern</w:t>
            </w:r>
            <w:r w:rsidRPr="000750C2">
              <w:rPr>
                <w:rFonts w:ascii="Times New Roman" w:hAnsi="Times New Roman" w:cs="Times New Roman"/>
                <w:sz w:val="24"/>
                <w:lang w:val="ro-MD"/>
              </w:rPr>
              <w:t xml:space="preserve">, este elaborat de </w:t>
            </w:r>
            <w:r w:rsidRPr="000750C2">
              <w:rPr>
                <w:rFonts w:ascii="Times New Roman" w:hAnsi="Times New Roman" w:cs="Times New Roman"/>
                <w:color w:val="000000" w:themeColor="text1"/>
                <w:sz w:val="24"/>
                <w:lang w:val="ro-MD"/>
              </w:rPr>
              <w:t>Agenția Relații Funciare și Cadastru</w:t>
            </w:r>
            <w:r w:rsidR="000C785A">
              <w:rPr>
                <w:rFonts w:ascii="Times New Roman" w:hAnsi="Times New Roman" w:cs="Times New Roman"/>
                <w:color w:val="000000" w:themeColor="text1"/>
                <w:sz w:val="24"/>
                <w:lang w:val="ro-MD"/>
              </w:rPr>
              <w:t>, în comun cu</w:t>
            </w:r>
            <w:r w:rsidRPr="000750C2">
              <w:rPr>
                <w:rFonts w:ascii="Times New Roman" w:hAnsi="Times New Roman" w:cs="Times New Roman"/>
                <w:sz w:val="24"/>
                <w:lang w:val="ro-MD"/>
              </w:rPr>
              <w:t xml:space="preserve"> Agenţia Servicii Publice.</w:t>
            </w:r>
          </w:p>
        </w:tc>
      </w:tr>
      <w:tr w:rsidR="008C4124" w:rsidRPr="00E11586" w14:paraId="7F8C8397" w14:textId="77777777" w:rsidTr="00CE3571">
        <w:tc>
          <w:tcPr>
            <w:tcW w:w="9345" w:type="dxa"/>
          </w:tcPr>
          <w:p w14:paraId="05623468" w14:textId="77777777" w:rsidR="008C4124" w:rsidRPr="000750C2" w:rsidRDefault="008C4124" w:rsidP="009A2574">
            <w:pPr>
              <w:spacing w:line="276" w:lineRule="auto"/>
              <w:jc w:val="both"/>
              <w:rPr>
                <w:rFonts w:ascii="Times New Roman" w:hAnsi="Times New Roman" w:cs="Times New Roman"/>
                <w:b/>
                <w:bCs/>
                <w:sz w:val="24"/>
                <w:szCs w:val="24"/>
                <w:lang w:val="ro-MD"/>
              </w:rPr>
            </w:pPr>
            <w:r w:rsidRPr="000750C2">
              <w:rPr>
                <w:rFonts w:ascii="Times New Roman" w:hAnsi="Times New Roman" w:cs="Times New Roman"/>
                <w:b/>
                <w:bCs/>
                <w:sz w:val="24"/>
                <w:szCs w:val="24"/>
                <w:lang w:val="ro-MD"/>
              </w:rPr>
              <w:t xml:space="preserve">2. Condiţiile ce au impus elaborarea proiectului de act normativ şi finalităţile urmărite: </w:t>
            </w:r>
          </w:p>
          <w:p w14:paraId="10046245" w14:textId="7D6ACD1D" w:rsidR="004453C7" w:rsidRPr="000750C2" w:rsidRDefault="008C4124" w:rsidP="009A2574">
            <w:pPr>
              <w:spacing w:line="276" w:lineRule="auto"/>
              <w:jc w:val="both"/>
              <w:rPr>
                <w:rFonts w:ascii="Times New Roman" w:hAnsi="Times New Roman" w:cs="Times New Roman"/>
                <w:sz w:val="24"/>
                <w:szCs w:val="24"/>
                <w:lang w:val="ro-MD"/>
              </w:rPr>
            </w:pPr>
            <w:r w:rsidRPr="000750C2">
              <w:rPr>
                <w:rFonts w:ascii="Times New Roman" w:hAnsi="Times New Roman" w:cs="Times New Roman"/>
                <w:b/>
                <w:bCs/>
                <w:sz w:val="28"/>
                <w:szCs w:val="28"/>
                <w:lang w:val="ro-MD"/>
              </w:rPr>
              <w:tab/>
            </w:r>
            <w:r w:rsidRPr="000750C2">
              <w:rPr>
                <w:rFonts w:ascii="Times New Roman" w:hAnsi="Times New Roman" w:cs="Times New Roman"/>
                <w:sz w:val="24"/>
                <w:szCs w:val="24"/>
                <w:lang w:val="ro-MD"/>
              </w:rPr>
              <w:t xml:space="preserve">Din momentul aprobării Hotărârii Guvernului nr. 133/2014 cu privire la crearea sistemului informațional automatizat ”Registrul obiectelor de infrastructură tehnico-edilitară” a </w:t>
            </w:r>
            <w:r w:rsidR="002C3845" w:rsidRPr="000750C2">
              <w:rPr>
                <w:rFonts w:ascii="Times New Roman" w:hAnsi="Times New Roman" w:cs="Times New Roman"/>
                <w:sz w:val="24"/>
                <w:szCs w:val="24"/>
                <w:lang w:val="ro-MD"/>
              </w:rPr>
              <w:t>trecut</w:t>
            </w:r>
            <w:r w:rsidRPr="000750C2">
              <w:rPr>
                <w:rFonts w:ascii="Times New Roman" w:hAnsi="Times New Roman" w:cs="Times New Roman"/>
                <w:sz w:val="24"/>
                <w:szCs w:val="24"/>
                <w:lang w:val="ro-MD"/>
              </w:rPr>
              <w:t xml:space="preserve"> o perioadă îndelungată</w:t>
            </w:r>
            <w:r w:rsidR="002C3845" w:rsidRPr="000750C2">
              <w:rPr>
                <w:rFonts w:ascii="Times New Roman" w:hAnsi="Times New Roman" w:cs="Times New Roman"/>
                <w:sz w:val="24"/>
                <w:szCs w:val="24"/>
                <w:lang w:val="ro-MD"/>
              </w:rPr>
              <w:t xml:space="preserve"> de timp</w:t>
            </w:r>
            <w:r w:rsidRPr="000750C2">
              <w:rPr>
                <w:rFonts w:ascii="Times New Roman" w:hAnsi="Times New Roman" w:cs="Times New Roman"/>
                <w:sz w:val="24"/>
                <w:szCs w:val="24"/>
                <w:lang w:val="ro-MD"/>
              </w:rPr>
              <w:t>. În această perioadă</w:t>
            </w:r>
            <w:r w:rsidR="002C3845" w:rsidRPr="000750C2">
              <w:rPr>
                <w:rFonts w:ascii="Times New Roman" w:hAnsi="Times New Roman" w:cs="Times New Roman"/>
                <w:sz w:val="24"/>
                <w:szCs w:val="24"/>
                <w:lang w:val="ro-MD"/>
              </w:rPr>
              <w:t>,</w:t>
            </w:r>
            <w:r w:rsidRPr="000750C2">
              <w:rPr>
                <w:rFonts w:ascii="Times New Roman" w:hAnsi="Times New Roman" w:cs="Times New Roman"/>
                <w:sz w:val="24"/>
                <w:szCs w:val="24"/>
                <w:lang w:val="ro-MD"/>
              </w:rPr>
              <w:t xml:space="preserve"> cu succes s-au dezvoltat tehnologiile informaționale în toate domeniile economiei naționale</w:t>
            </w:r>
            <w:r w:rsidR="00353AC1" w:rsidRPr="000750C2">
              <w:rPr>
                <w:rFonts w:ascii="Times New Roman" w:hAnsi="Times New Roman" w:cs="Times New Roman"/>
                <w:sz w:val="24"/>
                <w:szCs w:val="24"/>
                <w:lang w:val="ro-MD"/>
              </w:rPr>
              <w:t>, fiind</w:t>
            </w:r>
            <w:r w:rsidRPr="000750C2">
              <w:rPr>
                <w:rFonts w:ascii="Times New Roman" w:hAnsi="Times New Roman" w:cs="Times New Roman"/>
                <w:sz w:val="24"/>
                <w:szCs w:val="24"/>
                <w:lang w:val="ro-MD"/>
              </w:rPr>
              <w:t xml:space="preserve"> aprobată de </w:t>
            </w:r>
            <w:r w:rsidR="002C3845" w:rsidRPr="000750C2">
              <w:rPr>
                <w:rFonts w:ascii="Times New Roman" w:hAnsi="Times New Roman" w:cs="Times New Roman"/>
                <w:sz w:val="24"/>
                <w:szCs w:val="24"/>
                <w:lang w:val="ro-MD"/>
              </w:rPr>
              <w:t xml:space="preserve">către </w:t>
            </w:r>
            <w:r w:rsidRPr="000750C2">
              <w:rPr>
                <w:rFonts w:ascii="Times New Roman" w:hAnsi="Times New Roman" w:cs="Times New Roman"/>
                <w:sz w:val="24"/>
                <w:szCs w:val="24"/>
                <w:lang w:val="ro-MD"/>
              </w:rPr>
              <w:t xml:space="preserve">Parlament Legea </w:t>
            </w:r>
            <w:r w:rsidR="00353AC1" w:rsidRPr="000750C2">
              <w:rPr>
                <w:rFonts w:ascii="Times New Roman" w:hAnsi="Times New Roman" w:cs="Times New Roman"/>
                <w:sz w:val="24"/>
                <w:szCs w:val="24"/>
                <w:lang w:val="ro-MD"/>
              </w:rPr>
              <w:t xml:space="preserve">nr. </w:t>
            </w:r>
            <w:r w:rsidRPr="000750C2">
              <w:rPr>
                <w:rFonts w:ascii="Times New Roman" w:hAnsi="Times New Roman" w:cs="Times New Roman"/>
                <w:sz w:val="24"/>
                <w:szCs w:val="24"/>
                <w:lang w:val="ro-MD"/>
              </w:rPr>
              <w:t>150/2017 cu privire la Registrul  obiectivelor de infrastructură tehnico-edilitare</w:t>
            </w:r>
            <w:r w:rsidR="002C3845" w:rsidRPr="000750C2">
              <w:rPr>
                <w:rFonts w:ascii="Times New Roman" w:hAnsi="Times New Roman" w:cs="Times New Roman"/>
                <w:sz w:val="24"/>
                <w:szCs w:val="24"/>
                <w:lang w:val="ro-MD"/>
              </w:rPr>
              <w:t xml:space="preserve">. Totodată, </w:t>
            </w:r>
            <w:r w:rsidRPr="000750C2">
              <w:rPr>
                <w:rFonts w:ascii="Times New Roman" w:hAnsi="Times New Roman" w:cs="Times New Roman"/>
                <w:sz w:val="24"/>
                <w:szCs w:val="24"/>
                <w:lang w:val="ro-MD"/>
              </w:rPr>
              <w:t xml:space="preserve"> </w:t>
            </w:r>
            <w:r w:rsidR="002C3845" w:rsidRPr="000750C2">
              <w:rPr>
                <w:rFonts w:ascii="Times New Roman" w:hAnsi="Times New Roman" w:cs="Times New Roman"/>
                <w:sz w:val="24"/>
                <w:szCs w:val="24"/>
                <w:lang w:val="ro-MD"/>
              </w:rPr>
              <w:t>în prezent</w:t>
            </w:r>
            <w:r w:rsidR="00094354" w:rsidRPr="000750C2">
              <w:rPr>
                <w:rFonts w:ascii="Times New Roman" w:hAnsi="Times New Roman" w:cs="Times New Roman"/>
                <w:sz w:val="24"/>
                <w:szCs w:val="24"/>
                <w:lang w:val="ro-MD"/>
              </w:rPr>
              <w:t xml:space="preserve"> este în proces de</w:t>
            </w:r>
            <w:r w:rsidRPr="000750C2">
              <w:rPr>
                <w:rFonts w:ascii="Times New Roman" w:hAnsi="Times New Roman" w:cs="Times New Roman"/>
                <w:sz w:val="24"/>
                <w:szCs w:val="24"/>
                <w:lang w:val="ro-MD"/>
              </w:rPr>
              <w:t xml:space="preserve"> </w:t>
            </w:r>
            <w:r w:rsidR="00094354" w:rsidRPr="000750C2">
              <w:rPr>
                <w:rFonts w:ascii="Times New Roman" w:hAnsi="Times New Roman" w:cs="Times New Roman"/>
                <w:sz w:val="24"/>
                <w:szCs w:val="24"/>
                <w:lang w:val="ro-MD"/>
              </w:rPr>
              <w:t>implementare</w:t>
            </w:r>
            <w:r w:rsidRPr="000750C2">
              <w:rPr>
                <w:rFonts w:ascii="Times New Roman" w:hAnsi="Times New Roman" w:cs="Times New Roman"/>
                <w:sz w:val="24"/>
                <w:szCs w:val="24"/>
                <w:lang w:val="ro-MD"/>
              </w:rPr>
              <w:t xml:space="preserve"> Proiectul "Înregistrarea şi evaluarea bunurilor imobile”</w:t>
            </w:r>
            <w:r w:rsidR="00094354" w:rsidRPr="000750C2">
              <w:rPr>
                <w:rFonts w:ascii="Times New Roman" w:hAnsi="Times New Roman" w:cs="Times New Roman"/>
                <w:sz w:val="24"/>
                <w:szCs w:val="24"/>
                <w:lang w:val="ro-MD"/>
              </w:rPr>
              <w:t xml:space="preserve">, care </w:t>
            </w:r>
            <w:r w:rsidRPr="000750C2">
              <w:rPr>
                <w:rFonts w:ascii="Times New Roman" w:hAnsi="Times New Roman" w:cs="Times New Roman"/>
                <w:sz w:val="24"/>
                <w:szCs w:val="24"/>
                <w:lang w:val="ro-MD"/>
              </w:rPr>
              <w:t xml:space="preserve">are drept obiectiv finalizarea înregistrării primare masive a tuturor bunurilor imobile proprietate privată şi publică, </w:t>
            </w:r>
            <w:r w:rsidR="00094354" w:rsidRPr="000750C2">
              <w:rPr>
                <w:rFonts w:ascii="Times New Roman" w:hAnsi="Times New Roman" w:cs="Times New Roman"/>
                <w:sz w:val="24"/>
                <w:szCs w:val="24"/>
                <w:lang w:val="ro-MD"/>
              </w:rPr>
              <w:t>dar</w:t>
            </w:r>
            <w:r w:rsidRPr="000750C2">
              <w:rPr>
                <w:rFonts w:ascii="Times New Roman" w:hAnsi="Times New Roman" w:cs="Times New Roman"/>
                <w:sz w:val="24"/>
                <w:szCs w:val="24"/>
                <w:lang w:val="ro-MD"/>
              </w:rPr>
              <w:t xml:space="preserve"> şi alte obiective, printre care elaborarea SIA ROITE. </w:t>
            </w:r>
            <w:r w:rsidR="00353AC1" w:rsidRPr="000750C2">
              <w:rPr>
                <w:rFonts w:ascii="Times New Roman" w:hAnsi="Times New Roman" w:cs="Times New Roman"/>
                <w:sz w:val="24"/>
                <w:szCs w:val="24"/>
                <w:lang w:val="ro-MD"/>
              </w:rPr>
              <w:t>Actualmente</w:t>
            </w:r>
            <w:r w:rsidRPr="000750C2">
              <w:rPr>
                <w:rFonts w:ascii="Times New Roman" w:hAnsi="Times New Roman" w:cs="Times New Roman"/>
                <w:sz w:val="24"/>
                <w:szCs w:val="24"/>
                <w:lang w:val="ro-MD"/>
              </w:rPr>
              <w:t>, conform Acordului de Finanțare, încheiat între Guvernul Republicii Moldova și Asociațiile  Internațională pentru Dezvoltare, semnat la 17.09.2018 și ratificat prin Legea nr. 140 din 08.11.2018 se implementează Proiectul ”Înregistrarea și Evaluarea Funciară”.</w:t>
            </w:r>
            <w:r w:rsidR="00353AC1" w:rsidRPr="000750C2">
              <w:rPr>
                <w:rFonts w:ascii="Times New Roman" w:hAnsi="Times New Roman" w:cs="Times New Roman"/>
                <w:sz w:val="24"/>
                <w:szCs w:val="24"/>
                <w:lang w:val="ro-MD"/>
              </w:rPr>
              <w:t xml:space="preserve"> </w:t>
            </w:r>
            <w:r w:rsidRPr="000750C2">
              <w:rPr>
                <w:rFonts w:ascii="Times New Roman" w:hAnsi="Times New Roman" w:cs="Times New Roman"/>
                <w:sz w:val="24"/>
                <w:szCs w:val="24"/>
                <w:lang w:val="ro-MD"/>
              </w:rPr>
              <w:t xml:space="preserve">Proiectul, prin intermediul creării  unui sistem informațional, va permite crearea posibilităților de integrare a spațiului informațional internațional al datelor cu privire la potențialul și posibilitățile economiei republicii, asigurarea participării republicii, pe principii egale, la proiecte comune de dezvoltare și economică, crearea garanțiilor pentru investiții. </w:t>
            </w:r>
          </w:p>
          <w:p w14:paraId="2ED6D56F" w14:textId="495FA94D" w:rsidR="00353AC1" w:rsidRPr="000750C2" w:rsidRDefault="00353AC1" w:rsidP="009A2574">
            <w:pPr>
              <w:spacing w:line="276" w:lineRule="auto"/>
              <w:ind w:firstLine="708"/>
              <w:jc w:val="both"/>
              <w:rPr>
                <w:rFonts w:ascii="Times New Roman" w:hAnsi="Times New Roman" w:cs="Times New Roman"/>
                <w:sz w:val="24"/>
                <w:szCs w:val="24"/>
                <w:lang w:val="ro-MD"/>
              </w:rPr>
            </w:pPr>
            <w:r w:rsidRPr="000750C2">
              <w:rPr>
                <w:rFonts w:ascii="Times New Roman" w:hAnsi="Times New Roman" w:cs="Times New Roman"/>
                <w:sz w:val="24"/>
                <w:szCs w:val="24"/>
                <w:lang w:val="ro-MD"/>
              </w:rPr>
              <w:t>Așadar, scopul principal al proiectului este</w:t>
            </w:r>
            <w:r w:rsidRPr="000750C2">
              <w:rPr>
                <w:rFonts w:ascii="Times New Roman" w:hAnsi="Times New Roman" w:cs="Times New Roman"/>
                <w:sz w:val="24"/>
                <w:szCs w:val="24"/>
                <w:lang w:val="ro-RO"/>
              </w:rPr>
              <w:t xml:space="preserve"> revizuirea Conceptului SIA ROITE, prevăzut în </w:t>
            </w:r>
            <w:r w:rsidRPr="000750C2">
              <w:rPr>
                <w:rFonts w:ascii="Times New Roman" w:hAnsi="Times New Roman" w:cs="Times New Roman"/>
                <w:sz w:val="24"/>
                <w:szCs w:val="24"/>
                <w:lang w:val="ro-MD"/>
              </w:rPr>
              <w:t>Hotărârea Guvernului nr. 133/2014 cu privirea la crearea sistemului informațional automatizat ,,Registrul obiectelor de infrastructură tehncio-edilitară”</w:t>
            </w:r>
            <w:r w:rsidRPr="000750C2">
              <w:rPr>
                <w:rFonts w:ascii="Times New Roman" w:hAnsi="Times New Roman" w:cs="Times New Roman"/>
                <w:sz w:val="24"/>
                <w:szCs w:val="24"/>
                <w:lang w:val="ro-RO"/>
              </w:rPr>
              <w:t xml:space="preserve">, urmărindu-se, printre altele, </w:t>
            </w:r>
            <w:r w:rsidRPr="000750C2">
              <w:rPr>
                <w:rFonts w:ascii="Times New Roman" w:hAnsi="Times New Roman" w:cs="Times New Roman"/>
                <w:sz w:val="24"/>
                <w:szCs w:val="24"/>
                <w:lang w:val="ro-MD"/>
              </w:rPr>
              <w:t xml:space="preserve">determinarea surselor financiare pentru elaborarea sistemului informațional automatizat ,,Registrul obiectivelor de infrastructură tehncio-edilitară”. </w:t>
            </w:r>
          </w:p>
          <w:p w14:paraId="02C6E08A" w14:textId="77777777" w:rsidR="00353AC1" w:rsidRPr="000750C2" w:rsidRDefault="00353AC1" w:rsidP="009A2574">
            <w:pPr>
              <w:spacing w:line="276" w:lineRule="auto"/>
              <w:ind w:firstLine="708"/>
              <w:jc w:val="both"/>
              <w:rPr>
                <w:rFonts w:ascii="Times New Roman" w:hAnsi="Times New Roman" w:cs="Times New Roman"/>
                <w:sz w:val="24"/>
                <w:szCs w:val="24"/>
                <w:lang w:val="ro-RO"/>
              </w:rPr>
            </w:pPr>
            <w:r w:rsidRPr="000750C2">
              <w:rPr>
                <w:rFonts w:ascii="Times New Roman" w:hAnsi="Times New Roman" w:cs="Times New Roman"/>
                <w:sz w:val="24"/>
                <w:szCs w:val="24"/>
                <w:lang w:val="ro-MD"/>
              </w:rPr>
              <w:t xml:space="preserve">De asemenea, proiectul își propune </w:t>
            </w:r>
            <w:r w:rsidRPr="000750C2">
              <w:rPr>
                <w:rFonts w:ascii="Times New Roman" w:hAnsi="Times New Roman" w:cs="Times New Roman"/>
                <w:sz w:val="24"/>
                <w:szCs w:val="24"/>
                <w:lang w:val="ro-RO"/>
              </w:rPr>
              <w:t xml:space="preserve">reglementarea procedurii de delimitare a obiectivelor de infrastructură tehnico-edilitară, întrucât hotărârea Guvernului nr. 63/2019 reglementează numai modul de delimitare a terenurilor, clădirilor și încăperilor izolate. </w:t>
            </w:r>
          </w:p>
          <w:p w14:paraId="2AE3C86B" w14:textId="0CEBD4D1" w:rsidR="008C4124" w:rsidRPr="000750C2" w:rsidRDefault="00353AC1" w:rsidP="009A2574">
            <w:pPr>
              <w:spacing w:line="276" w:lineRule="auto"/>
              <w:ind w:firstLine="708"/>
              <w:jc w:val="both"/>
              <w:rPr>
                <w:rFonts w:ascii="Times New Roman" w:hAnsi="Times New Roman" w:cs="Times New Roman"/>
                <w:sz w:val="24"/>
                <w:szCs w:val="24"/>
                <w:lang w:val="ro-MD"/>
              </w:rPr>
            </w:pPr>
            <w:r w:rsidRPr="000750C2">
              <w:rPr>
                <w:rFonts w:ascii="Times New Roman" w:hAnsi="Times New Roman" w:cs="Times New Roman"/>
                <w:sz w:val="24"/>
                <w:szCs w:val="24"/>
                <w:lang w:val="ro-RO"/>
              </w:rPr>
              <w:t xml:space="preserve">Într-o ordine de idei, în hotărârea Guvernului nr. </w:t>
            </w:r>
            <w:r w:rsidRPr="000750C2">
              <w:rPr>
                <w:rFonts w:ascii="Times New Roman" w:hAnsi="Times New Roman" w:cs="Times New Roman"/>
                <w:sz w:val="24"/>
                <w:szCs w:val="24"/>
                <w:lang w:val="ro-MD"/>
              </w:rPr>
              <w:t>80/2019 urmează să fie prevăzuți termenii de efectuare a inventarierii și delimitării obiectivelor de infrastructură tehnico-edilitare proprietate publică</w:t>
            </w:r>
          </w:p>
        </w:tc>
      </w:tr>
      <w:tr w:rsidR="008C4124" w:rsidRPr="000750C2" w14:paraId="5D3E883C" w14:textId="77777777" w:rsidTr="00CE3571">
        <w:tc>
          <w:tcPr>
            <w:tcW w:w="9345" w:type="dxa"/>
          </w:tcPr>
          <w:p w14:paraId="3614A881" w14:textId="77777777" w:rsidR="00E258D3" w:rsidRPr="000750C2" w:rsidRDefault="00E258D3" w:rsidP="009A2574">
            <w:pPr>
              <w:spacing w:line="276" w:lineRule="auto"/>
              <w:jc w:val="both"/>
              <w:rPr>
                <w:rFonts w:ascii="Times New Roman" w:hAnsi="Times New Roman" w:cs="Times New Roman"/>
                <w:b/>
                <w:bCs/>
                <w:sz w:val="24"/>
                <w:szCs w:val="24"/>
                <w:lang w:val="ro-MD"/>
              </w:rPr>
            </w:pPr>
            <w:r w:rsidRPr="000750C2">
              <w:rPr>
                <w:rFonts w:ascii="Times New Roman" w:hAnsi="Times New Roman" w:cs="Times New Roman"/>
                <w:b/>
                <w:bCs/>
                <w:sz w:val="24"/>
                <w:szCs w:val="24"/>
                <w:lang w:val="ro-MD"/>
              </w:rPr>
              <w:t xml:space="preserve">3. Descrierea gradului de compatibilitate pentru proiectele care au scop armonizarea legislaţiei naţionale cu legislaţia Uniunii Europene. </w:t>
            </w:r>
          </w:p>
          <w:p w14:paraId="4CA12613" w14:textId="7A178B2B" w:rsidR="009A2574" w:rsidRPr="000750C2" w:rsidRDefault="00E258D3" w:rsidP="009A2574">
            <w:pPr>
              <w:spacing w:line="276" w:lineRule="auto"/>
              <w:jc w:val="both"/>
              <w:rPr>
                <w:rFonts w:ascii="Times New Roman" w:hAnsi="Times New Roman" w:cs="Times New Roman"/>
                <w:sz w:val="24"/>
                <w:szCs w:val="24"/>
                <w:lang w:val="ro-MD"/>
              </w:rPr>
            </w:pPr>
            <w:r w:rsidRPr="000750C2">
              <w:rPr>
                <w:rFonts w:ascii="Times New Roman" w:hAnsi="Times New Roman" w:cs="Times New Roman"/>
                <w:sz w:val="24"/>
                <w:szCs w:val="24"/>
                <w:lang w:val="ro-MD"/>
              </w:rPr>
              <w:tab/>
              <w:t>Nu este cazul.</w:t>
            </w:r>
          </w:p>
        </w:tc>
      </w:tr>
    </w:tbl>
    <w:p w14:paraId="55D4446B" w14:textId="77777777" w:rsidR="00E330F1" w:rsidRPr="000750C2" w:rsidRDefault="00E330F1">
      <w:r w:rsidRPr="000750C2">
        <w:br w:type="page"/>
      </w:r>
    </w:p>
    <w:tbl>
      <w:tblPr>
        <w:tblStyle w:val="ab"/>
        <w:tblW w:w="0" w:type="auto"/>
        <w:tblCellMar>
          <w:top w:w="85" w:type="dxa"/>
          <w:left w:w="85" w:type="dxa"/>
          <w:bottom w:w="85" w:type="dxa"/>
          <w:right w:w="85" w:type="dxa"/>
        </w:tblCellMar>
        <w:tblLook w:val="04A0" w:firstRow="1" w:lastRow="0" w:firstColumn="1" w:lastColumn="0" w:noHBand="0" w:noVBand="1"/>
      </w:tblPr>
      <w:tblGrid>
        <w:gridCol w:w="9345"/>
      </w:tblGrid>
      <w:tr w:rsidR="008C4124" w:rsidRPr="00E11586" w14:paraId="08374520" w14:textId="77777777" w:rsidTr="00CE3571">
        <w:tc>
          <w:tcPr>
            <w:tcW w:w="9345" w:type="dxa"/>
          </w:tcPr>
          <w:p w14:paraId="18EAB207" w14:textId="13FFC278" w:rsidR="00CE3571" w:rsidRPr="000750C2" w:rsidRDefault="00E258D3" w:rsidP="009A2574">
            <w:pPr>
              <w:spacing w:line="276" w:lineRule="auto"/>
              <w:jc w:val="both"/>
              <w:rPr>
                <w:rFonts w:ascii="Times New Roman" w:hAnsi="Times New Roman" w:cs="Times New Roman"/>
                <w:b/>
                <w:bCs/>
                <w:sz w:val="24"/>
                <w:szCs w:val="24"/>
                <w:lang w:val="ro-MD"/>
              </w:rPr>
            </w:pPr>
            <w:r w:rsidRPr="000750C2">
              <w:rPr>
                <w:rFonts w:ascii="Times New Roman" w:hAnsi="Times New Roman" w:cs="Times New Roman"/>
                <w:b/>
                <w:bCs/>
                <w:sz w:val="24"/>
                <w:szCs w:val="24"/>
                <w:lang w:val="ro-MD"/>
              </w:rPr>
              <w:lastRenderedPageBreak/>
              <w:t xml:space="preserve">4. Principalele prevederi ale proiectului şi evidenţierea elementelor noi Prezentul proiect de hotărîre a Guvernului prevede: </w:t>
            </w:r>
          </w:p>
          <w:p w14:paraId="0A757E80" w14:textId="131ED9E1" w:rsidR="00E258D3" w:rsidRPr="000750C2" w:rsidRDefault="00E258D3" w:rsidP="009A2574">
            <w:pPr>
              <w:spacing w:line="276" w:lineRule="auto"/>
              <w:ind w:left="85"/>
              <w:jc w:val="both"/>
              <w:rPr>
                <w:rFonts w:ascii="Times New Roman" w:hAnsi="Times New Roman" w:cs="Times New Roman"/>
                <w:sz w:val="24"/>
                <w:szCs w:val="24"/>
                <w:lang w:val="ro-MD"/>
              </w:rPr>
            </w:pPr>
            <w:r w:rsidRPr="000750C2">
              <w:rPr>
                <w:rFonts w:ascii="Times New Roman" w:hAnsi="Times New Roman" w:cs="Times New Roman"/>
                <w:sz w:val="24"/>
                <w:szCs w:val="24"/>
                <w:lang w:val="ro-MD"/>
              </w:rPr>
              <w:t xml:space="preserve">1. Determinarea surselor financiare necesare pentru elaborarea sistemului informațional automatizat ”Registrul obiectivelor de infrastructură tehnico-edilitară” (pct. 3) din proiect. </w:t>
            </w:r>
          </w:p>
          <w:p w14:paraId="1BAA78B8" w14:textId="77777777" w:rsidR="00E258D3" w:rsidRPr="000750C2" w:rsidRDefault="00E258D3" w:rsidP="009A2574">
            <w:pPr>
              <w:spacing w:line="276" w:lineRule="auto"/>
              <w:ind w:left="85"/>
              <w:jc w:val="both"/>
              <w:rPr>
                <w:rFonts w:ascii="Times New Roman" w:hAnsi="Times New Roman" w:cs="Times New Roman"/>
                <w:sz w:val="24"/>
                <w:szCs w:val="24"/>
                <w:lang w:val="ro-MD"/>
              </w:rPr>
            </w:pPr>
            <w:r w:rsidRPr="000750C2">
              <w:rPr>
                <w:rFonts w:ascii="Times New Roman" w:hAnsi="Times New Roman" w:cs="Times New Roman"/>
                <w:sz w:val="24"/>
                <w:szCs w:val="24"/>
                <w:lang w:val="ro-MD"/>
              </w:rPr>
              <w:t xml:space="preserve">2. Aducerea în concordanță a unor noțiuni și expresii din HG 133/2014 și din anexa 1  a hotărârii Guvernului cu noțiunile din Legea 150/2017 cu privire la Registrul obiectelor de infrastructură tehnico-edilitară (pct. 1), 2) și 4) din proiect); </w:t>
            </w:r>
          </w:p>
          <w:p w14:paraId="61435914" w14:textId="75D791BE" w:rsidR="008C4124" w:rsidRPr="000750C2" w:rsidRDefault="00E258D3" w:rsidP="009A2574">
            <w:pPr>
              <w:spacing w:line="276" w:lineRule="auto"/>
              <w:ind w:left="85"/>
              <w:jc w:val="both"/>
              <w:rPr>
                <w:rFonts w:ascii="Times New Roman" w:hAnsi="Times New Roman" w:cs="Times New Roman"/>
                <w:sz w:val="24"/>
                <w:szCs w:val="24"/>
                <w:lang w:val="ro-MD"/>
              </w:rPr>
            </w:pPr>
            <w:r w:rsidRPr="000750C2">
              <w:rPr>
                <w:rFonts w:ascii="Times New Roman" w:hAnsi="Times New Roman" w:cs="Times New Roman"/>
                <w:sz w:val="24"/>
                <w:szCs w:val="24"/>
                <w:lang w:val="ro-MD"/>
              </w:rPr>
              <w:t>3. Actualizarea termenelor de executare a acțiunilor din Planul de acțiuni privind crearea SIA ROITE (pct. 5) din proiect).</w:t>
            </w:r>
          </w:p>
          <w:p w14:paraId="69FF1776" w14:textId="34C56976" w:rsidR="009A2574" w:rsidRPr="000750C2" w:rsidRDefault="009A2574" w:rsidP="009A2574">
            <w:pPr>
              <w:spacing w:line="276" w:lineRule="auto"/>
              <w:ind w:left="85"/>
              <w:jc w:val="both"/>
              <w:rPr>
                <w:rFonts w:ascii="Times New Roman" w:hAnsi="Times New Roman" w:cs="Times New Roman"/>
                <w:sz w:val="24"/>
                <w:szCs w:val="24"/>
                <w:lang w:val="ro-RO"/>
              </w:rPr>
            </w:pPr>
            <w:r w:rsidRPr="000750C2">
              <w:rPr>
                <w:rFonts w:ascii="Times New Roman" w:hAnsi="Times New Roman" w:cs="Times New Roman"/>
                <w:sz w:val="24"/>
                <w:szCs w:val="24"/>
                <w:lang w:val="ro-MD"/>
              </w:rPr>
              <w:t xml:space="preserve">4. </w:t>
            </w:r>
            <w:r w:rsidRPr="000750C2">
              <w:rPr>
                <w:rFonts w:ascii="Times New Roman" w:hAnsi="Times New Roman" w:cs="Times New Roman"/>
                <w:sz w:val="24"/>
                <w:szCs w:val="24"/>
                <w:lang w:val="ro-RO"/>
              </w:rPr>
              <w:t>Completarea Regulamentul privind modul de delimitare a bunurilor imobile proprietate publică, aprobat prin hotărârii Guvernului nr. 63/2019 cu o secțiune nouă care ar reglementa procedura de inventariere și delimitare a obiectivelor de infrastructură tehnico-edilitare proprietate publică</w:t>
            </w:r>
          </w:p>
          <w:p w14:paraId="42FD3DC3" w14:textId="46152C4C" w:rsidR="00CE3571" w:rsidRPr="000750C2" w:rsidRDefault="009A2574" w:rsidP="009A2574">
            <w:pPr>
              <w:spacing w:line="276" w:lineRule="auto"/>
              <w:ind w:left="85"/>
              <w:jc w:val="both"/>
              <w:rPr>
                <w:rFonts w:ascii="Times New Roman" w:hAnsi="Times New Roman" w:cs="Times New Roman"/>
                <w:sz w:val="24"/>
                <w:szCs w:val="24"/>
                <w:lang w:val="ro-MD"/>
              </w:rPr>
            </w:pPr>
            <w:r w:rsidRPr="000750C2">
              <w:rPr>
                <w:rFonts w:ascii="Times New Roman" w:hAnsi="Times New Roman" w:cs="Times New Roman"/>
                <w:sz w:val="24"/>
                <w:szCs w:val="24"/>
                <w:lang w:val="ro-MD"/>
              </w:rPr>
              <w:t>5. Includerea termeniilor de efectuare a inventarierii și delimitării obiectivelor de infrastructură tehnico-edilitare proprietate publică.</w:t>
            </w:r>
          </w:p>
        </w:tc>
      </w:tr>
      <w:tr w:rsidR="008C4124" w:rsidRPr="00E11586" w14:paraId="43BBFCB7" w14:textId="77777777" w:rsidTr="00CE3571">
        <w:tc>
          <w:tcPr>
            <w:tcW w:w="9345" w:type="dxa"/>
          </w:tcPr>
          <w:p w14:paraId="51602297" w14:textId="77777777" w:rsidR="00E258D3" w:rsidRPr="000750C2" w:rsidRDefault="00E258D3" w:rsidP="009A2574">
            <w:pPr>
              <w:spacing w:line="276" w:lineRule="auto"/>
              <w:jc w:val="both"/>
              <w:rPr>
                <w:rFonts w:ascii="Times New Roman" w:hAnsi="Times New Roman" w:cs="Times New Roman"/>
                <w:b/>
                <w:bCs/>
                <w:sz w:val="24"/>
                <w:szCs w:val="24"/>
                <w:lang w:val="ro-MD"/>
              </w:rPr>
            </w:pPr>
            <w:r w:rsidRPr="000750C2">
              <w:rPr>
                <w:rFonts w:ascii="Times New Roman" w:hAnsi="Times New Roman" w:cs="Times New Roman"/>
                <w:b/>
                <w:bCs/>
                <w:sz w:val="24"/>
                <w:szCs w:val="24"/>
                <w:lang w:val="ro-MD"/>
              </w:rPr>
              <w:t xml:space="preserve">5. Fundamentarea economico-financiară </w:t>
            </w:r>
          </w:p>
          <w:p w14:paraId="4B638396" w14:textId="762DC686" w:rsidR="008C4124" w:rsidRPr="000750C2" w:rsidRDefault="00E258D3" w:rsidP="009A2574">
            <w:pPr>
              <w:spacing w:line="276" w:lineRule="auto"/>
              <w:jc w:val="both"/>
              <w:rPr>
                <w:rFonts w:ascii="Times New Roman" w:hAnsi="Times New Roman" w:cs="Times New Roman"/>
                <w:sz w:val="28"/>
                <w:szCs w:val="28"/>
                <w:lang w:val="ro-MD"/>
              </w:rPr>
            </w:pPr>
            <w:r w:rsidRPr="000750C2">
              <w:rPr>
                <w:rFonts w:ascii="Times New Roman" w:hAnsi="Times New Roman" w:cs="Times New Roman"/>
                <w:sz w:val="24"/>
                <w:szCs w:val="24"/>
                <w:lang w:val="ro-MD"/>
              </w:rPr>
              <w:tab/>
              <w:t>Implementarea proiect</w:t>
            </w:r>
            <w:r w:rsidR="009A2574" w:rsidRPr="000750C2">
              <w:rPr>
                <w:rFonts w:ascii="Times New Roman" w:hAnsi="Times New Roman" w:cs="Times New Roman"/>
                <w:sz w:val="24"/>
                <w:szCs w:val="24"/>
                <w:lang w:val="ro-MD"/>
              </w:rPr>
              <w:t>ului</w:t>
            </w:r>
            <w:r w:rsidRPr="000750C2">
              <w:rPr>
                <w:rFonts w:ascii="Times New Roman" w:hAnsi="Times New Roman" w:cs="Times New Roman"/>
                <w:sz w:val="24"/>
                <w:szCs w:val="24"/>
                <w:lang w:val="ro-MD"/>
              </w:rPr>
              <w:t xml:space="preserve"> </w:t>
            </w:r>
            <w:r w:rsidR="009A2574" w:rsidRPr="000750C2">
              <w:rPr>
                <w:rFonts w:ascii="Times New Roman" w:hAnsi="Times New Roman" w:cs="Times New Roman"/>
                <w:sz w:val="24"/>
                <w:lang w:val="ro-MD"/>
              </w:rPr>
              <w:t>hotărârii Guvernului pentru modificarea unor hotărâri de Guvern</w:t>
            </w:r>
            <w:r w:rsidR="009A2574" w:rsidRPr="000750C2">
              <w:rPr>
                <w:rFonts w:ascii="Times New Roman" w:hAnsi="Times New Roman" w:cs="Times New Roman"/>
                <w:sz w:val="24"/>
                <w:szCs w:val="24"/>
                <w:lang w:val="ro-MD"/>
              </w:rPr>
              <w:t xml:space="preserve"> </w:t>
            </w:r>
            <w:r w:rsidRPr="000750C2">
              <w:rPr>
                <w:rFonts w:ascii="Times New Roman" w:hAnsi="Times New Roman" w:cs="Times New Roman"/>
                <w:sz w:val="24"/>
                <w:szCs w:val="24"/>
                <w:lang w:val="ro-MD"/>
              </w:rPr>
              <w:t>va fi suportat din sursele financiare ale Proiectului „Înregistrarea şi Evaluarea Funciară”, implementat în conformitate cu prevederile Acordului de Finanţare încheiat între Guvernul Republicii Moldova și Asociaţia Internaţională pentru Dezvoltare, semnat la 17 septembrie 2018 şi ratificat prin Legea nr. 240 din 08 noiembrie 2018”.</w:t>
            </w:r>
          </w:p>
        </w:tc>
      </w:tr>
      <w:tr w:rsidR="008C4124" w:rsidRPr="00E11586" w14:paraId="6E590A3E" w14:textId="77777777" w:rsidTr="00CE3571">
        <w:tc>
          <w:tcPr>
            <w:tcW w:w="9345" w:type="dxa"/>
          </w:tcPr>
          <w:p w14:paraId="65E35071" w14:textId="77777777" w:rsidR="00E258D3" w:rsidRPr="000750C2" w:rsidRDefault="00E258D3" w:rsidP="009A2574">
            <w:pPr>
              <w:spacing w:line="276" w:lineRule="auto"/>
              <w:jc w:val="both"/>
              <w:rPr>
                <w:rFonts w:ascii="Times New Roman" w:hAnsi="Times New Roman" w:cs="Times New Roman"/>
                <w:b/>
                <w:bCs/>
                <w:sz w:val="24"/>
                <w:szCs w:val="24"/>
                <w:lang w:val="ro-MD"/>
              </w:rPr>
            </w:pPr>
            <w:r w:rsidRPr="000750C2">
              <w:rPr>
                <w:rFonts w:ascii="Times New Roman" w:hAnsi="Times New Roman" w:cs="Times New Roman"/>
                <w:b/>
                <w:bCs/>
                <w:sz w:val="24"/>
                <w:szCs w:val="24"/>
                <w:lang w:val="ro-MD"/>
              </w:rPr>
              <w:t xml:space="preserve">6. Modul de incorporare a actului in cadrul normativ in vigoare </w:t>
            </w:r>
          </w:p>
          <w:p w14:paraId="1DDACF8D" w14:textId="2DECA8D0" w:rsidR="008C4124" w:rsidRPr="000750C2" w:rsidRDefault="00E258D3" w:rsidP="009A2574">
            <w:pPr>
              <w:spacing w:line="276" w:lineRule="auto"/>
              <w:jc w:val="both"/>
              <w:rPr>
                <w:rFonts w:ascii="Times New Roman" w:hAnsi="Times New Roman" w:cs="Times New Roman"/>
                <w:sz w:val="28"/>
                <w:szCs w:val="28"/>
                <w:lang w:val="ro-MD"/>
              </w:rPr>
            </w:pPr>
            <w:r w:rsidRPr="000750C2">
              <w:rPr>
                <w:rFonts w:ascii="Times New Roman" w:hAnsi="Times New Roman" w:cs="Times New Roman"/>
                <w:sz w:val="24"/>
                <w:szCs w:val="24"/>
                <w:lang w:val="ro-MD"/>
              </w:rPr>
              <w:tab/>
              <w:t xml:space="preserve">Proiectul de hotărâre prevede  modificarea și completarea unor acte </w:t>
            </w:r>
            <w:r w:rsidR="00CE3571" w:rsidRPr="000750C2">
              <w:rPr>
                <w:rFonts w:ascii="Times New Roman" w:hAnsi="Times New Roman" w:cs="Times New Roman"/>
                <w:sz w:val="24"/>
                <w:szCs w:val="24"/>
                <w:lang w:val="ro-MD"/>
              </w:rPr>
              <w:t>normative</w:t>
            </w:r>
            <w:r w:rsidRPr="000750C2">
              <w:rPr>
                <w:rFonts w:ascii="Times New Roman" w:hAnsi="Times New Roman" w:cs="Times New Roman"/>
                <w:sz w:val="24"/>
                <w:szCs w:val="24"/>
                <w:lang w:val="ro-MD"/>
              </w:rPr>
              <w:t>, care ar prevede înregistrarea obiectivelor în Registrul obiectivelor de infrastructură tehnico-edilitară</w:t>
            </w:r>
            <w:r w:rsidR="00CE3571" w:rsidRPr="000750C2">
              <w:rPr>
                <w:rFonts w:ascii="Times New Roman" w:hAnsi="Times New Roman" w:cs="Times New Roman"/>
                <w:sz w:val="24"/>
                <w:szCs w:val="24"/>
                <w:lang w:val="ro-MD"/>
              </w:rPr>
              <w:t>.</w:t>
            </w:r>
          </w:p>
        </w:tc>
      </w:tr>
      <w:tr w:rsidR="008C4124" w:rsidRPr="00E11586" w14:paraId="1751CFB4" w14:textId="77777777" w:rsidTr="00CE3571">
        <w:tc>
          <w:tcPr>
            <w:tcW w:w="9345" w:type="dxa"/>
          </w:tcPr>
          <w:p w14:paraId="7C0848BE" w14:textId="77777777" w:rsidR="00E258D3" w:rsidRPr="000750C2" w:rsidRDefault="00E258D3" w:rsidP="009A2574">
            <w:pPr>
              <w:spacing w:line="276" w:lineRule="auto"/>
              <w:jc w:val="both"/>
              <w:rPr>
                <w:rFonts w:ascii="Times New Roman" w:hAnsi="Times New Roman" w:cs="Times New Roman"/>
                <w:b/>
                <w:bCs/>
                <w:sz w:val="24"/>
                <w:szCs w:val="24"/>
                <w:lang w:val="ro-MD"/>
              </w:rPr>
            </w:pPr>
            <w:r w:rsidRPr="000750C2">
              <w:rPr>
                <w:rFonts w:ascii="Times New Roman" w:hAnsi="Times New Roman" w:cs="Times New Roman"/>
                <w:b/>
                <w:bCs/>
                <w:sz w:val="24"/>
                <w:szCs w:val="24"/>
                <w:lang w:val="ro-MD"/>
              </w:rPr>
              <w:t xml:space="preserve">7. Avizarea şi consultarea publică a proiectului. </w:t>
            </w:r>
          </w:p>
          <w:p w14:paraId="4CC107C0" w14:textId="13F135C6" w:rsidR="00E330F1" w:rsidRPr="000750C2" w:rsidRDefault="00E258D3" w:rsidP="00E330F1">
            <w:pPr>
              <w:spacing w:line="276" w:lineRule="auto"/>
              <w:jc w:val="both"/>
              <w:rPr>
                <w:rFonts w:ascii="Times New Roman" w:hAnsi="Times New Roman" w:cs="Times New Roman"/>
                <w:sz w:val="24"/>
                <w:szCs w:val="24"/>
                <w:lang w:val="en-US"/>
              </w:rPr>
            </w:pPr>
            <w:r w:rsidRPr="000750C2">
              <w:rPr>
                <w:rFonts w:ascii="Times New Roman" w:hAnsi="Times New Roman" w:cs="Times New Roman"/>
                <w:sz w:val="24"/>
                <w:szCs w:val="24"/>
                <w:lang w:val="ro-MD"/>
              </w:rPr>
              <w:tab/>
            </w:r>
            <w:r w:rsidR="00E330F1" w:rsidRPr="000750C2">
              <w:rPr>
                <w:rFonts w:ascii="Times New Roman" w:hAnsi="Times New Roman" w:cs="Times New Roman"/>
                <w:sz w:val="24"/>
                <w:szCs w:val="24"/>
                <w:lang w:val="en-US"/>
              </w:rPr>
              <w:t>În scopul respectării prevederilor art. 11 al Legii nr. 239/2008 privind transparența în procesul decizional, anunțul privind inițierea elaborării proiectului de hotărîre a fost plasat pe plasat pe pagina web oficială a Agenției Relații Funciare și Cadastru (compartimentul „</w:t>
            </w:r>
            <w:r w:rsidR="00E330F1" w:rsidRPr="000750C2">
              <w:rPr>
                <w:rFonts w:ascii="Times New Roman" w:hAnsi="Times New Roman" w:cs="Times New Roman"/>
                <w:sz w:val="24"/>
                <w:szCs w:val="24"/>
                <w:lang w:val="ro-MD"/>
              </w:rPr>
              <w:t>Transparență decizională</w:t>
            </w:r>
            <w:r w:rsidR="00E330F1" w:rsidRPr="000750C2">
              <w:rPr>
                <w:rFonts w:ascii="Times New Roman" w:hAnsi="Times New Roman" w:cs="Times New Roman"/>
                <w:sz w:val="24"/>
                <w:szCs w:val="24"/>
                <w:lang w:val="en-US"/>
              </w:rPr>
              <w:t xml:space="preserve">”, </w:t>
            </w:r>
            <w:r w:rsidR="00E11586">
              <w:rPr>
                <w:rFonts w:ascii="Times New Roman" w:hAnsi="Times New Roman" w:cs="Times New Roman"/>
                <w:sz w:val="24"/>
                <w:szCs w:val="24"/>
                <w:lang w:val="en-US"/>
              </w:rPr>
              <w:t>rubrica</w:t>
            </w:r>
            <w:r w:rsidR="00E330F1" w:rsidRPr="000750C2">
              <w:rPr>
                <w:rFonts w:ascii="Times New Roman" w:hAnsi="Times New Roman" w:cs="Times New Roman"/>
                <w:sz w:val="24"/>
                <w:szCs w:val="24"/>
                <w:lang w:val="en-US"/>
              </w:rPr>
              <w:t xml:space="preserve"> ,,</w:t>
            </w:r>
            <w:r w:rsidR="00E11586">
              <w:rPr>
                <w:rFonts w:ascii="Times New Roman" w:hAnsi="Times New Roman" w:cs="Times New Roman"/>
                <w:sz w:val="24"/>
                <w:szCs w:val="24"/>
                <w:lang w:val="ro-MD"/>
              </w:rPr>
              <w:t>Proiecte supuse consultărilor publice</w:t>
            </w:r>
            <w:r w:rsidR="00E330F1" w:rsidRPr="000750C2">
              <w:rPr>
                <w:rFonts w:ascii="Times New Roman" w:hAnsi="Times New Roman" w:cs="Times New Roman"/>
                <w:sz w:val="24"/>
                <w:szCs w:val="24"/>
                <w:lang w:val="en-US"/>
              </w:rPr>
              <w:t>”) și pe portalul guvernamental particip.gov.md.</w:t>
            </w:r>
          </w:p>
          <w:p w14:paraId="68EAEB4D" w14:textId="24533B26" w:rsidR="008C4124" w:rsidRPr="000750C2" w:rsidRDefault="00E330F1" w:rsidP="00E330F1">
            <w:pPr>
              <w:spacing w:line="276" w:lineRule="auto"/>
              <w:jc w:val="both"/>
              <w:rPr>
                <w:rFonts w:ascii="Times New Roman" w:hAnsi="Times New Roman" w:cs="Times New Roman"/>
                <w:b/>
                <w:bCs/>
                <w:sz w:val="28"/>
                <w:szCs w:val="28"/>
                <w:lang w:val="ro-MD"/>
              </w:rPr>
            </w:pPr>
            <w:r w:rsidRPr="000750C2">
              <w:rPr>
                <w:rFonts w:ascii="Times New Roman" w:hAnsi="Times New Roman" w:cs="Times New Roman"/>
                <w:b/>
                <w:bCs/>
                <w:sz w:val="24"/>
                <w:szCs w:val="24"/>
                <w:lang w:val="en-US"/>
              </w:rPr>
              <w:tab/>
            </w:r>
            <w:r w:rsidRPr="000750C2">
              <w:rPr>
                <w:rFonts w:ascii="Times New Roman" w:hAnsi="Times New Roman" w:cs="Times New Roman"/>
                <w:sz w:val="24"/>
                <w:szCs w:val="24"/>
                <w:lang w:val="en-US"/>
              </w:rPr>
              <w:t>La fel, întru respectarea prevederilor art. 32 al Legii nr. 100/2017 cu privire la actele normative, proiectul va fi plasat pe spre consultare publică pe paginile web menționate.</w:t>
            </w:r>
          </w:p>
        </w:tc>
      </w:tr>
      <w:tr w:rsidR="008C4124" w:rsidRPr="00E11586" w14:paraId="02593762" w14:textId="77777777" w:rsidTr="00CE3571">
        <w:tc>
          <w:tcPr>
            <w:tcW w:w="9345" w:type="dxa"/>
          </w:tcPr>
          <w:p w14:paraId="394477EC" w14:textId="77777777" w:rsidR="00E258D3" w:rsidRPr="000750C2" w:rsidRDefault="00E258D3" w:rsidP="009A2574">
            <w:pPr>
              <w:spacing w:line="276" w:lineRule="auto"/>
              <w:jc w:val="both"/>
              <w:rPr>
                <w:rFonts w:ascii="Times New Roman" w:hAnsi="Times New Roman" w:cs="Times New Roman"/>
                <w:b/>
                <w:bCs/>
                <w:sz w:val="24"/>
                <w:szCs w:val="24"/>
                <w:lang w:val="ro-MD"/>
              </w:rPr>
            </w:pPr>
            <w:r w:rsidRPr="000750C2">
              <w:rPr>
                <w:rFonts w:ascii="Times New Roman" w:hAnsi="Times New Roman" w:cs="Times New Roman"/>
                <w:b/>
                <w:bCs/>
                <w:sz w:val="24"/>
                <w:szCs w:val="24"/>
                <w:lang w:val="ro-MD"/>
              </w:rPr>
              <w:t xml:space="preserve">8. Constatările expertizei anticorupţie </w:t>
            </w:r>
          </w:p>
          <w:p w14:paraId="3899E0FE" w14:textId="71EEBC0F" w:rsidR="008C4124" w:rsidRPr="000750C2" w:rsidRDefault="00E258D3" w:rsidP="009A2574">
            <w:pPr>
              <w:spacing w:line="276" w:lineRule="auto"/>
              <w:jc w:val="both"/>
              <w:rPr>
                <w:rFonts w:ascii="Times New Roman" w:hAnsi="Times New Roman" w:cs="Times New Roman"/>
                <w:sz w:val="28"/>
                <w:szCs w:val="28"/>
                <w:lang w:val="ro-MD"/>
              </w:rPr>
            </w:pPr>
            <w:r w:rsidRPr="000750C2">
              <w:rPr>
                <w:rFonts w:ascii="Times New Roman" w:hAnsi="Times New Roman" w:cs="Times New Roman"/>
                <w:sz w:val="24"/>
                <w:szCs w:val="24"/>
                <w:lang w:val="ro-MD"/>
              </w:rPr>
              <w:tab/>
              <w:t>Proiectul urmează a fi supus expertizei anticorupţie, conform art. 35 din Legea 100/2017, fiind solicitată efectuarea  expertizei de către Centrul Naţional Anticorupţie.</w:t>
            </w:r>
          </w:p>
        </w:tc>
      </w:tr>
      <w:tr w:rsidR="00E258D3" w:rsidRPr="00E11586" w14:paraId="108B5314" w14:textId="77777777" w:rsidTr="00CE3571">
        <w:tc>
          <w:tcPr>
            <w:tcW w:w="9345" w:type="dxa"/>
          </w:tcPr>
          <w:p w14:paraId="0950922D" w14:textId="77777777" w:rsidR="00E258D3" w:rsidRPr="000750C2" w:rsidRDefault="00E258D3" w:rsidP="009A2574">
            <w:pPr>
              <w:spacing w:line="276" w:lineRule="auto"/>
              <w:jc w:val="both"/>
              <w:rPr>
                <w:rFonts w:ascii="Times New Roman" w:hAnsi="Times New Roman" w:cs="Times New Roman"/>
                <w:b/>
                <w:bCs/>
                <w:sz w:val="24"/>
                <w:szCs w:val="24"/>
                <w:lang w:val="ro-MD"/>
              </w:rPr>
            </w:pPr>
            <w:r w:rsidRPr="000750C2">
              <w:rPr>
                <w:rFonts w:ascii="Times New Roman" w:hAnsi="Times New Roman" w:cs="Times New Roman"/>
                <w:b/>
                <w:bCs/>
                <w:sz w:val="24"/>
                <w:szCs w:val="24"/>
                <w:lang w:val="ro-MD"/>
              </w:rPr>
              <w:t xml:space="preserve">9. Consultările expertizei de compatibilitate. </w:t>
            </w:r>
          </w:p>
          <w:p w14:paraId="3CEAA366" w14:textId="7C8EE295" w:rsidR="00E258D3" w:rsidRPr="000750C2" w:rsidRDefault="00E258D3" w:rsidP="009A2574">
            <w:pPr>
              <w:spacing w:line="276" w:lineRule="auto"/>
              <w:jc w:val="both"/>
              <w:rPr>
                <w:rFonts w:ascii="Times New Roman" w:hAnsi="Times New Roman" w:cs="Times New Roman"/>
                <w:sz w:val="24"/>
                <w:szCs w:val="24"/>
                <w:lang w:val="ro-MD"/>
              </w:rPr>
            </w:pPr>
            <w:r w:rsidRPr="000750C2">
              <w:rPr>
                <w:rFonts w:ascii="Times New Roman" w:hAnsi="Times New Roman" w:cs="Times New Roman"/>
                <w:sz w:val="24"/>
                <w:szCs w:val="24"/>
                <w:lang w:val="ro-MD"/>
              </w:rPr>
              <w:tab/>
              <w:t>Proiectul nu are ca scop armonizarea legislaţiei naţionale cu legislaţia Uniunii Europene.</w:t>
            </w:r>
          </w:p>
        </w:tc>
      </w:tr>
    </w:tbl>
    <w:p w14:paraId="42E149EE" w14:textId="77777777" w:rsidR="000750C2" w:rsidRPr="000F2054" w:rsidRDefault="000750C2">
      <w:pPr>
        <w:rPr>
          <w:lang w:val="en-US"/>
        </w:rPr>
      </w:pPr>
      <w:r w:rsidRPr="000F2054">
        <w:rPr>
          <w:lang w:val="en-US"/>
        </w:rPr>
        <w:br w:type="page"/>
      </w:r>
    </w:p>
    <w:tbl>
      <w:tblPr>
        <w:tblStyle w:val="ab"/>
        <w:tblW w:w="0" w:type="auto"/>
        <w:tblCellMar>
          <w:top w:w="85" w:type="dxa"/>
          <w:left w:w="85" w:type="dxa"/>
          <w:bottom w:w="85" w:type="dxa"/>
          <w:right w:w="85" w:type="dxa"/>
        </w:tblCellMar>
        <w:tblLook w:val="04A0" w:firstRow="1" w:lastRow="0" w:firstColumn="1" w:lastColumn="0" w:noHBand="0" w:noVBand="1"/>
      </w:tblPr>
      <w:tblGrid>
        <w:gridCol w:w="9345"/>
      </w:tblGrid>
      <w:tr w:rsidR="00E258D3" w:rsidRPr="00E11586" w14:paraId="22B38AE5" w14:textId="77777777" w:rsidTr="00CE3571">
        <w:tc>
          <w:tcPr>
            <w:tcW w:w="9345" w:type="dxa"/>
          </w:tcPr>
          <w:p w14:paraId="074AF92E" w14:textId="372288A7" w:rsidR="00CE3571" w:rsidRPr="000750C2" w:rsidRDefault="00CE3571" w:rsidP="009A2574">
            <w:pPr>
              <w:spacing w:line="276" w:lineRule="auto"/>
              <w:jc w:val="both"/>
              <w:rPr>
                <w:rFonts w:ascii="Times New Roman" w:hAnsi="Times New Roman" w:cs="Times New Roman"/>
                <w:b/>
                <w:bCs/>
                <w:sz w:val="24"/>
                <w:szCs w:val="24"/>
                <w:lang w:val="ro-MD"/>
              </w:rPr>
            </w:pPr>
            <w:r w:rsidRPr="000750C2">
              <w:rPr>
                <w:rFonts w:ascii="Times New Roman" w:hAnsi="Times New Roman" w:cs="Times New Roman"/>
                <w:b/>
                <w:bCs/>
                <w:sz w:val="24"/>
                <w:szCs w:val="24"/>
                <w:lang w:val="ro-MD"/>
              </w:rPr>
              <w:lastRenderedPageBreak/>
              <w:t xml:space="preserve">10. Constatările expertizei juridice </w:t>
            </w:r>
          </w:p>
          <w:p w14:paraId="2B2AC425" w14:textId="19EFC9D5" w:rsidR="00E330F1" w:rsidRPr="000750C2" w:rsidRDefault="00CE3571" w:rsidP="009A2574">
            <w:pPr>
              <w:spacing w:line="276" w:lineRule="auto"/>
              <w:jc w:val="both"/>
              <w:rPr>
                <w:rFonts w:ascii="Times New Roman" w:hAnsi="Times New Roman" w:cs="Times New Roman"/>
                <w:sz w:val="24"/>
                <w:szCs w:val="24"/>
                <w:lang w:val="ro-MD"/>
              </w:rPr>
            </w:pPr>
            <w:r w:rsidRPr="000750C2">
              <w:rPr>
                <w:rFonts w:ascii="Times New Roman" w:hAnsi="Times New Roman" w:cs="Times New Roman"/>
                <w:sz w:val="24"/>
                <w:szCs w:val="24"/>
                <w:lang w:val="ro-MD"/>
              </w:rPr>
              <w:tab/>
              <w:t>Proiectul urmează a fi supus expertizei juridice, conform art. 37 din Legea 100/2017, fiind solicitată efectuarea    expertizei de către Ministerul Justiţie</w:t>
            </w:r>
          </w:p>
        </w:tc>
      </w:tr>
    </w:tbl>
    <w:p w14:paraId="21A2C0AC" w14:textId="7BC6420D" w:rsidR="008808F6" w:rsidRPr="001D0655" w:rsidRDefault="008808F6" w:rsidP="00F93A96">
      <w:pPr>
        <w:spacing w:after="0"/>
        <w:ind w:firstLine="708"/>
        <w:jc w:val="both"/>
        <w:rPr>
          <w:rFonts w:ascii="Times New Roman" w:hAnsi="Times New Roman" w:cs="Times New Roman"/>
          <w:b/>
          <w:bCs/>
          <w:sz w:val="28"/>
          <w:szCs w:val="28"/>
          <w:lang w:val="ro-MD"/>
        </w:rPr>
      </w:pPr>
    </w:p>
    <w:p w14:paraId="4175C0E1" w14:textId="77777777" w:rsidR="00CE3571" w:rsidRDefault="00CE3571" w:rsidP="00F93A96">
      <w:pPr>
        <w:spacing w:after="0"/>
        <w:ind w:firstLine="708"/>
        <w:jc w:val="both"/>
        <w:rPr>
          <w:rFonts w:ascii="Times New Roman" w:hAnsi="Times New Roman" w:cs="Times New Roman"/>
          <w:b/>
          <w:bCs/>
          <w:sz w:val="28"/>
          <w:szCs w:val="28"/>
          <w:lang w:val="ro-MD"/>
        </w:rPr>
      </w:pPr>
    </w:p>
    <w:p w14:paraId="7688864D" w14:textId="77777777" w:rsidR="00CE3571" w:rsidRDefault="00CE3571" w:rsidP="00F93A96">
      <w:pPr>
        <w:spacing w:after="0"/>
        <w:ind w:firstLine="708"/>
        <w:jc w:val="both"/>
        <w:rPr>
          <w:rFonts w:ascii="Times New Roman" w:hAnsi="Times New Roman" w:cs="Times New Roman"/>
          <w:b/>
          <w:bCs/>
          <w:sz w:val="28"/>
          <w:szCs w:val="28"/>
          <w:lang w:val="ro-MD"/>
        </w:rPr>
      </w:pPr>
    </w:p>
    <w:p w14:paraId="7FE0D611" w14:textId="786A125A" w:rsidR="008808F6" w:rsidRPr="001D0655" w:rsidRDefault="00CE3571" w:rsidP="00F93A96">
      <w:pPr>
        <w:spacing w:after="0"/>
        <w:ind w:firstLine="708"/>
        <w:jc w:val="both"/>
        <w:rPr>
          <w:rFonts w:ascii="Times New Roman" w:hAnsi="Times New Roman" w:cs="Times New Roman"/>
          <w:b/>
          <w:bCs/>
          <w:sz w:val="28"/>
          <w:szCs w:val="28"/>
          <w:lang w:val="ro-MD"/>
        </w:rPr>
      </w:pPr>
      <w:r w:rsidRPr="00CE3571">
        <w:rPr>
          <w:rFonts w:ascii="Times New Roman" w:hAnsi="Times New Roman" w:cs="Times New Roman"/>
          <w:b/>
          <w:bCs/>
          <w:sz w:val="28"/>
          <w:szCs w:val="28"/>
          <w:lang w:val="ro-MD"/>
        </w:rPr>
        <w:t xml:space="preserve">Director general </w:t>
      </w:r>
      <w:r>
        <w:rPr>
          <w:rFonts w:ascii="Times New Roman" w:hAnsi="Times New Roman" w:cs="Times New Roman"/>
          <w:b/>
          <w:bCs/>
          <w:sz w:val="28"/>
          <w:szCs w:val="28"/>
          <w:lang w:val="ro-MD"/>
        </w:rPr>
        <w:t xml:space="preserve">adjunct                                           </w:t>
      </w:r>
      <w:r w:rsidRPr="00CE3571">
        <w:rPr>
          <w:rFonts w:ascii="Times New Roman" w:hAnsi="Times New Roman" w:cs="Times New Roman"/>
          <w:b/>
          <w:bCs/>
          <w:sz w:val="28"/>
          <w:szCs w:val="28"/>
          <w:lang w:val="ro-MD"/>
        </w:rPr>
        <w:t>Ştefan CRIGAN</w:t>
      </w:r>
    </w:p>
    <w:p w14:paraId="504E231F" w14:textId="7DD763A9" w:rsidR="008808F6" w:rsidRPr="001D0655" w:rsidRDefault="008808F6" w:rsidP="00F93A96">
      <w:pPr>
        <w:spacing w:after="0"/>
        <w:ind w:firstLine="708"/>
        <w:jc w:val="both"/>
        <w:rPr>
          <w:rFonts w:ascii="Times New Roman" w:hAnsi="Times New Roman" w:cs="Times New Roman"/>
          <w:b/>
          <w:bCs/>
          <w:sz w:val="28"/>
          <w:szCs w:val="28"/>
          <w:lang w:val="ro-MD"/>
        </w:rPr>
      </w:pPr>
    </w:p>
    <w:p w14:paraId="61AA69CF" w14:textId="61AA0AC8" w:rsidR="008808F6" w:rsidRPr="001D0655" w:rsidRDefault="008808F6" w:rsidP="00F93A96">
      <w:pPr>
        <w:spacing w:after="0"/>
        <w:ind w:firstLine="708"/>
        <w:jc w:val="both"/>
        <w:rPr>
          <w:rFonts w:ascii="Times New Roman" w:hAnsi="Times New Roman" w:cs="Times New Roman"/>
          <w:b/>
          <w:bCs/>
          <w:sz w:val="28"/>
          <w:szCs w:val="28"/>
          <w:lang w:val="ro-MD"/>
        </w:rPr>
      </w:pPr>
    </w:p>
    <w:p w14:paraId="06B9520C" w14:textId="77777777" w:rsidR="008808F6" w:rsidRPr="001D0655" w:rsidRDefault="008808F6" w:rsidP="00F93A96">
      <w:pPr>
        <w:spacing w:after="0"/>
        <w:ind w:firstLine="708"/>
        <w:jc w:val="both"/>
        <w:rPr>
          <w:rFonts w:ascii="Times New Roman" w:hAnsi="Times New Roman" w:cs="Times New Roman"/>
          <w:b/>
          <w:bCs/>
          <w:sz w:val="28"/>
          <w:szCs w:val="28"/>
          <w:lang w:val="ro-MD"/>
        </w:rPr>
      </w:pPr>
    </w:p>
    <w:p w14:paraId="17CC16B4" w14:textId="77777777" w:rsidR="00657EF6" w:rsidRPr="001D0655" w:rsidRDefault="00657EF6" w:rsidP="00E223F6">
      <w:pPr>
        <w:ind w:firstLine="708"/>
        <w:jc w:val="both"/>
        <w:rPr>
          <w:rFonts w:ascii="Times New Roman" w:hAnsi="Times New Roman" w:cs="Times New Roman"/>
          <w:sz w:val="28"/>
          <w:szCs w:val="28"/>
          <w:lang w:val="ro-MD"/>
        </w:rPr>
      </w:pPr>
    </w:p>
    <w:sectPr w:rsidR="00657EF6" w:rsidRPr="001D0655">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0B0BB" w14:textId="77777777" w:rsidR="00A0476B" w:rsidRDefault="00A0476B" w:rsidP="008808F6">
      <w:pPr>
        <w:spacing w:after="0" w:line="240" w:lineRule="auto"/>
      </w:pPr>
      <w:r>
        <w:separator/>
      </w:r>
    </w:p>
  </w:endnote>
  <w:endnote w:type="continuationSeparator" w:id="0">
    <w:p w14:paraId="1B1E840F" w14:textId="77777777" w:rsidR="00A0476B" w:rsidRDefault="00A0476B" w:rsidP="00880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B9B10" w14:textId="77777777" w:rsidR="008808F6" w:rsidRPr="00015A0F" w:rsidRDefault="008808F6" w:rsidP="008808F6">
    <w:pPr>
      <w:spacing w:after="0" w:line="240" w:lineRule="auto"/>
      <w:jc w:val="both"/>
      <w:rPr>
        <w:rFonts w:ascii="Times New Roman" w:hAnsi="Times New Roman"/>
        <w:sz w:val="16"/>
        <w:szCs w:val="16"/>
        <w:lang w:val="en-US"/>
      </w:rPr>
    </w:pPr>
    <w:r w:rsidRPr="00015A0F">
      <w:rPr>
        <w:rFonts w:ascii="Times New Roman" w:hAnsi="Times New Roman"/>
        <w:sz w:val="16"/>
        <w:szCs w:val="16"/>
        <w:lang w:val="en-US"/>
      </w:rPr>
      <w:t xml:space="preserve">Ex: </w:t>
    </w:r>
    <w:r>
      <w:rPr>
        <w:rFonts w:ascii="Times New Roman" w:hAnsi="Times New Roman"/>
        <w:sz w:val="16"/>
        <w:szCs w:val="16"/>
        <w:lang w:val="en-US"/>
      </w:rPr>
      <w:t>Gheorghe</w:t>
    </w:r>
    <w:r w:rsidRPr="00015A0F">
      <w:rPr>
        <w:rFonts w:ascii="Times New Roman" w:hAnsi="Times New Roman"/>
        <w:sz w:val="16"/>
        <w:szCs w:val="16"/>
        <w:lang w:val="en-US"/>
      </w:rPr>
      <w:t xml:space="preserve"> </w:t>
    </w:r>
    <w:r>
      <w:rPr>
        <w:rFonts w:ascii="Times New Roman" w:hAnsi="Times New Roman"/>
        <w:sz w:val="16"/>
        <w:szCs w:val="16"/>
        <w:lang w:val="en-US"/>
      </w:rPr>
      <w:t>Rusu</w:t>
    </w:r>
  </w:p>
  <w:p w14:paraId="73889AA3" w14:textId="77777777" w:rsidR="008808F6" w:rsidRDefault="008808F6" w:rsidP="008808F6">
    <w:pPr>
      <w:tabs>
        <w:tab w:val="left" w:pos="7320"/>
      </w:tabs>
      <w:rPr>
        <w:rFonts w:ascii="Times New Roman" w:hAnsi="Times New Roman"/>
        <w:sz w:val="16"/>
        <w:szCs w:val="16"/>
        <w:lang w:val="it-IT"/>
      </w:rPr>
    </w:pPr>
    <w:r w:rsidRPr="00113EC3">
      <w:rPr>
        <w:rFonts w:ascii="Times New Roman" w:hAnsi="Times New Roman"/>
        <w:sz w:val="16"/>
        <w:szCs w:val="16"/>
        <w:lang w:val="it-IT"/>
      </w:rPr>
      <w:t>tel.: 88-12-</w:t>
    </w:r>
    <w:r>
      <w:rPr>
        <w:rFonts w:ascii="Times New Roman" w:hAnsi="Times New Roman"/>
        <w:sz w:val="16"/>
        <w:szCs w:val="16"/>
        <w:lang w:val="it-IT"/>
      </w:rPr>
      <w:t>68</w:t>
    </w:r>
    <w:r w:rsidRPr="00113EC3">
      <w:rPr>
        <w:rFonts w:ascii="Times New Roman" w:hAnsi="Times New Roman"/>
        <w:sz w:val="16"/>
        <w:szCs w:val="16"/>
        <w:lang w:val="it-IT"/>
      </w:rPr>
      <w:t xml:space="preserve">      </w:t>
    </w:r>
  </w:p>
  <w:p w14:paraId="45B9B857" w14:textId="77777777" w:rsidR="008808F6" w:rsidRPr="008808F6" w:rsidRDefault="008808F6" w:rsidP="008808F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A1F40" w14:textId="77777777" w:rsidR="00A0476B" w:rsidRDefault="00A0476B" w:rsidP="008808F6">
      <w:pPr>
        <w:spacing w:after="0" w:line="240" w:lineRule="auto"/>
      </w:pPr>
      <w:r>
        <w:separator/>
      </w:r>
    </w:p>
  </w:footnote>
  <w:footnote w:type="continuationSeparator" w:id="0">
    <w:p w14:paraId="359816E7" w14:textId="77777777" w:rsidR="00A0476B" w:rsidRDefault="00A0476B" w:rsidP="008808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052"/>
    <w:rsid w:val="00004370"/>
    <w:rsid w:val="00004599"/>
    <w:rsid w:val="0001745B"/>
    <w:rsid w:val="00046773"/>
    <w:rsid w:val="00063BFB"/>
    <w:rsid w:val="000750C2"/>
    <w:rsid w:val="00094354"/>
    <w:rsid w:val="000C785A"/>
    <w:rsid w:val="000F2054"/>
    <w:rsid w:val="00103052"/>
    <w:rsid w:val="00170015"/>
    <w:rsid w:val="001D0655"/>
    <w:rsid w:val="00237715"/>
    <w:rsid w:val="002C3845"/>
    <w:rsid w:val="002C49D1"/>
    <w:rsid w:val="00353AC1"/>
    <w:rsid w:val="00430988"/>
    <w:rsid w:val="004453C7"/>
    <w:rsid w:val="005744F0"/>
    <w:rsid w:val="00657EF6"/>
    <w:rsid w:val="007512D1"/>
    <w:rsid w:val="00826841"/>
    <w:rsid w:val="008808F6"/>
    <w:rsid w:val="008C4124"/>
    <w:rsid w:val="008F62C8"/>
    <w:rsid w:val="00902003"/>
    <w:rsid w:val="009A2574"/>
    <w:rsid w:val="00A0476B"/>
    <w:rsid w:val="00B00E69"/>
    <w:rsid w:val="00B11625"/>
    <w:rsid w:val="00B94BA6"/>
    <w:rsid w:val="00CA2033"/>
    <w:rsid w:val="00CE3571"/>
    <w:rsid w:val="00D1431C"/>
    <w:rsid w:val="00D20126"/>
    <w:rsid w:val="00D66EC5"/>
    <w:rsid w:val="00E11586"/>
    <w:rsid w:val="00E223F6"/>
    <w:rsid w:val="00E258D3"/>
    <w:rsid w:val="00E330F1"/>
    <w:rsid w:val="00E36D59"/>
    <w:rsid w:val="00EF3A4D"/>
    <w:rsid w:val="00F07F1C"/>
    <w:rsid w:val="00F377A2"/>
    <w:rsid w:val="00F65072"/>
    <w:rsid w:val="00F93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9646"/>
  <w15:chartTrackingRefBased/>
  <w15:docId w15:val="{FE36C2B1-7383-4A9A-AC51-1FE99180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08F6"/>
    <w:rPr>
      <w:color w:val="0563C1" w:themeColor="hyperlink"/>
      <w:u w:val="single"/>
    </w:rPr>
  </w:style>
  <w:style w:type="character" w:styleId="a4">
    <w:name w:val="Unresolved Mention"/>
    <w:basedOn w:val="a0"/>
    <w:uiPriority w:val="99"/>
    <w:semiHidden/>
    <w:unhideWhenUsed/>
    <w:rsid w:val="008808F6"/>
    <w:rPr>
      <w:color w:val="605E5C"/>
      <w:shd w:val="clear" w:color="auto" w:fill="E1DFDD"/>
    </w:rPr>
  </w:style>
  <w:style w:type="paragraph" w:styleId="a5">
    <w:name w:val="header"/>
    <w:basedOn w:val="a"/>
    <w:link w:val="a6"/>
    <w:uiPriority w:val="99"/>
    <w:unhideWhenUsed/>
    <w:rsid w:val="008808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808F6"/>
  </w:style>
  <w:style w:type="paragraph" w:styleId="a7">
    <w:name w:val="footer"/>
    <w:basedOn w:val="a"/>
    <w:link w:val="a8"/>
    <w:uiPriority w:val="99"/>
    <w:unhideWhenUsed/>
    <w:rsid w:val="008808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808F6"/>
  </w:style>
  <w:style w:type="paragraph" w:styleId="a9">
    <w:name w:val="Body Text"/>
    <w:basedOn w:val="a"/>
    <w:link w:val="aa"/>
    <w:uiPriority w:val="1"/>
    <w:qFormat/>
    <w:rsid w:val="008C4124"/>
    <w:pPr>
      <w:widowControl w:val="0"/>
      <w:autoSpaceDE w:val="0"/>
      <w:autoSpaceDN w:val="0"/>
      <w:spacing w:after="0" w:line="240" w:lineRule="auto"/>
    </w:pPr>
    <w:rPr>
      <w:rFonts w:ascii="Times New Roman" w:eastAsia="Times New Roman" w:hAnsi="Times New Roman" w:cs="Times New Roman"/>
      <w:b/>
      <w:bCs/>
      <w:sz w:val="24"/>
      <w:szCs w:val="24"/>
      <w:lang w:val="ro-RO"/>
    </w:rPr>
  </w:style>
  <w:style w:type="character" w:customStyle="1" w:styleId="aa">
    <w:name w:val="Основной текст Знак"/>
    <w:basedOn w:val="a0"/>
    <w:link w:val="a9"/>
    <w:uiPriority w:val="1"/>
    <w:rsid w:val="008C4124"/>
    <w:rPr>
      <w:rFonts w:ascii="Times New Roman" w:eastAsia="Times New Roman" w:hAnsi="Times New Roman" w:cs="Times New Roman"/>
      <w:b/>
      <w:bCs/>
      <w:sz w:val="24"/>
      <w:szCs w:val="24"/>
      <w:lang w:val="ro-RO"/>
    </w:rPr>
  </w:style>
  <w:style w:type="table" w:styleId="ab">
    <w:name w:val="Table Grid"/>
    <w:basedOn w:val="a1"/>
    <w:uiPriority w:val="39"/>
    <w:rsid w:val="008C4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8C4124"/>
    <w:pPr>
      <w:widowControl w:val="0"/>
      <w:autoSpaceDE w:val="0"/>
      <w:autoSpaceDN w:val="0"/>
      <w:spacing w:after="0" w:line="240" w:lineRule="auto"/>
      <w:ind w:left="107"/>
    </w:pPr>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3</Pages>
  <Words>894</Words>
  <Characters>5099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Rusu</dc:creator>
  <cp:keywords/>
  <dc:description/>
  <cp:lastModifiedBy>G Rusu</cp:lastModifiedBy>
  <cp:revision>18</cp:revision>
  <cp:lastPrinted>2023-02-20T07:40:00Z</cp:lastPrinted>
  <dcterms:created xsi:type="dcterms:W3CDTF">2023-02-13T08:21:00Z</dcterms:created>
  <dcterms:modified xsi:type="dcterms:W3CDTF">2023-02-21T08:57:00Z</dcterms:modified>
</cp:coreProperties>
</file>