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6B3BF7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  <w:t>NOTĂ INFORMATIVĂ</w:t>
      </w:r>
    </w:p>
    <w:p w:rsidR="00913116" w:rsidRPr="006B3BF7" w:rsidRDefault="007C7011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la</w:t>
      </w:r>
      <w:r w:rsidR="00615D25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 proiectul 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Ordinului Ministerului Finanțelor  </w:t>
      </w:r>
    </w:p>
    <w:p w:rsidR="007C7011" w:rsidRPr="006B3BF7" w:rsidRDefault="00286B04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c</w:t>
      </w:r>
      <w:r w:rsidR="0091311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u privire </w:t>
      </w:r>
      <w:r w:rsidR="005B47F6"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 xml:space="preserve">la modificarea </w:t>
      </w:r>
      <w:r w:rsidRPr="006B3BF7">
        <w:rPr>
          <w:rFonts w:ascii="Times New Roman" w:hAnsi="Times New Roman"/>
          <w:color w:val="000000" w:themeColor="text1"/>
          <w:sz w:val="24"/>
          <w:szCs w:val="24"/>
          <w:lang w:val="ro-MD"/>
        </w:rPr>
        <w:t>Ordinul Ministerului Finanțelor nr. 153 din 22 decembrie 2017 „Privind aprobarea formularului tipizat al Declarației cu privire la impozitul pe venit pentru agenții economici”</w:t>
      </w:r>
    </w:p>
    <w:p w:rsidR="00913116" w:rsidRPr="006B3BF7" w:rsidRDefault="00913116" w:rsidP="00913116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1.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Denumirea autorului şi, după caz, a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participanților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la elaborarea proiectului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CB22E9" w:rsidRPr="006B3BF7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Ministerul Finanțelor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2.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Condițiile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ce au impus elaborarea proiectului de act normativ şi </w:t>
            </w:r>
            <w:r w:rsidR="00B30B5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finalitățile</w:t>
            </w:r>
            <w:r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urmărite  </w:t>
            </w:r>
          </w:p>
        </w:tc>
      </w:tr>
      <w:tr w:rsidR="008654E1" w:rsidRPr="006B3BF7" w:rsidTr="008654E1">
        <w:tc>
          <w:tcPr>
            <w:tcW w:w="9771" w:type="dxa"/>
          </w:tcPr>
          <w:p w:rsidR="00B6781E" w:rsidRDefault="00B6781E" w:rsidP="0004196F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Excluderea unor boxe din declarație </w:t>
            </w:r>
            <w:r w:rsidR="00EA268C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ținând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cont de obligația prezentării declarațiilor doar în format electronic;</w:t>
            </w:r>
          </w:p>
          <w:p w:rsidR="00F57F48" w:rsidRPr="006B3BF7" w:rsidRDefault="00427720" w:rsidP="0004196F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Necesitatea ajustării terminologiei legislației fiscale </w:t>
            </w:r>
            <w:r w:rsidR="00960FE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la legislația financiară;</w:t>
            </w:r>
          </w:p>
          <w:p w:rsidR="00B6781E" w:rsidRPr="006B3BF7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Rândurile din declarație au fost completate cu referințe la norme/articole din Codul fiscal;</w:t>
            </w:r>
          </w:p>
          <w:p w:rsidR="00B6781E" w:rsidRDefault="00B6781E" w:rsidP="00EA268C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1456F">
              <w:rPr>
                <w:rFonts w:ascii="Times New Roman" w:hAnsi="Times New Roman"/>
                <w:sz w:val="24"/>
                <w:szCs w:val="24"/>
                <w:lang w:val="ro-MD"/>
              </w:rPr>
              <w:t>A fost exclusă divizarea calculării impozitului pe venit pe tipuri de categorii de persoane fizice și juridice, dat fiind faptul că pentru persoanele fizice nu mai este aplicabilă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impozitarea la cotă progresivă</w:t>
            </w:r>
            <w:r w:rsidRPr="0091456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;  </w:t>
            </w:r>
          </w:p>
          <w:p w:rsidR="00B6781E" w:rsidRPr="00B6781E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Aducerea în concordanță a unor noțiuni din Declarație, conform HG 704/2019 și art.26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MD"/>
              </w:rPr>
              <w:t>1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din Codul fiscal, privind calculul amortizării în scopuri fiscale;</w:t>
            </w:r>
          </w:p>
          <w:p w:rsidR="00B6781E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 fost exclus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ă necesitatea completării unor </w:t>
            </w:r>
            <w:r w:rsidR="00EA268C">
              <w:rPr>
                <w:rFonts w:ascii="Times New Roman" w:hAnsi="Times New Roman"/>
                <w:sz w:val="24"/>
                <w:szCs w:val="24"/>
                <w:lang w:val="ro-MD"/>
              </w:rPr>
              <w:t>rânduri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dat fiind faptul excluderii acestora din veniturile neimpozabile și lipsa necesității de ajustare prin declarație (venituri din dobânzile aferente depozitelor bancare, dobânzile de la valorile mobiliare de stat,</w:t>
            </w:r>
            <w:r w:rsidRPr="006B3BF7">
              <w:rPr>
                <w:sz w:val="24"/>
                <w:szCs w:val="24"/>
                <w:lang w:val="ro-MD"/>
              </w:rPr>
              <w:t xml:space="preserve">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rezultatul obţinut din operațiunile legate de activele de capital);</w:t>
            </w:r>
          </w:p>
          <w:p w:rsidR="00B6781E" w:rsidRPr="006B3BF7" w:rsidRDefault="00B6781E" w:rsidP="00EA268C">
            <w:pPr>
              <w:pStyle w:val="aa"/>
              <w:numPr>
                <w:ilvl w:val="0"/>
                <w:numId w:val="11"/>
              </w:numPr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Aducerea în concordanță a unor noțiuni din anexa 1.1.D la Declarație conform HG 704/2019 și art.26</w:t>
            </w:r>
            <w:r w:rsidRPr="006B3BF7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Codul fiscal, privind calculul amortizării în scopuri fiscale;</w:t>
            </w:r>
          </w:p>
          <w:p w:rsidR="009922B6" w:rsidRPr="006B3BF7" w:rsidRDefault="009922B6" w:rsidP="00EA268C">
            <w:pPr>
              <w:pStyle w:val="aa"/>
              <w:numPr>
                <w:ilvl w:val="0"/>
                <w:numId w:val="11"/>
              </w:numPr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</w:t>
            </w:r>
            <w:r w:rsidR="00B6781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oncretizarea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pentru întreprinderile micro, mici sau mijlocii (conform criteriilor determinate potrivit prevederilor art.5 alin</w:t>
            </w:r>
            <w:bookmarkStart w:id="0" w:name="_GoBack"/>
            <w:bookmarkEnd w:id="0"/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.(1) din Legea nr.179/2016 cu privire la întreprinderile mici şi mijlocii) </w:t>
            </w:r>
            <w:r w:rsidR="00B6781E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posibilității de a alege 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pentru perioadele fiscale 2023 – 2025, a </w:t>
            </w:r>
            <w:r w:rsidR="00B6781E">
              <w:rPr>
                <w:rFonts w:ascii="Times New Roman" w:hAnsi="Times New Roman"/>
                <w:sz w:val="24"/>
                <w:szCs w:val="24"/>
                <w:lang w:val="ro-MD"/>
              </w:rPr>
              <w:t>amânării de plata impozitului pe venit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conform art.87 alin.(1</w:t>
            </w:r>
            <w:r w:rsidRPr="006B3BF7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1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) din Codul fiscal;</w:t>
            </w:r>
          </w:p>
          <w:p w:rsidR="00A24A43" w:rsidRPr="006B3BF7" w:rsidRDefault="006513A7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Concretizări în partea ce ține de ajustarea cheltuielilor legate de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investigații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şi cercetări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științifice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 provizioanelor precum și a cheltuielilor suportate în folosul persoanelor fizice ce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desfășoară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activități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independente conform cap. 10</w:t>
            </w:r>
            <w:r w:rsidRPr="006B3BF7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2</w:t>
            </w:r>
            <w:r w:rsidR="008F19C0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, dat fiind faptul că acestea nu se permit la deduceri în scopuri fiscale;</w:t>
            </w:r>
          </w:p>
          <w:p w:rsidR="0051237E" w:rsidRPr="006B3BF7" w:rsidRDefault="0051237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Revizuită anexa privind ajustarea cheltuielilor de </w:t>
            </w:r>
            <w:r w:rsidR="006B3BF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>reprezentanță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legătură cu actualizarea modalității de deducere a acestor cheltuieli;</w:t>
            </w:r>
          </w:p>
          <w:p w:rsidR="00B6781E" w:rsidRPr="006B3BF7" w:rsidRDefault="00B6781E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Completări aferente utilizării scutirii doar în cazul obținerii veniturilor sub 360 mii lei;</w:t>
            </w:r>
          </w:p>
          <w:p w:rsidR="004E4353" w:rsidRPr="006B3BF7" w:rsidRDefault="004E4353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Concretizări aferent modalității de reflectare a facilităților fiscale în anexele 4D și 6D;</w:t>
            </w:r>
          </w:p>
          <w:p w:rsidR="007658B5" w:rsidRPr="006B3BF7" w:rsidRDefault="007658B5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Abrogarea anexei 5D deoarece nu se aplică impozitarea la cotă progresivă;</w:t>
            </w:r>
          </w:p>
          <w:p w:rsidR="00D76517" w:rsidRPr="006B3BF7" w:rsidRDefault="00CA3728" w:rsidP="00EA268C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Completări</w:t>
            </w:r>
            <w:r w:rsidR="008E69A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ce țin de necesitatea ajustării veniturilor obținute în urma tranzacțiilor economice cu fondatorii sau alte persoane interdependente efectuate la un preț mai mic decât prețul de piață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;</w:t>
            </w:r>
            <w:r w:rsidR="008E69A7"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</w:t>
            </w:r>
          </w:p>
          <w:p w:rsidR="00D63D30" w:rsidRPr="006B3BF7" w:rsidRDefault="00D63D30" w:rsidP="0004196F">
            <w:pPr>
              <w:pStyle w:val="aa"/>
              <w:numPr>
                <w:ilvl w:val="0"/>
                <w:numId w:val="11"/>
              </w:numPr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>Expunerea mai simplificată a metodelor de prognozare a impozitului pe venit în rate.</w:t>
            </w:r>
          </w:p>
          <w:p w:rsidR="00BF7F40" w:rsidRPr="006B3BF7" w:rsidRDefault="00BF7F40" w:rsidP="0004196F">
            <w:pPr>
              <w:pStyle w:val="aa"/>
              <w:tabs>
                <w:tab w:val="left" w:pos="924"/>
              </w:tabs>
              <w:spacing w:after="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3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Principalele prevederi ale proiectului şi </w:t>
            </w:r>
            <w:r w:rsidR="006B3BF7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evidențierea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elementelor noi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6B3BF7" w:rsidTr="008654E1">
        <w:tc>
          <w:tcPr>
            <w:tcW w:w="9771" w:type="dxa"/>
          </w:tcPr>
          <w:p w:rsidR="005B5AAC" w:rsidRPr="006B3BF7" w:rsidRDefault="005B5AAC" w:rsidP="005B5AA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Modificările și completările propuse rezultă din necesitatea</w:t>
            </w:r>
            <w:r w:rsidRPr="006B3BF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corelării prevederilor actelor normative elaborate de către Ministerul Finanțelor cu prevederile Codului fiscal și a altor acte normative.</w:t>
            </w:r>
          </w:p>
          <w:p w:rsidR="006F5129" w:rsidRPr="006B3BF7" w:rsidRDefault="006F5129" w:rsidP="005B5AAC">
            <w:pPr>
              <w:spacing w:after="0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4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Fundamentarea </w:t>
            </w:r>
            <w:proofErr w:type="spellStart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economico</w:t>
            </w:r>
            <w:proofErr w:type="spellEnd"/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-financiară  </w:t>
            </w: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lastRenderedPageBreak/>
              <w:t xml:space="preserve">Prezentul proiect al </w:t>
            </w:r>
            <w:r w:rsidR="005B5AAC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Ordinului Ministerului Finanțelor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nu necesită cheltuieli de la bugetul public.</w:t>
            </w:r>
          </w:p>
          <w:p w:rsidR="00CB22E9" w:rsidRPr="006B3BF7" w:rsidRDefault="00CB22E9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5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 Modul de încorporare a actului în cadrul normativ în vigoare  </w:t>
            </w:r>
          </w:p>
        </w:tc>
      </w:tr>
      <w:tr w:rsidR="008654E1" w:rsidRPr="006B3BF7" w:rsidTr="008654E1">
        <w:tc>
          <w:tcPr>
            <w:tcW w:w="9771" w:type="dxa"/>
          </w:tcPr>
          <w:p w:rsidR="002B1F81" w:rsidRPr="006B3BF7" w:rsidRDefault="002B1F81" w:rsidP="006F5129">
            <w:pPr>
              <w:pStyle w:val="aa"/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</w:p>
        </w:tc>
      </w:tr>
      <w:tr w:rsidR="008654E1" w:rsidRPr="006B3BF7" w:rsidTr="008654E1">
        <w:tc>
          <w:tcPr>
            <w:tcW w:w="9771" w:type="dxa"/>
          </w:tcPr>
          <w:p w:rsidR="007C7011" w:rsidRPr="006B3BF7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6</w:t>
            </w:r>
            <w:r w:rsidR="007C7011" w:rsidRPr="006B3B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.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7C7011" w:rsidRPr="006B3BF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Avizarea şi consultarea publică a proiectului</w:t>
            </w:r>
            <w:r w:rsidR="007C7011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 </w:t>
            </w:r>
          </w:p>
        </w:tc>
      </w:tr>
      <w:tr w:rsidR="008654E1" w:rsidRPr="00EA268C" w:rsidTr="008654E1">
        <w:tc>
          <w:tcPr>
            <w:tcW w:w="9771" w:type="dxa"/>
          </w:tcPr>
          <w:p w:rsidR="00274E5E" w:rsidRPr="005B309B" w:rsidRDefault="008654E1" w:rsidP="005B47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</w:pP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conformitate cu art. 15 din Legea nr. 239 – XVI din 13 noiembrie 2008 privind transparența în procesul decizional, la data de </w:t>
            </w:r>
            <w:r w:rsidR="00FF4854">
              <w:rPr>
                <w:rFonts w:ascii="Times New Roman" w:hAnsi="Times New Roman"/>
                <w:sz w:val="24"/>
                <w:szCs w:val="24"/>
                <w:lang w:val="ro-MD"/>
              </w:rPr>
              <w:t>0</w:t>
            </w:r>
            <w:r w:rsidR="00BD5CAC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  <w:r w:rsidR="00FF48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martie </w:t>
            </w:r>
            <w:r w:rsidR="005B47F6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2023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pe pagina web a </w:t>
            </w:r>
            <w:r w:rsidR="005B5AAC" w:rsidRPr="005B309B">
              <w:rPr>
                <w:rFonts w:ascii="Times New Roman" w:hAnsi="Times New Roman"/>
                <w:sz w:val="24"/>
                <w:szCs w:val="24"/>
                <w:lang w:val="ro-MD"/>
              </w:rPr>
              <w:t>Ministerului Finanțelor</w:t>
            </w:r>
            <w:r w:rsidRPr="005B30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fost plasat </w:t>
            </w:r>
            <w:r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proiectului </w:t>
            </w:r>
            <w:r w:rsidR="005B5AAC" w:rsidRPr="005B30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Ordinului </w:t>
            </w:r>
            <w:r w:rsidR="005B47F6" w:rsidRPr="005B309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MD"/>
              </w:rPr>
              <w:t xml:space="preserve">cu privire la modificarea Ordinul Ministerului Finanțelor nr. 153 din 22 decembrie 2017 „Privind aprobarea formularului tipizat al Declarației cu privire la impozitul pe venit pentru agenții economici” </w:t>
            </w:r>
          </w:p>
          <w:p w:rsidR="008654E1" w:rsidRPr="006B3BF7" w:rsidRDefault="008654E1" w:rsidP="00274E5E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(</w:t>
            </w:r>
            <w:r w:rsidR="005B5AAC"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http://mf.gov.md/ro/transparen%C8%9Ba-decizional%C4%83/procesul-decizional</w:t>
            </w:r>
            <w:r w:rsidRPr="006B3BF7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).</w:t>
            </w:r>
          </w:p>
        </w:tc>
      </w:tr>
    </w:tbl>
    <w:p w:rsidR="007C7011" w:rsidRPr="006B3BF7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ro-MD"/>
        </w:rPr>
      </w:pPr>
    </w:p>
    <w:sectPr w:rsidR="007C7011" w:rsidRPr="006B3BF7" w:rsidSect="00743306">
      <w:headerReference w:type="default" r:id="rId7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0C" w:rsidRDefault="00A43D0C">
      <w:pPr>
        <w:spacing w:after="0" w:line="240" w:lineRule="auto"/>
      </w:pPr>
      <w:r>
        <w:separator/>
      </w:r>
    </w:p>
  </w:endnote>
  <w:endnote w:type="continuationSeparator" w:id="0">
    <w:p w:rsidR="00A43D0C" w:rsidRDefault="00A4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0C" w:rsidRDefault="00A43D0C">
      <w:pPr>
        <w:spacing w:after="0" w:line="240" w:lineRule="auto"/>
      </w:pPr>
      <w:r>
        <w:separator/>
      </w:r>
    </w:p>
  </w:footnote>
  <w:footnote w:type="continuationSeparator" w:id="0">
    <w:p w:rsidR="00A43D0C" w:rsidRDefault="00A4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A43D0C" w:rsidP="000E695F">
    <w:pPr>
      <w:pStyle w:val="a3"/>
      <w:jc w:val="right"/>
      <w:rPr>
        <w:rFonts w:ascii="Times New Roman" w:hAnsi="Times New Roman"/>
        <w:i/>
      </w:rPr>
    </w:pPr>
  </w:p>
  <w:p w:rsidR="000E695F" w:rsidRDefault="00A43D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746905"/>
    <w:multiLevelType w:val="hybridMultilevel"/>
    <w:tmpl w:val="0582D016"/>
    <w:lvl w:ilvl="0" w:tplc="9898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3C16819"/>
    <w:multiLevelType w:val="hybridMultilevel"/>
    <w:tmpl w:val="4F3C09BC"/>
    <w:lvl w:ilvl="0" w:tplc="1BC005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110F1"/>
    <w:rsid w:val="00024A67"/>
    <w:rsid w:val="00034777"/>
    <w:rsid w:val="0004196F"/>
    <w:rsid w:val="00057B23"/>
    <w:rsid w:val="00077B42"/>
    <w:rsid w:val="0009524A"/>
    <w:rsid w:val="000F6462"/>
    <w:rsid w:val="00122EDC"/>
    <w:rsid w:val="00166A53"/>
    <w:rsid w:val="0017794D"/>
    <w:rsid w:val="00180AA5"/>
    <w:rsid w:val="00195567"/>
    <w:rsid w:val="002105D3"/>
    <w:rsid w:val="00227F72"/>
    <w:rsid w:val="00230E0B"/>
    <w:rsid w:val="00245AF3"/>
    <w:rsid w:val="00274E5E"/>
    <w:rsid w:val="0028263E"/>
    <w:rsid w:val="00286B04"/>
    <w:rsid w:val="002B1F81"/>
    <w:rsid w:val="002C4E9E"/>
    <w:rsid w:val="002F1014"/>
    <w:rsid w:val="002F631C"/>
    <w:rsid w:val="002F7153"/>
    <w:rsid w:val="003202F2"/>
    <w:rsid w:val="00321974"/>
    <w:rsid w:val="00336094"/>
    <w:rsid w:val="00355CA9"/>
    <w:rsid w:val="00361122"/>
    <w:rsid w:val="00381BD8"/>
    <w:rsid w:val="003A4DD3"/>
    <w:rsid w:val="003C342E"/>
    <w:rsid w:val="003E20A2"/>
    <w:rsid w:val="003F0D12"/>
    <w:rsid w:val="00427720"/>
    <w:rsid w:val="00432B78"/>
    <w:rsid w:val="004362DC"/>
    <w:rsid w:val="00463F34"/>
    <w:rsid w:val="004B6438"/>
    <w:rsid w:val="004B6DB0"/>
    <w:rsid w:val="004D0552"/>
    <w:rsid w:val="004D50FC"/>
    <w:rsid w:val="004E4353"/>
    <w:rsid w:val="0051237E"/>
    <w:rsid w:val="00520B85"/>
    <w:rsid w:val="005A1D38"/>
    <w:rsid w:val="005A36E0"/>
    <w:rsid w:val="005B309B"/>
    <w:rsid w:val="005B47F6"/>
    <w:rsid w:val="005B5AAC"/>
    <w:rsid w:val="005E1891"/>
    <w:rsid w:val="00615D25"/>
    <w:rsid w:val="00616B42"/>
    <w:rsid w:val="00621494"/>
    <w:rsid w:val="00646DF2"/>
    <w:rsid w:val="00647B75"/>
    <w:rsid w:val="00650272"/>
    <w:rsid w:val="006513A7"/>
    <w:rsid w:val="006643D6"/>
    <w:rsid w:val="00691E10"/>
    <w:rsid w:val="006B3BF7"/>
    <w:rsid w:val="006F4046"/>
    <w:rsid w:val="006F5129"/>
    <w:rsid w:val="006F6E0C"/>
    <w:rsid w:val="007228CE"/>
    <w:rsid w:val="00722CE0"/>
    <w:rsid w:val="00743306"/>
    <w:rsid w:val="007658B5"/>
    <w:rsid w:val="00770A80"/>
    <w:rsid w:val="00775B97"/>
    <w:rsid w:val="00777D5F"/>
    <w:rsid w:val="007A1918"/>
    <w:rsid w:val="007A6439"/>
    <w:rsid w:val="007C7011"/>
    <w:rsid w:val="007F714C"/>
    <w:rsid w:val="00804DB3"/>
    <w:rsid w:val="008654E1"/>
    <w:rsid w:val="00883F10"/>
    <w:rsid w:val="008C2090"/>
    <w:rsid w:val="008C504C"/>
    <w:rsid w:val="008D7AD4"/>
    <w:rsid w:val="008E438E"/>
    <w:rsid w:val="008E69A7"/>
    <w:rsid w:val="008F19C0"/>
    <w:rsid w:val="00901C1B"/>
    <w:rsid w:val="00905946"/>
    <w:rsid w:val="00913116"/>
    <w:rsid w:val="0091456F"/>
    <w:rsid w:val="00960FE1"/>
    <w:rsid w:val="00964588"/>
    <w:rsid w:val="009922B6"/>
    <w:rsid w:val="009A5B92"/>
    <w:rsid w:val="009C0B31"/>
    <w:rsid w:val="00A24A43"/>
    <w:rsid w:val="00A258F3"/>
    <w:rsid w:val="00A43D0C"/>
    <w:rsid w:val="00A844C6"/>
    <w:rsid w:val="00A850C1"/>
    <w:rsid w:val="00AC13F0"/>
    <w:rsid w:val="00AD2DE9"/>
    <w:rsid w:val="00AD434B"/>
    <w:rsid w:val="00AE2526"/>
    <w:rsid w:val="00B11479"/>
    <w:rsid w:val="00B26751"/>
    <w:rsid w:val="00B30B57"/>
    <w:rsid w:val="00B6781E"/>
    <w:rsid w:val="00BA711B"/>
    <w:rsid w:val="00BD297C"/>
    <w:rsid w:val="00BD4DA6"/>
    <w:rsid w:val="00BD5CAC"/>
    <w:rsid w:val="00BF7F40"/>
    <w:rsid w:val="00C154C6"/>
    <w:rsid w:val="00C20F83"/>
    <w:rsid w:val="00C35A53"/>
    <w:rsid w:val="00C74EEA"/>
    <w:rsid w:val="00C90582"/>
    <w:rsid w:val="00C97708"/>
    <w:rsid w:val="00CA3728"/>
    <w:rsid w:val="00CB22E9"/>
    <w:rsid w:val="00CC55B8"/>
    <w:rsid w:val="00D63D30"/>
    <w:rsid w:val="00D76517"/>
    <w:rsid w:val="00D94A05"/>
    <w:rsid w:val="00DC0573"/>
    <w:rsid w:val="00DD1FAF"/>
    <w:rsid w:val="00E01863"/>
    <w:rsid w:val="00E3205B"/>
    <w:rsid w:val="00E71149"/>
    <w:rsid w:val="00E72992"/>
    <w:rsid w:val="00E951DF"/>
    <w:rsid w:val="00EA268C"/>
    <w:rsid w:val="00EB11BC"/>
    <w:rsid w:val="00ED028B"/>
    <w:rsid w:val="00ED3AB3"/>
    <w:rsid w:val="00EF7630"/>
    <w:rsid w:val="00F245F7"/>
    <w:rsid w:val="00F56B67"/>
    <w:rsid w:val="00F57F48"/>
    <w:rsid w:val="00F75FC1"/>
    <w:rsid w:val="00F8561B"/>
    <w:rsid w:val="00FD47C2"/>
    <w:rsid w:val="00FD7CB8"/>
    <w:rsid w:val="00FE23B7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D001B-44DC-4E6D-A6B2-883BC985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Rusu Diana</cp:lastModifiedBy>
  <cp:revision>48</cp:revision>
  <cp:lastPrinted>2019-09-23T11:37:00Z</cp:lastPrinted>
  <dcterms:created xsi:type="dcterms:W3CDTF">2019-10-03T13:45:00Z</dcterms:created>
  <dcterms:modified xsi:type="dcterms:W3CDTF">2023-03-07T11:30:00Z</dcterms:modified>
</cp:coreProperties>
</file>