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74EC3" w14:textId="77777777" w:rsidR="00836AC4" w:rsidRPr="00910215" w:rsidRDefault="009B351F" w:rsidP="00F32E1B">
      <w:pPr>
        <w:ind w:right="-16"/>
        <w:jc w:val="center"/>
        <w:rPr>
          <w:b/>
          <w:lang w:val="ro-RO"/>
        </w:rPr>
      </w:pPr>
      <w:r w:rsidRPr="00910215">
        <w:rPr>
          <w:b/>
          <w:lang w:val="ro-RO"/>
        </w:rPr>
        <w:t>NOTĂ INFORMATIVĂ</w:t>
      </w:r>
    </w:p>
    <w:p w14:paraId="1E454624" w14:textId="77777777" w:rsidR="00EC4C4A" w:rsidRPr="00910215" w:rsidRDefault="00EC4C4A" w:rsidP="00F32E1B">
      <w:pPr>
        <w:ind w:right="-16"/>
        <w:jc w:val="center"/>
        <w:rPr>
          <w:b/>
          <w:lang w:val="ro-RO"/>
        </w:rPr>
      </w:pPr>
    </w:p>
    <w:p w14:paraId="62A08880" w14:textId="23B33169" w:rsidR="00A97D44" w:rsidRPr="00A97D44" w:rsidRDefault="00EE1C54" w:rsidP="00A97D44">
      <w:pPr>
        <w:tabs>
          <w:tab w:val="left" w:pos="4275"/>
        </w:tabs>
        <w:jc w:val="center"/>
        <w:rPr>
          <w:b/>
          <w:lang w:val="ro-RO"/>
        </w:rPr>
      </w:pPr>
      <w:r w:rsidRPr="00910215">
        <w:rPr>
          <w:b/>
          <w:lang w:val="ro-RO"/>
        </w:rPr>
        <w:t>la proiect</w:t>
      </w:r>
      <w:r w:rsidR="00382CE9" w:rsidRPr="00910215">
        <w:rPr>
          <w:b/>
          <w:lang w:val="ro-RO"/>
        </w:rPr>
        <w:t>u</w:t>
      </w:r>
      <w:r w:rsidRPr="00910215">
        <w:rPr>
          <w:b/>
          <w:lang w:val="ro-RO"/>
        </w:rPr>
        <w:t xml:space="preserve">l </w:t>
      </w:r>
      <w:r w:rsidR="00910215">
        <w:rPr>
          <w:b/>
          <w:lang w:val="ro-RO"/>
        </w:rPr>
        <w:t>Hotăr</w:t>
      </w:r>
      <w:r w:rsidR="00201DDE">
        <w:rPr>
          <w:b/>
          <w:lang w:val="ro-RO"/>
        </w:rPr>
        <w:t>â</w:t>
      </w:r>
      <w:r w:rsidR="00910215">
        <w:rPr>
          <w:b/>
          <w:lang w:val="ro-RO"/>
        </w:rPr>
        <w:t>rii Guvernului</w:t>
      </w:r>
      <w:r w:rsidR="008F289E">
        <w:rPr>
          <w:b/>
          <w:lang w:val="ro-RO"/>
        </w:rPr>
        <w:t xml:space="preserve"> </w:t>
      </w:r>
      <w:r w:rsidR="00A97D44" w:rsidRPr="00A97D44">
        <w:rPr>
          <w:b/>
          <w:lang w:val="ro-RO" w:eastAsia="ro-RO"/>
        </w:rPr>
        <w:t xml:space="preserve">cu privire la modificarea </w:t>
      </w:r>
      <w:r w:rsidR="00201DDE">
        <w:rPr>
          <w:b/>
          <w:lang w:val="ro-RO" w:eastAsia="ro-RO"/>
        </w:rPr>
        <w:t>Anexei</w:t>
      </w:r>
      <w:r w:rsidR="00543A89">
        <w:rPr>
          <w:b/>
          <w:lang w:val="ro-RO" w:eastAsia="ro-RO"/>
        </w:rPr>
        <w:t xml:space="preserve"> </w:t>
      </w:r>
      <w:r w:rsidR="00201DDE">
        <w:rPr>
          <w:b/>
          <w:lang w:val="ro-RO" w:eastAsia="ro-RO"/>
        </w:rPr>
        <w:t>9</w:t>
      </w:r>
      <w:r w:rsidR="00A97D44" w:rsidRPr="00A97D44">
        <w:rPr>
          <w:b/>
          <w:lang w:val="ro-RO" w:eastAsia="ro-RO"/>
        </w:rPr>
        <w:t xml:space="preserve"> la </w:t>
      </w:r>
      <w:r w:rsidR="00201DDE" w:rsidRPr="00A97D44">
        <w:rPr>
          <w:b/>
          <w:lang w:val="ro-RO" w:eastAsia="ro-RO"/>
        </w:rPr>
        <w:t>Hotărârea</w:t>
      </w:r>
      <w:r w:rsidR="00A97D44" w:rsidRPr="00A97D44">
        <w:rPr>
          <w:b/>
          <w:lang w:val="ro-RO" w:eastAsia="ro-RO"/>
        </w:rPr>
        <w:t xml:space="preserve"> Guvernului nr. </w:t>
      </w:r>
      <w:r w:rsidR="00201DDE">
        <w:rPr>
          <w:b/>
          <w:lang w:val="ro-RO" w:eastAsia="ro-RO"/>
        </w:rPr>
        <w:t>216 din 30 martie 2022</w:t>
      </w:r>
    </w:p>
    <w:p w14:paraId="43A183E5" w14:textId="77777777" w:rsidR="00201DDE" w:rsidRPr="00201DDE" w:rsidRDefault="00201DDE" w:rsidP="00201DDE">
      <w:pPr>
        <w:spacing w:line="360" w:lineRule="auto"/>
        <w:jc w:val="center"/>
        <w:rPr>
          <w:rFonts w:eastAsia="Calibri"/>
          <w:b/>
          <w:lang w:val="ro-RO" w:eastAsia="en-US"/>
        </w:rPr>
      </w:pPr>
    </w:p>
    <w:p w14:paraId="264DC986" w14:textId="77777777" w:rsidR="00201DDE" w:rsidRPr="00201DDE" w:rsidRDefault="00201DDE" w:rsidP="00201DDE">
      <w:pPr>
        <w:numPr>
          <w:ilvl w:val="0"/>
          <w:numId w:val="1"/>
        </w:numPr>
        <w:tabs>
          <w:tab w:val="left" w:pos="270"/>
        </w:tabs>
        <w:spacing w:after="200" w:line="360" w:lineRule="auto"/>
        <w:contextualSpacing/>
        <w:rPr>
          <w:rFonts w:eastAsia="Calibri"/>
          <w:b/>
          <w:lang w:val="ro-RO" w:eastAsia="en-US"/>
        </w:rPr>
      </w:pPr>
      <w:r w:rsidRPr="00201DDE">
        <w:rPr>
          <w:rFonts w:eastAsia="Calibri"/>
          <w:b/>
          <w:lang w:val="ro-RO" w:eastAsia="en-US"/>
        </w:rPr>
        <w:t>Denumirea autorului și, după caz, a participanților la elaborarea proiectului</w:t>
      </w:r>
    </w:p>
    <w:p w14:paraId="1138F1A6" w14:textId="77777777" w:rsidR="00201DDE" w:rsidRPr="00201DDE" w:rsidRDefault="00201DDE" w:rsidP="00201DDE">
      <w:pPr>
        <w:spacing w:line="360" w:lineRule="auto"/>
        <w:jc w:val="both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P</w:t>
      </w:r>
      <w:r w:rsidRPr="00201DDE">
        <w:rPr>
          <w:rFonts w:eastAsia="Calibri"/>
          <w:lang w:val="ro-RO" w:eastAsia="en-US"/>
        </w:rPr>
        <w:t>roiectul Hotărârii Guvernului cu privire la modificarea Anexei</w:t>
      </w:r>
      <w:r>
        <w:rPr>
          <w:rFonts w:eastAsia="Calibri"/>
          <w:lang w:val="ro-RO" w:eastAsia="en-US"/>
        </w:rPr>
        <w:t xml:space="preserve"> </w:t>
      </w:r>
      <w:r w:rsidRPr="00201DDE">
        <w:rPr>
          <w:rFonts w:eastAsia="Calibri"/>
          <w:lang w:val="ro-RO" w:eastAsia="en-US"/>
        </w:rPr>
        <w:t>9 la Hotărârea Guvernului nr. 216 din 30 martie 2022</w:t>
      </w:r>
      <w:r>
        <w:rPr>
          <w:rFonts w:eastAsia="Calibri"/>
          <w:lang w:val="ro-RO" w:eastAsia="en-US"/>
        </w:rPr>
        <w:t xml:space="preserve"> </w:t>
      </w:r>
      <w:r w:rsidRPr="00201DDE">
        <w:rPr>
          <w:rFonts w:eastAsia="Calibri"/>
          <w:lang w:val="ro-RO" w:eastAsia="en-US"/>
        </w:rPr>
        <w:t xml:space="preserve">este elaborat de către Ministerul </w:t>
      </w:r>
      <w:r>
        <w:rPr>
          <w:rFonts w:eastAsia="Calibri"/>
          <w:lang w:val="ro-RO" w:eastAsia="en-US"/>
        </w:rPr>
        <w:t>Dezvoltării Economice și Digitalizării</w:t>
      </w:r>
      <w:r w:rsidRPr="00201DDE">
        <w:rPr>
          <w:rFonts w:eastAsia="Calibri"/>
          <w:lang w:val="ro-RO" w:eastAsia="en-US"/>
        </w:rPr>
        <w:t>.</w:t>
      </w:r>
    </w:p>
    <w:p w14:paraId="509B2A39" w14:textId="77777777" w:rsidR="00201DDE" w:rsidRPr="00201DDE" w:rsidRDefault="00201DDE" w:rsidP="00201DDE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lang w:val="ro-RO" w:eastAsia="en-US"/>
        </w:rPr>
      </w:pPr>
      <w:proofErr w:type="spellStart"/>
      <w:r w:rsidRPr="00201DDE">
        <w:rPr>
          <w:rFonts w:eastAsia="Calibri"/>
          <w:b/>
          <w:color w:val="000000"/>
          <w:lang w:val="en-GB" w:eastAsia="en-US"/>
        </w:rPr>
        <w:t>Condițiile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ce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au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impus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elaborarea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proiectului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actului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normativ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și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finalitățile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urmărite</w:t>
      </w:r>
      <w:proofErr w:type="spellEnd"/>
    </w:p>
    <w:p w14:paraId="6BAF9A08" w14:textId="77777777" w:rsidR="00452542" w:rsidRDefault="00452542" w:rsidP="00201DDE">
      <w:pPr>
        <w:spacing w:line="360" w:lineRule="auto"/>
        <w:jc w:val="both"/>
        <w:rPr>
          <w:rFonts w:eastAsia="Calibri"/>
          <w:lang w:val="ro-RO" w:eastAsia="en-US"/>
        </w:rPr>
      </w:pPr>
      <w:r w:rsidRPr="00452542">
        <w:rPr>
          <w:rFonts w:eastAsia="Calibri"/>
          <w:lang w:val="ro-RO" w:eastAsia="en-US"/>
        </w:rPr>
        <w:t xml:space="preserve">Comisiile mixte reprezintă un instrument important în dezvoltarea relațiilor comercial-economice cu țările de interes pentru Republica Moldova. Comisiile în cauză monitorizează progresul implementării acordurilor bilaterale, </w:t>
      </w:r>
      <w:proofErr w:type="spellStart"/>
      <w:r w:rsidRPr="00452542">
        <w:rPr>
          <w:rFonts w:eastAsia="Calibri"/>
          <w:lang w:val="ro-RO" w:eastAsia="en-US"/>
        </w:rPr>
        <w:t>înţelegerilor</w:t>
      </w:r>
      <w:proofErr w:type="spellEnd"/>
      <w:r w:rsidRPr="00452542">
        <w:rPr>
          <w:rFonts w:eastAsia="Calibri"/>
          <w:lang w:val="ro-RO" w:eastAsia="en-US"/>
        </w:rPr>
        <w:t xml:space="preserve"> convenite </w:t>
      </w:r>
      <w:proofErr w:type="spellStart"/>
      <w:r w:rsidRPr="00452542">
        <w:rPr>
          <w:rFonts w:eastAsia="Calibri"/>
          <w:lang w:val="ro-RO" w:eastAsia="en-US"/>
        </w:rPr>
        <w:t>şi</w:t>
      </w:r>
      <w:proofErr w:type="spellEnd"/>
      <w:r w:rsidRPr="00452542">
        <w:rPr>
          <w:rFonts w:eastAsia="Calibri"/>
          <w:lang w:val="ro-RO" w:eastAsia="en-US"/>
        </w:rPr>
        <w:t xml:space="preserve"> prevederilor stipulate în protocoalele ce se semnează, de către </w:t>
      </w:r>
      <w:proofErr w:type="spellStart"/>
      <w:r w:rsidRPr="00452542">
        <w:rPr>
          <w:rFonts w:eastAsia="Calibri"/>
          <w:lang w:val="ro-RO" w:eastAsia="en-US"/>
        </w:rPr>
        <w:t>Părţi</w:t>
      </w:r>
      <w:proofErr w:type="spellEnd"/>
      <w:r w:rsidRPr="00452542">
        <w:rPr>
          <w:rFonts w:eastAsia="Calibri"/>
          <w:lang w:val="ro-RO" w:eastAsia="en-US"/>
        </w:rPr>
        <w:t>, la finele ședințelor respective. Activitatea acestora contribuie la consolidarea relațiilor economice reciproce, majorarea volumului schimburilor comerciale, precum și la promovarea exporturilor și atragerea investițiilor.</w:t>
      </w:r>
    </w:p>
    <w:p w14:paraId="4AB51021" w14:textId="05591043" w:rsidR="00201DDE" w:rsidRPr="00201DDE" w:rsidRDefault="00452542" w:rsidP="00201DDE">
      <w:pPr>
        <w:spacing w:line="360" w:lineRule="auto"/>
        <w:jc w:val="both"/>
        <w:rPr>
          <w:rFonts w:eastAsia="Calibri"/>
          <w:lang w:val="ro-RO" w:eastAsia="en-US"/>
        </w:rPr>
      </w:pPr>
      <w:r w:rsidRPr="00452542">
        <w:rPr>
          <w:rFonts w:eastAsia="Calibri"/>
          <w:lang w:val="ro-RO" w:eastAsia="en-US"/>
        </w:rPr>
        <w:t xml:space="preserve">Reieșind din noua </w:t>
      </w:r>
      <w:r w:rsidRPr="00543A89">
        <w:rPr>
          <w:rFonts w:eastAsia="Calibri"/>
          <w:shd w:val="clear" w:color="auto" w:fill="FFFFFF" w:themeFill="background1"/>
          <w:lang w:val="ro-RO" w:eastAsia="en-US"/>
        </w:rPr>
        <w:t xml:space="preserve">structură a Guvernului, cu </w:t>
      </w:r>
      <w:r w:rsidR="00341A1B" w:rsidRPr="00543A89">
        <w:rPr>
          <w:rFonts w:eastAsia="Calibri"/>
          <w:lang w:val="ro-RO" w:eastAsia="en-US"/>
        </w:rPr>
        <w:t>garnitura ministerială modificată</w:t>
      </w:r>
      <w:r w:rsidRPr="00543A89">
        <w:rPr>
          <w:rFonts w:eastAsia="Calibri"/>
          <w:lang w:val="ro-RO" w:eastAsia="en-US"/>
        </w:rPr>
        <w:t>, marcăm</w:t>
      </w:r>
      <w:r w:rsidRPr="00452542">
        <w:rPr>
          <w:rFonts w:eastAsia="Calibri"/>
          <w:lang w:val="ro-RO" w:eastAsia="en-US"/>
        </w:rPr>
        <w:t xml:space="preserve"> necesitatea </w:t>
      </w:r>
      <w:r w:rsidR="00543A89" w:rsidRPr="00543A89">
        <w:rPr>
          <w:rFonts w:eastAsia="Calibri"/>
          <w:lang w:val="ro-RO" w:eastAsia="en-US"/>
        </w:rPr>
        <w:t>modificarea Anexei 9 la Hotărârea Guvernului nr. 216 din 30 martie 2022</w:t>
      </w:r>
      <w:r w:rsidR="00543A89">
        <w:rPr>
          <w:rFonts w:eastAsia="Calibri"/>
          <w:lang w:val="ro-RO" w:eastAsia="en-US"/>
        </w:rPr>
        <w:t xml:space="preserve"> </w:t>
      </w:r>
      <w:r w:rsidRPr="00452542">
        <w:rPr>
          <w:rFonts w:eastAsia="Calibri"/>
          <w:lang w:val="ro-RO" w:eastAsia="en-US"/>
        </w:rPr>
        <w:t>ce reglement</w:t>
      </w:r>
      <w:r w:rsidR="00BB3E4E">
        <w:rPr>
          <w:rFonts w:eastAsia="Calibri"/>
          <w:lang w:val="ro-RO" w:eastAsia="en-US"/>
        </w:rPr>
        <w:t>e</w:t>
      </w:r>
      <w:r w:rsidRPr="00452542">
        <w:rPr>
          <w:rFonts w:eastAsia="Calibri"/>
          <w:lang w:val="ro-RO" w:eastAsia="en-US"/>
        </w:rPr>
        <w:t>a</w:t>
      </w:r>
      <w:r w:rsidR="00BB3E4E">
        <w:rPr>
          <w:rFonts w:eastAsia="Calibri"/>
          <w:lang w:val="ro-RO" w:eastAsia="en-US"/>
        </w:rPr>
        <w:t>ză</w:t>
      </w:r>
      <w:r w:rsidRPr="00452542">
        <w:rPr>
          <w:rFonts w:eastAsia="Calibri"/>
          <w:lang w:val="ro-RO" w:eastAsia="en-US"/>
        </w:rPr>
        <w:t xml:space="preserve"> activitatea comisi</w:t>
      </w:r>
      <w:r w:rsidR="00543A89">
        <w:rPr>
          <w:rFonts w:eastAsia="Calibri"/>
          <w:lang w:val="ro-RO" w:eastAsia="en-US"/>
        </w:rPr>
        <w:t xml:space="preserve">ei </w:t>
      </w:r>
      <w:r w:rsidRPr="00452542">
        <w:rPr>
          <w:rFonts w:eastAsia="Calibri"/>
          <w:lang w:val="ro-RO" w:eastAsia="en-US"/>
        </w:rPr>
        <w:t>interguvernamentale pentru colaborare economică</w:t>
      </w:r>
      <w:r w:rsidR="00543A89">
        <w:rPr>
          <w:rFonts w:eastAsia="Calibri"/>
          <w:lang w:val="ro-RO" w:eastAsia="en-US"/>
        </w:rPr>
        <w:t xml:space="preserve"> </w:t>
      </w:r>
      <w:proofErr w:type="spellStart"/>
      <w:r w:rsidR="00543A89">
        <w:rPr>
          <w:rFonts w:eastAsia="Calibri"/>
          <w:lang w:val="ro-RO" w:eastAsia="en-US"/>
        </w:rPr>
        <w:t>moldo</w:t>
      </w:r>
      <w:proofErr w:type="spellEnd"/>
      <w:r w:rsidR="00543A89">
        <w:rPr>
          <w:rFonts w:eastAsia="Calibri"/>
          <w:lang w:val="ro-RO" w:eastAsia="en-US"/>
        </w:rPr>
        <w:t>-azeră.</w:t>
      </w:r>
    </w:p>
    <w:p w14:paraId="1F389922" w14:textId="77777777" w:rsidR="00201DDE" w:rsidRPr="00201DDE" w:rsidRDefault="00201DDE" w:rsidP="00201DDE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lang w:val="ro-RO" w:eastAsia="en-US"/>
        </w:rPr>
      </w:pPr>
      <w:proofErr w:type="spellStart"/>
      <w:r w:rsidRPr="00201DDE">
        <w:rPr>
          <w:rFonts w:eastAsia="Calibri"/>
          <w:b/>
          <w:color w:val="000000"/>
          <w:lang w:val="en-GB" w:eastAsia="en-US"/>
        </w:rPr>
        <w:t>Principalele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prevederi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ale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proiectului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și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evidențierea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elementelor</w:t>
      </w:r>
      <w:proofErr w:type="spellEnd"/>
      <w:r w:rsidRPr="00201DDE">
        <w:rPr>
          <w:rFonts w:eastAsia="Calibri"/>
          <w:b/>
          <w:color w:val="000000"/>
          <w:lang w:val="en-GB" w:eastAsia="en-US"/>
        </w:rPr>
        <w:t xml:space="preserve"> </w:t>
      </w:r>
      <w:proofErr w:type="spellStart"/>
      <w:r w:rsidRPr="00201DDE">
        <w:rPr>
          <w:rFonts w:eastAsia="Calibri"/>
          <w:b/>
          <w:color w:val="000000"/>
          <w:lang w:val="en-GB" w:eastAsia="en-US"/>
        </w:rPr>
        <w:t>noi</w:t>
      </w:r>
      <w:proofErr w:type="spellEnd"/>
    </w:p>
    <w:p w14:paraId="59576A58" w14:textId="3FB45A3B" w:rsidR="00201DDE" w:rsidRPr="00201DDE" w:rsidRDefault="00452542" w:rsidP="00452542">
      <w:pPr>
        <w:spacing w:line="360" w:lineRule="auto"/>
        <w:jc w:val="both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 xml:space="preserve">Modificările </w:t>
      </w:r>
      <w:r w:rsidR="00F453BC">
        <w:rPr>
          <w:rFonts w:eastAsia="Calibri"/>
          <w:lang w:val="ro-RO" w:eastAsia="en-US"/>
        </w:rPr>
        <w:t xml:space="preserve">operate prin </w:t>
      </w:r>
      <w:r w:rsidRPr="00452542">
        <w:rPr>
          <w:rFonts w:eastAsia="Calibri"/>
          <w:lang w:val="ro-RO" w:eastAsia="en-US"/>
        </w:rPr>
        <w:t xml:space="preserve">Proiectul Hotărârii Guvernului </w:t>
      </w:r>
      <w:r w:rsidR="0097113D">
        <w:rPr>
          <w:rFonts w:eastAsia="Calibri"/>
          <w:lang w:val="ro-RO" w:eastAsia="en-US"/>
        </w:rPr>
        <w:t xml:space="preserve">ce </w:t>
      </w:r>
      <w:r w:rsidR="00543A89">
        <w:rPr>
          <w:rFonts w:eastAsia="Calibri"/>
          <w:lang w:val="ro-RO" w:eastAsia="en-US"/>
        </w:rPr>
        <w:t>vizează A</w:t>
      </w:r>
      <w:r>
        <w:rPr>
          <w:rFonts w:eastAsia="Calibri"/>
          <w:lang w:val="ro-RO" w:eastAsia="en-US"/>
        </w:rPr>
        <w:t xml:space="preserve">nexa nr. 9 </w:t>
      </w:r>
      <w:r w:rsidRPr="00452542">
        <w:rPr>
          <w:rFonts w:eastAsia="Calibri"/>
          <w:lang w:val="ro-RO" w:eastAsia="en-US"/>
        </w:rPr>
        <w:t>la Hotărârea Guvernului nr. 2016/2022 „Cu privire la comisiile interguvernamentale de colaborare economică, comer</w:t>
      </w:r>
      <w:r>
        <w:rPr>
          <w:rFonts w:eastAsia="Calibri"/>
          <w:lang w:val="ro-RO" w:eastAsia="en-US"/>
        </w:rPr>
        <w:t xml:space="preserve">cială, științifică </w:t>
      </w:r>
      <w:proofErr w:type="spellStart"/>
      <w:r>
        <w:rPr>
          <w:rFonts w:eastAsia="Calibri"/>
          <w:lang w:val="ro-RO" w:eastAsia="en-US"/>
        </w:rPr>
        <w:t>şi</w:t>
      </w:r>
      <w:proofErr w:type="spellEnd"/>
      <w:r>
        <w:rPr>
          <w:rFonts w:eastAsia="Calibri"/>
          <w:lang w:val="ro-RO" w:eastAsia="en-US"/>
        </w:rPr>
        <w:t xml:space="preserve"> tehnică”, substituie doar </w:t>
      </w:r>
      <w:proofErr w:type="spellStart"/>
      <w:r>
        <w:rPr>
          <w:rFonts w:eastAsia="Calibri"/>
          <w:lang w:val="ro-RO" w:eastAsia="en-US"/>
        </w:rPr>
        <w:t>preşedintele</w:t>
      </w:r>
      <w:proofErr w:type="spellEnd"/>
      <w:r>
        <w:rPr>
          <w:rFonts w:eastAsia="Calibri"/>
          <w:lang w:val="ro-RO" w:eastAsia="en-US"/>
        </w:rPr>
        <w:t xml:space="preserve"> </w:t>
      </w:r>
      <w:proofErr w:type="spellStart"/>
      <w:r w:rsidRPr="00452542">
        <w:rPr>
          <w:rFonts w:eastAsia="Calibri"/>
          <w:lang w:val="ro-RO" w:eastAsia="en-US"/>
        </w:rPr>
        <w:t>Părţii</w:t>
      </w:r>
      <w:proofErr w:type="spellEnd"/>
      <w:r w:rsidRPr="00452542">
        <w:rPr>
          <w:rFonts w:eastAsia="Calibri"/>
          <w:lang w:val="ro-RO" w:eastAsia="en-US"/>
        </w:rPr>
        <w:t xml:space="preserve"> </w:t>
      </w:r>
      <w:proofErr w:type="spellStart"/>
      <w:r w:rsidRPr="00452542">
        <w:rPr>
          <w:rFonts w:eastAsia="Calibri"/>
          <w:lang w:val="ro-RO" w:eastAsia="en-US"/>
        </w:rPr>
        <w:t>moldoveneşti</w:t>
      </w:r>
      <w:proofErr w:type="spellEnd"/>
      <w:r w:rsidRPr="00452542">
        <w:rPr>
          <w:rFonts w:eastAsia="Calibri"/>
          <w:lang w:val="ro-RO" w:eastAsia="en-US"/>
        </w:rPr>
        <w:t xml:space="preserve"> a Comisiei</w:t>
      </w:r>
      <w:r>
        <w:rPr>
          <w:rFonts w:eastAsia="Calibri"/>
          <w:lang w:val="ro-RO" w:eastAsia="en-US"/>
        </w:rPr>
        <w:t xml:space="preserve"> </w:t>
      </w:r>
      <w:r w:rsidRPr="00452542">
        <w:rPr>
          <w:rFonts w:eastAsia="Calibri"/>
          <w:lang w:val="ro-RO" w:eastAsia="en-US"/>
        </w:rPr>
        <w:t xml:space="preserve">interguvernamentale </w:t>
      </w:r>
      <w:proofErr w:type="spellStart"/>
      <w:r w:rsidRPr="00452542">
        <w:rPr>
          <w:rFonts w:eastAsia="Calibri"/>
          <w:lang w:val="ro-RO" w:eastAsia="en-US"/>
        </w:rPr>
        <w:t>moldo</w:t>
      </w:r>
      <w:proofErr w:type="spellEnd"/>
      <w:r w:rsidRPr="00452542">
        <w:rPr>
          <w:rFonts w:eastAsia="Calibri"/>
          <w:lang w:val="ro-RO" w:eastAsia="en-US"/>
        </w:rPr>
        <w:t>-azere</w:t>
      </w:r>
      <w:r>
        <w:rPr>
          <w:rFonts w:eastAsia="Calibri"/>
          <w:lang w:val="ro-RO" w:eastAsia="en-US"/>
        </w:rPr>
        <w:t xml:space="preserve"> </w:t>
      </w:r>
      <w:r w:rsidRPr="00452542">
        <w:rPr>
          <w:rFonts w:eastAsia="Calibri"/>
          <w:lang w:val="ro-RO" w:eastAsia="en-US"/>
        </w:rPr>
        <w:t>pentru colaborare comercial-economică</w:t>
      </w:r>
      <w:r w:rsidR="00201DDE" w:rsidRPr="00201DDE">
        <w:rPr>
          <w:rFonts w:eastAsia="Calibri"/>
          <w:lang w:val="ro-RO" w:eastAsia="en-US"/>
        </w:rPr>
        <w:t>.</w:t>
      </w:r>
    </w:p>
    <w:p w14:paraId="09978644" w14:textId="77777777" w:rsidR="00201DDE" w:rsidRPr="00201DDE" w:rsidRDefault="00201DDE" w:rsidP="00201DD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lang w:val="ro-RO" w:eastAsia="en-US"/>
        </w:rPr>
      </w:pPr>
      <w:r w:rsidRPr="00201DDE">
        <w:rPr>
          <w:rFonts w:eastAsia="Calibri"/>
          <w:b/>
          <w:bCs/>
          <w:color w:val="000000"/>
          <w:lang w:val="ro-RO" w:eastAsia="en-US"/>
        </w:rPr>
        <w:t xml:space="preserve">Fundamentarea </w:t>
      </w:r>
      <w:proofErr w:type="spellStart"/>
      <w:r w:rsidRPr="00201DDE">
        <w:rPr>
          <w:rFonts w:eastAsia="Calibri"/>
          <w:b/>
          <w:bCs/>
          <w:color w:val="000000"/>
          <w:lang w:val="ro-RO" w:eastAsia="en-US"/>
        </w:rPr>
        <w:t>economico</w:t>
      </w:r>
      <w:proofErr w:type="spellEnd"/>
      <w:r w:rsidRPr="00201DDE">
        <w:rPr>
          <w:rFonts w:eastAsia="Calibri"/>
          <w:b/>
          <w:bCs/>
          <w:color w:val="000000"/>
          <w:lang w:val="ro-RO" w:eastAsia="en-US"/>
        </w:rPr>
        <w:t>-financiară.</w:t>
      </w:r>
    </w:p>
    <w:p w14:paraId="15069F72" w14:textId="77777777" w:rsidR="00201DDE" w:rsidRPr="00201DDE" w:rsidRDefault="00452542" w:rsidP="00201DDE">
      <w:pPr>
        <w:spacing w:line="360" w:lineRule="auto"/>
        <w:jc w:val="both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t>Implementarea p</w:t>
      </w:r>
      <w:r w:rsidRPr="00452542">
        <w:rPr>
          <w:rFonts w:eastAsia="Calibri"/>
          <w:lang w:val="ro-RO" w:eastAsia="en-US"/>
        </w:rPr>
        <w:t>roiectul Hotărârii Guvernului nu necesită cheltuieli financiare</w:t>
      </w:r>
      <w:r>
        <w:rPr>
          <w:rFonts w:eastAsia="Calibri"/>
          <w:lang w:val="ro-RO" w:eastAsia="en-US"/>
        </w:rPr>
        <w:t xml:space="preserve"> adiționale. Totodată, atragem atenția asupra faptului că, </w:t>
      </w:r>
      <w:r w:rsidRPr="00201DDE">
        <w:rPr>
          <w:rFonts w:eastAsia="Calibri"/>
          <w:lang w:val="ro-RO" w:eastAsia="en-US"/>
        </w:rPr>
        <w:t xml:space="preserve">ministerele care </w:t>
      </w:r>
      <w:proofErr w:type="spellStart"/>
      <w:r w:rsidRPr="00201DDE">
        <w:rPr>
          <w:rFonts w:eastAsia="Calibri"/>
          <w:lang w:val="ro-RO" w:eastAsia="en-US"/>
        </w:rPr>
        <w:t>deţin</w:t>
      </w:r>
      <w:proofErr w:type="spellEnd"/>
      <w:r w:rsidRPr="00201DDE">
        <w:rPr>
          <w:rFonts w:eastAsia="Calibri"/>
          <w:lang w:val="ro-RO" w:eastAsia="en-US"/>
        </w:rPr>
        <w:t xml:space="preserve"> </w:t>
      </w:r>
      <w:proofErr w:type="spellStart"/>
      <w:r w:rsidRPr="00201DDE">
        <w:rPr>
          <w:rFonts w:eastAsia="Calibri"/>
          <w:lang w:val="ro-RO" w:eastAsia="en-US"/>
        </w:rPr>
        <w:t>preşedinţia</w:t>
      </w:r>
      <w:proofErr w:type="spellEnd"/>
      <w:r w:rsidRPr="00201DDE">
        <w:rPr>
          <w:rFonts w:eastAsia="Calibri"/>
          <w:lang w:val="ro-RO" w:eastAsia="en-US"/>
        </w:rPr>
        <w:t xml:space="preserve"> în comisiile interguvernamentale vor prevedea în bugetul </w:t>
      </w:r>
      <w:proofErr w:type="spellStart"/>
      <w:r w:rsidRPr="00201DDE">
        <w:rPr>
          <w:rFonts w:eastAsia="Calibri"/>
          <w:lang w:val="ro-RO" w:eastAsia="en-US"/>
        </w:rPr>
        <w:t>instituţiilor</w:t>
      </w:r>
      <w:proofErr w:type="spellEnd"/>
      <w:r w:rsidRPr="00201DDE">
        <w:rPr>
          <w:rFonts w:eastAsia="Calibri"/>
          <w:lang w:val="ro-RO" w:eastAsia="en-US"/>
        </w:rPr>
        <w:t xml:space="preserve"> mijloace financiare necesare, facilitând astfel procesul de organizare a ședințelor acestora.</w:t>
      </w:r>
      <w:r w:rsidR="00201DDE" w:rsidRPr="00201DDE">
        <w:rPr>
          <w:rFonts w:eastAsia="Calibri"/>
          <w:lang w:val="ro-RO" w:eastAsia="en-US"/>
        </w:rPr>
        <w:t xml:space="preserve"> </w:t>
      </w:r>
    </w:p>
    <w:p w14:paraId="3A1F897E" w14:textId="77777777" w:rsidR="00201DDE" w:rsidRPr="00201DDE" w:rsidRDefault="00201DDE" w:rsidP="00201DD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/>
          <w:lang w:val="ro-RO" w:eastAsia="en-US"/>
        </w:rPr>
      </w:pPr>
      <w:r w:rsidRPr="00201DDE">
        <w:rPr>
          <w:rFonts w:eastAsia="Calibri"/>
          <w:b/>
          <w:lang w:val="ro-RO" w:eastAsia="en-US"/>
        </w:rPr>
        <w:t>Modul de încorporare a actului în cadrul normativ în vigoare</w:t>
      </w:r>
    </w:p>
    <w:p w14:paraId="66EA7FA3" w14:textId="77777777" w:rsidR="00201DDE" w:rsidRPr="00201DDE" w:rsidRDefault="00201DDE" w:rsidP="00201DDE">
      <w:pPr>
        <w:spacing w:line="360" w:lineRule="auto"/>
        <w:jc w:val="both"/>
        <w:rPr>
          <w:rFonts w:eastAsia="Calibri"/>
          <w:lang w:val="ro-RO" w:eastAsia="en-US"/>
        </w:rPr>
      </w:pPr>
      <w:r w:rsidRPr="00201DDE">
        <w:rPr>
          <w:rFonts w:eastAsia="Calibri"/>
          <w:lang w:val="ro-RO" w:eastAsia="en-US"/>
        </w:rPr>
        <w:t xml:space="preserve">Proiectul Hotărârii Guvernului </w:t>
      </w:r>
      <w:r>
        <w:rPr>
          <w:rFonts w:eastAsia="Calibri"/>
          <w:lang w:val="ro-RO" w:eastAsia="en-US"/>
        </w:rPr>
        <w:t xml:space="preserve">intră în vigoare la momentul publicării în Monitorul Oficial. </w:t>
      </w:r>
    </w:p>
    <w:p w14:paraId="4D2F7A63" w14:textId="77777777" w:rsidR="00201DDE" w:rsidRPr="00201DDE" w:rsidRDefault="00201DDE" w:rsidP="00201DD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/>
          <w:lang w:val="ro-RO" w:eastAsia="en-US"/>
        </w:rPr>
      </w:pPr>
      <w:r w:rsidRPr="00201DDE">
        <w:rPr>
          <w:rFonts w:eastAsia="Calibri"/>
          <w:b/>
          <w:lang w:val="ro-RO" w:eastAsia="en-US"/>
        </w:rPr>
        <w:t xml:space="preserve"> Avizarea și consultarea publică a proiectului</w:t>
      </w:r>
    </w:p>
    <w:p w14:paraId="31771091" w14:textId="77777777" w:rsidR="00201DDE" w:rsidRPr="00201DDE" w:rsidRDefault="00452542" w:rsidP="00201DDE">
      <w:pPr>
        <w:spacing w:line="360" w:lineRule="auto"/>
        <w:jc w:val="both"/>
        <w:rPr>
          <w:rFonts w:eastAsia="Calibri"/>
          <w:lang w:val="ro-RO" w:eastAsia="en-US"/>
        </w:rPr>
      </w:pPr>
      <w:r w:rsidRPr="00452542">
        <w:rPr>
          <w:rFonts w:eastAsia="Calibri"/>
          <w:lang w:val="ro-RO" w:eastAsia="en-US"/>
        </w:rPr>
        <w:t xml:space="preserve">Proiectul Hotărârii Guvernului </w:t>
      </w:r>
      <w:r w:rsidR="00201DDE" w:rsidRPr="00201DDE">
        <w:rPr>
          <w:rFonts w:eastAsia="Calibri"/>
          <w:lang w:val="ro-RO" w:eastAsia="en-US"/>
        </w:rPr>
        <w:t>urmează a fi supus avizării și consultării publice conform art. 32 din Legea 100/2017 cu privir</w:t>
      </w:r>
      <w:r w:rsidR="00201DDE">
        <w:rPr>
          <w:rFonts w:eastAsia="Calibri"/>
          <w:lang w:val="ro-RO" w:eastAsia="en-US"/>
        </w:rPr>
        <w:t>e la actele normative</w:t>
      </w:r>
      <w:r w:rsidR="00201DDE" w:rsidRPr="00201DDE">
        <w:rPr>
          <w:rFonts w:eastAsia="Calibri"/>
          <w:lang w:val="ro-RO" w:eastAsia="en-US"/>
        </w:rPr>
        <w:t>.</w:t>
      </w:r>
    </w:p>
    <w:p w14:paraId="3FC35408" w14:textId="77777777" w:rsidR="00201DDE" w:rsidRPr="00201DDE" w:rsidRDefault="00201DDE" w:rsidP="00201DD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/>
          <w:lang w:val="ro-RO" w:eastAsia="en-US"/>
        </w:rPr>
      </w:pPr>
      <w:r w:rsidRPr="00201DDE">
        <w:rPr>
          <w:rFonts w:eastAsia="Calibri"/>
          <w:b/>
          <w:lang w:val="ro-RO" w:eastAsia="en-US"/>
        </w:rPr>
        <w:t xml:space="preserve"> Constatările expertizei anticorupție</w:t>
      </w:r>
    </w:p>
    <w:p w14:paraId="437B8A14" w14:textId="77777777" w:rsidR="00201DDE" w:rsidRPr="00201DDE" w:rsidRDefault="00201DDE" w:rsidP="00201DDE">
      <w:pPr>
        <w:spacing w:line="360" w:lineRule="auto"/>
        <w:jc w:val="both"/>
        <w:rPr>
          <w:rFonts w:eastAsia="Calibri"/>
          <w:lang w:val="ro-RO" w:eastAsia="en-US"/>
        </w:rPr>
      </w:pPr>
      <w:r w:rsidRPr="00201DDE">
        <w:rPr>
          <w:rFonts w:eastAsia="Calibri"/>
          <w:lang w:val="ro-RO" w:eastAsia="en-US"/>
        </w:rPr>
        <w:t xml:space="preserve">Proiectul Hotărârii Guvernului </w:t>
      </w:r>
      <w:r>
        <w:rPr>
          <w:rFonts w:eastAsia="Calibri"/>
          <w:lang w:val="ro-RO" w:eastAsia="en-US"/>
        </w:rPr>
        <w:t xml:space="preserve">nu necesită a fi </w:t>
      </w:r>
      <w:r w:rsidRPr="00201DDE">
        <w:rPr>
          <w:rFonts w:eastAsia="Calibri"/>
          <w:lang w:val="ro-RO" w:eastAsia="en-US"/>
        </w:rPr>
        <w:t>supus expertizei anticorupție.</w:t>
      </w:r>
    </w:p>
    <w:p w14:paraId="756CEC91" w14:textId="77777777" w:rsidR="00201DDE" w:rsidRPr="00201DDE" w:rsidRDefault="00201DDE" w:rsidP="00201DD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/>
          <w:lang w:val="ro-RO" w:eastAsia="en-US"/>
        </w:rPr>
      </w:pPr>
      <w:r w:rsidRPr="00201DDE">
        <w:rPr>
          <w:rFonts w:eastAsia="Calibri"/>
          <w:lang w:val="ro-RO" w:eastAsia="en-US"/>
        </w:rPr>
        <w:t xml:space="preserve"> </w:t>
      </w:r>
      <w:r w:rsidRPr="00201DDE">
        <w:rPr>
          <w:rFonts w:eastAsia="Calibri"/>
          <w:b/>
          <w:lang w:val="ro-RO" w:eastAsia="en-US"/>
        </w:rPr>
        <w:t>Constatările expertizei juridice</w:t>
      </w:r>
    </w:p>
    <w:p w14:paraId="6EBC6591" w14:textId="77777777" w:rsidR="00201DDE" w:rsidRPr="00201DDE" w:rsidRDefault="00201DDE" w:rsidP="00201DDE">
      <w:pPr>
        <w:spacing w:line="360" w:lineRule="auto"/>
        <w:jc w:val="both"/>
        <w:rPr>
          <w:rFonts w:eastAsia="Calibri"/>
          <w:lang w:val="ro-RO" w:eastAsia="en-US"/>
        </w:rPr>
      </w:pPr>
      <w:r>
        <w:rPr>
          <w:rFonts w:eastAsia="Calibri"/>
          <w:lang w:val="ro-RO" w:eastAsia="en-US"/>
        </w:rPr>
        <w:lastRenderedPageBreak/>
        <w:t>Proiectul Hotărârii Guvernului</w:t>
      </w:r>
      <w:r w:rsidRPr="00201DDE">
        <w:rPr>
          <w:rFonts w:eastAsia="Calibri"/>
          <w:lang w:val="ro-RO" w:eastAsia="en-US"/>
        </w:rPr>
        <w:t xml:space="preserve"> urmează a fi supus expertizei juridice conform art. 37 din Legea 100/2017 cu privire la actele normative  fiind efectuată de către Ministerul Justiției.</w:t>
      </w:r>
    </w:p>
    <w:p w14:paraId="4C916549" w14:textId="77777777" w:rsidR="00201DDE" w:rsidRPr="00201DDE" w:rsidRDefault="00201DDE" w:rsidP="00201DDE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  <w:b/>
          <w:lang w:val="ro-RO" w:eastAsia="en-US"/>
        </w:rPr>
      </w:pPr>
      <w:r w:rsidRPr="00201DDE">
        <w:rPr>
          <w:rFonts w:eastAsia="Calibri"/>
          <w:b/>
          <w:lang w:val="ro-RO" w:eastAsia="en-US"/>
        </w:rPr>
        <w:t>Constatările altor expertize</w:t>
      </w:r>
    </w:p>
    <w:p w14:paraId="00E773DF" w14:textId="77777777" w:rsidR="00201DDE" w:rsidRPr="00201DDE" w:rsidRDefault="00201DDE" w:rsidP="00201DDE">
      <w:pPr>
        <w:spacing w:line="360" w:lineRule="auto"/>
        <w:jc w:val="both"/>
        <w:rPr>
          <w:rFonts w:eastAsia="Calibri"/>
          <w:lang w:val="ro-RO" w:eastAsia="en-US"/>
        </w:rPr>
      </w:pPr>
      <w:r w:rsidRPr="00201DDE">
        <w:rPr>
          <w:rFonts w:eastAsia="Calibri"/>
          <w:lang w:val="ro-RO" w:eastAsia="en-US"/>
        </w:rPr>
        <w:t>Proiectul Hotărârii Guvernului nu cade sub incidența altor expertize necesare a fi efectuate în condițiile Legii 100/2017.</w:t>
      </w:r>
    </w:p>
    <w:p w14:paraId="4A54D707" w14:textId="77777777" w:rsidR="00201DDE" w:rsidRPr="00201DDE" w:rsidRDefault="00201DDE" w:rsidP="00201DDE">
      <w:pPr>
        <w:spacing w:line="360" w:lineRule="auto"/>
        <w:jc w:val="both"/>
        <w:rPr>
          <w:rFonts w:eastAsia="Calibri"/>
          <w:lang w:val="ro-RO" w:eastAsia="en-US"/>
        </w:rPr>
      </w:pPr>
    </w:p>
    <w:p w14:paraId="33C9F70B" w14:textId="77777777" w:rsidR="00201DDE" w:rsidRDefault="00201DDE" w:rsidP="00201DDE">
      <w:pPr>
        <w:jc w:val="both"/>
        <w:rPr>
          <w:rFonts w:eastAsia="Calibri"/>
          <w:lang w:val="ro-RO" w:eastAsia="en-US"/>
        </w:rPr>
      </w:pPr>
    </w:p>
    <w:p w14:paraId="3A8396A5" w14:textId="77777777" w:rsidR="007A0CD0" w:rsidRPr="00201DDE" w:rsidRDefault="007A0CD0" w:rsidP="00201DDE">
      <w:pPr>
        <w:jc w:val="both"/>
        <w:rPr>
          <w:rFonts w:eastAsia="Calibri"/>
          <w:lang w:val="ro-RO" w:eastAsia="en-US"/>
        </w:rPr>
      </w:pPr>
      <w:bookmarkStart w:id="0" w:name="_GoBack"/>
      <w:bookmarkEnd w:id="0"/>
    </w:p>
    <w:p w14:paraId="66173B95" w14:textId="77777777" w:rsidR="00201DDE" w:rsidRPr="00201DDE" w:rsidRDefault="00201DDE" w:rsidP="00201DDE">
      <w:pPr>
        <w:jc w:val="both"/>
        <w:rPr>
          <w:rFonts w:eastAsia="Calibri"/>
          <w:lang w:val="ro-RO" w:eastAsia="en-US"/>
        </w:rPr>
      </w:pPr>
    </w:p>
    <w:p w14:paraId="2455B41F" w14:textId="77777777" w:rsidR="00201DDE" w:rsidRPr="00201DDE" w:rsidRDefault="00201DDE" w:rsidP="00201DDE">
      <w:pPr>
        <w:ind w:firstLine="708"/>
        <w:jc w:val="both"/>
        <w:rPr>
          <w:bCs/>
          <w:color w:val="000000"/>
          <w:lang w:val="ro-RO"/>
        </w:rPr>
      </w:pPr>
    </w:p>
    <w:p w14:paraId="21F5B3CF" w14:textId="4D4A67F9" w:rsidR="00201DDE" w:rsidRPr="00201DDE" w:rsidRDefault="007A0CD0" w:rsidP="007A0CD0">
      <w:pPr>
        <w:ind w:firstLine="708"/>
        <w:jc w:val="center"/>
        <w:rPr>
          <w:rFonts w:eastAsia="Calibri"/>
          <w:b/>
          <w:lang w:val="ro-RO" w:eastAsia="en-US"/>
        </w:rPr>
      </w:pPr>
      <w:r>
        <w:rPr>
          <w:rFonts w:eastAsia="Calibri"/>
          <w:b/>
          <w:lang w:val="ro-RO" w:eastAsia="en-US"/>
        </w:rPr>
        <w:t>Secretar de Stat</w:t>
      </w:r>
      <w:r>
        <w:rPr>
          <w:rFonts w:eastAsia="Calibri"/>
          <w:b/>
          <w:lang w:val="ro-RO" w:eastAsia="en-US"/>
        </w:rPr>
        <w:tab/>
      </w:r>
      <w:r>
        <w:rPr>
          <w:rFonts w:eastAsia="Calibri"/>
          <w:b/>
          <w:lang w:val="ro-RO" w:eastAsia="en-US"/>
        </w:rPr>
        <w:tab/>
      </w:r>
      <w:r>
        <w:rPr>
          <w:rFonts w:eastAsia="Calibri"/>
          <w:b/>
          <w:lang w:val="ro-RO" w:eastAsia="en-US"/>
        </w:rPr>
        <w:tab/>
      </w:r>
      <w:r>
        <w:rPr>
          <w:rFonts w:eastAsia="Calibri"/>
          <w:b/>
          <w:lang w:val="ro-RO" w:eastAsia="en-US"/>
        </w:rPr>
        <w:tab/>
        <w:t>Vadim GUMENE</w:t>
      </w:r>
    </w:p>
    <w:p w14:paraId="69FFDB19" w14:textId="77777777" w:rsidR="00DE6FA0" w:rsidRPr="00910215" w:rsidRDefault="00DE6FA0" w:rsidP="00640EFF">
      <w:pPr>
        <w:tabs>
          <w:tab w:val="left" w:pos="1134"/>
          <w:tab w:val="left" w:pos="1276"/>
          <w:tab w:val="left" w:pos="1418"/>
          <w:tab w:val="left" w:pos="2835"/>
          <w:tab w:val="left" w:pos="3119"/>
          <w:tab w:val="left" w:pos="3402"/>
          <w:tab w:val="left" w:pos="3544"/>
          <w:tab w:val="left" w:pos="3686"/>
          <w:tab w:val="left" w:pos="4820"/>
          <w:tab w:val="left" w:pos="5103"/>
        </w:tabs>
        <w:ind w:right="-5"/>
        <w:jc w:val="both"/>
        <w:rPr>
          <w:b/>
          <w:lang w:val="ro-RO"/>
        </w:rPr>
      </w:pPr>
    </w:p>
    <w:sectPr w:rsidR="00DE6FA0" w:rsidRPr="00910215" w:rsidSect="00FA4313">
      <w:pgSz w:w="11906" w:h="16838"/>
      <w:pgMar w:top="1135" w:right="74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D5BCA"/>
    <w:multiLevelType w:val="hybridMultilevel"/>
    <w:tmpl w:val="36967D1E"/>
    <w:lvl w:ilvl="0" w:tplc="6A5CCBC6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54"/>
    <w:rsid w:val="00014A08"/>
    <w:rsid w:val="00041896"/>
    <w:rsid w:val="000419C1"/>
    <w:rsid w:val="000471EB"/>
    <w:rsid w:val="00052A28"/>
    <w:rsid w:val="00060111"/>
    <w:rsid w:val="00061674"/>
    <w:rsid w:val="00063CA3"/>
    <w:rsid w:val="00082AED"/>
    <w:rsid w:val="000830E5"/>
    <w:rsid w:val="0009271F"/>
    <w:rsid w:val="00093651"/>
    <w:rsid w:val="000B5DA7"/>
    <w:rsid w:val="000D48F4"/>
    <w:rsid w:val="000E62C4"/>
    <w:rsid w:val="000F1659"/>
    <w:rsid w:val="0011083F"/>
    <w:rsid w:val="00130938"/>
    <w:rsid w:val="00136AC6"/>
    <w:rsid w:val="00137F39"/>
    <w:rsid w:val="0015552E"/>
    <w:rsid w:val="0016126C"/>
    <w:rsid w:val="00162EE7"/>
    <w:rsid w:val="00165880"/>
    <w:rsid w:val="00171A67"/>
    <w:rsid w:val="00176C6D"/>
    <w:rsid w:val="00191F06"/>
    <w:rsid w:val="00193B13"/>
    <w:rsid w:val="001A13D4"/>
    <w:rsid w:val="001A25C3"/>
    <w:rsid w:val="001B0B28"/>
    <w:rsid w:val="001B30DC"/>
    <w:rsid w:val="001D79D0"/>
    <w:rsid w:val="001F13CC"/>
    <w:rsid w:val="00201DDE"/>
    <w:rsid w:val="00205063"/>
    <w:rsid w:val="00214AF4"/>
    <w:rsid w:val="00230DFC"/>
    <w:rsid w:val="002418D5"/>
    <w:rsid w:val="00246054"/>
    <w:rsid w:val="002461B9"/>
    <w:rsid w:val="00246C60"/>
    <w:rsid w:val="00263E2B"/>
    <w:rsid w:val="002752AE"/>
    <w:rsid w:val="0029721A"/>
    <w:rsid w:val="00297598"/>
    <w:rsid w:val="002A4D20"/>
    <w:rsid w:val="002B2290"/>
    <w:rsid w:val="002B657C"/>
    <w:rsid w:val="002C0EC2"/>
    <w:rsid w:val="002D083B"/>
    <w:rsid w:val="002D491E"/>
    <w:rsid w:val="002D6631"/>
    <w:rsid w:val="002F64E6"/>
    <w:rsid w:val="00310698"/>
    <w:rsid w:val="00322DFE"/>
    <w:rsid w:val="0032561E"/>
    <w:rsid w:val="00331D63"/>
    <w:rsid w:val="00337534"/>
    <w:rsid w:val="0034024B"/>
    <w:rsid w:val="00341A1B"/>
    <w:rsid w:val="00350E59"/>
    <w:rsid w:val="00351602"/>
    <w:rsid w:val="00375E39"/>
    <w:rsid w:val="003769EB"/>
    <w:rsid w:val="00377F1E"/>
    <w:rsid w:val="0038115F"/>
    <w:rsid w:val="00381E24"/>
    <w:rsid w:val="00382CE9"/>
    <w:rsid w:val="00393E76"/>
    <w:rsid w:val="00394107"/>
    <w:rsid w:val="003A3ACF"/>
    <w:rsid w:val="003B03EC"/>
    <w:rsid w:val="003B163B"/>
    <w:rsid w:val="003C0780"/>
    <w:rsid w:val="003D00C2"/>
    <w:rsid w:val="003F243A"/>
    <w:rsid w:val="003F4301"/>
    <w:rsid w:val="003F48BC"/>
    <w:rsid w:val="003F60CC"/>
    <w:rsid w:val="00434A06"/>
    <w:rsid w:val="00435E9B"/>
    <w:rsid w:val="00437C8B"/>
    <w:rsid w:val="00445586"/>
    <w:rsid w:val="00452253"/>
    <w:rsid w:val="00452542"/>
    <w:rsid w:val="00461244"/>
    <w:rsid w:val="00476AEF"/>
    <w:rsid w:val="00485F43"/>
    <w:rsid w:val="004864DD"/>
    <w:rsid w:val="00494C07"/>
    <w:rsid w:val="0049699A"/>
    <w:rsid w:val="004A01AD"/>
    <w:rsid w:val="004A7C4C"/>
    <w:rsid w:val="004B0217"/>
    <w:rsid w:val="004B4BDD"/>
    <w:rsid w:val="004C5276"/>
    <w:rsid w:val="004D2C32"/>
    <w:rsid w:val="004F4236"/>
    <w:rsid w:val="004F49BA"/>
    <w:rsid w:val="005040AC"/>
    <w:rsid w:val="005136A9"/>
    <w:rsid w:val="00534483"/>
    <w:rsid w:val="00536566"/>
    <w:rsid w:val="00543A89"/>
    <w:rsid w:val="00552E42"/>
    <w:rsid w:val="005622A1"/>
    <w:rsid w:val="005657BC"/>
    <w:rsid w:val="0058312D"/>
    <w:rsid w:val="0059158D"/>
    <w:rsid w:val="005957AD"/>
    <w:rsid w:val="005A26CF"/>
    <w:rsid w:val="005C3B48"/>
    <w:rsid w:val="005D11D2"/>
    <w:rsid w:val="005E3033"/>
    <w:rsid w:val="005E697F"/>
    <w:rsid w:val="005F2E42"/>
    <w:rsid w:val="006005B0"/>
    <w:rsid w:val="00603A49"/>
    <w:rsid w:val="006207A4"/>
    <w:rsid w:val="00640EFF"/>
    <w:rsid w:val="006530DB"/>
    <w:rsid w:val="00673C31"/>
    <w:rsid w:val="00686640"/>
    <w:rsid w:val="0068785F"/>
    <w:rsid w:val="006A1CC6"/>
    <w:rsid w:val="006A1DC0"/>
    <w:rsid w:val="006A5426"/>
    <w:rsid w:val="006C536F"/>
    <w:rsid w:val="0070531E"/>
    <w:rsid w:val="0073138B"/>
    <w:rsid w:val="007331B3"/>
    <w:rsid w:val="007454A7"/>
    <w:rsid w:val="007469FC"/>
    <w:rsid w:val="00751B85"/>
    <w:rsid w:val="00771BEE"/>
    <w:rsid w:val="007771AD"/>
    <w:rsid w:val="00787FB1"/>
    <w:rsid w:val="00794FE4"/>
    <w:rsid w:val="007A0CD0"/>
    <w:rsid w:val="007B1EBA"/>
    <w:rsid w:val="007B33B1"/>
    <w:rsid w:val="007C5950"/>
    <w:rsid w:val="007C6BDE"/>
    <w:rsid w:val="007E58CB"/>
    <w:rsid w:val="008110E2"/>
    <w:rsid w:val="00824587"/>
    <w:rsid w:val="00836AC4"/>
    <w:rsid w:val="00836C49"/>
    <w:rsid w:val="00840D92"/>
    <w:rsid w:val="00854FB2"/>
    <w:rsid w:val="008776BD"/>
    <w:rsid w:val="0088542F"/>
    <w:rsid w:val="008931F1"/>
    <w:rsid w:val="00895666"/>
    <w:rsid w:val="00896F9F"/>
    <w:rsid w:val="008A4D92"/>
    <w:rsid w:val="008A7B21"/>
    <w:rsid w:val="008C16B1"/>
    <w:rsid w:val="008C355A"/>
    <w:rsid w:val="008D34AA"/>
    <w:rsid w:val="008E600C"/>
    <w:rsid w:val="008F289E"/>
    <w:rsid w:val="00902666"/>
    <w:rsid w:val="00905326"/>
    <w:rsid w:val="00910215"/>
    <w:rsid w:val="009127D9"/>
    <w:rsid w:val="00915402"/>
    <w:rsid w:val="00940E0F"/>
    <w:rsid w:val="00951E68"/>
    <w:rsid w:val="0095616C"/>
    <w:rsid w:val="00966648"/>
    <w:rsid w:val="00967FA7"/>
    <w:rsid w:val="0097113D"/>
    <w:rsid w:val="00973297"/>
    <w:rsid w:val="00973774"/>
    <w:rsid w:val="00985EF4"/>
    <w:rsid w:val="00986918"/>
    <w:rsid w:val="00991E0C"/>
    <w:rsid w:val="009932A6"/>
    <w:rsid w:val="00993B71"/>
    <w:rsid w:val="009B351F"/>
    <w:rsid w:val="009F73D7"/>
    <w:rsid w:val="00A03533"/>
    <w:rsid w:val="00A05407"/>
    <w:rsid w:val="00A07480"/>
    <w:rsid w:val="00A12F01"/>
    <w:rsid w:val="00A53093"/>
    <w:rsid w:val="00A549DB"/>
    <w:rsid w:val="00A6196C"/>
    <w:rsid w:val="00A67E43"/>
    <w:rsid w:val="00A7598A"/>
    <w:rsid w:val="00A827E9"/>
    <w:rsid w:val="00A90F6A"/>
    <w:rsid w:val="00A97D44"/>
    <w:rsid w:val="00AC1804"/>
    <w:rsid w:val="00AF60D7"/>
    <w:rsid w:val="00AF7BD9"/>
    <w:rsid w:val="00B00930"/>
    <w:rsid w:val="00B03CFA"/>
    <w:rsid w:val="00B15F9C"/>
    <w:rsid w:val="00B22D2E"/>
    <w:rsid w:val="00B25563"/>
    <w:rsid w:val="00B260E7"/>
    <w:rsid w:val="00B461DC"/>
    <w:rsid w:val="00B56B0B"/>
    <w:rsid w:val="00B6445E"/>
    <w:rsid w:val="00B77E95"/>
    <w:rsid w:val="00B86A67"/>
    <w:rsid w:val="00BA380B"/>
    <w:rsid w:val="00BB03BC"/>
    <w:rsid w:val="00BB3E4E"/>
    <w:rsid w:val="00BC6F9D"/>
    <w:rsid w:val="00BD1D41"/>
    <w:rsid w:val="00BE09A2"/>
    <w:rsid w:val="00BE3C1B"/>
    <w:rsid w:val="00BE7B69"/>
    <w:rsid w:val="00BF2113"/>
    <w:rsid w:val="00BF22C7"/>
    <w:rsid w:val="00C12AC9"/>
    <w:rsid w:val="00C14962"/>
    <w:rsid w:val="00C205A4"/>
    <w:rsid w:val="00C35168"/>
    <w:rsid w:val="00C45A10"/>
    <w:rsid w:val="00C76975"/>
    <w:rsid w:val="00C812A1"/>
    <w:rsid w:val="00C83597"/>
    <w:rsid w:val="00C8677F"/>
    <w:rsid w:val="00C870A4"/>
    <w:rsid w:val="00C91BEB"/>
    <w:rsid w:val="00C95B5B"/>
    <w:rsid w:val="00CB4CDE"/>
    <w:rsid w:val="00CC06A8"/>
    <w:rsid w:val="00CD0F9C"/>
    <w:rsid w:val="00CD2EBC"/>
    <w:rsid w:val="00CD68A2"/>
    <w:rsid w:val="00CE54A2"/>
    <w:rsid w:val="00CF2DD7"/>
    <w:rsid w:val="00D03155"/>
    <w:rsid w:val="00D1155A"/>
    <w:rsid w:val="00D13DF3"/>
    <w:rsid w:val="00D60CA1"/>
    <w:rsid w:val="00D61864"/>
    <w:rsid w:val="00D63267"/>
    <w:rsid w:val="00D67920"/>
    <w:rsid w:val="00D9293B"/>
    <w:rsid w:val="00DA5888"/>
    <w:rsid w:val="00DB0212"/>
    <w:rsid w:val="00DC1344"/>
    <w:rsid w:val="00DC30D6"/>
    <w:rsid w:val="00DC445B"/>
    <w:rsid w:val="00DD0535"/>
    <w:rsid w:val="00DD5F46"/>
    <w:rsid w:val="00DE352D"/>
    <w:rsid w:val="00DE6FA0"/>
    <w:rsid w:val="00DF1590"/>
    <w:rsid w:val="00E030FA"/>
    <w:rsid w:val="00E04E79"/>
    <w:rsid w:val="00E14E1C"/>
    <w:rsid w:val="00E16E07"/>
    <w:rsid w:val="00E24D32"/>
    <w:rsid w:val="00E43FCB"/>
    <w:rsid w:val="00E4577C"/>
    <w:rsid w:val="00E5316C"/>
    <w:rsid w:val="00E55F36"/>
    <w:rsid w:val="00E65345"/>
    <w:rsid w:val="00E668E5"/>
    <w:rsid w:val="00E96E92"/>
    <w:rsid w:val="00EC2267"/>
    <w:rsid w:val="00EC4859"/>
    <w:rsid w:val="00EC4C4A"/>
    <w:rsid w:val="00EC58DE"/>
    <w:rsid w:val="00ED5B27"/>
    <w:rsid w:val="00ED6B3A"/>
    <w:rsid w:val="00ED6DBB"/>
    <w:rsid w:val="00ED7953"/>
    <w:rsid w:val="00EE1C54"/>
    <w:rsid w:val="00EE3B31"/>
    <w:rsid w:val="00EE715C"/>
    <w:rsid w:val="00EF7B7F"/>
    <w:rsid w:val="00F2012C"/>
    <w:rsid w:val="00F22B8D"/>
    <w:rsid w:val="00F2547F"/>
    <w:rsid w:val="00F32E1B"/>
    <w:rsid w:val="00F453BC"/>
    <w:rsid w:val="00F6337C"/>
    <w:rsid w:val="00F65189"/>
    <w:rsid w:val="00F65297"/>
    <w:rsid w:val="00F67868"/>
    <w:rsid w:val="00F96464"/>
    <w:rsid w:val="00FA37E4"/>
    <w:rsid w:val="00FA4313"/>
    <w:rsid w:val="00FA4843"/>
    <w:rsid w:val="00FB0AA0"/>
    <w:rsid w:val="00FB4451"/>
    <w:rsid w:val="00FC4502"/>
    <w:rsid w:val="00FC546D"/>
    <w:rsid w:val="00FF0417"/>
    <w:rsid w:val="00FF1DF5"/>
    <w:rsid w:val="00FF3FC2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328B0"/>
  <w15:chartTrackingRefBased/>
  <w15:docId w15:val="{0BF2B17E-8ECC-48C2-A5B6-33225843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C5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EE1C54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CE54A2"/>
    <w:pPr>
      <w:ind w:firstLine="567"/>
      <w:jc w:val="both"/>
    </w:pPr>
  </w:style>
  <w:style w:type="paragraph" w:customStyle="1" w:styleId="tt">
    <w:name w:val="tt"/>
    <w:basedOn w:val="Normal"/>
    <w:rsid w:val="00CE54A2"/>
    <w:pPr>
      <w:jc w:val="center"/>
    </w:pPr>
    <w:rPr>
      <w:b/>
      <w:bCs/>
    </w:rPr>
  </w:style>
  <w:style w:type="paragraph" w:customStyle="1" w:styleId="pb">
    <w:name w:val="pb"/>
    <w:basedOn w:val="Normal"/>
    <w:rsid w:val="00CE54A2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CE54A2"/>
    <w:pPr>
      <w:jc w:val="center"/>
    </w:pPr>
  </w:style>
  <w:style w:type="character" w:customStyle="1" w:styleId="apple-style-span">
    <w:name w:val="apple-style-span"/>
    <w:basedOn w:val="DefaultParagraphFont"/>
    <w:rsid w:val="0059158D"/>
  </w:style>
  <w:style w:type="paragraph" w:styleId="BalloonText">
    <w:name w:val="Balloon Text"/>
    <w:basedOn w:val="Normal"/>
    <w:semiHidden/>
    <w:rsid w:val="001D79D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0EFF"/>
    <w:pPr>
      <w:ind w:right="-483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link w:val="BodyText"/>
    <w:rsid w:val="00640EFF"/>
    <w:rPr>
      <w:sz w:val="28"/>
      <w:lang w:val="ro-RO"/>
    </w:rPr>
  </w:style>
  <w:style w:type="character" w:customStyle="1" w:styleId="docheader">
    <w:name w:val="doc_header"/>
    <w:rsid w:val="00437C8B"/>
  </w:style>
  <w:style w:type="paragraph" w:styleId="ListParagraph">
    <w:name w:val="List Paragraph"/>
    <w:basedOn w:val="Normal"/>
    <w:uiPriority w:val="34"/>
    <w:qFormat/>
    <w:rsid w:val="0020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Notă de expunere</vt:lpstr>
      <vt:lpstr>Notă de expunere</vt:lpstr>
      <vt:lpstr>Notă de expunere </vt:lpstr>
    </vt:vector>
  </TitlesOfParts>
  <Company>MEC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de expunere</dc:title>
  <dc:subject/>
  <dc:creator>Andrei Timus</dc:creator>
  <cp:keywords/>
  <cp:lastModifiedBy>Anastasia Tibuleac</cp:lastModifiedBy>
  <cp:revision>5</cp:revision>
  <cp:lastPrinted>2017-11-16T12:40:00Z</cp:lastPrinted>
  <dcterms:created xsi:type="dcterms:W3CDTF">2023-03-29T10:12:00Z</dcterms:created>
  <dcterms:modified xsi:type="dcterms:W3CDTF">2023-03-29T12:26:00Z</dcterms:modified>
</cp:coreProperties>
</file>