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341" w:rsidRPr="00C37BD3" w:rsidRDefault="00D81341">
      <w:pPr>
        <w:rPr>
          <w:lang w:val="ro-RO"/>
        </w:rPr>
      </w:pPr>
    </w:p>
    <w:tbl>
      <w:tblPr>
        <w:tblW w:w="5132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5"/>
      </w:tblGrid>
      <w:tr w:rsidR="00BC7FB1" w:rsidRPr="00C37BD3" w:rsidTr="003951F7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C7FB1" w:rsidRPr="00C37BD3" w:rsidRDefault="00BC7FB1" w:rsidP="00BC7FB1">
            <w:pPr>
              <w:spacing w:after="0" w:line="240" w:lineRule="auto"/>
              <w:ind w:right="191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C37BD3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Nota informativă </w:t>
            </w:r>
          </w:p>
          <w:p w:rsidR="00E22452" w:rsidRPr="00C37BD3" w:rsidRDefault="00BC7FB1" w:rsidP="00BC7FB1">
            <w:pPr>
              <w:spacing w:after="0" w:line="240" w:lineRule="auto"/>
              <w:ind w:right="191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C37BD3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la proiectul hotărârii Guvernului </w:t>
            </w:r>
            <w:r w:rsidR="00FC02BE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pentru</w:t>
            </w:r>
            <w:r w:rsidRPr="00C37BD3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modificarea </w:t>
            </w:r>
          </w:p>
          <w:p w:rsidR="00BC7FB1" w:rsidRPr="000247B4" w:rsidRDefault="00BC7FB1" w:rsidP="00BC7FB1">
            <w:pPr>
              <w:spacing w:after="0" w:line="240" w:lineRule="auto"/>
              <w:ind w:right="191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C37BD3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unor hotărâri ale Guvernului</w:t>
            </w:r>
            <w:r w:rsidR="000247B4" w:rsidRPr="000247B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269A1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0247B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în domeniul metrologiei</w:t>
            </w:r>
            <w:r w:rsidR="00A269A1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)</w:t>
            </w:r>
          </w:p>
          <w:p w:rsidR="00BC7FB1" w:rsidRPr="00C37BD3" w:rsidRDefault="00BC7FB1" w:rsidP="00405E12">
            <w:pPr>
              <w:spacing w:after="0" w:line="240" w:lineRule="auto"/>
              <w:ind w:right="19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</w:p>
        </w:tc>
      </w:tr>
      <w:tr w:rsidR="00BC7FB1" w:rsidRPr="00C37BD3" w:rsidTr="003951F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C7FB1" w:rsidRPr="00C37BD3" w:rsidRDefault="00BC7FB1" w:rsidP="00A269A1">
            <w:pPr>
              <w:tabs>
                <w:tab w:val="left" w:pos="9498"/>
              </w:tabs>
              <w:spacing w:after="0" w:line="240" w:lineRule="auto"/>
              <w:ind w:left="135" w:right="191"/>
              <w:jc w:val="both"/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</w:pPr>
            <w:r w:rsidRPr="00C37BD3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ro-RO" w:eastAsia="en-US"/>
              </w:rPr>
              <w:t>1.</w:t>
            </w:r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</w:t>
            </w:r>
            <w:r w:rsidRPr="00C37BD3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 xml:space="preserve">Denumirea autorului </w:t>
            </w:r>
            <w:proofErr w:type="spellStart"/>
            <w:r w:rsidRPr="00C37BD3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>şi</w:t>
            </w:r>
            <w:proofErr w:type="spellEnd"/>
            <w:r w:rsidRPr="00C37BD3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 xml:space="preserve">, după caz, a </w:t>
            </w:r>
            <w:proofErr w:type="spellStart"/>
            <w:r w:rsidRPr="00C37BD3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>participanţilor</w:t>
            </w:r>
            <w:proofErr w:type="spellEnd"/>
            <w:r w:rsidRPr="00C37BD3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 xml:space="preserve"> la elaborarea proiectului</w:t>
            </w:r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</w:t>
            </w:r>
          </w:p>
        </w:tc>
      </w:tr>
      <w:tr w:rsidR="00BC7FB1" w:rsidRPr="00C37BD3" w:rsidTr="003951F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C7FB1" w:rsidRPr="00C37BD3" w:rsidRDefault="00BC7FB1" w:rsidP="00BC7FB1">
            <w:pPr>
              <w:spacing w:after="0" w:line="240" w:lineRule="auto"/>
              <w:ind w:left="135" w:right="191"/>
              <w:jc w:val="both"/>
              <w:rPr>
                <w:rFonts w:ascii="Times New Roman" w:eastAsia="Times New Roman" w:hAnsi="Times New Roman"/>
                <w:sz w:val="28"/>
                <w:szCs w:val="28"/>
                <w:lang w:val="ro-RO" w:eastAsia="en-US"/>
              </w:rPr>
            </w:pPr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Prezentul proiect de hotărâre este elaborat de către Ministerul Dezvoltării Economice și Digitalizării, în calitate de autoritate c</w:t>
            </w:r>
            <w:bookmarkStart w:id="0" w:name="_GoBack"/>
            <w:bookmarkEnd w:id="0"/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entrală de metrologie legală</w:t>
            </w:r>
            <w:r w:rsidRPr="00C37BD3">
              <w:rPr>
                <w:rFonts w:ascii="Times New Roman" w:eastAsia="Times New Roman" w:hAnsi="Times New Roman"/>
                <w:sz w:val="28"/>
                <w:szCs w:val="28"/>
                <w:lang w:val="ro-RO" w:eastAsia="en-US"/>
              </w:rPr>
              <w:t>, responsabilă de</w:t>
            </w:r>
            <w:r w:rsidRPr="00C37BD3">
              <w:rPr>
                <w:lang w:val="ro-RO"/>
              </w:rPr>
              <w:t xml:space="preserve"> </w:t>
            </w:r>
            <w:r w:rsidRPr="00C37BD3">
              <w:rPr>
                <w:rFonts w:ascii="Times New Roman" w:eastAsia="Times New Roman" w:hAnsi="Times New Roman"/>
                <w:sz w:val="28"/>
                <w:szCs w:val="28"/>
                <w:lang w:val="ro-RO" w:eastAsia="en-US"/>
              </w:rPr>
              <w:t xml:space="preserve">elaborarea </w:t>
            </w:r>
            <w:proofErr w:type="spellStart"/>
            <w:r w:rsidRPr="00C37BD3">
              <w:rPr>
                <w:rFonts w:ascii="Times New Roman" w:eastAsia="Times New Roman" w:hAnsi="Times New Roman"/>
                <w:sz w:val="28"/>
                <w:szCs w:val="28"/>
                <w:lang w:val="ro-RO" w:eastAsia="en-US"/>
              </w:rPr>
              <w:t>şi</w:t>
            </w:r>
            <w:proofErr w:type="spellEnd"/>
            <w:r w:rsidRPr="00C37BD3">
              <w:rPr>
                <w:rFonts w:ascii="Times New Roman" w:eastAsia="Times New Roman" w:hAnsi="Times New Roman"/>
                <w:sz w:val="28"/>
                <w:szCs w:val="28"/>
                <w:lang w:val="ro-RO" w:eastAsia="en-US"/>
              </w:rPr>
              <w:t xml:space="preserve"> promovarea politicii de stat în domeniul metrologiei, precum și administrarea </w:t>
            </w:r>
            <w:proofErr w:type="spellStart"/>
            <w:r w:rsidRPr="00C37BD3">
              <w:rPr>
                <w:rFonts w:ascii="Times New Roman" w:eastAsia="Times New Roman" w:hAnsi="Times New Roman"/>
                <w:sz w:val="28"/>
                <w:szCs w:val="28"/>
                <w:lang w:val="ro-RO" w:eastAsia="en-US"/>
              </w:rPr>
              <w:t>şi</w:t>
            </w:r>
            <w:proofErr w:type="spellEnd"/>
            <w:r w:rsidRPr="00C37BD3">
              <w:rPr>
                <w:rFonts w:ascii="Times New Roman" w:eastAsia="Times New Roman" w:hAnsi="Times New Roman"/>
                <w:sz w:val="28"/>
                <w:szCs w:val="28"/>
                <w:lang w:val="ro-RO" w:eastAsia="en-US"/>
              </w:rPr>
              <w:t xml:space="preserve"> coordonarea </w:t>
            </w:r>
            <w:proofErr w:type="spellStart"/>
            <w:r w:rsidRPr="00C37BD3">
              <w:rPr>
                <w:rFonts w:ascii="Times New Roman" w:eastAsia="Times New Roman" w:hAnsi="Times New Roman"/>
                <w:sz w:val="28"/>
                <w:szCs w:val="28"/>
                <w:lang w:val="ro-RO" w:eastAsia="en-US"/>
              </w:rPr>
              <w:t>activităţii</w:t>
            </w:r>
            <w:proofErr w:type="spellEnd"/>
            <w:r w:rsidRPr="00C37BD3">
              <w:rPr>
                <w:rFonts w:ascii="Times New Roman" w:eastAsia="Times New Roman" w:hAnsi="Times New Roman"/>
                <w:sz w:val="28"/>
                <w:szCs w:val="28"/>
                <w:lang w:val="ro-RO" w:eastAsia="en-US"/>
              </w:rPr>
              <w:t xml:space="preserve"> de metrologie la nivel </w:t>
            </w:r>
            <w:r w:rsidR="0021663A" w:rsidRPr="00C37BD3">
              <w:rPr>
                <w:rFonts w:ascii="Times New Roman" w:eastAsia="Times New Roman" w:hAnsi="Times New Roman"/>
                <w:sz w:val="28"/>
                <w:szCs w:val="28"/>
                <w:lang w:val="ro-RO" w:eastAsia="en-US"/>
              </w:rPr>
              <w:t>naț</w:t>
            </w:r>
            <w:r w:rsidRPr="00C37BD3">
              <w:rPr>
                <w:rFonts w:ascii="Times New Roman" w:eastAsia="Times New Roman" w:hAnsi="Times New Roman"/>
                <w:sz w:val="28"/>
                <w:szCs w:val="28"/>
                <w:lang w:val="ro-RO" w:eastAsia="en-US"/>
              </w:rPr>
              <w:t>ional.</w:t>
            </w:r>
          </w:p>
          <w:p w:rsidR="00187983" w:rsidRPr="00C37BD3" w:rsidRDefault="00187983" w:rsidP="00BC7FB1">
            <w:pPr>
              <w:spacing w:after="0" w:line="240" w:lineRule="auto"/>
              <w:ind w:left="135" w:right="191"/>
              <w:jc w:val="both"/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</w:pPr>
          </w:p>
        </w:tc>
      </w:tr>
      <w:tr w:rsidR="00BC7FB1" w:rsidRPr="00C37BD3" w:rsidTr="003951F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C7FB1" w:rsidRPr="00C37BD3" w:rsidRDefault="00BC7FB1" w:rsidP="00405E12">
            <w:pPr>
              <w:spacing w:after="0" w:line="240" w:lineRule="auto"/>
              <w:ind w:left="135" w:right="191"/>
              <w:jc w:val="both"/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</w:pPr>
            <w:r w:rsidRPr="00C37BD3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ro-RO" w:eastAsia="en-US"/>
              </w:rPr>
              <w:t>2.</w:t>
            </w:r>
            <w:r w:rsidRPr="00C37BD3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 xml:space="preserve"> </w:t>
            </w:r>
            <w:proofErr w:type="spellStart"/>
            <w:r w:rsidRPr="00C37BD3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>Condiţiile</w:t>
            </w:r>
            <w:proofErr w:type="spellEnd"/>
            <w:r w:rsidRPr="00C37BD3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 xml:space="preserve"> ce au impus elaborarea proiectului de act normativ </w:t>
            </w:r>
            <w:proofErr w:type="spellStart"/>
            <w:r w:rsidRPr="00C37BD3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>şi</w:t>
            </w:r>
            <w:proofErr w:type="spellEnd"/>
            <w:r w:rsidRPr="00C37BD3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 xml:space="preserve"> </w:t>
            </w:r>
            <w:proofErr w:type="spellStart"/>
            <w:r w:rsidRPr="00C37BD3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>finalităţile</w:t>
            </w:r>
            <w:proofErr w:type="spellEnd"/>
            <w:r w:rsidRPr="00C37BD3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 xml:space="preserve"> urmărite </w:t>
            </w:r>
          </w:p>
        </w:tc>
      </w:tr>
      <w:tr w:rsidR="00BC7FB1" w:rsidRPr="00C37BD3" w:rsidTr="003951F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234D4" w:rsidRPr="00C37BD3" w:rsidRDefault="00BC7FB1" w:rsidP="00E234D4">
            <w:pPr>
              <w:ind w:left="97" w:right="237"/>
              <w:jc w:val="both"/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</w:pPr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Necesitatea elaborării proiectului vine </w:t>
            </w:r>
            <w:r w:rsidR="00E234D4"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întru executarea prevederilor art. 173 din </w:t>
            </w:r>
            <w:r w:rsidR="00E234D4" w:rsidRPr="00C37BD3">
              <w:rPr>
                <w:rFonts w:ascii="Times New Roman" w:eastAsiaTheme="minorHAnsi" w:hAnsi="Times New Roman"/>
                <w:i/>
                <w:sz w:val="28"/>
                <w:szCs w:val="28"/>
                <w:lang w:val="ro-RO" w:eastAsia="en-US"/>
              </w:rPr>
              <w:t xml:space="preserve">Acordul de Asociere între RM, pe de o parte, </w:t>
            </w:r>
            <w:proofErr w:type="spellStart"/>
            <w:r w:rsidR="00E234D4" w:rsidRPr="00C37BD3">
              <w:rPr>
                <w:rFonts w:ascii="Times New Roman" w:eastAsiaTheme="minorHAnsi" w:hAnsi="Times New Roman"/>
                <w:i/>
                <w:sz w:val="28"/>
                <w:szCs w:val="28"/>
                <w:lang w:val="ro-RO" w:eastAsia="en-US"/>
              </w:rPr>
              <w:t>şi</w:t>
            </w:r>
            <w:proofErr w:type="spellEnd"/>
            <w:r w:rsidR="00E234D4" w:rsidRPr="00C37BD3">
              <w:rPr>
                <w:rFonts w:ascii="Times New Roman" w:eastAsiaTheme="minorHAnsi" w:hAnsi="Times New Roman"/>
                <w:i/>
                <w:sz w:val="28"/>
                <w:szCs w:val="28"/>
                <w:lang w:val="ro-RO" w:eastAsia="en-US"/>
              </w:rPr>
              <w:t xml:space="preserve"> UE </w:t>
            </w:r>
            <w:proofErr w:type="spellStart"/>
            <w:r w:rsidR="00E234D4" w:rsidRPr="00C37BD3">
              <w:rPr>
                <w:rFonts w:ascii="Times New Roman" w:eastAsiaTheme="minorHAnsi" w:hAnsi="Times New Roman"/>
                <w:i/>
                <w:sz w:val="28"/>
                <w:szCs w:val="28"/>
                <w:lang w:val="ro-RO" w:eastAsia="en-US"/>
              </w:rPr>
              <w:t>şi</w:t>
            </w:r>
            <w:proofErr w:type="spellEnd"/>
            <w:r w:rsidR="00E234D4" w:rsidRPr="00C37BD3">
              <w:rPr>
                <w:rFonts w:ascii="Times New Roman" w:eastAsiaTheme="minorHAnsi" w:hAnsi="Times New Roman"/>
                <w:i/>
                <w:sz w:val="28"/>
                <w:szCs w:val="28"/>
                <w:lang w:val="ro-RO" w:eastAsia="en-US"/>
              </w:rPr>
              <w:t xml:space="preserve"> Comunitatea Europeană a Energiei Atomice </w:t>
            </w:r>
            <w:proofErr w:type="spellStart"/>
            <w:r w:rsidR="00E234D4" w:rsidRPr="00C37BD3">
              <w:rPr>
                <w:rFonts w:ascii="Times New Roman" w:eastAsiaTheme="minorHAnsi" w:hAnsi="Times New Roman"/>
                <w:i/>
                <w:sz w:val="28"/>
                <w:szCs w:val="28"/>
                <w:lang w:val="ro-RO" w:eastAsia="en-US"/>
              </w:rPr>
              <w:t>şi</w:t>
            </w:r>
            <w:proofErr w:type="spellEnd"/>
            <w:r w:rsidR="00E234D4" w:rsidRPr="00C37BD3">
              <w:rPr>
                <w:rFonts w:ascii="Times New Roman" w:eastAsiaTheme="minorHAnsi" w:hAnsi="Times New Roman"/>
                <w:i/>
                <w:sz w:val="28"/>
                <w:szCs w:val="28"/>
                <w:lang w:val="ro-RO" w:eastAsia="en-US"/>
              </w:rPr>
              <w:t xml:space="preserve"> statele membre ale acestora, pe de altă parte,</w:t>
            </w:r>
            <w:r w:rsidR="00E234D4"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ratificat prin Legea nr.112/2014. </w:t>
            </w:r>
          </w:p>
          <w:p w:rsidR="00E234D4" w:rsidRPr="00C37BD3" w:rsidRDefault="00E234D4" w:rsidP="00E234D4">
            <w:pPr>
              <w:ind w:left="97" w:right="237"/>
              <w:jc w:val="both"/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</w:pPr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Conform angajamentelor asumate prin art. 410 din Acordul de Asociere RM-UE, Republica Moldova asigură punerea efectivă în aplicare a </w:t>
            </w:r>
            <w:proofErr w:type="spellStart"/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legislaţiei</w:t>
            </w:r>
            <w:proofErr w:type="spellEnd"/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sale interne apropiate </w:t>
            </w:r>
            <w:proofErr w:type="spellStart"/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şi</w:t>
            </w:r>
            <w:proofErr w:type="spellEnd"/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întreprinde orice </w:t>
            </w:r>
            <w:proofErr w:type="spellStart"/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acţiune</w:t>
            </w:r>
            <w:proofErr w:type="spellEnd"/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necesară pentru a reflecta </w:t>
            </w:r>
            <w:proofErr w:type="spellStart"/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evoluţiile</w:t>
            </w:r>
            <w:proofErr w:type="spellEnd"/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dreptului UE în </w:t>
            </w:r>
            <w:proofErr w:type="spellStart"/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legislaţia</w:t>
            </w:r>
            <w:proofErr w:type="spellEnd"/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sa internă, în domeniile legate de </w:t>
            </w:r>
            <w:proofErr w:type="spellStart"/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comerţ</w:t>
            </w:r>
            <w:proofErr w:type="spellEnd"/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aferente Titlului V (</w:t>
            </w:r>
            <w:proofErr w:type="spellStart"/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Comerţ</w:t>
            </w:r>
            <w:proofErr w:type="spellEnd"/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</w:t>
            </w:r>
            <w:proofErr w:type="spellStart"/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şi</w:t>
            </w:r>
            <w:proofErr w:type="spellEnd"/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aspecte legate de </w:t>
            </w:r>
            <w:proofErr w:type="spellStart"/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comerţ</w:t>
            </w:r>
            <w:proofErr w:type="spellEnd"/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) și se </w:t>
            </w:r>
            <w:proofErr w:type="spellStart"/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abţine</w:t>
            </w:r>
            <w:proofErr w:type="spellEnd"/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de la orice </w:t>
            </w:r>
            <w:proofErr w:type="spellStart"/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acţiune</w:t>
            </w:r>
            <w:proofErr w:type="spellEnd"/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care ar putea submina obiectivul sau rezultatul apropierii în ceea ce </w:t>
            </w:r>
            <w:proofErr w:type="spellStart"/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priveşte</w:t>
            </w:r>
            <w:proofErr w:type="spellEnd"/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</w:t>
            </w:r>
            <w:proofErr w:type="spellStart"/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comerţ</w:t>
            </w:r>
            <w:r w:rsidR="00F7718C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ul</w:t>
            </w:r>
            <w:proofErr w:type="spellEnd"/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</w:t>
            </w:r>
            <w:proofErr w:type="spellStart"/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şi</w:t>
            </w:r>
            <w:proofErr w:type="spellEnd"/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aspecte legate de </w:t>
            </w:r>
            <w:proofErr w:type="spellStart"/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comerţ</w:t>
            </w:r>
            <w:proofErr w:type="spellEnd"/>
            <w:r w:rsidR="00CD3F29"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. </w:t>
            </w:r>
          </w:p>
          <w:p w:rsidR="003127B2" w:rsidRPr="00D965C4" w:rsidRDefault="00BC7FB1" w:rsidP="003127B2">
            <w:pPr>
              <w:ind w:left="97" w:right="237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</w:pPr>
            <w:r w:rsidRPr="00C37BD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De asemenea, </w:t>
            </w:r>
            <w:r w:rsidR="00E234D4" w:rsidRPr="00C37BD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în</w:t>
            </w:r>
            <w:r w:rsidR="00127BDE" w:rsidRPr="00C37BD3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ro-RO" w:eastAsia="en-US"/>
              </w:rPr>
              <w:t xml:space="preserve"> </w:t>
            </w:r>
            <w:r w:rsidR="00127BDE" w:rsidRPr="00C37BD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Planul de acțiuni privind ridicarea nivelului de pregătire pentru aderare</w:t>
            </w:r>
            <w:r w:rsidR="00A724F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a</w:t>
            </w:r>
            <w:r w:rsidR="00127BDE" w:rsidRPr="00C37BD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 la Uniunea Europeană și aliniere</w:t>
            </w:r>
            <w:r w:rsidR="00A724F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a</w:t>
            </w:r>
            <w:r w:rsidR="00127BDE" w:rsidRPr="00C37BD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 la legislația UE pe cele 33 de capitole din acquis</w:t>
            </w:r>
            <w:r w:rsidR="00E234D4" w:rsidRPr="00C37BD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 </w:t>
            </w:r>
            <w:r w:rsidR="00CD3F29"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au fost identificate ca măsuri prioritare armonizarea totală a legislației naționale cu legislația UE </w:t>
            </w:r>
            <w:r w:rsidR="00194120"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din care face parte domeniul metrologiei, în speț</w:t>
            </w:r>
            <w:r w:rsidR="00A724F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ă</w:t>
            </w:r>
            <w:r w:rsidR="00194120"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mijloacele de măsurare</w:t>
            </w:r>
            <w:r w:rsidR="00CD3F29"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. </w:t>
            </w:r>
            <w:r w:rsidR="00D965C4" w:rsidRPr="00D965C4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Necesitatea de </w:t>
            </w:r>
            <w:r w:rsidR="003127B2" w:rsidRPr="00D965C4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ridicare</w:t>
            </w:r>
            <w:r w:rsidR="00A724F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 </w:t>
            </w:r>
            <w:r w:rsidR="003127B2" w:rsidRPr="00D965C4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a nivelului de pregătire pentru aderare</w:t>
            </w:r>
            <w:r w:rsidR="00A724F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a</w:t>
            </w:r>
            <w:r w:rsidR="003127B2" w:rsidRPr="00D965C4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 la U</w:t>
            </w:r>
            <w:r w:rsidR="00D965C4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E</w:t>
            </w:r>
            <w:r w:rsidR="003127B2" w:rsidRPr="00D965C4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 și aliniere</w:t>
            </w:r>
            <w:r w:rsidR="00A724F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a</w:t>
            </w:r>
            <w:r w:rsidR="003127B2" w:rsidRPr="00D965C4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 la legislația UE</w:t>
            </w:r>
            <w:r w:rsidR="00D965C4" w:rsidRPr="00D965C4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 pentru mijloace d</w:t>
            </w:r>
            <w:r w:rsidR="00D965C4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e</w:t>
            </w:r>
            <w:r w:rsidR="00D965C4" w:rsidRPr="00D965C4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 măsurare </w:t>
            </w:r>
            <w:r w:rsidR="00D965C4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a fost identificată</w:t>
            </w:r>
            <w:r w:rsidR="00D965C4" w:rsidRPr="00D965C4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 de către Comisia European</w:t>
            </w:r>
            <w:r w:rsidR="00D965C4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ă</w:t>
            </w:r>
            <w:r w:rsidR="00D965C4" w:rsidRPr="00D965C4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 în recoman</w:t>
            </w:r>
            <w:r w:rsidR="00D965C4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d</w:t>
            </w:r>
            <w:r w:rsidR="00D965C4" w:rsidRPr="00D965C4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ările</w:t>
            </w:r>
            <w:r w:rsidR="00D965C4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 sale </w:t>
            </w:r>
            <w:r w:rsidR="00D965C4" w:rsidRPr="00D965C4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respective.</w:t>
            </w:r>
            <w:r w:rsidR="003127B2" w:rsidRPr="00D965C4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 </w:t>
            </w:r>
          </w:p>
          <w:p w:rsidR="00BC7FB1" w:rsidRPr="00C37BD3" w:rsidRDefault="005754AD" w:rsidP="00405E12">
            <w:pPr>
              <w:spacing w:after="0" w:line="240" w:lineRule="auto"/>
              <w:ind w:left="97" w:right="191"/>
              <w:jc w:val="both"/>
              <w:rPr>
                <w:rFonts w:ascii="Times New Roman" w:eastAsia="Times New Roman" w:hAnsi="Times New Roman"/>
                <w:sz w:val="28"/>
                <w:szCs w:val="28"/>
                <w:lang w:val="ro-RO" w:eastAsia="en-US"/>
              </w:rPr>
            </w:pPr>
            <w:r w:rsidRPr="00C37BD3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>Astfel, p</w:t>
            </w:r>
            <w:r w:rsidR="00BC7FB1" w:rsidRPr="00C37BD3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 xml:space="preserve">rin proiectul în cauză se impune modificarea a </w:t>
            </w:r>
            <w:r w:rsidR="00CD3F29" w:rsidRPr="00C37BD3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>3 hotărâri de Guvern</w:t>
            </w:r>
            <w:r w:rsidR="00BC7FB1" w:rsidRPr="00C37BD3">
              <w:rPr>
                <w:rFonts w:ascii="Times New Roman" w:eastAsia="Times New Roman" w:hAnsi="Times New Roman"/>
                <w:sz w:val="28"/>
                <w:szCs w:val="28"/>
                <w:lang w:val="ro-RO" w:eastAsia="en-US"/>
              </w:rPr>
              <w:t>, și anume:</w:t>
            </w:r>
          </w:p>
          <w:p w:rsidR="00CD3F29" w:rsidRPr="00C37BD3" w:rsidRDefault="00CD3F29" w:rsidP="00930A34">
            <w:pPr>
              <w:numPr>
                <w:ilvl w:val="0"/>
                <w:numId w:val="1"/>
              </w:numPr>
              <w:spacing w:after="0" w:line="240" w:lineRule="auto"/>
              <w:ind w:right="191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ro-RO" w:eastAsia="en-US"/>
              </w:rPr>
            </w:pPr>
            <w:r w:rsidRPr="00C37BD3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>Hotărârea Guvernului nr.267/2014 pentru aprobarea Reglementării</w:t>
            </w:r>
            <w:r w:rsidR="00F7718C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 xml:space="preserve"> tehnice privind aparatele de câ</w:t>
            </w:r>
            <w:r w:rsidRPr="00C37BD3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>ntărit neautomate</w:t>
            </w:r>
            <w:r w:rsidRPr="00C37BD3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ro-RO" w:eastAsia="en-US"/>
              </w:rPr>
              <w:t xml:space="preserve"> (Monitorul Oficial a</w:t>
            </w:r>
            <w:r w:rsidR="0021663A" w:rsidRPr="00C37BD3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ro-RO" w:eastAsia="en-US"/>
              </w:rPr>
              <w:t>l Republicii Moldova, 2014, nr.</w:t>
            </w:r>
            <w:r w:rsidRPr="00C37BD3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ro-RO" w:eastAsia="en-US"/>
              </w:rPr>
              <w:t>9</w:t>
            </w:r>
            <w:r w:rsidR="0021663A" w:rsidRPr="00C37BD3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ro-RO" w:eastAsia="en-US"/>
              </w:rPr>
              <w:t>2-98, art.</w:t>
            </w:r>
            <w:r w:rsidRPr="00C37BD3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ro-RO" w:eastAsia="en-US"/>
              </w:rPr>
              <w:t>296)</w:t>
            </w:r>
            <w:r w:rsidR="00187983"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</w:t>
            </w:r>
            <w:r w:rsidR="00187983" w:rsidRPr="00C37BD3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ro-RO" w:eastAsia="en-US"/>
              </w:rPr>
              <w:t>cu modificările ulterioare</w:t>
            </w:r>
            <w:r w:rsidRPr="00C37BD3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ro-RO" w:eastAsia="en-US"/>
              </w:rPr>
              <w:t>;</w:t>
            </w:r>
          </w:p>
          <w:p w:rsidR="00194120" w:rsidRPr="00C37BD3" w:rsidRDefault="00194120" w:rsidP="00194120">
            <w:pPr>
              <w:numPr>
                <w:ilvl w:val="0"/>
                <w:numId w:val="1"/>
              </w:numPr>
              <w:spacing w:after="0" w:line="240" w:lineRule="auto"/>
              <w:ind w:right="191"/>
              <w:jc w:val="both"/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</w:pPr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Hotărârea Guvernului nr.907/2014 </w:t>
            </w:r>
            <w:r w:rsidRPr="00C37BD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pentru aprobarea Regulamentului general de metrologie legală referitor </w:t>
            </w:r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la preambalarea, în </w:t>
            </w:r>
            <w:proofErr w:type="spellStart"/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funcţie</w:t>
            </w:r>
            <w:proofErr w:type="spellEnd"/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de masă sau volum, a anumitor preambalate (Monitorul Oficial al Republicii Moldova, 2014, nr.333-338, art.975), cu modificările ulterioare;</w:t>
            </w:r>
          </w:p>
          <w:p w:rsidR="00187983" w:rsidRPr="00C37BD3" w:rsidRDefault="0021663A" w:rsidP="00194120">
            <w:pPr>
              <w:numPr>
                <w:ilvl w:val="0"/>
                <w:numId w:val="1"/>
              </w:numPr>
              <w:spacing w:after="0" w:line="240" w:lineRule="auto"/>
              <w:ind w:right="191"/>
              <w:jc w:val="both"/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</w:pPr>
            <w:r w:rsidRPr="00C37BD3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lastRenderedPageBreak/>
              <w:t>Hotărârea Guvernului nr.</w:t>
            </w:r>
            <w:r w:rsidR="00CD3F29" w:rsidRPr="00C37BD3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 xml:space="preserve">408/2015 pentru aprobarea Reglementării tehnice privind punerea la </w:t>
            </w:r>
            <w:proofErr w:type="spellStart"/>
            <w:r w:rsidR="00CD3F29" w:rsidRPr="00C37BD3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>dispoziţie</w:t>
            </w:r>
            <w:proofErr w:type="spellEnd"/>
            <w:r w:rsidR="00CD3F29" w:rsidRPr="00C37BD3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 xml:space="preserve"> pe </w:t>
            </w:r>
            <w:proofErr w:type="spellStart"/>
            <w:r w:rsidR="00CD3F29" w:rsidRPr="00C37BD3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>piaţă</w:t>
            </w:r>
            <w:proofErr w:type="spellEnd"/>
            <w:r w:rsidR="00CD3F29" w:rsidRPr="00C37BD3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 xml:space="preserve"> a mijloacelor de măsurare (</w:t>
            </w:r>
            <w:r w:rsidR="00CD3F29" w:rsidRPr="00C37BD3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ro-RO" w:eastAsia="en-US"/>
              </w:rPr>
              <w:t>Monitorul Oficial a</w:t>
            </w:r>
            <w:r w:rsidRPr="00C37BD3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ro-RO" w:eastAsia="en-US"/>
              </w:rPr>
              <w:t>l Republicii Moldova, 2015, nr.177-184, art.</w:t>
            </w:r>
            <w:r w:rsidR="00CD3F29" w:rsidRPr="00C37BD3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ro-RO" w:eastAsia="en-US"/>
              </w:rPr>
              <w:t>471)</w:t>
            </w:r>
            <w:r w:rsidR="00187983"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</w:t>
            </w:r>
            <w:r w:rsidR="00187983" w:rsidRPr="00C37BD3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ro-RO" w:eastAsia="en-US"/>
              </w:rPr>
              <w:t>cu modificările ulterioare</w:t>
            </w:r>
            <w:r w:rsidR="00194120" w:rsidRPr="00C37BD3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ro-RO" w:eastAsia="en-US"/>
              </w:rPr>
              <w:t>.</w:t>
            </w:r>
          </w:p>
          <w:p w:rsidR="00194120" w:rsidRPr="00C37BD3" w:rsidRDefault="00194120" w:rsidP="00194120">
            <w:pPr>
              <w:spacing w:after="0" w:line="240" w:lineRule="auto"/>
              <w:ind w:left="457" w:right="191"/>
              <w:jc w:val="both"/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</w:pPr>
          </w:p>
        </w:tc>
      </w:tr>
      <w:tr w:rsidR="00BC7FB1" w:rsidRPr="00C37BD3" w:rsidTr="003951F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C7FB1" w:rsidRPr="00C37BD3" w:rsidRDefault="00BC7FB1" w:rsidP="00405E12">
            <w:pPr>
              <w:spacing w:after="0" w:line="240" w:lineRule="auto"/>
              <w:ind w:left="135" w:right="191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</w:pPr>
            <w:r w:rsidRPr="00C37BD3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ro-RO" w:eastAsia="en-US"/>
              </w:rPr>
              <w:lastRenderedPageBreak/>
              <w:t>3.</w:t>
            </w:r>
            <w:r w:rsidRPr="00C37BD3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 xml:space="preserve"> Descrierea gradului de compatibilitate pentru proiectele care au ca scop armonizarea </w:t>
            </w:r>
            <w:proofErr w:type="spellStart"/>
            <w:r w:rsidRPr="00C37BD3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>legislaţiei</w:t>
            </w:r>
            <w:proofErr w:type="spellEnd"/>
            <w:r w:rsidRPr="00C37BD3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 xml:space="preserve"> </w:t>
            </w:r>
            <w:proofErr w:type="spellStart"/>
            <w:r w:rsidRPr="00C37BD3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>naţionale</w:t>
            </w:r>
            <w:proofErr w:type="spellEnd"/>
            <w:r w:rsidRPr="00C37BD3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 xml:space="preserve"> cu </w:t>
            </w:r>
            <w:proofErr w:type="spellStart"/>
            <w:r w:rsidRPr="00C37BD3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>legislaţia</w:t>
            </w:r>
            <w:proofErr w:type="spellEnd"/>
            <w:r w:rsidRPr="00C37BD3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 xml:space="preserve"> Uniunii Europene </w:t>
            </w:r>
          </w:p>
        </w:tc>
      </w:tr>
      <w:tr w:rsidR="00BC7FB1" w:rsidRPr="00C37BD3" w:rsidTr="003951F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C7FB1" w:rsidRPr="00C37BD3" w:rsidRDefault="00F21BAD" w:rsidP="00194120">
            <w:pPr>
              <w:spacing w:after="0" w:line="240" w:lineRule="auto"/>
              <w:ind w:left="239" w:right="191"/>
              <w:jc w:val="both"/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</w:pPr>
            <w:r w:rsidRPr="00C37BD3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>Proiectul cuprinde prevederi întru aproximarea totală</w:t>
            </w:r>
            <w:r w:rsidR="005754AD" w:rsidRPr="00C37BD3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 xml:space="preserve"> a </w:t>
            </w:r>
            <w:r w:rsidR="00187983" w:rsidRPr="00C37BD3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>reglementărilor tehnice cu directivele Uniunii Europene: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89"/>
              <w:gridCol w:w="6"/>
            </w:tblGrid>
            <w:tr w:rsidR="00187983" w:rsidRPr="00C37BD3" w:rsidTr="00405E12">
              <w:tc>
                <w:tcPr>
                  <w:tcW w:w="0" w:type="auto"/>
                  <w:shd w:val="clear" w:color="auto" w:fill="auto"/>
                  <w:hideMark/>
                </w:tcPr>
                <w:p w:rsidR="00187983" w:rsidRPr="00C37BD3" w:rsidRDefault="00187983" w:rsidP="00982672">
                  <w:pPr>
                    <w:spacing w:after="0" w:line="240" w:lineRule="auto"/>
                    <w:ind w:left="239" w:right="191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val="ro-RO" w:eastAsia="ru-RU"/>
                    </w:rPr>
                  </w:pPr>
                  <w:r w:rsidRPr="00C37BD3">
                    <w:rPr>
                      <w:rFonts w:ascii="Times New Roman" w:eastAsia="Times New Roman" w:hAnsi="Times New Roman"/>
                      <w:sz w:val="28"/>
                      <w:szCs w:val="28"/>
                      <w:lang w:val="ro-RO" w:eastAsia="ru-RU"/>
                    </w:rPr>
                    <w:t>-</w:t>
                  </w:r>
                  <w:r w:rsidR="006C5D3D" w:rsidRPr="00C37BD3">
                    <w:rPr>
                      <w:rFonts w:ascii="Times New Roman" w:eastAsia="Times New Roman" w:hAnsi="Times New Roman"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6C5D3D" w:rsidRPr="00C37BD3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ro-RO" w:eastAsia="ru-RU"/>
                    </w:rPr>
                    <w:t>Directiva 2014/31/UE a Parlamentului European și a Consiliului din 26 februarie 2014 privind armonizarea legislației statelor membre referitoare la punerea la dispoziție pe piață a aparatelor de cântărit cu funcționare neautomată</w:t>
                  </w:r>
                  <w:r w:rsidR="00854899" w:rsidRPr="00C37BD3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ro-RO" w:eastAsia="ru-RU"/>
                    </w:rPr>
                    <w:t xml:space="preserve">, publicată în Jurnalul </w:t>
                  </w:r>
                  <w:r w:rsidR="00735722" w:rsidRPr="00C37BD3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ro-RO" w:eastAsia="ru-RU"/>
                    </w:rPr>
                    <w:t>O</w:t>
                  </w:r>
                  <w:r w:rsidR="00854899" w:rsidRPr="00C37BD3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ro-RO" w:eastAsia="ru-RU"/>
                    </w:rPr>
                    <w:t xml:space="preserve">ficial al Uniunii Europene </w:t>
                  </w:r>
                  <w:r w:rsidR="00735722" w:rsidRPr="00C37BD3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ro-RO" w:eastAsia="ru-RU"/>
                    </w:rPr>
                    <w:t>L096 din 29 martie 2014</w:t>
                  </w:r>
                  <w:r w:rsidR="00854899" w:rsidRPr="00C37BD3">
                    <w:rPr>
                      <w:rFonts w:ascii="Times New Roman" w:eastAsia="Times New Roman" w:hAnsi="Times New Roman"/>
                      <w:sz w:val="28"/>
                      <w:szCs w:val="28"/>
                      <w:lang w:val="ro-RO" w:eastAsia="ru-RU"/>
                    </w:rPr>
                    <w:t>;</w:t>
                  </w:r>
                </w:p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89"/>
                  </w:tblGrid>
                  <w:tr w:rsidR="006C5D3D" w:rsidRPr="00C37BD3" w:rsidTr="006C5D3D"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6C5D3D" w:rsidRPr="00C37BD3" w:rsidRDefault="006C5D3D" w:rsidP="0021663A">
                        <w:pPr>
                          <w:spacing w:after="0" w:line="240" w:lineRule="auto"/>
                          <w:ind w:left="239" w:right="191"/>
                          <w:jc w:val="both"/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  <w:lang w:val="ro-RO" w:eastAsia="ru-RU"/>
                          </w:rPr>
                        </w:pPr>
                        <w:r w:rsidRPr="00C37BD3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  <w:lang w:val="ro-RO" w:eastAsia="ru-RU"/>
                          </w:rPr>
                          <w:t>- Directiva 2014/32/UE a Parlamentului European și a Consiliului din 26 februarie 2014 privind armonizarea legislației statelor membre referitoare la punerea la dispoziție pe piață a mijloacelor de măsurare</w:t>
                        </w:r>
                        <w:r w:rsidR="00854899" w:rsidRPr="00C37BD3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  <w:lang w:val="ro-RO" w:eastAsia="ru-RU"/>
                          </w:rPr>
                          <w:t>, publicată în Jurnalul Oficial al Uniunii Europene L0</w:t>
                        </w:r>
                        <w:r w:rsidR="00735722" w:rsidRPr="00C37BD3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  <w:lang w:val="ro-RO" w:eastAsia="ru-RU"/>
                          </w:rPr>
                          <w:t>96 din 29 martie</w:t>
                        </w:r>
                        <w:r w:rsidR="00854899" w:rsidRPr="00C37BD3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  <w:lang w:val="ro-RO" w:eastAsia="ru-RU"/>
                          </w:rPr>
                          <w:t xml:space="preserve"> 201</w:t>
                        </w:r>
                        <w:r w:rsidR="00735722" w:rsidRPr="00C37BD3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  <w:lang w:val="ro-RO" w:eastAsia="ru-RU"/>
                          </w:rPr>
                          <w:t>4</w:t>
                        </w:r>
                        <w:r w:rsidR="00854899" w:rsidRPr="00C37BD3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  <w:lang w:val="ro-RO" w:eastAsia="ru-RU"/>
                          </w:rPr>
                          <w:t xml:space="preserve">, </w:t>
                        </w:r>
                        <w:r w:rsidRPr="00C37BD3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  <w:lang w:val="ro-RO" w:eastAsia="ru-RU"/>
                          </w:rPr>
                          <w:t>modificat</w:t>
                        </w:r>
                        <w:r w:rsidR="00854899" w:rsidRPr="00C37BD3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  <w:lang w:val="ro-RO" w:eastAsia="ru-RU"/>
                          </w:rPr>
                          <w:t xml:space="preserve">ă </w:t>
                        </w:r>
                        <w:r w:rsidRPr="00C37BD3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  <w:lang w:val="ro-RO" w:eastAsia="ru-RU"/>
                          </w:rPr>
                          <w:t>prin</w:t>
                        </w:r>
                        <w:r w:rsidR="00854899" w:rsidRPr="00C37BD3">
                          <w:rPr>
                            <w:rFonts w:ascii="Times New Roman" w:hAnsi="Times New Roman"/>
                            <w:bCs/>
                            <w:color w:val="333333"/>
                            <w:sz w:val="28"/>
                            <w:szCs w:val="28"/>
                            <w:shd w:val="clear" w:color="auto" w:fill="FFFFFF"/>
                            <w:lang w:val="ro-RO"/>
                          </w:rPr>
                          <w:t xml:space="preserve"> </w:t>
                        </w:r>
                        <w:r w:rsidR="00854899" w:rsidRPr="00C37BD3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  <w:lang w:val="ro-RO" w:eastAsia="ru-RU"/>
                          </w:rPr>
                          <w:t xml:space="preserve">Directiva delegată (UE) 2015/13 a Comisiei din 31 octombrie 2014 de modificare a anexei III la Directiva 2014/32/UE a Parlamentului European și a Consiliului în ceea ce privește domeniul de valori pentru debit al apometrelor, publicată în Jurnalul Oficial al Uniunii Europene </w:t>
                        </w:r>
                        <w:r w:rsidR="00735722" w:rsidRPr="00C37BD3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  <w:lang w:val="ro-RO" w:eastAsia="ru-RU"/>
                          </w:rPr>
                          <w:t>L</w:t>
                        </w:r>
                        <w:r w:rsidR="00854899" w:rsidRPr="00C37BD3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  <w:lang w:val="ro-RO" w:eastAsia="ru-RU"/>
                          </w:rPr>
                          <w:t>3 din 7 ianuarie 2015;</w:t>
                        </w:r>
                      </w:p>
                    </w:tc>
                  </w:tr>
                </w:tbl>
                <w:p w:rsidR="006C5D3D" w:rsidRPr="00C37BD3" w:rsidRDefault="00854899" w:rsidP="0021663A">
                  <w:pPr>
                    <w:ind w:left="239" w:right="2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val="ro-RO" w:eastAsia="ru-RU"/>
                    </w:rPr>
                  </w:pPr>
                  <w:r w:rsidRPr="00C37BD3">
                    <w:rPr>
                      <w:rFonts w:ascii="Times New Roman" w:eastAsia="Times New Roman" w:hAnsi="Times New Roman"/>
                      <w:sz w:val="28"/>
                      <w:szCs w:val="28"/>
                      <w:lang w:val="ro-RO" w:eastAsia="ru-RU"/>
                    </w:rPr>
                    <w:t xml:space="preserve">- </w:t>
                  </w:r>
                  <w:r w:rsidR="006C5D3D" w:rsidRPr="00C37BD3">
                    <w:rPr>
                      <w:rFonts w:ascii="Times New Roman" w:eastAsia="Times New Roman" w:hAnsi="Times New Roman"/>
                      <w:sz w:val="28"/>
                      <w:szCs w:val="28"/>
                      <w:lang w:val="ro-RO" w:eastAsia="ru-RU"/>
                    </w:rPr>
                    <w:t>Directiva Consiliului din 20 ianuarie 1976 privind apropierea legislațiilor statelor membre referitoare la preambalarea, în funcție de masă sau volum, a anumitor produse preambalate (76/211/CEE)</w:t>
                  </w:r>
                  <w:r w:rsidR="00735722" w:rsidRPr="00C37BD3">
                    <w:rPr>
                      <w:rFonts w:ascii="Times New Roman" w:eastAsia="Times New Roman" w:hAnsi="Times New Roman"/>
                      <w:sz w:val="28"/>
                      <w:szCs w:val="28"/>
                      <w:lang w:val="ro-RO" w:eastAsia="ru-RU"/>
                    </w:rPr>
                    <w:t xml:space="preserve"> publicată în Jurnalul Oficial al Uniunii Europene L046 din 21 februarie 1976</w:t>
                  </w:r>
                  <w:r w:rsidR="006C5D3D" w:rsidRPr="00C37BD3">
                    <w:rPr>
                      <w:rFonts w:ascii="Times New Roman" w:eastAsia="Times New Roman" w:hAnsi="Times New Roman"/>
                      <w:sz w:val="28"/>
                      <w:szCs w:val="28"/>
                      <w:lang w:val="ro-RO" w:eastAsia="ru-RU"/>
                    </w:rPr>
                    <w:t>, modificată prin</w:t>
                  </w:r>
                  <w:r w:rsidRPr="00C37BD3">
                    <w:rPr>
                      <w:rFonts w:ascii="Times New Roman" w:eastAsia="Times New Roman" w:hAnsi="Times New Roman"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hyperlink r:id="rId5" w:tooltip="31978L0891" w:history="1">
                    <w:r w:rsidR="006C5D3D" w:rsidRPr="00C37BD3">
                      <w:rPr>
                        <w:rStyle w:val="a3"/>
                        <w:rFonts w:ascii="Times New Roman" w:eastAsia="Times New Roman" w:hAnsi="Times New Roman"/>
                        <w:bCs/>
                        <w:color w:val="auto"/>
                        <w:sz w:val="28"/>
                        <w:szCs w:val="28"/>
                        <w:u w:val="none"/>
                        <w:lang w:val="ro-RO" w:eastAsia="ru-RU"/>
                      </w:rPr>
                      <w:t>Directiva C</w:t>
                    </w:r>
                    <w:r w:rsidRPr="00C37BD3">
                      <w:rPr>
                        <w:rStyle w:val="a3"/>
                        <w:rFonts w:ascii="Times New Roman" w:eastAsia="Times New Roman" w:hAnsi="Times New Roman"/>
                        <w:bCs/>
                        <w:color w:val="auto"/>
                        <w:sz w:val="28"/>
                        <w:szCs w:val="28"/>
                        <w:u w:val="none"/>
                        <w:lang w:val="ro-RO" w:eastAsia="ru-RU"/>
                      </w:rPr>
                      <w:t xml:space="preserve">omisie 78/891/CEE </w:t>
                    </w:r>
                    <w:r w:rsidR="006C5D3D" w:rsidRPr="00C37BD3">
                      <w:rPr>
                        <w:rStyle w:val="a3"/>
                        <w:rFonts w:ascii="Times New Roman" w:eastAsia="Times New Roman" w:hAnsi="Times New Roman"/>
                        <w:bCs/>
                        <w:color w:val="auto"/>
                        <w:sz w:val="28"/>
                        <w:szCs w:val="28"/>
                        <w:u w:val="none"/>
                        <w:lang w:val="ro-RO" w:eastAsia="ru-RU"/>
                      </w:rPr>
                      <w:t>din 28 septembrie 1978</w:t>
                    </w:r>
                  </w:hyperlink>
                  <w:r w:rsidR="00735722" w:rsidRPr="00C37BD3">
                    <w:rPr>
                      <w:rFonts w:ascii="Times New Roman" w:eastAsia="Times New Roman" w:hAnsi="Times New Roman"/>
                      <w:sz w:val="28"/>
                      <w:szCs w:val="28"/>
                      <w:lang w:val="ro-RO" w:eastAsia="ru-RU"/>
                    </w:rPr>
                    <w:t xml:space="preserve"> publicată în Jurnalul Oficial al Uniunii Europene L311 din 4 noiembrie 1978</w:t>
                  </w:r>
                  <w:r w:rsidRPr="00C37BD3">
                    <w:rPr>
                      <w:rFonts w:ascii="Times New Roman" w:eastAsia="Times New Roman" w:hAnsi="Times New Roman"/>
                      <w:sz w:val="28"/>
                      <w:szCs w:val="28"/>
                      <w:lang w:val="ro-RO" w:eastAsia="ru-RU"/>
                    </w:rPr>
                    <w:t xml:space="preserve">, </w:t>
                  </w:r>
                  <w:hyperlink r:id="rId6" w:tooltip="32007L0045" w:history="1">
                    <w:r w:rsidR="006C5D3D" w:rsidRPr="00C37BD3">
                      <w:rPr>
                        <w:rStyle w:val="a3"/>
                        <w:rFonts w:ascii="Times New Roman" w:eastAsia="Times New Roman" w:hAnsi="Times New Roman"/>
                        <w:bCs/>
                        <w:color w:val="auto"/>
                        <w:sz w:val="28"/>
                        <w:szCs w:val="28"/>
                        <w:u w:val="none"/>
                        <w:lang w:val="ro-RO" w:eastAsia="ru-RU"/>
                      </w:rPr>
                      <w:t xml:space="preserve">Directiva 2007/45/CE a Parlamentului European și a Consiliului </w:t>
                    </w:r>
                    <w:r w:rsidRPr="00C37BD3">
                      <w:rPr>
                        <w:rStyle w:val="a3"/>
                        <w:rFonts w:ascii="Times New Roman" w:eastAsia="Times New Roman" w:hAnsi="Times New Roman"/>
                        <w:bCs/>
                        <w:color w:val="auto"/>
                        <w:sz w:val="28"/>
                        <w:szCs w:val="28"/>
                        <w:u w:val="none"/>
                        <w:lang w:val="ro-RO" w:eastAsia="ru-RU"/>
                      </w:rPr>
                      <w:t xml:space="preserve">din 5 </w:t>
                    </w:r>
                    <w:r w:rsidR="006C5D3D" w:rsidRPr="00C37BD3">
                      <w:rPr>
                        <w:rStyle w:val="a3"/>
                        <w:rFonts w:ascii="Times New Roman" w:eastAsia="Times New Roman" w:hAnsi="Times New Roman"/>
                        <w:bCs/>
                        <w:color w:val="auto"/>
                        <w:sz w:val="28"/>
                        <w:szCs w:val="28"/>
                        <w:u w:val="none"/>
                        <w:lang w:val="ro-RO" w:eastAsia="ru-RU"/>
                      </w:rPr>
                      <w:t>septembrie 2007</w:t>
                    </w:r>
                  </w:hyperlink>
                  <w:r w:rsidR="00735722" w:rsidRPr="00C37BD3">
                    <w:rPr>
                      <w:rFonts w:ascii="Times New Roman" w:eastAsia="Times New Roman" w:hAnsi="Times New Roman"/>
                      <w:sz w:val="28"/>
                      <w:szCs w:val="28"/>
                      <w:lang w:val="ro-RO" w:eastAsia="ru-RU"/>
                    </w:rPr>
                    <w:t xml:space="preserve"> publicată în Jurnalul Oficial al Uniunii Europene L247 din 21 septembrie 2007</w:t>
                  </w:r>
                  <w:r w:rsidRPr="00C37BD3">
                    <w:rPr>
                      <w:rFonts w:ascii="Times New Roman" w:eastAsia="Times New Roman" w:hAnsi="Times New Roman"/>
                      <w:sz w:val="28"/>
                      <w:szCs w:val="28"/>
                      <w:lang w:val="ro-RO" w:eastAsia="ru-RU"/>
                    </w:rPr>
                    <w:t xml:space="preserve">, </w:t>
                  </w:r>
                  <w:hyperlink r:id="rId7" w:tooltip="32019R1243" w:history="1">
                    <w:r w:rsidR="006C5D3D" w:rsidRPr="00C37BD3">
                      <w:rPr>
                        <w:rStyle w:val="a3"/>
                        <w:rFonts w:ascii="Times New Roman" w:eastAsia="Times New Roman" w:hAnsi="Times New Roman"/>
                        <w:bCs/>
                        <w:color w:val="auto"/>
                        <w:sz w:val="28"/>
                        <w:szCs w:val="28"/>
                        <w:u w:val="none"/>
                        <w:lang w:val="ro-RO" w:eastAsia="ru-RU"/>
                      </w:rPr>
                      <w:t>Regulamentul (UE) 2019/1243 al Parlamentului European și al Consiliului din 20 iunie 2019</w:t>
                    </w:r>
                  </w:hyperlink>
                  <w:r w:rsidR="00735722" w:rsidRPr="00C37BD3">
                    <w:rPr>
                      <w:rFonts w:ascii="Times New Roman" w:eastAsia="Times New Roman" w:hAnsi="Times New Roman"/>
                      <w:sz w:val="28"/>
                      <w:szCs w:val="28"/>
                      <w:lang w:val="ro-RO" w:eastAsia="ru-RU"/>
                    </w:rPr>
                    <w:t xml:space="preserve"> publicat în Jurnalul Oficial al Uniunii Europene L198 din 25 iulie 2019.</w:t>
                  </w:r>
                </w:p>
                <w:p w:rsidR="00194120" w:rsidRPr="00C37BD3" w:rsidRDefault="00982672" w:rsidP="00194120">
                  <w:pPr>
                    <w:pStyle w:val="a5"/>
                    <w:ind w:left="239" w:right="2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val="ro-RO" w:eastAsia="ru-RU"/>
                    </w:rPr>
                  </w:pPr>
                  <w:r w:rsidRPr="00C37BD3">
                    <w:rPr>
                      <w:rFonts w:ascii="Times New Roman" w:eastAsia="Times New Roman" w:hAnsi="Times New Roman"/>
                      <w:sz w:val="28"/>
                      <w:szCs w:val="28"/>
                      <w:lang w:val="ro-RO" w:eastAsia="ru-RU"/>
                    </w:rPr>
                    <w:t>Gradul de compatibilitate a actului juridic UE cu proiectul în cauză este reflectat în Tabelul de concordanță elaborat conform prevederilor Regulamentului privind armonizarea legislației Republicii Moldova cu legislația Uniunii Europene</w:t>
                  </w:r>
                  <w:r w:rsidR="00F21BAD" w:rsidRPr="00C37BD3">
                    <w:rPr>
                      <w:rFonts w:ascii="Times New Roman" w:eastAsia="Times New Roman" w:hAnsi="Times New Roman"/>
                      <w:sz w:val="28"/>
                      <w:szCs w:val="28"/>
                      <w:lang w:val="ro-RO" w:eastAsia="ru-RU"/>
                    </w:rPr>
                    <w:t>,</w:t>
                  </w:r>
                  <w:r w:rsidRPr="00C37BD3">
                    <w:rPr>
                      <w:rFonts w:ascii="Times New Roman" w:eastAsia="Times New Roman" w:hAnsi="Times New Roman"/>
                      <w:sz w:val="28"/>
                      <w:szCs w:val="28"/>
                      <w:lang w:val="ro-RO" w:eastAsia="ru-RU"/>
                    </w:rPr>
                    <w:t xml:space="preserve"> aprobat prin Hotărâ</w:t>
                  </w:r>
                  <w:r w:rsidR="0021663A" w:rsidRPr="00C37BD3">
                    <w:rPr>
                      <w:rFonts w:ascii="Times New Roman" w:eastAsia="Times New Roman" w:hAnsi="Times New Roman"/>
                      <w:sz w:val="28"/>
                      <w:szCs w:val="28"/>
                      <w:lang w:val="ro-RO" w:eastAsia="ru-RU"/>
                    </w:rPr>
                    <w:t>rea Guvernului nr.</w:t>
                  </w:r>
                  <w:r w:rsidRPr="00C37BD3">
                    <w:rPr>
                      <w:rFonts w:ascii="Times New Roman" w:eastAsia="Times New Roman" w:hAnsi="Times New Roman"/>
                      <w:sz w:val="28"/>
                      <w:szCs w:val="28"/>
                      <w:lang w:val="ro-RO" w:eastAsia="ru-RU"/>
                    </w:rPr>
                    <w:t>1171/2018.</w:t>
                  </w:r>
                </w:p>
                <w:p w:rsidR="00194120" w:rsidRPr="00C37BD3" w:rsidRDefault="00194120" w:rsidP="0019412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  <w:lang w:val="ro-RO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187983" w:rsidRPr="00C37BD3" w:rsidRDefault="00187983" w:rsidP="00982672">
                  <w:pPr>
                    <w:spacing w:after="0" w:line="240" w:lineRule="auto"/>
                    <w:ind w:left="135" w:right="191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val="ro-RO" w:eastAsia="ru-RU"/>
                    </w:rPr>
                  </w:pPr>
                </w:p>
              </w:tc>
            </w:tr>
          </w:tbl>
          <w:p w:rsidR="00187983" w:rsidRPr="00C37BD3" w:rsidRDefault="00187983" w:rsidP="00187983">
            <w:pPr>
              <w:spacing w:after="0" w:line="240" w:lineRule="auto"/>
              <w:ind w:left="135" w:right="191"/>
              <w:jc w:val="both"/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</w:pPr>
          </w:p>
        </w:tc>
      </w:tr>
      <w:tr w:rsidR="00BC7FB1" w:rsidRPr="00C37BD3" w:rsidTr="003951F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C7FB1" w:rsidRPr="00C37BD3" w:rsidRDefault="00BC7FB1" w:rsidP="00405E12">
            <w:pPr>
              <w:spacing w:after="0" w:line="240" w:lineRule="auto"/>
              <w:ind w:left="135" w:right="191"/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</w:pPr>
            <w:r w:rsidRPr="00C37BD3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ro-RO" w:eastAsia="en-US"/>
              </w:rPr>
              <w:t>4.</w:t>
            </w:r>
            <w:r w:rsidRPr="00C37BD3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 xml:space="preserve"> Principalele prevederi ale proiectului </w:t>
            </w:r>
            <w:proofErr w:type="spellStart"/>
            <w:r w:rsidRPr="00C37BD3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>şi</w:t>
            </w:r>
            <w:proofErr w:type="spellEnd"/>
            <w:r w:rsidRPr="00C37BD3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 xml:space="preserve"> evidențierea elementelor noi </w:t>
            </w:r>
          </w:p>
        </w:tc>
      </w:tr>
      <w:tr w:rsidR="00BC7FB1" w:rsidRPr="00C37BD3" w:rsidTr="003951F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1663A" w:rsidRPr="00C37BD3" w:rsidRDefault="00BC7FB1" w:rsidP="0021663A">
            <w:pPr>
              <w:ind w:left="97" w:right="237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</w:pPr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Proiectul are drept scop </w:t>
            </w:r>
            <w:r w:rsidR="00241FB9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alinierea </w:t>
            </w:r>
            <w:r w:rsidR="0021663A"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preved</w:t>
            </w:r>
            <w:r w:rsidR="00E22452"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e</w:t>
            </w:r>
            <w:r w:rsidR="0021663A"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rilor privind introducerea</w:t>
            </w:r>
            <w:r w:rsidR="00D430BE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și </w:t>
            </w:r>
            <w:r w:rsidR="0021663A"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punerea la dispoziție pe piață</w:t>
            </w:r>
            <w:r w:rsidR="00D430BE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,</w:t>
            </w:r>
            <w:r w:rsidR="00241FB9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punerea în funcțiune</w:t>
            </w:r>
            <w:r w:rsidR="0021663A"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a </w:t>
            </w:r>
            <w:r w:rsidR="00D430BE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mijloacelor de măsurare</w:t>
            </w:r>
            <w:r w:rsidR="00A724F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,</w:t>
            </w:r>
            <w:r w:rsidR="0021663A" w:rsidRPr="00C37BD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 acoperite de Reglementările tehnice prenotate</w:t>
            </w:r>
            <w:r w:rsidR="00A724F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, </w:t>
            </w:r>
            <w:r w:rsidR="0021663A"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</w:t>
            </w:r>
            <w:r w:rsidR="00241FB9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la</w:t>
            </w:r>
            <w:r w:rsidR="0021663A"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actele juridice ale UE</w:t>
            </w:r>
            <w:r w:rsidR="00241FB9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pertinente</w:t>
            </w:r>
            <w:r w:rsidR="0021663A"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și Legea nr.235/2011 privind activitățile de acreditare și de evaluare a conformității</w:t>
            </w:r>
            <w:r w:rsidR="0021663A" w:rsidRPr="00C37BD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.</w:t>
            </w:r>
          </w:p>
          <w:p w:rsidR="00241FB9" w:rsidRPr="00844A7B" w:rsidRDefault="0021663A" w:rsidP="00844A7B">
            <w:pPr>
              <w:spacing w:after="0" w:line="240" w:lineRule="auto"/>
              <w:ind w:left="97" w:right="215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</w:pPr>
            <w:r w:rsidRPr="00C37BD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lastRenderedPageBreak/>
              <w:t xml:space="preserve">Din motivul că la etapa de transpunere aceste prevederi prezentau cerințe primare, fiind stipulate în cadrul legal superior, </w:t>
            </w:r>
            <w:r w:rsidR="00A724F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acestea </w:t>
            </w:r>
            <w:r w:rsidRPr="00C37BD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nu s-au regăsit în proiectele reglementărilor tehnice.</w:t>
            </w:r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În particular, </w:t>
            </w:r>
            <w:r w:rsidRPr="00C37BD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prevederi</w:t>
            </w:r>
            <w:r w:rsidR="00A724F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le</w:t>
            </w:r>
            <w:r w:rsidRPr="00C37BD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 </w:t>
            </w:r>
            <w:r w:rsidR="0073491C" w:rsidRPr="00C37BD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ce </w:t>
            </w:r>
            <w:r w:rsidRPr="00C37BD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țin </w:t>
            </w:r>
            <w:r w:rsidR="00A724F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de </w:t>
            </w:r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reglementarea mai detaliată </w:t>
            </w:r>
            <w:r w:rsidR="00F7718C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a </w:t>
            </w:r>
            <w:r w:rsidR="00A17ADD" w:rsidRPr="00C37BD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principiului de liber</w:t>
            </w:r>
            <w:r w:rsidR="00A724F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a</w:t>
            </w:r>
            <w:r w:rsidR="00A17ADD" w:rsidRPr="00C37BD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 circulaț</w:t>
            </w:r>
            <w:r w:rsidR="00A17ADD" w:rsidRPr="00844A7B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ia a mărfurilor, </w:t>
            </w:r>
            <w:r w:rsidR="00F8364F" w:rsidRPr="00844A7B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prezumți</w:t>
            </w:r>
            <w:r w:rsidR="00065807" w:rsidRPr="00844A7B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ei</w:t>
            </w:r>
            <w:r w:rsidR="00F8364F" w:rsidRPr="00844A7B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 de conformitate</w:t>
            </w:r>
            <w:r w:rsidR="00A724F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,</w:t>
            </w:r>
            <w:r w:rsidR="00F8364F" w:rsidRPr="00844A7B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 </w:t>
            </w:r>
            <w:r w:rsidRPr="00844A7B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introducerea unei clarități în </w:t>
            </w:r>
            <w:r w:rsidR="00E22452" w:rsidRPr="00844A7B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desfășurarea</w:t>
            </w:r>
            <w:r w:rsidRPr="00844A7B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 activităților ce țin de supravegherea pieței</w:t>
            </w:r>
            <w:r w:rsidR="00A17ADD" w:rsidRPr="00844A7B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, și anume aplicarea</w:t>
            </w:r>
            <w:r w:rsidR="00844A7B" w:rsidRPr="00844A7B">
              <w:rPr>
                <w:rFonts w:ascii="Times New Roman" w:eastAsia="Times New Roman" w:hAnsi="Times New Roman"/>
                <w:bCs/>
                <w:sz w:val="28"/>
                <w:szCs w:val="28"/>
                <w:lang w:val="ro-RO"/>
              </w:rPr>
              <w:t xml:space="preserve"> procedurilor pentru mijloace de măsurare care prezintă un risc,</w:t>
            </w:r>
            <w:r w:rsidR="00A17ADD" w:rsidRPr="00844A7B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 </w:t>
            </w:r>
            <w:r w:rsidR="00844A7B" w:rsidRPr="00844A7B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prevăzute de Legea nr.7/2016 privind supravegherea pieței în ceea ce privește comercializarea produselor nealimentare</w:t>
            </w:r>
            <w:r w:rsidRPr="00844A7B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.</w:t>
            </w:r>
            <w:r w:rsidR="00241FB9" w:rsidRPr="00844A7B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 De asemenea,</w:t>
            </w:r>
            <w:r w:rsidR="00844A7B" w:rsidRPr="00844A7B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 </w:t>
            </w:r>
            <w:r w:rsidR="00F7718C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se completează cu prevederi ce țin de </w:t>
            </w:r>
            <w:r w:rsidR="00844A7B" w:rsidRPr="00844A7B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proceduri</w:t>
            </w:r>
            <w:r w:rsidR="00F7718C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le</w:t>
            </w:r>
            <w:r w:rsidR="00844A7B" w:rsidRPr="00844A7B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 de salvgardare și </w:t>
            </w:r>
            <w:r w:rsidR="00F7718C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schimb de informații</w:t>
            </w:r>
            <w:r w:rsidR="00241FB9" w:rsidRPr="00844A7B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 între autorități</w:t>
            </w:r>
            <w:r w:rsidR="00A724F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le</w:t>
            </w:r>
            <w:r w:rsidR="00241FB9" w:rsidRPr="00844A7B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 de reglementare și autorități</w:t>
            </w:r>
            <w:r w:rsidR="00A724F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le</w:t>
            </w:r>
            <w:r w:rsidR="00241FB9" w:rsidRPr="00844A7B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 de supraveghere</w:t>
            </w:r>
            <w:r w:rsidR="00A724F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 </w:t>
            </w:r>
            <w:r w:rsidR="00241FB9" w:rsidRPr="00844A7B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a pieței </w:t>
            </w:r>
            <w:r w:rsidR="00F7718C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naționale</w:t>
            </w:r>
            <w:r w:rsidR="00241FB9" w:rsidRPr="00844A7B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 sau autorități</w:t>
            </w:r>
            <w:r w:rsidR="00A724F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le</w:t>
            </w:r>
            <w:r w:rsidR="00F7718C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 naționale</w:t>
            </w:r>
            <w:r w:rsidR="00241FB9" w:rsidRPr="00844A7B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 și Comisia Europeană.</w:t>
            </w:r>
          </w:p>
          <w:p w:rsidR="00C37BD3" w:rsidRPr="00C37BD3" w:rsidRDefault="00C37BD3" w:rsidP="00844A7B">
            <w:pPr>
              <w:ind w:left="97" w:right="237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</w:pPr>
            <w:r w:rsidRPr="00844A7B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M</w:t>
            </w:r>
            <w:r w:rsidR="0073491C" w:rsidRPr="00844A7B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odificarea </w:t>
            </w:r>
            <w:r w:rsidR="00F7718C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acestor</w:t>
            </w:r>
            <w:r w:rsidR="0073491C" w:rsidRPr="00844A7B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 trei hotărâri ale Guvernului rezultă din necesitatea aducerii acestora în concordanță cu actele normative superioare și excluderii unor interpretări ambigue prin utilizarea </w:t>
            </w:r>
            <w:r w:rsidR="0073491C" w:rsidRPr="00C37BD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corespunzătoare și uni</w:t>
            </w:r>
            <w:r w:rsidR="004657A9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formă a terminologiei juridice.</w:t>
            </w:r>
          </w:p>
          <w:p w:rsidR="00A724F3" w:rsidRDefault="00844A7B">
            <w:pPr>
              <w:ind w:left="97" w:right="237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Din altă perspectivă</w:t>
            </w:r>
            <w:r w:rsidR="0073491C" w:rsidRPr="00C37BD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, </w:t>
            </w:r>
            <w:r w:rsidR="00A17ADD" w:rsidRPr="00C37BD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proiectul </w:t>
            </w:r>
            <w:r w:rsidR="0073491C" w:rsidRPr="00C37BD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prevede ajustarea terminologiei cu terminologia din </w:t>
            </w:r>
            <w:r w:rsidR="00A724F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actele normative în vigoare</w:t>
            </w:r>
            <w:r w:rsidR="006C2D13" w:rsidRPr="00C37BD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, cum ar fi </w:t>
            </w:r>
            <w:r w:rsidR="0073491C" w:rsidRPr="00C37BD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Legea nr.235/2011, </w:t>
            </w:r>
            <w:r w:rsidR="006C2D13" w:rsidRPr="00C37BD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Legea nr.7/2016, 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precum și </w:t>
            </w:r>
            <w:r w:rsidR="006C2D13" w:rsidRPr="00C37BD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Legea nr. 20/2016</w:t>
            </w:r>
            <w:r w:rsidR="00A724F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.</w:t>
            </w:r>
            <w:r w:rsidR="006C2D13" w:rsidRPr="00C37BD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 </w:t>
            </w:r>
          </w:p>
          <w:p w:rsidR="00BC7FB1" w:rsidRPr="00C37BD3" w:rsidRDefault="006C2D13">
            <w:pPr>
              <w:ind w:left="97" w:right="237"/>
              <w:jc w:val="both"/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</w:pPr>
            <w:r w:rsidRPr="00C37BD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Suplimentar se remarcă că, pentru asigurarea aplicării corecte a filosofiei Directivelor de Nouă Abordare</w:t>
            </w:r>
            <w:r w:rsidRPr="00C37BD3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ru-RU"/>
              </w:rPr>
              <w:t xml:space="preserve"> (</w:t>
            </w:r>
            <w:r w:rsidRPr="00C37BD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Directiva 2014/31/UE și</w:t>
            </w:r>
            <w:r w:rsidRPr="00C37BD3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ru-RU"/>
              </w:rPr>
              <w:t xml:space="preserve"> </w:t>
            </w:r>
            <w:r w:rsidRPr="00C37BD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Directiva 2014/33/UE) în reglementările tehnice</w:t>
            </w:r>
            <w:r w:rsidR="002B6577" w:rsidRPr="00C37BD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 pertinente</w:t>
            </w:r>
            <w:r w:rsidRPr="00C37BD3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 au fost stabilite titluri ale Capitolelor și Secțiunilor, precum și au fost transferate unele puncte la Capitole și Secțiuni potrivite.</w:t>
            </w:r>
          </w:p>
        </w:tc>
      </w:tr>
      <w:tr w:rsidR="00BC7FB1" w:rsidRPr="00C37BD3" w:rsidTr="003951F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C7FB1" w:rsidRPr="00C37BD3" w:rsidRDefault="00BC7FB1" w:rsidP="00405E12">
            <w:pPr>
              <w:spacing w:after="0" w:line="240" w:lineRule="auto"/>
              <w:ind w:left="135" w:right="191"/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</w:pPr>
            <w:r w:rsidRPr="00C37BD3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ro-RO" w:eastAsia="en-US"/>
              </w:rPr>
              <w:lastRenderedPageBreak/>
              <w:t>5.</w:t>
            </w:r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</w:t>
            </w:r>
            <w:r w:rsidRPr="00C37BD3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 xml:space="preserve">Fundamentarea </w:t>
            </w:r>
            <w:proofErr w:type="spellStart"/>
            <w:r w:rsidRPr="00C37BD3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>economico</w:t>
            </w:r>
            <w:proofErr w:type="spellEnd"/>
            <w:r w:rsidRPr="00C37BD3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>-financiară</w:t>
            </w:r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</w:t>
            </w:r>
          </w:p>
        </w:tc>
      </w:tr>
      <w:tr w:rsidR="00BC7FB1" w:rsidRPr="00C37BD3" w:rsidTr="003951F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C7FB1" w:rsidRPr="00C37BD3" w:rsidRDefault="00CD3B80" w:rsidP="00405E12">
            <w:pPr>
              <w:spacing w:after="0" w:line="240" w:lineRule="auto"/>
              <w:ind w:left="135" w:right="191"/>
              <w:jc w:val="both"/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</w:pPr>
            <w:r w:rsidRPr="00C37BD3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 xml:space="preserve">Proiectul de hotărâre a Guvernului nu conține prevederi care ar avea impact </w:t>
            </w:r>
            <w:proofErr w:type="spellStart"/>
            <w:r w:rsidRPr="00C37BD3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>economico</w:t>
            </w:r>
            <w:proofErr w:type="spellEnd"/>
            <w:r w:rsidRPr="00C37BD3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>-financiar asupra bugetului public național, astfel implementarea acestuia nu va implica cheltuieli bugetare suplimentare or, nu este necesară instituirea unor structuri sau angajarea de personal suplimentar.</w:t>
            </w:r>
          </w:p>
          <w:p w:rsidR="00CD3B80" w:rsidRPr="00C37BD3" w:rsidRDefault="00CD3B80" w:rsidP="00405E12">
            <w:pPr>
              <w:spacing w:after="0" w:line="240" w:lineRule="auto"/>
              <w:ind w:left="135" w:right="191"/>
              <w:jc w:val="both"/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</w:pPr>
          </w:p>
        </w:tc>
      </w:tr>
      <w:tr w:rsidR="00BC7FB1" w:rsidRPr="00C37BD3" w:rsidTr="003951F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C7FB1" w:rsidRPr="00C37BD3" w:rsidRDefault="00BC7FB1" w:rsidP="00405E12">
            <w:pPr>
              <w:spacing w:after="0" w:line="240" w:lineRule="auto"/>
              <w:ind w:left="135" w:right="191"/>
              <w:jc w:val="both"/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</w:pPr>
            <w:r w:rsidRPr="00C37BD3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ro-RO" w:eastAsia="en-US"/>
              </w:rPr>
              <w:t>6.</w:t>
            </w:r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</w:t>
            </w:r>
            <w:r w:rsidRPr="00C37BD3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>Modul de încorporare a actului în cadrul normativ în vigoare</w:t>
            </w:r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</w:t>
            </w:r>
          </w:p>
        </w:tc>
      </w:tr>
      <w:tr w:rsidR="00BC7FB1" w:rsidRPr="00C37BD3" w:rsidTr="003951F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C7FB1" w:rsidRPr="00C37BD3" w:rsidRDefault="00BC7FB1" w:rsidP="00405E12">
            <w:pPr>
              <w:ind w:left="135" w:right="191"/>
              <w:jc w:val="both"/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</w:pPr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Implementarea proiectului actului normativ nu presupune modificarea sau abrogarea altor acte normative subsecvente.</w:t>
            </w:r>
          </w:p>
        </w:tc>
      </w:tr>
      <w:tr w:rsidR="00BC7FB1" w:rsidRPr="00C37BD3" w:rsidTr="003951F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C7FB1" w:rsidRPr="00C37BD3" w:rsidRDefault="00BC7FB1" w:rsidP="00405E12">
            <w:pPr>
              <w:spacing w:after="0" w:line="240" w:lineRule="auto"/>
              <w:ind w:left="135" w:right="191"/>
              <w:jc w:val="both"/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</w:pPr>
            <w:r w:rsidRPr="00C37BD3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ro-RO" w:eastAsia="en-US"/>
              </w:rPr>
              <w:t>7.</w:t>
            </w:r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</w:t>
            </w:r>
            <w:r w:rsidRPr="00C37BD3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 xml:space="preserve">Avizarea </w:t>
            </w:r>
            <w:proofErr w:type="spellStart"/>
            <w:r w:rsidRPr="00C37BD3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>şi</w:t>
            </w:r>
            <w:proofErr w:type="spellEnd"/>
            <w:r w:rsidRPr="00C37BD3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 xml:space="preserve"> consultarea publică a proiectului</w:t>
            </w:r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</w:t>
            </w:r>
          </w:p>
        </w:tc>
      </w:tr>
      <w:tr w:rsidR="00BC7FB1" w:rsidRPr="00C37BD3" w:rsidTr="003951F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C7FB1" w:rsidRPr="00C37BD3" w:rsidRDefault="00BC7FB1" w:rsidP="00405E12">
            <w:pPr>
              <w:ind w:left="97" w:right="237"/>
              <w:jc w:val="both"/>
              <w:rPr>
                <w:rFonts w:ascii="Times New Roman" w:eastAsiaTheme="minorHAnsi" w:hAnsi="Times New Roman"/>
                <w:sz w:val="28"/>
                <w:szCs w:val="28"/>
                <w:u w:val="single"/>
                <w:lang w:val="ro-RO" w:eastAsia="en-US"/>
              </w:rPr>
            </w:pPr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În scopul respectării prevederilor Legii nr. 239-XVI din 13 noiembrie 2008 privind </w:t>
            </w:r>
            <w:proofErr w:type="spellStart"/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transparenţa</w:t>
            </w:r>
            <w:proofErr w:type="spellEnd"/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în procesul decizional, proiectul a fost plasat pe pagina web oficială a Ministerului </w:t>
            </w:r>
            <w:r w:rsidR="00CD3B80"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Dezvoltării </w:t>
            </w:r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Economi</w:t>
            </w:r>
            <w:r w:rsidR="00CD3B80"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c</w:t>
            </w:r>
            <w:r w:rsidR="00F7718C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e și Digitalizării (</w:t>
            </w:r>
            <w:hyperlink r:id="rId8" w:history="1">
              <w:r w:rsidR="00F7718C" w:rsidRPr="00271353">
                <w:rPr>
                  <w:rStyle w:val="a3"/>
                  <w:rFonts w:ascii="Times New Roman" w:eastAsiaTheme="minorHAnsi" w:hAnsi="Times New Roman"/>
                  <w:sz w:val="28"/>
                  <w:szCs w:val="28"/>
                  <w:lang w:val="ro-RO" w:eastAsia="en-US"/>
                </w:rPr>
                <w:t>www.mded.gov.md</w:t>
              </w:r>
            </w:hyperlink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), la compartimentul „</w:t>
            </w:r>
            <w:proofErr w:type="spellStart"/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Anunţuri</w:t>
            </w:r>
            <w:proofErr w:type="spellEnd"/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privind consultările publice” și portalul </w:t>
            </w:r>
            <w:r w:rsidR="00CD3B80"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guvernamental </w:t>
            </w:r>
            <w:r w:rsidRPr="00C37BD3">
              <w:rPr>
                <w:rFonts w:ascii="Times New Roman" w:eastAsiaTheme="minorHAnsi" w:hAnsi="Times New Roman"/>
                <w:sz w:val="28"/>
                <w:szCs w:val="28"/>
                <w:u w:val="single"/>
                <w:lang w:val="ro-RO" w:eastAsia="en-US"/>
              </w:rPr>
              <w:t>particip.gov.md</w:t>
            </w:r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.</w:t>
            </w:r>
          </w:p>
          <w:p w:rsidR="00BC7FB1" w:rsidRPr="00C37BD3" w:rsidRDefault="00BC7FB1">
            <w:pPr>
              <w:ind w:left="97" w:right="237"/>
              <w:jc w:val="both"/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</w:pPr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Conform prevederilor art. 32 din Legea nr.100/2017 cu privire la actele normative proiectul </w:t>
            </w:r>
            <w:r w:rsidR="00CD3B80"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v</w:t>
            </w:r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a </w:t>
            </w:r>
            <w:r w:rsidR="00A724F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fi</w:t>
            </w:r>
            <w:r w:rsidR="00A724F3"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</w:t>
            </w:r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supus avizării și consultării publice, și respectiv, definitivat în conformitate cu avizele părților interesate.</w:t>
            </w:r>
          </w:p>
        </w:tc>
      </w:tr>
      <w:tr w:rsidR="00BC7FB1" w:rsidRPr="00C37BD3" w:rsidTr="003951F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C7FB1" w:rsidRPr="00C37BD3" w:rsidRDefault="00BC7FB1" w:rsidP="00405E12">
            <w:pPr>
              <w:spacing w:after="0" w:line="240" w:lineRule="auto"/>
              <w:ind w:left="135" w:right="191"/>
              <w:jc w:val="both"/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</w:pPr>
            <w:r w:rsidRPr="00C37BD3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ro-RO" w:eastAsia="en-US"/>
              </w:rPr>
              <w:t>8.</w:t>
            </w:r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</w:t>
            </w:r>
            <w:r w:rsidRPr="00C37BD3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 xml:space="preserve">Constatările expertizei </w:t>
            </w:r>
            <w:proofErr w:type="spellStart"/>
            <w:r w:rsidRPr="00C37BD3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>anticorupţie</w:t>
            </w:r>
            <w:proofErr w:type="spellEnd"/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</w:t>
            </w:r>
          </w:p>
        </w:tc>
      </w:tr>
      <w:tr w:rsidR="00BC7FB1" w:rsidRPr="00C37BD3" w:rsidTr="003951F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95"/>
            </w:tblGrid>
            <w:tr w:rsidR="00E22452" w:rsidRPr="00C37BD3">
              <w:trPr>
                <w:trHeight w:val="294"/>
              </w:trPr>
              <w:tc>
                <w:tcPr>
                  <w:tcW w:w="0" w:type="auto"/>
                </w:tcPr>
                <w:p w:rsidR="00E22452" w:rsidRPr="00C37BD3" w:rsidRDefault="00E22452" w:rsidP="00E22452">
                  <w:pPr>
                    <w:autoSpaceDE w:val="0"/>
                    <w:autoSpaceDN w:val="0"/>
                    <w:adjustRightInd w:val="0"/>
                    <w:ind w:left="97"/>
                    <w:jc w:val="both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  <w:lang w:val="ro-RO" w:eastAsia="en-US"/>
                    </w:rPr>
                  </w:pPr>
                  <w:r w:rsidRPr="00C37BD3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  <w:lang w:val="ro-RO" w:eastAsia="en-US"/>
                    </w:rPr>
                    <w:t xml:space="preserve">Proiectul va fi supus expertizei anticorupție, conform art. 35 din Legea nr.100/2017 cu privire la actele normative, iar rezultatele acesteia vor fi </w:t>
                  </w:r>
                  <w:r w:rsidR="004657A9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  <w:lang w:val="ro-RO" w:eastAsia="en-US"/>
                    </w:rPr>
                    <w:t>incluse în S</w:t>
                  </w:r>
                  <w:r w:rsidRPr="00C37BD3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  <w:lang w:val="ro-RO" w:eastAsia="en-US"/>
                    </w:rPr>
                    <w:t>inteza obiecțiilor și propunerilor la proiect.</w:t>
                  </w:r>
                </w:p>
              </w:tc>
            </w:tr>
          </w:tbl>
          <w:p w:rsidR="00BC7FB1" w:rsidRPr="00C37BD3" w:rsidRDefault="00BC7FB1" w:rsidP="00405E12">
            <w:pPr>
              <w:autoSpaceDE w:val="0"/>
              <w:autoSpaceDN w:val="0"/>
              <w:adjustRightInd w:val="0"/>
              <w:ind w:left="97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ro-RO" w:eastAsia="en-US"/>
              </w:rPr>
            </w:pPr>
          </w:p>
        </w:tc>
      </w:tr>
      <w:tr w:rsidR="00BC7FB1" w:rsidRPr="00C37BD3" w:rsidTr="003951F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C7FB1" w:rsidRPr="00C37BD3" w:rsidRDefault="00BC7FB1" w:rsidP="00405E12">
            <w:pPr>
              <w:spacing w:after="0" w:line="240" w:lineRule="auto"/>
              <w:ind w:left="135" w:right="191"/>
              <w:jc w:val="both"/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</w:pPr>
            <w:r w:rsidRPr="00C37BD3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ro-RO" w:eastAsia="en-US"/>
              </w:rPr>
              <w:t>9.</w:t>
            </w:r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</w:t>
            </w:r>
            <w:r w:rsidRPr="00C37BD3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>Constatările expertizei de compatibilitate</w:t>
            </w:r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</w:t>
            </w:r>
          </w:p>
        </w:tc>
      </w:tr>
      <w:tr w:rsidR="00BC7FB1" w:rsidRPr="00C37BD3" w:rsidTr="003951F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C7FB1" w:rsidRDefault="004657A9" w:rsidP="004657A9">
            <w:pPr>
              <w:spacing w:after="0" w:line="240" w:lineRule="auto"/>
              <w:ind w:left="135" w:right="191"/>
              <w:jc w:val="both"/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Î</w:t>
            </w:r>
            <w:proofErr w:type="spellStart"/>
            <w:r w:rsidR="00E22452"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ntrucât</w:t>
            </w:r>
            <w:proofErr w:type="spellEnd"/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p</w:t>
            </w:r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roiectul</w:t>
            </w:r>
            <w:r w:rsidR="00E22452"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conține norme privind armonizarea legislației naționale cu legislația Uniunii Europene, </w:t>
            </w:r>
            <w:r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acesta </w:t>
            </w:r>
            <w:r w:rsidR="00E22452"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urmează a fi supus expertizei de compatibilitate cu legislația Uniunii Europene de către Centrul de Armonizare a Legislației.</w:t>
            </w:r>
          </w:p>
          <w:p w:rsidR="004657A9" w:rsidRPr="00C37BD3" w:rsidRDefault="004657A9" w:rsidP="004657A9">
            <w:pPr>
              <w:spacing w:after="0" w:line="240" w:lineRule="auto"/>
              <w:ind w:left="135" w:right="191"/>
              <w:jc w:val="both"/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</w:pPr>
          </w:p>
        </w:tc>
      </w:tr>
      <w:tr w:rsidR="00BC7FB1" w:rsidRPr="00C37BD3" w:rsidTr="003951F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C7FB1" w:rsidRPr="00C37BD3" w:rsidRDefault="00BC7FB1" w:rsidP="00405E12">
            <w:pPr>
              <w:spacing w:after="0" w:line="240" w:lineRule="auto"/>
              <w:ind w:left="135" w:right="191"/>
              <w:jc w:val="both"/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</w:pPr>
            <w:r w:rsidRPr="00C37BD3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ro-RO" w:eastAsia="en-US"/>
              </w:rPr>
              <w:t>10.</w:t>
            </w:r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</w:t>
            </w:r>
            <w:r w:rsidRPr="00C37BD3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>Constatările expertizei juridice</w:t>
            </w:r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</w:t>
            </w:r>
          </w:p>
        </w:tc>
      </w:tr>
      <w:tr w:rsidR="00BC7FB1" w:rsidRPr="00C37BD3" w:rsidTr="003951F7">
        <w:trPr>
          <w:trHeight w:val="487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C7FB1" w:rsidRDefault="00E22452" w:rsidP="00E22452">
            <w:pPr>
              <w:spacing w:after="0" w:line="240" w:lineRule="auto"/>
              <w:ind w:left="97" w:right="191"/>
              <w:jc w:val="both"/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</w:pPr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Proiectul va fi supus expertizei juridice, conform art.37 din Legea nr.100/2017 cu privire la actele normative, iar rezultatele examinării acesteia vor fi reflectate în Sinteza obiecțiilor și propunerilor.</w:t>
            </w:r>
          </w:p>
          <w:p w:rsidR="003951F7" w:rsidRPr="00C37BD3" w:rsidRDefault="003951F7" w:rsidP="00E22452">
            <w:pPr>
              <w:spacing w:after="0" w:line="240" w:lineRule="auto"/>
              <w:ind w:left="97" w:right="191"/>
              <w:jc w:val="both"/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</w:pPr>
          </w:p>
        </w:tc>
      </w:tr>
      <w:tr w:rsidR="00BC7FB1" w:rsidRPr="00C37BD3" w:rsidTr="003951F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C7FB1" w:rsidRPr="00C37BD3" w:rsidRDefault="00BC7FB1" w:rsidP="00405E12">
            <w:pPr>
              <w:spacing w:after="0" w:line="240" w:lineRule="auto"/>
              <w:ind w:left="135" w:right="191"/>
              <w:jc w:val="both"/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</w:pPr>
            <w:r w:rsidRPr="00C37BD3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ro-RO" w:eastAsia="en-US"/>
              </w:rPr>
              <w:t>11.</w:t>
            </w:r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</w:t>
            </w:r>
            <w:r w:rsidRPr="00C37BD3">
              <w:rPr>
                <w:rFonts w:ascii="Times New Roman" w:eastAsiaTheme="minorHAnsi" w:hAnsi="Times New Roman"/>
                <w:b/>
                <w:sz w:val="28"/>
                <w:szCs w:val="28"/>
                <w:lang w:val="ro-RO" w:eastAsia="en-US"/>
              </w:rPr>
              <w:t>Constatările altor expertize</w:t>
            </w:r>
            <w:r w:rsidRPr="00C37BD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</w:t>
            </w:r>
          </w:p>
        </w:tc>
      </w:tr>
      <w:tr w:rsidR="00BC7FB1" w:rsidRPr="00C37BD3" w:rsidTr="003951F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95"/>
            </w:tblGrid>
            <w:tr w:rsidR="00BC7FB1" w:rsidRPr="00C37BD3" w:rsidTr="00405E12">
              <w:trPr>
                <w:trHeight w:val="523"/>
              </w:trPr>
              <w:tc>
                <w:tcPr>
                  <w:tcW w:w="0" w:type="auto"/>
                </w:tcPr>
                <w:p w:rsidR="00BC7FB1" w:rsidRPr="00C37BD3" w:rsidRDefault="00BC7FB1" w:rsidP="00405E12">
                  <w:pPr>
                    <w:spacing w:after="0" w:line="240" w:lineRule="auto"/>
                    <w:ind w:right="191"/>
                    <w:jc w:val="both"/>
                    <w:rPr>
                      <w:rFonts w:ascii="Times New Roman" w:eastAsiaTheme="minorHAnsi" w:hAnsi="Times New Roman"/>
                      <w:sz w:val="28"/>
                      <w:szCs w:val="28"/>
                      <w:lang w:val="ro-RO" w:eastAsia="en-US"/>
                    </w:rPr>
                  </w:pPr>
                  <w:r w:rsidRPr="00C37BD3">
                    <w:rPr>
                      <w:rFonts w:ascii="Times New Roman" w:eastAsiaTheme="minorHAnsi" w:hAnsi="Times New Roman"/>
                      <w:sz w:val="28"/>
                      <w:szCs w:val="28"/>
                      <w:lang w:val="ro-RO" w:eastAsia="en-US"/>
                    </w:rPr>
                    <w:t>Proiectul nu conține prevederi de reglementare a activității de întreprinzător în contextul Legii nr.235/2006 cu privire la principiile de bază de reglementare a activității de întreprinzător, astfel decăzând necesitatea examinării proiectului de către Grupul de lucru pentru reglementarea activității de întreprinzător.</w:t>
                  </w:r>
                </w:p>
                <w:p w:rsidR="00BC7FB1" w:rsidRPr="00C37BD3" w:rsidRDefault="00BC7FB1" w:rsidP="00405E12">
                  <w:pPr>
                    <w:spacing w:after="0" w:line="240" w:lineRule="auto"/>
                    <w:ind w:left="135" w:right="191"/>
                    <w:jc w:val="both"/>
                    <w:rPr>
                      <w:rFonts w:ascii="Times New Roman" w:eastAsiaTheme="minorHAnsi" w:hAnsi="Times New Roman"/>
                      <w:sz w:val="28"/>
                      <w:szCs w:val="28"/>
                      <w:lang w:val="ro-RO" w:eastAsia="en-US"/>
                    </w:rPr>
                  </w:pPr>
                </w:p>
              </w:tc>
            </w:tr>
          </w:tbl>
          <w:p w:rsidR="00BC7FB1" w:rsidRPr="00C37BD3" w:rsidRDefault="00BC7FB1" w:rsidP="00405E12">
            <w:pPr>
              <w:spacing w:after="0" w:line="240" w:lineRule="auto"/>
              <w:ind w:left="135" w:right="191"/>
              <w:jc w:val="both"/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</w:pPr>
          </w:p>
        </w:tc>
      </w:tr>
    </w:tbl>
    <w:p w:rsidR="00BC7FB1" w:rsidRPr="00C37BD3" w:rsidRDefault="00BC7FB1" w:rsidP="00BC7FB1">
      <w:pPr>
        <w:tabs>
          <w:tab w:val="left" w:pos="9498"/>
        </w:tabs>
        <w:spacing w:after="0" w:line="240" w:lineRule="auto"/>
        <w:ind w:right="191" w:firstLine="720"/>
        <w:rPr>
          <w:rFonts w:ascii="Times New Roman" w:eastAsiaTheme="minorHAnsi" w:hAnsi="Times New Roman"/>
          <w:b/>
          <w:sz w:val="28"/>
          <w:szCs w:val="28"/>
          <w:lang w:val="ro-RO" w:eastAsia="en-US"/>
        </w:rPr>
      </w:pPr>
    </w:p>
    <w:p w:rsidR="00BC7FB1" w:rsidRPr="00C37BD3" w:rsidRDefault="00BC7FB1" w:rsidP="00BC7FB1">
      <w:pPr>
        <w:tabs>
          <w:tab w:val="left" w:pos="9498"/>
        </w:tabs>
        <w:spacing w:after="0" w:line="240" w:lineRule="auto"/>
        <w:ind w:right="191" w:firstLine="720"/>
        <w:rPr>
          <w:rFonts w:ascii="Times New Roman" w:eastAsiaTheme="minorHAnsi" w:hAnsi="Times New Roman"/>
          <w:b/>
          <w:sz w:val="28"/>
          <w:szCs w:val="28"/>
          <w:lang w:val="ro-RO" w:eastAsia="en-US"/>
        </w:rPr>
      </w:pPr>
    </w:p>
    <w:p w:rsidR="00BC7FB1" w:rsidRPr="00C37BD3" w:rsidRDefault="00F739F3" w:rsidP="00F739F3">
      <w:pPr>
        <w:tabs>
          <w:tab w:val="left" w:pos="0"/>
          <w:tab w:val="left" w:pos="9476"/>
        </w:tabs>
        <w:spacing w:after="0" w:line="240" w:lineRule="auto"/>
        <w:ind w:right="191" w:firstLine="720"/>
        <w:rPr>
          <w:rFonts w:ascii="Times New Roman" w:eastAsiaTheme="minorHAnsi" w:hAnsi="Times New Roman"/>
          <w:b/>
          <w:sz w:val="28"/>
          <w:szCs w:val="28"/>
          <w:lang w:val="ro-RO"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val="ro-RO" w:eastAsia="en-US"/>
        </w:rPr>
        <w:t>Secretar de stat                                                         Vadim GUMENE</w:t>
      </w:r>
    </w:p>
    <w:p w:rsidR="00BC7FB1" w:rsidRPr="00C37BD3" w:rsidRDefault="00BC7FB1" w:rsidP="00BC7FB1">
      <w:pPr>
        <w:rPr>
          <w:lang w:val="ro-RO"/>
        </w:rPr>
      </w:pPr>
    </w:p>
    <w:sectPr w:rsidR="00BC7FB1" w:rsidRPr="00C37BD3" w:rsidSect="003951F7">
      <w:pgSz w:w="11907" w:h="16839" w:code="9"/>
      <w:pgMar w:top="567" w:right="1106" w:bottom="1276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00E5A"/>
    <w:multiLevelType w:val="hybridMultilevel"/>
    <w:tmpl w:val="A71A1766"/>
    <w:lvl w:ilvl="0" w:tplc="1B9CB640">
      <w:start w:val="6"/>
      <w:numFmt w:val="bullet"/>
      <w:lvlText w:val="-"/>
      <w:lvlJc w:val="left"/>
      <w:pPr>
        <w:ind w:left="1048" w:hanging="360"/>
      </w:pPr>
      <w:rPr>
        <w:rFonts w:ascii="Times New Roman" w:eastAsia="Calibri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1" w15:restartNumberingAfterBreak="0">
    <w:nsid w:val="65246376"/>
    <w:multiLevelType w:val="hybridMultilevel"/>
    <w:tmpl w:val="76A88EEA"/>
    <w:lvl w:ilvl="0" w:tplc="5BBE25D2">
      <w:start w:val="2"/>
      <w:numFmt w:val="bullet"/>
      <w:lvlText w:val="-"/>
      <w:lvlJc w:val="left"/>
      <w:pPr>
        <w:ind w:left="45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06"/>
    <w:rsid w:val="00012E06"/>
    <w:rsid w:val="000247B4"/>
    <w:rsid w:val="00065807"/>
    <w:rsid w:val="000671AB"/>
    <w:rsid w:val="00127BDE"/>
    <w:rsid w:val="00187983"/>
    <w:rsid w:val="00194120"/>
    <w:rsid w:val="0021663A"/>
    <w:rsid w:val="00241FB9"/>
    <w:rsid w:val="002B6577"/>
    <w:rsid w:val="003127B2"/>
    <w:rsid w:val="003951F7"/>
    <w:rsid w:val="004657A9"/>
    <w:rsid w:val="004A3A74"/>
    <w:rsid w:val="005754AD"/>
    <w:rsid w:val="005A59D1"/>
    <w:rsid w:val="006C2D13"/>
    <w:rsid w:val="006C5D3D"/>
    <w:rsid w:val="0073491C"/>
    <w:rsid w:val="00735722"/>
    <w:rsid w:val="00824F6C"/>
    <w:rsid w:val="00844A7B"/>
    <w:rsid w:val="00854899"/>
    <w:rsid w:val="008E28B5"/>
    <w:rsid w:val="00982672"/>
    <w:rsid w:val="00A17ADD"/>
    <w:rsid w:val="00A269A1"/>
    <w:rsid w:val="00A724F3"/>
    <w:rsid w:val="00BC7FB1"/>
    <w:rsid w:val="00C37BD3"/>
    <w:rsid w:val="00CD3B80"/>
    <w:rsid w:val="00CD3F29"/>
    <w:rsid w:val="00CE22CF"/>
    <w:rsid w:val="00D430BE"/>
    <w:rsid w:val="00D81341"/>
    <w:rsid w:val="00D965C4"/>
    <w:rsid w:val="00E22452"/>
    <w:rsid w:val="00E234D4"/>
    <w:rsid w:val="00F21BAD"/>
    <w:rsid w:val="00F739F3"/>
    <w:rsid w:val="00F7718C"/>
    <w:rsid w:val="00F8364F"/>
    <w:rsid w:val="00FC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817B0-4460-410C-ACEA-091E439D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FB1"/>
    <w:rPr>
      <w:rFonts w:eastAsiaTheme="minorEastAsia" w:cs="Times New Roman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C7FB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C5D3D"/>
    <w:pPr>
      <w:ind w:left="720"/>
      <w:contextualSpacing/>
    </w:pPr>
  </w:style>
  <w:style w:type="paragraph" w:styleId="a5">
    <w:name w:val="No Spacing"/>
    <w:uiPriority w:val="1"/>
    <w:qFormat/>
    <w:rsid w:val="00194120"/>
    <w:pPr>
      <w:spacing w:after="0" w:line="240" w:lineRule="auto"/>
    </w:pPr>
    <w:rPr>
      <w:rFonts w:eastAsiaTheme="minorEastAsia" w:cs="Times New Roman"/>
      <w:lang w:eastAsia="en-GB"/>
    </w:rPr>
  </w:style>
  <w:style w:type="paragraph" w:styleId="a6">
    <w:name w:val="Balloon Text"/>
    <w:basedOn w:val="a"/>
    <w:link w:val="a7"/>
    <w:uiPriority w:val="99"/>
    <w:semiHidden/>
    <w:unhideWhenUsed/>
    <w:rsid w:val="00395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51F7"/>
    <w:rPr>
      <w:rFonts w:ascii="Segoe UI" w:eastAsiaTheme="minorEastAsia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1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ded.gov.m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RO/AUTO/?uri=celex:32019R1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RO/AUTO/?uri=celex:32007L0045" TargetMode="External"/><Relationship Id="rId5" Type="http://schemas.openxmlformats.org/officeDocument/2006/relationships/hyperlink" Target="https://eur-lex.europa.eu/legal-content/RO/AUTO/?uri=celex:31978L089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4</Pages>
  <Words>1317</Words>
  <Characters>8395</Characters>
  <Application>Microsoft Office Word</Application>
  <DocSecurity>0</DocSecurity>
  <Lines>161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25</cp:revision>
  <dcterms:created xsi:type="dcterms:W3CDTF">2023-03-07T05:54:00Z</dcterms:created>
  <dcterms:modified xsi:type="dcterms:W3CDTF">2023-04-03T11:39:00Z</dcterms:modified>
</cp:coreProperties>
</file>