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A3614" w14:textId="77777777" w:rsidR="00E65393" w:rsidRDefault="00E65393" w:rsidP="00813441">
      <w:pPr>
        <w:pStyle w:val="NoSpacing"/>
        <w:jc w:val="center"/>
        <w:rPr>
          <w:rFonts w:ascii="Times New Roman" w:hAnsi="Times New Roman" w:cs="Times New Roman"/>
          <w:b/>
          <w:bCs/>
          <w:sz w:val="24"/>
          <w:szCs w:val="24"/>
          <w:lang w:val="ro-MD"/>
        </w:rPr>
      </w:pPr>
    </w:p>
    <w:p w14:paraId="3DD75068" w14:textId="77777777" w:rsidR="00E65393" w:rsidRDefault="00E65393" w:rsidP="00813441">
      <w:pPr>
        <w:pStyle w:val="NoSpacing"/>
        <w:jc w:val="center"/>
        <w:rPr>
          <w:rFonts w:ascii="Times New Roman" w:hAnsi="Times New Roman" w:cs="Times New Roman"/>
          <w:b/>
          <w:bCs/>
          <w:sz w:val="24"/>
          <w:szCs w:val="24"/>
          <w:lang w:val="ro-MD"/>
        </w:rPr>
      </w:pPr>
    </w:p>
    <w:p w14:paraId="5FAE5E6B" w14:textId="04C9693F" w:rsidR="00EE0C61" w:rsidRPr="00813441" w:rsidRDefault="00EE0C61" w:rsidP="00813441">
      <w:pPr>
        <w:pStyle w:val="NoSpacing"/>
        <w:jc w:val="center"/>
        <w:rPr>
          <w:rFonts w:ascii="Times New Roman" w:hAnsi="Times New Roman" w:cs="Times New Roman"/>
          <w:b/>
          <w:bCs/>
          <w:sz w:val="24"/>
          <w:szCs w:val="24"/>
          <w:lang w:val="ro-MD"/>
        </w:rPr>
      </w:pPr>
      <w:r w:rsidRPr="00813441">
        <w:rPr>
          <w:rFonts w:ascii="Times New Roman" w:hAnsi="Times New Roman" w:cs="Times New Roman"/>
          <w:b/>
          <w:bCs/>
          <w:sz w:val="24"/>
          <w:szCs w:val="24"/>
          <w:lang w:val="ro-MD"/>
        </w:rPr>
        <w:t>NOTA INFORMATIVĂ</w:t>
      </w:r>
    </w:p>
    <w:p w14:paraId="3F69136D" w14:textId="358F5561" w:rsidR="00EE0C61" w:rsidRPr="00813441" w:rsidRDefault="00EE0C61" w:rsidP="00813441">
      <w:pPr>
        <w:pStyle w:val="NoSpacing"/>
        <w:jc w:val="center"/>
        <w:rPr>
          <w:rFonts w:ascii="Times New Roman" w:hAnsi="Times New Roman" w:cs="Times New Roman"/>
          <w:b/>
          <w:bCs/>
          <w:sz w:val="24"/>
          <w:szCs w:val="24"/>
          <w:lang w:val="ro-RO"/>
        </w:rPr>
      </w:pPr>
      <w:r w:rsidRPr="00813441">
        <w:rPr>
          <w:rFonts w:ascii="Times New Roman" w:hAnsi="Times New Roman" w:cs="Times New Roman"/>
          <w:b/>
          <w:bCs/>
          <w:sz w:val="24"/>
          <w:szCs w:val="24"/>
          <w:lang w:val="ro-RO"/>
        </w:rPr>
        <w:t xml:space="preserve">cu privire la </w:t>
      </w:r>
      <w:r w:rsidR="006E0BAD">
        <w:rPr>
          <w:rFonts w:ascii="Times New Roman" w:hAnsi="Times New Roman" w:cs="Times New Roman"/>
          <w:b/>
          <w:bCs/>
          <w:sz w:val="24"/>
          <w:szCs w:val="24"/>
          <w:lang w:val="ro-RO"/>
        </w:rPr>
        <w:t xml:space="preserve">proiectul hotărârii Guvernului cu privire la </w:t>
      </w:r>
      <w:r w:rsidRPr="00813441">
        <w:rPr>
          <w:rFonts w:ascii="Times New Roman" w:hAnsi="Times New Roman" w:cs="Times New Roman"/>
          <w:b/>
          <w:bCs/>
          <w:sz w:val="24"/>
          <w:szCs w:val="24"/>
          <w:lang w:val="ro-RO"/>
        </w:rPr>
        <w:t xml:space="preserve">transmiterea unor bunuri imobile </w:t>
      </w:r>
    </w:p>
    <w:p w14:paraId="03E150A8" w14:textId="77777777" w:rsidR="006E0BAD" w:rsidRDefault="00EE0C61" w:rsidP="00813441">
      <w:pPr>
        <w:pStyle w:val="NoSpacing"/>
        <w:jc w:val="center"/>
        <w:rPr>
          <w:rFonts w:ascii="Times New Roman" w:hAnsi="Times New Roman" w:cs="Times New Roman"/>
          <w:b/>
          <w:bCs/>
          <w:sz w:val="24"/>
          <w:szCs w:val="24"/>
          <w:lang w:val="ro-RO"/>
        </w:rPr>
      </w:pPr>
      <w:r w:rsidRPr="00813441">
        <w:rPr>
          <w:rFonts w:ascii="Times New Roman" w:hAnsi="Times New Roman" w:cs="Times New Roman"/>
          <w:b/>
          <w:bCs/>
          <w:sz w:val="24"/>
          <w:szCs w:val="24"/>
          <w:lang w:val="ro-RO"/>
        </w:rPr>
        <w:t xml:space="preserve">și modificarea Hotărârii Guvernului nr.351/2005 cu privire la aprobarea listei bunurilor imobile proprietate publică a statului și la transmiterea unor bunuri imobile </w:t>
      </w:r>
    </w:p>
    <w:p w14:paraId="51D9E823" w14:textId="1209251C" w:rsidR="00EE0C61" w:rsidRPr="006E0BAD" w:rsidRDefault="00EE0C61" w:rsidP="00813441">
      <w:pPr>
        <w:pStyle w:val="NoSpacing"/>
        <w:jc w:val="center"/>
        <w:rPr>
          <w:rFonts w:ascii="Times New Roman" w:hAnsi="Times New Roman" w:cs="Times New Roman"/>
          <w:sz w:val="24"/>
          <w:szCs w:val="24"/>
          <w:lang w:val="ro-RO"/>
        </w:rPr>
      </w:pPr>
      <w:r w:rsidRPr="006E0BAD">
        <w:rPr>
          <w:rFonts w:ascii="Times New Roman" w:hAnsi="Times New Roman" w:cs="Times New Roman"/>
          <w:sz w:val="24"/>
          <w:szCs w:val="24"/>
          <w:lang w:val="ro-RO"/>
        </w:rPr>
        <w:t xml:space="preserve">(transmiterea spre administrare Agenției Proprietății Publice </w:t>
      </w:r>
    </w:p>
    <w:p w14:paraId="2FAB6427" w14:textId="77777777" w:rsidR="00EE0C61" w:rsidRPr="006E0BAD" w:rsidRDefault="00EE0C61" w:rsidP="00813441">
      <w:pPr>
        <w:pStyle w:val="NoSpacing"/>
        <w:jc w:val="center"/>
        <w:rPr>
          <w:rFonts w:ascii="Times New Roman" w:hAnsi="Times New Roman" w:cs="Times New Roman"/>
          <w:sz w:val="24"/>
          <w:szCs w:val="24"/>
          <w:lang w:val="ro-MD"/>
        </w:rPr>
      </w:pPr>
      <w:r w:rsidRPr="006E0BAD">
        <w:rPr>
          <w:rFonts w:ascii="Times New Roman" w:hAnsi="Times New Roman" w:cs="Times New Roman"/>
          <w:sz w:val="24"/>
          <w:szCs w:val="24"/>
          <w:lang w:val="ro-RO"/>
        </w:rPr>
        <w:t>a unor bunuri proprietate a publică a statului)</w:t>
      </w:r>
    </w:p>
    <w:p w14:paraId="74B04A5F" w14:textId="77777777" w:rsidR="00E30BD3" w:rsidRPr="00813441" w:rsidRDefault="00E30BD3" w:rsidP="008F3C2A">
      <w:pPr>
        <w:widowControl w:val="0"/>
        <w:spacing w:after="0" w:line="240" w:lineRule="auto"/>
        <w:jc w:val="both"/>
        <w:rPr>
          <w:rFonts w:ascii="Times New Roman" w:eastAsia="Courier New" w:hAnsi="Times New Roman" w:cs="Times New Roman"/>
          <w:color w:val="000000"/>
          <w:sz w:val="24"/>
          <w:szCs w:val="24"/>
          <w:lang w:val="ro-MD" w:eastAsia="ro-RO" w:bidi="ro-RO"/>
        </w:rPr>
      </w:pPr>
    </w:p>
    <w:tbl>
      <w:tblPr>
        <w:tblW w:w="5096" w:type="pct"/>
        <w:tblLook w:val="00A0" w:firstRow="1" w:lastRow="0" w:firstColumn="1" w:lastColumn="0" w:noHBand="0" w:noVBand="0"/>
      </w:tblPr>
      <w:tblGrid>
        <w:gridCol w:w="9540"/>
      </w:tblGrid>
      <w:tr w:rsidR="00E30BD3" w:rsidRPr="00E65393" w14:paraId="78C4F273" w14:textId="77777777" w:rsidTr="00227EF8">
        <w:tc>
          <w:tcPr>
            <w:tcW w:w="5000" w:type="pct"/>
            <w:shd w:val="clear" w:color="auto" w:fill="D9D9D9" w:themeFill="background1" w:themeFillShade="D9"/>
            <w:hideMark/>
          </w:tcPr>
          <w:p w14:paraId="2A221679" w14:textId="162785C2" w:rsidR="00E30BD3" w:rsidRPr="00813441" w:rsidRDefault="00E30BD3" w:rsidP="008F3C2A">
            <w:pPr>
              <w:widowControl w:val="0"/>
              <w:tabs>
                <w:tab w:val="left" w:pos="884"/>
                <w:tab w:val="left" w:pos="1196"/>
              </w:tabs>
              <w:spacing w:after="0" w:line="240" w:lineRule="auto"/>
              <w:jc w:val="both"/>
              <w:rPr>
                <w:rFonts w:ascii="Times New Roman" w:eastAsia="Calibri" w:hAnsi="Times New Roman" w:cs="Times New Roman"/>
                <w:color w:val="000000" w:themeColor="text1"/>
                <w:sz w:val="24"/>
                <w:szCs w:val="24"/>
                <w:lang w:val="ro-MD" w:eastAsia="ro-RO" w:bidi="ro-RO"/>
              </w:rPr>
            </w:pPr>
            <w:r w:rsidRPr="00813441">
              <w:rPr>
                <w:rFonts w:ascii="Times New Roman" w:eastAsia="Courier New" w:hAnsi="Times New Roman" w:cs="Times New Roman"/>
                <w:b/>
                <w:bCs/>
                <w:color w:val="000000" w:themeColor="text1"/>
                <w:sz w:val="24"/>
                <w:szCs w:val="24"/>
                <w:lang w:val="ro-MD" w:eastAsia="ro-RO" w:bidi="ro-RO"/>
              </w:rPr>
              <w:t>1. Denumirea autorulu</w:t>
            </w:r>
            <w:r w:rsidR="00093FBE" w:rsidRPr="00813441">
              <w:rPr>
                <w:rFonts w:ascii="Times New Roman" w:eastAsia="Courier New" w:hAnsi="Times New Roman" w:cs="Times New Roman"/>
                <w:b/>
                <w:bCs/>
                <w:color w:val="000000" w:themeColor="text1"/>
                <w:sz w:val="24"/>
                <w:szCs w:val="24"/>
                <w:lang w:val="ro-MD" w:eastAsia="ro-RO" w:bidi="ro-RO"/>
              </w:rPr>
              <w:t>i</w:t>
            </w:r>
            <w:r w:rsidR="00D701C1" w:rsidRPr="00813441">
              <w:rPr>
                <w:rFonts w:ascii="Times New Roman" w:eastAsia="Courier New" w:hAnsi="Times New Roman" w:cs="Times New Roman"/>
                <w:b/>
                <w:bCs/>
                <w:color w:val="000000" w:themeColor="text1"/>
                <w:sz w:val="24"/>
                <w:szCs w:val="24"/>
                <w:lang w:val="ro-MD" w:eastAsia="ro-RO" w:bidi="ro-RO"/>
              </w:rPr>
              <w:t xml:space="preserve"> și, după caz,  a participanților la elaborarea </w:t>
            </w:r>
            <w:r w:rsidRPr="00813441">
              <w:rPr>
                <w:rFonts w:ascii="Times New Roman" w:eastAsia="Courier New" w:hAnsi="Times New Roman" w:cs="Times New Roman"/>
                <w:b/>
                <w:bCs/>
                <w:color w:val="000000" w:themeColor="text1"/>
                <w:sz w:val="24"/>
                <w:szCs w:val="24"/>
                <w:lang w:val="ro-MD" w:eastAsia="ro-RO" w:bidi="ro-RO"/>
              </w:rPr>
              <w:t>proiectului</w:t>
            </w:r>
          </w:p>
        </w:tc>
      </w:tr>
      <w:tr w:rsidR="00E30BD3" w:rsidRPr="00E65393" w14:paraId="451AC8B7" w14:textId="77777777" w:rsidTr="00227EF8">
        <w:tc>
          <w:tcPr>
            <w:tcW w:w="5000" w:type="pct"/>
          </w:tcPr>
          <w:p w14:paraId="6B7C7026" w14:textId="14072A77" w:rsidR="00E30BD3" w:rsidRPr="00813441" w:rsidRDefault="008021EF" w:rsidP="008F3C2A">
            <w:pPr>
              <w:widowControl w:val="0"/>
              <w:tabs>
                <w:tab w:val="left" w:pos="884"/>
                <w:tab w:val="left" w:pos="1196"/>
              </w:tabs>
              <w:spacing w:after="0" w:line="240" w:lineRule="auto"/>
              <w:jc w:val="both"/>
              <w:rPr>
                <w:rFonts w:ascii="Times New Roman" w:hAnsi="Times New Roman" w:cs="Times New Roman"/>
                <w:sz w:val="24"/>
                <w:szCs w:val="24"/>
                <w:lang w:val="ro-MD"/>
              </w:rPr>
            </w:pPr>
            <w:r w:rsidRPr="00813441">
              <w:rPr>
                <w:rFonts w:ascii="Times New Roman" w:hAnsi="Times New Roman" w:cs="Times New Roman"/>
                <w:sz w:val="24"/>
                <w:szCs w:val="24"/>
                <w:lang w:val="ro-MD"/>
              </w:rPr>
              <w:t>P</w:t>
            </w:r>
            <w:r w:rsidR="006E0BAD">
              <w:rPr>
                <w:rFonts w:ascii="Times New Roman" w:hAnsi="Times New Roman" w:cs="Times New Roman"/>
                <w:sz w:val="24"/>
                <w:szCs w:val="24"/>
                <w:lang w:val="ro-MD"/>
              </w:rPr>
              <w:t>r</w:t>
            </w:r>
            <w:r w:rsidRPr="00813441">
              <w:rPr>
                <w:rFonts w:ascii="Times New Roman" w:hAnsi="Times New Roman" w:cs="Times New Roman"/>
                <w:sz w:val="24"/>
                <w:szCs w:val="24"/>
                <w:lang w:val="ro-MD"/>
              </w:rPr>
              <w:t>oiectul de hotăr</w:t>
            </w:r>
            <w:r w:rsidR="00EE0C61" w:rsidRPr="00813441">
              <w:rPr>
                <w:rFonts w:ascii="Times New Roman" w:hAnsi="Times New Roman" w:cs="Times New Roman"/>
                <w:sz w:val="24"/>
                <w:szCs w:val="24"/>
                <w:lang w:val="ro-MD"/>
              </w:rPr>
              <w:t>â</w:t>
            </w:r>
            <w:r w:rsidRPr="00813441">
              <w:rPr>
                <w:rFonts w:ascii="Times New Roman" w:hAnsi="Times New Roman" w:cs="Times New Roman"/>
                <w:sz w:val="24"/>
                <w:szCs w:val="24"/>
                <w:lang w:val="ro-MD"/>
              </w:rPr>
              <w:t xml:space="preserve">re a Guvernului </w:t>
            </w:r>
            <w:r w:rsidR="00222EE1" w:rsidRPr="00813441">
              <w:rPr>
                <w:rFonts w:ascii="Times New Roman" w:hAnsi="Times New Roman" w:cs="Times New Roman"/>
                <w:sz w:val="24"/>
                <w:szCs w:val="24"/>
                <w:lang w:val="ro-MD"/>
              </w:rPr>
              <w:t>c</w:t>
            </w:r>
            <w:r w:rsidRPr="00813441">
              <w:rPr>
                <w:rFonts w:ascii="Times New Roman" w:hAnsi="Times New Roman" w:cs="Times New Roman"/>
                <w:sz w:val="24"/>
                <w:szCs w:val="24"/>
                <w:lang w:val="ro-MD"/>
              </w:rPr>
              <w:t>u privire la transmiterea unor bunuri imobile</w:t>
            </w:r>
            <w:r w:rsidR="00EE0C61" w:rsidRPr="00813441">
              <w:rPr>
                <w:rFonts w:ascii="Times New Roman" w:hAnsi="Times New Roman" w:cs="Times New Roman"/>
                <w:sz w:val="24"/>
                <w:szCs w:val="24"/>
                <w:lang w:val="ro-MD"/>
              </w:rPr>
              <w:t xml:space="preserve"> </w:t>
            </w:r>
            <w:r w:rsidR="00EE0C61" w:rsidRPr="00813441">
              <w:rPr>
                <w:rFonts w:ascii="Times New Roman" w:hAnsi="Times New Roman" w:cs="Times New Roman"/>
                <w:sz w:val="24"/>
                <w:szCs w:val="24"/>
                <w:lang w:val="ro-RO"/>
              </w:rPr>
              <w:t xml:space="preserve">și modificarea Hotărârii Guvernului nr.351/2005 cu privire la aprobarea listei bunurilor imobile proprietate publică a statului și la transmiterea unor bunuri imobile (transmiterea spre administrare Agenției Proprietății Publice a unor bunuri proprietate a publică a statului) </w:t>
            </w:r>
            <w:r w:rsidRPr="00813441">
              <w:rPr>
                <w:rFonts w:ascii="Times New Roman" w:hAnsi="Times New Roman" w:cs="Times New Roman"/>
                <w:sz w:val="24"/>
                <w:szCs w:val="24"/>
                <w:lang w:val="ro-MD"/>
              </w:rPr>
              <w:t xml:space="preserve">(în continuare </w:t>
            </w:r>
            <w:r w:rsidRPr="00813441">
              <w:rPr>
                <w:rFonts w:ascii="Times New Roman" w:hAnsi="Times New Roman" w:cs="Times New Roman"/>
                <w:i/>
                <w:iCs/>
                <w:sz w:val="24"/>
                <w:szCs w:val="24"/>
                <w:lang w:val="ro-MD"/>
              </w:rPr>
              <w:t>proiect</w:t>
            </w:r>
            <w:r w:rsidRPr="00813441">
              <w:rPr>
                <w:rFonts w:ascii="Times New Roman" w:hAnsi="Times New Roman" w:cs="Times New Roman"/>
                <w:sz w:val="24"/>
                <w:szCs w:val="24"/>
                <w:lang w:val="ro-MD"/>
              </w:rPr>
              <w:t xml:space="preserve">) este elaborat de către Biroul Național de </w:t>
            </w:r>
            <w:r w:rsidR="00222EE1" w:rsidRPr="00813441">
              <w:rPr>
                <w:rFonts w:ascii="Times New Roman" w:hAnsi="Times New Roman" w:cs="Times New Roman"/>
                <w:sz w:val="24"/>
                <w:szCs w:val="24"/>
                <w:lang w:val="ro-MD"/>
              </w:rPr>
              <w:t>S</w:t>
            </w:r>
            <w:r w:rsidRPr="00813441">
              <w:rPr>
                <w:rFonts w:ascii="Times New Roman" w:hAnsi="Times New Roman" w:cs="Times New Roman"/>
                <w:sz w:val="24"/>
                <w:szCs w:val="24"/>
                <w:lang w:val="ro-MD"/>
              </w:rPr>
              <w:t>tatistic</w:t>
            </w:r>
            <w:r w:rsidR="0064148E" w:rsidRPr="00813441">
              <w:rPr>
                <w:rFonts w:ascii="Times New Roman" w:hAnsi="Times New Roman" w:cs="Times New Roman"/>
                <w:sz w:val="24"/>
                <w:szCs w:val="24"/>
                <w:lang w:val="ro-MD"/>
              </w:rPr>
              <w:t>ă</w:t>
            </w:r>
            <w:r w:rsidRPr="00E65393">
              <w:rPr>
                <w:rFonts w:ascii="Times New Roman" w:hAnsi="Times New Roman" w:cs="Times New Roman"/>
                <w:sz w:val="24"/>
                <w:szCs w:val="24"/>
                <w:lang w:val="ro-RO"/>
              </w:rPr>
              <w:t>.</w:t>
            </w:r>
          </w:p>
          <w:p w14:paraId="3927C0C3" w14:textId="296D91BB" w:rsidR="008021EF" w:rsidRPr="00813441" w:rsidRDefault="008021EF" w:rsidP="008F3C2A">
            <w:pPr>
              <w:widowControl w:val="0"/>
              <w:tabs>
                <w:tab w:val="left" w:pos="884"/>
                <w:tab w:val="left" w:pos="1196"/>
              </w:tabs>
              <w:spacing w:after="0" w:line="240" w:lineRule="auto"/>
              <w:jc w:val="both"/>
              <w:rPr>
                <w:rFonts w:ascii="Times New Roman" w:eastAsia="Calibri" w:hAnsi="Times New Roman" w:cs="Times New Roman"/>
                <w:color w:val="000000"/>
                <w:sz w:val="24"/>
                <w:szCs w:val="24"/>
                <w:lang w:val="ro-MD" w:eastAsia="ro-RO" w:bidi="ro-RO"/>
              </w:rPr>
            </w:pPr>
          </w:p>
        </w:tc>
      </w:tr>
      <w:tr w:rsidR="00E30BD3" w:rsidRPr="00E65393" w14:paraId="30AB6A09" w14:textId="77777777" w:rsidTr="00227EF8">
        <w:tc>
          <w:tcPr>
            <w:tcW w:w="5000" w:type="pct"/>
            <w:shd w:val="clear" w:color="auto" w:fill="D9D9D9" w:themeFill="background1" w:themeFillShade="D9"/>
            <w:hideMark/>
          </w:tcPr>
          <w:p w14:paraId="2F92E016" w14:textId="203E8CB3" w:rsidR="00E30BD3" w:rsidRPr="00813441" w:rsidRDefault="00E30BD3" w:rsidP="008F3C2A">
            <w:pPr>
              <w:widowControl w:val="0"/>
              <w:tabs>
                <w:tab w:val="left" w:pos="884"/>
                <w:tab w:val="left" w:pos="1196"/>
              </w:tabs>
              <w:spacing w:after="0" w:line="240" w:lineRule="auto"/>
              <w:jc w:val="both"/>
              <w:rPr>
                <w:rFonts w:ascii="Times New Roman" w:eastAsia="Calibri" w:hAnsi="Times New Roman" w:cs="Times New Roman"/>
                <w:color w:val="000000"/>
                <w:sz w:val="24"/>
                <w:szCs w:val="24"/>
                <w:lang w:val="ro-MD" w:eastAsia="ro-RO" w:bidi="ro-RO"/>
              </w:rPr>
            </w:pPr>
            <w:r w:rsidRPr="00813441">
              <w:rPr>
                <w:rFonts w:ascii="Times New Roman" w:eastAsia="Courier New" w:hAnsi="Times New Roman" w:cs="Times New Roman"/>
                <w:b/>
                <w:bCs/>
                <w:color w:val="000000"/>
                <w:sz w:val="24"/>
                <w:szCs w:val="24"/>
                <w:lang w:val="ro-MD" w:eastAsia="ro-RO" w:bidi="ro-RO"/>
              </w:rPr>
              <w:t>2.</w:t>
            </w:r>
            <w:r w:rsidRPr="00813441">
              <w:rPr>
                <w:rFonts w:ascii="Times New Roman" w:eastAsia="Courier New" w:hAnsi="Times New Roman" w:cs="Times New Roman"/>
                <w:color w:val="000000"/>
                <w:sz w:val="24"/>
                <w:szCs w:val="24"/>
                <w:lang w:val="ro-MD" w:eastAsia="ro-RO" w:bidi="ro-RO"/>
              </w:rPr>
              <w:t xml:space="preserve"> </w:t>
            </w:r>
            <w:r w:rsidR="006E0BAD" w:rsidRPr="00813441">
              <w:rPr>
                <w:rFonts w:ascii="Times New Roman" w:hAnsi="Times New Roman" w:cs="Times New Roman"/>
                <w:b/>
                <w:bCs/>
                <w:sz w:val="24"/>
                <w:szCs w:val="24"/>
                <w:lang w:val="ro-MD"/>
              </w:rPr>
              <w:t>Condițiile</w:t>
            </w:r>
            <w:r w:rsidR="00DD0773" w:rsidRPr="00813441">
              <w:rPr>
                <w:rFonts w:ascii="Times New Roman" w:hAnsi="Times New Roman" w:cs="Times New Roman"/>
                <w:b/>
                <w:bCs/>
                <w:sz w:val="24"/>
                <w:szCs w:val="24"/>
                <w:lang w:val="ro-MD"/>
              </w:rPr>
              <w:t xml:space="preserve"> ce au impus elaborarea proiectului de act normativ şi finalităţile urmărite</w:t>
            </w:r>
          </w:p>
        </w:tc>
      </w:tr>
      <w:tr w:rsidR="00E30BD3" w:rsidRPr="00E65393" w14:paraId="4D0C0589" w14:textId="77777777" w:rsidTr="00227EF8">
        <w:tc>
          <w:tcPr>
            <w:tcW w:w="5000" w:type="pct"/>
          </w:tcPr>
          <w:p w14:paraId="4F24FDEB" w14:textId="2A12884E" w:rsidR="00DD0773" w:rsidRPr="00E65393" w:rsidRDefault="00E30BD3" w:rsidP="008F3C2A">
            <w:pPr>
              <w:pStyle w:val="Header"/>
              <w:tabs>
                <w:tab w:val="clear" w:pos="4153"/>
                <w:tab w:val="clear" w:pos="8306"/>
              </w:tabs>
              <w:jc w:val="both"/>
              <w:rPr>
                <w:sz w:val="24"/>
                <w:szCs w:val="24"/>
                <w:lang w:val="ro-MD"/>
              </w:rPr>
            </w:pPr>
            <w:r w:rsidRPr="00E65393">
              <w:rPr>
                <w:sz w:val="24"/>
                <w:szCs w:val="24"/>
                <w:lang w:val="ro-MD"/>
              </w:rPr>
              <w:t xml:space="preserve">Proiectul este elaborat în </w:t>
            </w:r>
            <w:r w:rsidR="00DD0773" w:rsidRPr="00E65393">
              <w:rPr>
                <w:sz w:val="24"/>
                <w:szCs w:val="24"/>
                <w:lang w:val="ro-MD"/>
              </w:rPr>
              <w:t>temeiul art. 6 alin. (1) lit. a</w:t>
            </w:r>
            <w:r w:rsidR="00DD0773" w:rsidRPr="00E65393">
              <w:rPr>
                <w:sz w:val="24"/>
                <w:szCs w:val="24"/>
                <w:vertAlign w:val="superscript"/>
                <w:lang w:val="ro-MD"/>
              </w:rPr>
              <w:t>1</w:t>
            </w:r>
            <w:r w:rsidR="00DD0773" w:rsidRPr="00E65393">
              <w:rPr>
                <w:sz w:val="24"/>
                <w:szCs w:val="24"/>
                <w:lang w:val="ro-MD"/>
              </w:rPr>
              <w:t xml:space="preserve">) și art. 14 alin. (1) lit. c) din Legea nr. 121/2007 privind administrarea și deetatizarea proprietății publice. </w:t>
            </w:r>
          </w:p>
          <w:p w14:paraId="2403E870" w14:textId="77777777" w:rsidR="00A0634E" w:rsidRPr="00E65393" w:rsidRDefault="00A0634E" w:rsidP="008F3C2A">
            <w:pPr>
              <w:pStyle w:val="Header"/>
              <w:tabs>
                <w:tab w:val="clear" w:pos="4153"/>
                <w:tab w:val="clear" w:pos="8306"/>
              </w:tabs>
              <w:jc w:val="both"/>
              <w:rPr>
                <w:sz w:val="24"/>
                <w:szCs w:val="24"/>
                <w:lang w:val="ro-MD"/>
              </w:rPr>
            </w:pPr>
          </w:p>
          <w:p w14:paraId="5E37008E" w14:textId="77777777" w:rsidR="00227EF8" w:rsidRDefault="00222EE1" w:rsidP="00F276F7">
            <w:pPr>
              <w:pStyle w:val="Header"/>
              <w:tabs>
                <w:tab w:val="clear" w:pos="4153"/>
                <w:tab w:val="clear" w:pos="8306"/>
              </w:tabs>
              <w:jc w:val="both"/>
              <w:rPr>
                <w:sz w:val="24"/>
                <w:szCs w:val="24"/>
                <w:lang w:val="ro-MD"/>
              </w:rPr>
            </w:pPr>
            <w:r w:rsidRPr="00E65393">
              <w:rPr>
                <w:sz w:val="24"/>
                <w:szCs w:val="24"/>
                <w:lang w:val="ro-MD"/>
              </w:rPr>
              <w:t xml:space="preserve">Proiectul a fost elaborat întru </w:t>
            </w:r>
            <w:r w:rsidR="00DD0773" w:rsidRPr="00E65393">
              <w:rPr>
                <w:sz w:val="24"/>
                <w:szCs w:val="24"/>
                <w:lang w:val="ro-MD"/>
              </w:rPr>
              <w:t xml:space="preserve">eficientizarea </w:t>
            </w:r>
            <w:r w:rsidRPr="00E65393">
              <w:rPr>
                <w:sz w:val="24"/>
                <w:szCs w:val="24"/>
                <w:lang w:val="ro-MD"/>
              </w:rPr>
              <w:t>utilizării bunurilor</w:t>
            </w:r>
            <w:r w:rsidR="00DD0773" w:rsidRPr="00E65393">
              <w:rPr>
                <w:sz w:val="24"/>
                <w:szCs w:val="24"/>
                <w:lang w:val="ro-MD"/>
              </w:rPr>
              <w:t xml:space="preserve"> </w:t>
            </w:r>
            <w:r w:rsidRPr="00E65393">
              <w:rPr>
                <w:sz w:val="24"/>
                <w:szCs w:val="24"/>
                <w:lang w:val="ro-MD"/>
              </w:rPr>
              <w:t xml:space="preserve">și </w:t>
            </w:r>
            <w:r w:rsidR="00B049DA" w:rsidRPr="00E65393">
              <w:rPr>
                <w:sz w:val="24"/>
                <w:szCs w:val="24"/>
                <w:lang w:val="ro-MD"/>
              </w:rPr>
              <w:t xml:space="preserve">a </w:t>
            </w:r>
            <w:r w:rsidRPr="00E65393">
              <w:rPr>
                <w:sz w:val="24"/>
                <w:szCs w:val="24"/>
                <w:lang w:val="ro-MD"/>
              </w:rPr>
              <w:t xml:space="preserve">cheltuielilor </w:t>
            </w:r>
            <w:r w:rsidR="00DD0773" w:rsidRPr="00E65393">
              <w:rPr>
                <w:sz w:val="24"/>
                <w:szCs w:val="24"/>
                <w:lang w:val="ro-MD"/>
              </w:rPr>
              <w:t>publice.</w:t>
            </w:r>
            <w:r w:rsidR="00A0634E" w:rsidRPr="00E65393">
              <w:rPr>
                <w:sz w:val="24"/>
                <w:szCs w:val="24"/>
                <w:lang w:val="ro-MD"/>
              </w:rPr>
              <w:t xml:space="preserve"> </w:t>
            </w:r>
            <w:r w:rsidR="00F276F7" w:rsidRPr="00E65393">
              <w:rPr>
                <w:sz w:val="24"/>
                <w:szCs w:val="24"/>
                <w:lang w:val="ro-MD"/>
              </w:rPr>
              <w:t>Acesta</w:t>
            </w:r>
            <w:r w:rsidR="00580387" w:rsidRPr="00E65393">
              <w:rPr>
                <w:sz w:val="24"/>
                <w:szCs w:val="24"/>
                <w:lang w:val="ro-MD"/>
              </w:rPr>
              <w:t xml:space="preserve"> prevede transmiterea, cu titlu gratuit, din administrarea Biroului Național de Statistică (BNS) în administrarea Agenției Proprietății Publice (APP) bunurile imobile cu numerele cadastrale 0300211.587.01, 0300211.587.02 și 0300211.587.03, amplasate în mun. Bălți, str. Victoriei, nr. 96 A. </w:t>
            </w:r>
          </w:p>
          <w:p w14:paraId="1893F066" w14:textId="77777777" w:rsidR="00227EF8" w:rsidRDefault="00227EF8" w:rsidP="00F276F7">
            <w:pPr>
              <w:pStyle w:val="Header"/>
              <w:tabs>
                <w:tab w:val="clear" w:pos="4153"/>
                <w:tab w:val="clear" w:pos="8306"/>
              </w:tabs>
              <w:jc w:val="both"/>
              <w:rPr>
                <w:sz w:val="24"/>
                <w:szCs w:val="24"/>
                <w:lang w:val="ro-MD"/>
              </w:rPr>
            </w:pPr>
          </w:p>
          <w:p w14:paraId="406CF577" w14:textId="2A98375B" w:rsidR="00F276F7" w:rsidRPr="00E65393" w:rsidRDefault="00580387" w:rsidP="00F276F7">
            <w:pPr>
              <w:pStyle w:val="Header"/>
              <w:tabs>
                <w:tab w:val="clear" w:pos="4153"/>
                <w:tab w:val="clear" w:pos="8306"/>
              </w:tabs>
              <w:jc w:val="both"/>
              <w:rPr>
                <w:sz w:val="24"/>
                <w:szCs w:val="24"/>
                <w:lang w:val="ro-MD"/>
              </w:rPr>
            </w:pPr>
            <w:r w:rsidRPr="00E65393">
              <w:rPr>
                <w:sz w:val="24"/>
                <w:szCs w:val="24"/>
                <w:lang w:val="ro-MD"/>
              </w:rPr>
              <w:t xml:space="preserve">De asemenea, </w:t>
            </w:r>
            <w:r w:rsidR="00F276F7" w:rsidRPr="00E65393">
              <w:rPr>
                <w:sz w:val="24"/>
                <w:szCs w:val="24"/>
                <w:lang w:val="ro-MD"/>
              </w:rPr>
              <w:t xml:space="preserve">proiectul include, </w:t>
            </w:r>
            <w:r w:rsidRPr="00E65393">
              <w:rPr>
                <w:sz w:val="24"/>
                <w:szCs w:val="24"/>
                <w:lang w:val="ro-MD"/>
              </w:rPr>
              <w:t xml:space="preserve">la propunerea </w:t>
            </w:r>
            <w:r w:rsidR="00227EF8" w:rsidRPr="00E65393">
              <w:rPr>
                <w:sz w:val="24"/>
                <w:szCs w:val="24"/>
                <w:lang w:val="ro-MD"/>
              </w:rPr>
              <w:t>Agenției Proprietății Publice</w:t>
            </w:r>
            <w:r w:rsidRPr="00E65393">
              <w:rPr>
                <w:sz w:val="24"/>
                <w:szCs w:val="24"/>
                <w:lang w:val="ro-MD"/>
              </w:rPr>
              <w:t>,</w:t>
            </w:r>
            <w:r w:rsidR="00F276F7" w:rsidRPr="00E65393">
              <w:rPr>
                <w:sz w:val="24"/>
                <w:szCs w:val="24"/>
                <w:lang w:val="ro-MD"/>
              </w:rPr>
              <w:t xml:space="preserve"> </w:t>
            </w:r>
            <w:r w:rsidR="0035370F" w:rsidRPr="00E65393">
              <w:rPr>
                <w:sz w:val="24"/>
                <w:szCs w:val="24"/>
                <w:lang w:val="ro-MD"/>
              </w:rPr>
              <w:t>transmitere</w:t>
            </w:r>
            <w:r w:rsidR="00F276F7" w:rsidRPr="00E65393">
              <w:rPr>
                <w:sz w:val="24"/>
                <w:szCs w:val="24"/>
                <w:lang w:val="ro-MD"/>
              </w:rPr>
              <w:t>a</w:t>
            </w:r>
            <w:r w:rsidR="0035370F" w:rsidRPr="00E65393">
              <w:rPr>
                <w:sz w:val="24"/>
                <w:szCs w:val="24"/>
                <w:lang w:val="ro-MD"/>
              </w:rPr>
              <w:t xml:space="preserve"> </w:t>
            </w:r>
            <w:r w:rsidR="00F276F7" w:rsidRPr="00E65393">
              <w:rPr>
                <w:sz w:val="24"/>
                <w:szCs w:val="24"/>
                <w:lang w:val="ro-MD"/>
              </w:rPr>
              <w:t xml:space="preserve">ulterioară </w:t>
            </w:r>
            <w:r w:rsidR="0035370F" w:rsidRPr="00E65393">
              <w:rPr>
                <w:sz w:val="24"/>
                <w:szCs w:val="24"/>
                <w:lang w:val="ro-MD"/>
              </w:rPr>
              <w:t>a bunurilor</w:t>
            </w:r>
            <w:r w:rsidR="00F276F7" w:rsidRPr="00E65393">
              <w:rPr>
                <w:sz w:val="24"/>
                <w:szCs w:val="24"/>
                <w:lang w:val="ro-MD"/>
              </w:rPr>
              <w:t xml:space="preserve"> susnumite</w:t>
            </w:r>
            <w:r w:rsidR="0035370F" w:rsidRPr="00E65393">
              <w:rPr>
                <w:sz w:val="24"/>
                <w:szCs w:val="24"/>
                <w:lang w:val="ro-MD"/>
              </w:rPr>
              <w:t xml:space="preserve"> în gestiunea economică a S.A. „Furnizarea Energiei Electrice Nord” </w:t>
            </w:r>
            <w:r w:rsidR="00F276F7" w:rsidRPr="00E65393">
              <w:rPr>
                <w:sz w:val="24"/>
                <w:szCs w:val="24"/>
                <w:lang w:val="ro-MD"/>
              </w:rPr>
              <w:t xml:space="preserve">(întreprindere cu capital integral de stat) </w:t>
            </w:r>
            <w:r w:rsidR="0035370F" w:rsidRPr="00E65393">
              <w:rPr>
                <w:sz w:val="24"/>
                <w:szCs w:val="24"/>
                <w:lang w:val="ro-MD"/>
              </w:rPr>
              <w:t>cu includerea ulterioară a valorii bunurilor în capitalul social al acesteia</w:t>
            </w:r>
            <w:r w:rsidR="00F276F7" w:rsidRPr="00E65393">
              <w:rPr>
                <w:sz w:val="24"/>
                <w:szCs w:val="24"/>
                <w:lang w:val="ro-MD"/>
              </w:rPr>
              <w:t>.</w:t>
            </w:r>
          </w:p>
          <w:p w14:paraId="735492A9" w14:textId="77777777" w:rsidR="00E65393" w:rsidRDefault="00E65393" w:rsidP="00A33754">
            <w:pPr>
              <w:spacing w:after="0" w:line="240" w:lineRule="auto"/>
              <w:jc w:val="both"/>
              <w:rPr>
                <w:rStyle w:val="Strong"/>
                <w:rFonts w:ascii="Times New Roman" w:hAnsi="Times New Roman" w:cs="Times New Roman"/>
                <w:sz w:val="24"/>
                <w:szCs w:val="24"/>
                <w:lang w:val="pt-BR"/>
              </w:rPr>
            </w:pPr>
          </w:p>
          <w:p w14:paraId="50E1EEAF" w14:textId="5E07FBD2" w:rsidR="00A33754" w:rsidRPr="00E65393" w:rsidRDefault="00A33754" w:rsidP="00A33754">
            <w:pPr>
              <w:spacing w:after="0" w:line="240" w:lineRule="auto"/>
              <w:jc w:val="both"/>
              <w:rPr>
                <w:rFonts w:ascii="Times New Roman" w:hAnsi="Times New Roman" w:cs="Times New Roman"/>
                <w:sz w:val="24"/>
                <w:szCs w:val="24"/>
                <w:lang w:val="ro-MD"/>
              </w:rPr>
            </w:pPr>
            <w:r w:rsidRPr="00E65393">
              <w:rPr>
                <w:rFonts w:ascii="Times New Roman" w:eastAsia="Courier New" w:hAnsi="Times New Roman" w:cs="Times New Roman"/>
                <w:sz w:val="24"/>
                <w:szCs w:val="24"/>
                <w:lang w:val="ro-MD" w:eastAsia="ro-RO" w:bidi="ro-RO"/>
              </w:rPr>
              <w:t xml:space="preserve">Suplimentar, este de menționat faptul că, terenul pe care este amplasat bunul imobil este proprietate publică a statului, în administrarea Agenției </w:t>
            </w:r>
            <w:r w:rsidRPr="00E65393">
              <w:rPr>
                <w:rFonts w:ascii="Times New Roman" w:eastAsia="Calibri" w:hAnsi="Times New Roman" w:cs="Times New Roman"/>
                <w:sz w:val="24"/>
                <w:szCs w:val="24"/>
                <w:lang w:val="ro-MD"/>
              </w:rPr>
              <w:t>Proprietăți Public,</w:t>
            </w:r>
            <w:r w:rsidR="00AE5F50" w:rsidRPr="00E65393">
              <w:rPr>
                <w:rFonts w:ascii="Times New Roman" w:eastAsia="Calibri" w:hAnsi="Times New Roman" w:cs="Times New Roman"/>
                <w:sz w:val="24"/>
                <w:szCs w:val="24"/>
                <w:lang w:val="ro-MD"/>
              </w:rPr>
              <w:t xml:space="preserve"> acest</w:t>
            </w:r>
            <w:r w:rsidR="001B1FC0" w:rsidRPr="00E65393">
              <w:rPr>
                <w:rFonts w:ascii="Times New Roman" w:eastAsia="Calibri" w:hAnsi="Times New Roman" w:cs="Times New Roman"/>
                <w:sz w:val="24"/>
                <w:szCs w:val="24"/>
                <w:lang w:val="ro-MD"/>
              </w:rPr>
              <w:t>a</w:t>
            </w:r>
            <w:r w:rsidR="00AE5F50" w:rsidRPr="00E65393">
              <w:rPr>
                <w:rFonts w:ascii="Times New Roman" w:eastAsia="Calibri" w:hAnsi="Times New Roman" w:cs="Times New Roman"/>
                <w:sz w:val="24"/>
                <w:szCs w:val="24"/>
                <w:lang w:val="ro-MD"/>
              </w:rPr>
              <w:t xml:space="preserve"> fiind reflectat </w:t>
            </w:r>
            <w:r w:rsidRPr="00E65393">
              <w:rPr>
                <w:rFonts w:ascii="Times New Roman" w:eastAsia="Calibri" w:hAnsi="Times New Roman" w:cs="Times New Roman"/>
                <w:sz w:val="24"/>
                <w:szCs w:val="24"/>
                <w:lang w:val="ro-MD"/>
              </w:rPr>
              <w:t xml:space="preserve">în Lista </w:t>
            </w:r>
            <w:r w:rsidRPr="00E65393">
              <w:rPr>
                <w:rFonts w:ascii="Times New Roman" w:hAnsi="Times New Roman" w:cs="Times New Roman"/>
                <w:sz w:val="24"/>
                <w:szCs w:val="24"/>
                <w:lang w:val="ro-MD"/>
              </w:rPr>
              <w:t xml:space="preserve">terenurilor proprietate publică a statului, domeniul public, din administrarea Agenției Proprietății Publice, aprobată prin Anexa nr.1 din Hotărârea Guvernului nr.161/2019 (nr. de ordine </w:t>
            </w:r>
            <w:r w:rsidRPr="00E65393">
              <w:rPr>
                <w:rFonts w:ascii="Times New Roman" w:eastAsia="Calibri" w:hAnsi="Times New Roman" w:cs="Times New Roman"/>
                <w:sz w:val="24"/>
                <w:szCs w:val="24"/>
                <w:lang w:val="ro-MD"/>
              </w:rPr>
              <w:t>1252</w:t>
            </w:r>
            <w:r w:rsidRPr="00E65393">
              <w:rPr>
                <w:rFonts w:ascii="Times New Roman" w:hAnsi="Times New Roman" w:cs="Times New Roman"/>
                <w:sz w:val="24"/>
                <w:szCs w:val="24"/>
                <w:lang w:val="ro-MD"/>
              </w:rPr>
              <w:t>)</w:t>
            </w:r>
            <w:r w:rsidRPr="00E65393">
              <w:rPr>
                <w:rFonts w:ascii="Times New Roman" w:eastAsia="Calibri" w:hAnsi="Times New Roman" w:cs="Times New Roman"/>
                <w:sz w:val="24"/>
                <w:szCs w:val="24"/>
                <w:lang w:val="ro-MD"/>
              </w:rPr>
              <w:t xml:space="preserve">. </w:t>
            </w:r>
          </w:p>
          <w:p w14:paraId="10F0E590" w14:textId="77777777" w:rsidR="00A0634E" w:rsidRPr="00E65393" w:rsidRDefault="00A0634E" w:rsidP="008F3C2A">
            <w:pPr>
              <w:pStyle w:val="Header"/>
              <w:tabs>
                <w:tab w:val="clear" w:pos="4153"/>
                <w:tab w:val="clear" w:pos="8306"/>
              </w:tabs>
              <w:jc w:val="both"/>
              <w:rPr>
                <w:sz w:val="24"/>
                <w:szCs w:val="24"/>
                <w:lang w:val="ro-MD"/>
              </w:rPr>
            </w:pPr>
          </w:p>
          <w:p w14:paraId="3685F54F" w14:textId="52C2CCB3" w:rsidR="001362E8" w:rsidRPr="00E65393" w:rsidRDefault="001362E8" w:rsidP="0078523A">
            <w:pPr>
              <w:pStyle w:val="Header"/>
              <w:tabs>
                <w:tab w:val="clear" w:pos="4153"/>
                <w:tab w:val="clear" w:pos="8306"/>
              </w:tabs>
              <w:jc w:val="both"/>
              <w:rPr>
                <w:sz w:val="24"/>
                <w:szCs w:val="24"/>
                <w:lang w:val="ro-MD"/>
              </w:rPr>
            </w:pPr>
            <w:r w:rsidRPr="00E65393">
              <w:rPr>
                <w:sz w:val="24"/>
                <w:szCs w:val="24"/>
                <w:lang w:val="ro-MD"/>
              </w:rPr>
              <w:t>Transmiterea bunurilor imobile se va efectua în corespundere cu prevederile Regulamentului cu privire la modul de transmitere a bunurilor proprietate publică, aprobat prin Hotăr</w:t>
            </w:r>
            <w:r w:rsidR="008F3C2A" w:rsidRPr="00E65393">
              <w:rPr>
                <w:sz w:val="24"/>
                <w:szCs w:val="24"/>
                <w:lang w:val="ro-MD"/>
              </w:rPr>
              <w:t>â</w:t>
            </w:r>
            <w:r w:rsidRPr="00E65393">
              <w:rPr>
                <w:sz w:val="24"/>
                <w:szCs w:val="24"/>
                <w:lang w:val="ro-MD"/>
              </w:rPr>
              <w:t>rea Guvernului nr.901/2015.</w:t>
            </w:r>
          </w:p>
          <w:p w14:paraId="612E6CAD" w14:textId="43D0A63B" w:rsidR="00E30BD3" w:rsidRPr="00813441" w:rsidRDefault="00E30BD3" w:rsidP="008F3C2A">
            <w:pPr>
              <w:spacing w:after="0" w:line="276" w:lineRule="auto"/>
              <w:jc w:val="both"/>
              <w:rPr>
                <w:rFonts w:ascii="Times New Roman" w:eastAsia="Courier New" w:hAnsi="Times New Roman" w:cs="Times New Roman"/>
                <w:color w:val="000000"/>
                <w:sz w:val="24"/>
                <w:szCs w:val="24"/>
                <w:lang w:val="ro-MD" w:eastAsia="ro-RO" w:bidi="ro-RO"/>
              </w:rPr>
            </w:pPr>
            <w:r w:rsidRPr="00813441">
              <w:rPr>
                <w:rFonts w:ascii="Times New Roman" w:hAnsi="Times New Roman" w:cs="Times New Roman"/>
                <w:sz w:val="24"/>
                <w:szCs w:val="24"/>
                <w:lang w:val="ro-MD"/>
              </w:rPr>
              <w:t xml:space="preserve"> </w:t>
            </w:r>
          </w:p>
        </w:tc>
      </w:tr>
      <w:tr w:rsidR="00E30BD3" w:rsidRPr="00E65393" w14:paraId="020250E9" w14:textId="77777777" w:rsidTr="00227EF8">
        <w:tc>
          <w:tcPr>
            <w:tcW w:w="5000" w:type="pct"/>
            <w:shd w:val="clear" w:color="auto" w:fill="D9D9D9" w:themeFill="background1" w:themeFillShade="D9"/>
            <w:hideMark/>
          </w:tcPr>
          <w:p w14:paraId="613D26B1" w14:textId="77777777" w:rsidR="00E30BD3" w:rsidRPr="00813441" w:rsidRDefault="00E30BD3" w:rsidP="008F3C2A">
            <w:pPr>
              <w:widowControl w:val="0"/>
              <w:tabs>
                <w:tab w:val="left" w:pos="884"/>
                <w:tab w:val="left" w:pos="1196"/>
              </w:tabs>
              <w:spacing w:after="0" w:line="240" w:lineRule="auto"/>
              <w:jc w:val="both"/>
              <w:rPr>
                <w:rFonts w:ascii="Times New Roman" w:eastAsia="Calibri" w:hAnsi="Times New Roman" w:cs="Times New Roman"/>
                <w:color w:val="000000"/>
                <w:sz w:val="24"/>
                <w:szCs w:val="24"/>
                <w:lang w:val="ro-MD" w:eastAsia="ro-RO" w:bidi="ro-RO"/>
              </w:rPr>
            </w:pPr>
            <w:r w:rsidRPr="00813441">
              <w:rPr>
                <w:rFonts w:ascii="Times New Roman" w:eastAsia="Courier New" w:hAnsi="Times New Roman" w:cs="Times New Roman"/>
                <w:b/>
                <w:bCs/>
                <w:color w:val="000000"/>
                <w:sz w:val="24"/>
                <w:szCs w:val="24"/>
                <w:lang w:val="ro-MD" w:eastAsia="ro-RO" w:bidi="ro-RO"/>
              </w:rPr>
              <w:t>3. Descrierea gradului de compatibilitate pentru proiectele care au ca scop  armonizarea legislației naționale cu legislația Uniunii Europene</w:t>
            </w:r>
          </w:p>
        </w:tc>
      </w:tr>
      <w:tr w:rsidR="00E30BD3" w:rsidRPr="00813441" w14:paraId="4641B764" w14:textId="77777777" w:rsidTr="00227EF8">
        <w:tc>
          <w:tcPr>
            <w:tcW w:w="5000" w:type="pct"/>
          </w:tcPr>
          <w:p w14:paraId="2DE6B0BF" w14:textId="77777777" w:rsidR="00E30BD3" w:rsidRPr="00813441" w:rsidRDefault="00E30BD3" w:rsidP="008F3C2A">
            <w:pPr>
              <w:spacing w:after="0" w:line="276" w:lineRule="auto"/>
              <w:jc w:val="both"/>
              <w:rPr>
                <w:rFonts w:ascii="Times New Roman" w:hAnsi="Times New Roman" w:cs="Times New Roman"/>
                <w:sz w:val="24"/>
                <w:szCs w:val="24"/>
                <w:lang w:val="ro-MD"/>
              </w:rPr>
            </w:pPr>
            <w:r w:rsidRPr="00813441">
              <w:rPr>
                <w:rFonts w:ascii="Times New Roman" w:hAnsi="Times New Roman" w:cs="Times New Roman"/>
                <w:sz w:val="24"/>
                <w:szCs w:val="24"/>
                <w:lang w:val="ro-MD"/>
              </w:rPr>
              <w:t>Proiectul nu are ca scop armonizarea legislației naționale cu legislația Uniunii Europene.</w:t>
            </w:r>
          </w:p>
          <w:p w14:paraId="0617486A" w14:textId="77777777" w:rsidR="00E30BD3" w:rsidRPr="00813441" w:rsidRDefault="00E30BD3" w:rsidP="008F3C2A">
            <w:pPr>
              <w:widowControl w:val="0"/>
              <w:spacing w:after="0" w:line="240" w:lineRule="auto"/>
              <w:jc w:val="both"/>
              <w:rPr>
                <w:rFonts w:ascii="Times New Roman" w:eastAsia="Courier New" w:hAnsi="Times New Roman" w:cs="Times New Roman"/>
                <w:color w:val="000000"/>
                <w:sz w:val="24"/>
                <w:szCs w:val="24"/>
                <w:lang w:val="ro-MD" w:eastAsia="ro-RO" w:bidi="ro-RO"/>
              </w:rPr>
            </w:pPr>
          </w:p>
        </w:tc>
      </w:tr>
      <w:tr w:rsidR="00E30BD3" w:rsidRPr="00E65393" w14:paraId="4B855D5B" w14:textId="77777777" w:rsidTr="00227EF8">
        <w:tc>
          <w:tcPr>
            <w:tcW w:w="5000" w:type="pct"/>
            <w:shd w:val="clear" w:color="auto" w:fill="D9D9D9" w:themeFill="background1" w:themeFillShade="D9"/>
            <w:hideMark/>
          </w:tcPr>
          <w:p w14:paraId="62254999" w14:textId="4B9931A6" w:rsidR="00E30BD3" w:rsidRPr="00813441" w:rsidRDefault="00E30BD3" w:rsidP="008F3C2A">
            <w:pPr>
              <w:widowControl w:val="0"/>
              <w:tabs>
                <w:tab w:val="left" w:pos="884"/>
                <w:tab w:val="left" w:pos="1196"/>
              </w:tabs>
              <w:spacing w:after="0" w:line="240" w:lineRule="auto"/>
              <w:jc w:val="both"/>
              <w:rPr>
                <w:rFonts w:ascii="Times New Roman" w:eastAsia="Calibri" w:hAnsi="Times New Roman" w:cs="Times New Roman"/>
                <w:color w:val="000000"/>
                <w:sz w:val="24"/>
                <w:szCs w:val="24"/>
                <w:lang w:val="ro-MD" w:eastAsia="ro-RO" w:bidi="ro-RO"/>
              </w:rPr>
            </w:pPr>
            <w:r w:rsidRPr="00813441">
              <w:rPr>
                <w:rFonts w:ascii="Times New Roman" w:eastAsia="Courier New" w:hAnsi="Times New Roman" w:cs="Times New Roman"/>
                <w:b/>
                <w:bCs/>
                <w:color w:val="000000"/>
                <w:sz w:val="24"/>
                <w:szCs w:val="24"/>
                <w:lang w:val="ro-MD" w:eastAsia="ro-RO" w:bidi="ro-RO"/>
              </w:rPr>
              <w:t xml:space="preserve">4. </w:t>
            </w:r>
            <w:r w:rsidR="00DD0773" w:rsidRPr="00813441">
              <w:rPr>
                <w:rFonts w:ascii="Times New Roman" w:hAnsi="Times New Roman" w:cs="Times New Roman"/>
                <w:b/>
                <w:bCs/>
                <w:sz w:val="24"/>
                <w:szCs w:val="24"/>
                <w:lang w:val="ro-MD"/>
              </w:rPr>
              <w:t>Principalele prevederi ale proiectului și evidențierea elementelor noi</w:t>
            </w:r>
          </w:p>
        </w:tc>
      </w:tr>
      <w:tr w:rsidR="00E30BD3" w:rsidRPr="00E65393" w14:paraId="6F89B2E4" w14:textId="77777777" w:rsidTr="00227EF8">
        <w:tc>
          <w:tcPr>
            <w:tcW w:w="5000" w:type="pct"/>
          </w:tcPr>
          <w:p w14:paraId="05A6C4F7" w14:textId="64433903" w:rsidR="00E30BD3" w:rsidRPr="0035370F" w:rsidRDefault="00E30BD3" w:rsidP="003238CC">
            <w:pPr>
              <w:widowControl w:val="0"/>
              <w:spacing w:after="0" w:line="240" w:lineRule="auto"/>
              <w:jc w:val="both"/>
              <w:rPr>
                <w:rStyle w:val="markedcontent"/>
                <w:rFonts w:ascii="Times New Roman" w:hAnsi="Times New Roman"/>
                <w:sz w:val="24"/>
                <w:szCs w:val="24"/>
                <w:lang w:val="pt-BR"/>
              </w:rPr>
            </w:pPr>
            <w:r w:rsidRPr="0035370F">
              <w:rPr>
                <w:rFonts w:ascii="Times New Roman" w:eastAsia="Courier New" w:hAnsi="Times New Roman" w:cs="Times New Roman"/>
                <w:color w:val="000000"/>
                <w:sz w:val="24"/>
                <w:szCs w:val="24"/>
                <w:lang w:val="ro-MD" w:eastAsia="ro-RO" w:bidi="ro-RO"/>
              </w:rPr>
              <w:t>Proiectul preved</w:t>
            </w:r>
            <w:r w:rsidR="00AD43CD" w:rsidRPr="0035370F">
              <w:rPr>
                <w:rFonts w:ascii="Times New Roman" w:eastAsia="Courier New" w:hAnsi="Times New Roman" w:cs="Times New Roman"/>
                <w:color w:val="000000"/>
                <w:sz w:val="24"/>
                <w:szCs w:val="24"/>
                <w:lang w:val="ro-MD" w:eastAsia="ro-RO" w:bidi="ro-RO"/>
              </w:rPr>
              <w:t>e</w:t>
            </w:r>
            <w:r w:rsidRPr="0035370F">
              <w:rPr>
                <w:rFonts w:ascii="Times New Roman" w:eastAsia="Courier New" w:hAnsi="Times New Roman" w:cs="Times New Roman"/>
                <w:color w:val="000000"/>
                <w:sz w:val="24"/>
                <w:szCs w:val="24"/>
                <w:lang w:val="ro-MD" w:eastAsia="ro-RO" w:bidi="ro-RO"/>
              </w:rPr>
              <w:t xml:space="preserve"> transmiterea, </w:t>
            </w:r>
            <w:r w:rsidRPr="0035370F">
              <w:rPr>
                <w:rFonts w:ascii="Times New Roman" w:eastAsia="Calibri" w:hAnsi="Times New Roman" w:cs="Times New Roman"/>
                <w:sz w:val="24"/>
                <w:szCs w:val="24"/>
                <w:lang w:val="ro-MD"/>
              </w:rPr>
              <w:t xml:space="preserve">cu titlu gratuit, din administrarea Biroului Național de Statistică în administrarea </w:t>
            </w:r>
            <w:r w:rsidR="008F3C2A" w:rsidRPr="0035370F">
              <w:rPr>
                <w:rFonts w:ascii="Times New Roman" w:eastAsia="Calibri" w:hAnsi="Times New Roman" w:cs="Times New Roman"/>
                <w:sz w:val="24"/>
                <w:szCs w:val="24"/>
                <w:lang w:val="ro-MD"/>
              </w:rPr>
              <w:t xml:space="preserve">Agenției </w:t>
            </w:r>
            <w:r w:rsidRPr="0035370F">
              <w:rPr>
                <w:rFonts w:ascii="Times New Roman" w:eastAsia="Calibri" w:hAnsi="Times New Roman" w:cs="Times New Roman"/>
                <w:sz w:val="24"/>
                <w:szCs w:val="24"/>
                <w:lang w:val="ro-MD"/>
              </w:rPr>
              <w:t xml:space="preserve">Proprietăți Publice, </w:t>
            </w:r>
            <w:r w:rsidR="0035370F" w:rsidRPr="0035370F">
              <w:rPr>
                <w:rStyle w:val="markedcontent"/>
                <w:rFonts w:ascii="Times New Roman" w:hAnsi="Times New Roman" w:cs="Times New Roman"/>
                <w:sz w:val="24"/>
                <w:szCs w:val="24"/>
                <w:lang w:val="pt-BR"/>
              </w:rPr>
              <w:t>gestiunea economică a Societății pe Acțiuni „Furnizarea Energiei Electrice Nord”, amplasată în mun. Bălți, str. Strîi, 17 A</w:t>
            </w:r>
            <w:r w:rsidR="0035370F" w:rsidRPr="0035370F">
              <w:rPr>
                <w:rFonts w:ascii="Times New Roman" w:hAnsi="Times New Roman" w:cs="Times New Roman"/>
                <w:sz w:val="24"/>
                <w:szCs w:val="24"/>
                <w:lang w:val="ro-MD"/>
              </w:rPr>
              <w:t>,</w:t>
            </w:r>
            <w:r w:rsidRPr="0035370F">
              <w:rPr>
                <w:rFonts w:ascii="Times New Roman" w:eastAsia="Calibri" w:hAnsi="Times New Roman" w:cs="Times New Roman"/>
                <w:sz w:val="24"/>
                <w:szCs w:val="24"/>
                <w:lang w:val="ro-MD"/>
              </w:rPr>
              <w:t xml:space="preserve">a </w:t>
            </w:r>
            <w:r w:rsidR="00222EE1" w:rsidRPr="0035370F">
              <w:rPr>
                <w:rFonts w:ascii="Times New Roman" w:eastAsia="Calibri" w:hAnsi="Times New Roman" w:cs="Times New Roman"/>
                <w:sz w:val="24"/>
                <w:szCs w:val="24"/>
                <w:lang w:val="ro-MD"/>
              </w:rPr>
              <w:t xml:space="preserve">bunurilor </w:t>
            </w:r>
            <w:r w:rsidRPr="0035370F">
              <w:rPr>
                <w:rFonts w:ascii="Times New Roman" w:eastAsia="Calibri" w:hAnsi="Times New Roman" w:cs="Times New Roman"/>
                <w:sz w:val="24"/>
                <w:szCs w:val="24"/>
                <w:lang w:val="ro-MD"/>
              </w:rPr>
              <w:t xml:space="preserve">imobile </w:t>
            </w:r>
            <w:r w:rsidRPr="0035370F">
              <w:rPr>
                <w:rFonts w:ascii="Times New Roman" w:eastAsia="Calibri" w:hAnsi="Times New Roman" w:cs="Times New Roman"/>
                <w:sz w:val="24"/>
                <w:szCs w:val="24"/>
                <w:lang w:val="ro-MD"/>
              </w:rPr>
              <w:lastRenderedPageBreak/>
              <w:t xml:space="preserve">- clădirea administrativă cu suprafața de </w:t>
            </w:r>
            <w:r w:rsidR="005B2733" w:rsidRPr="0035370F">
              <w:rPr>
                <w:rFonts w:ascii="Times New Roman" w:hAnsi="Times New Roman" w:cs="Times New Roman"/>
                <w:sz w:val="24"/>
                <w:szCs w:val="24"/>
                <w:lang w:val="ro-MD"/>
              </w:rPr>
              <w:t>557,9/4</w:t>
            </w:r>
            <w:r w:rsidRPr="0035370F">
              <w:rPr>
                <w:rFonts w:ascii="Times New Roman" w:eastAsia="Calibri" w:hAnsi="Times New Roman" w:cs="Times New Roman"/>
                <w:sz w:val="24"/>
                <w:szCs w:val="24"/>
                <w:lang w:val="ro-MD"/>
              </w:rPr>
              <w:t xml:space="preserve"> m.p. (număr cadastral 0300211.587.01), garajul cu suprafața de 77,0</w:t>
            </w:r>
            <w:r w:rsidR="005B2733" w:rsidRPr="0035370F">
              <w:rPr>
                <w:rFonts w:ascii="Times New Roman" w:eastAsia="Calibri" w:hAnsi="Times New Roman" w:cs="Times New Roman"/>
                <w:sz w:val="24"/>
                <w:szCs w:val="24"/>
                <w:lang w:val="ro-MD"/>
              </w:rPr>
              <w:t>/1</w:t>
            </w:r>
            <w:r w:rsidRPr="0035370F">
              <w:rPr>
                <w:rFonts w:ascii="Times New Roman" w:eastAsia="Calibri" w:hAnsi="Times New Roman" w:cs="Times New Roman"/>
                <w:sz w:val="24"/>
                <w:szCs w:val="24"/>
                <w:lang w:val="ro-MD"/>
              </w:rPr>
              <w:t xml:space="preserve"> m.p. (număr cadastral 0300211.587.02) și magazie cu suprafața de 42,6</w:t>
            </w:r>
            <w:r w:rsidR="005B2733" w:rsidRPr="0035370F">
              <w:rPr>
                <w:rFonts w:ascii="Times New Roman" w:eastAsia="Calibri" w:hAnsi="Times New Roman" w:cs="Times New Roman"/>
                <w:sz w:val="24"/>
                <w:szCs w:val="24"/>
                <w:lang w:val="ro-MD"/>
              </w:rPr>
              <w:t>/1</w:t>
            </w:r>
            <w:r w:rsidRPr="0035370F">
              <w:rPr>
                <w:rFonts w:ascii="Times New Roman" w:eastAsia="Calibri" w:hAnsi="Times New Roman" w:cs="Times New Roman"/>
                <w:sz w:val="24"/>
                <w:szCs w:val="24"/>
                <w:lang w:val="ro-MD"/>
              </w:rPr>
              <w:t xml:space="preserve"> m.p. (număr cadastral 0300211.587.03), amplasate în mun. Bălți, str. Victoriei, nr. 96 A</w:t>
            </w:r>
            <w:r w:rsidR="0035370F" w:rsidRPr="0035370F">
              <w:rPr>
                <w:rFonts w:ascii="Times New Roman" w:eastAsia="Calibri" w:hAnsi="Times New Roman" w:cs="Times New Roman"/>
                <w:sz w:val="24"/>
                <w:szCs w:val="24"/>
                <w:lang w:val="ro-MD"/>
              </w:rPr>
              <w:t>,</w:t>
            </w:r>
            <w:r w:rsidR="0035370F" w:rsidRPr="0035370F">
              <w:rPr>
                <w:rStyle w:val="markedcontent"/>
                <w:rFonts w:ascii="Times New Roman" w:hAnsi="Times New Roman" w:cs="Times New Roman"/>
                <w:sz w:val="24"/>
                <w:szCs w:val="24"/>
                <w:lang w:val="pt-BR"/>
              </w:rPr>
              <w:t xml:space="preserve"> cu includerea ulterioară a valorii acestora în capitalul social al Societății pe Acțiuni „Furnizarea Energiei Electrice Nord”.</w:t>
            </w:r>
          </w:p>
          <w:p w14:paraId="4C2C3679" w14:textId="77777777" w:rsidR="0035370F" w:rsidRPr="00813441" w:rsidRDefault="0035370F" w:rsidP="003238CC">
            <w:pPr>
              <w:widowControl w:val="0"/>
              <w:spacing w:after="0" w:line="240" w:lineRule="auto"/>
              <w:jc w:val="both"/>
              <w:rPr>
                <w:rFonts w:ascii="Times New Roman" w:eastAsia="Calibri" w:hAnsi="Times New Roman" w:cs="Times New Roman"/>
                <w:sz w:val="24"/>
                <w:szCs w:val="24"/>
                <w:lang w:val="ro-MD"/>
              </w:rPr>
            </w:pPr>
          </w:p>
          <w:p w14:paraId="69DEE788" w14:textId="5AF20726" w:rsidR="00E30BD3" w:rsidRPr="00813441" w:rsidRDefault="00AD43CD" w:rsidP="008F3C2A">
            <w:pPr>
              <w:spacing w:after="0" w:line="240" w:lineRule="auto"/>
              <w:jc w:val="both"/>
              <w:rPr>
                <w:rFonts w:ascii="Times New Roman" w:hAnsi="Times New Roman" w:cs="Times New Roman"/>
                <w:sz w:val="24"/>
                <w:szCs w:val="24"/>
                <w:lang w:val="ro-MD"/>
              </w:rPr>
            </w:pPr>
            <w:r w:rsidRPr="00813441">
              <w:rPr>
                <w:rFonts w:ascii="Times New Roman" w:hAnsi="Times New Roman" w:cs="Times New Roman"/>
                <w:sz w:val="24"/>
                <w:szCs w:val="24"/>
                <w:lang w:val="ro-MD"/>
              </w:rPr>
              <w:t xml:space="preserve">Proiectul mai prevede </w:t>
            </w:r>
            <w:r w:rsidR="00E30BD3" w:rsidRPr="00813441">
              <w:rPr>
                <w:rFonts w:ascii="Times New Roman" w:hAnsi="Times New Roman" w:cs="Times New Roman"/>
                <w:sz w:val="24"/>
                <w:szCs w:val="24"/>
                <w:lang w:val="ro-MD"/>
              </w:rPr>
              <w:t xml:space="preserve">modificarea </w:t>
            </w:r>
            <w:r w:rsidRPr="00813441">
              <w:rPr>
                <w:rFonts w:ascii="Times New Roman" w:hAnsi="Times New Roman" w:cs="Times New Roman"/>
                <w:sz w:val="24"/>
                <w:szCs w:val="24"/>
                <w:lang w:val="ro-MD"/>
              </w:rPr>
              <w:t>a</w:t>
            </w:r>
            <w:r w:rsidR="00E30BD3" w:rsidRPr="00813441">
              <w:rPr>
                <w:rFonts w:ascii="Times New Roman" w:hAnsi="Times New Roman" w:cs="Times New Roman"/>
                <w:sz w:val="24"/>
                <w:szCs w:val="24"/>
                <w:lang w:val="ro-MD"/>
              </w:rPr>
              <w:t>nex</w:t>
            </w:r>
            <w:r w:rsidRPr="00813441">
              <w:rPr>
                <w:rFonts w:ascii="Times New Roman" w:hAnsi="Times New Roman" w:cs="Times New Roman"/>
                <w:sz w:val="24"/>
                <w:szCs w:val="24"/>
                <w:lang w:val="ro-MD"/>
              </w:rPr>
              <w:t>elor</w:t>
            </w:r>
            <w:r w:rsidR="00E30BD3" w:rsidRPr="00813441">
              <w:rPr>
                <w:rFonts w:ascii="Times New Roman" w:hAnsi="Times New Roman" w:cs="Times New Roman"/>
                <w:sz w:val="24"/>
                <w:szCs w:val="24"/>
                <w:lang w:val="ro-MD"/>
              </w:rPr>
              <w:t xml:space="preserve"> nr.2 </w:t>
            </w:r>
            <w:r w:rsidRPr="00813441">
              <w:rPr>
                <w:rFonts w:ascii="Times New Roman" w:hAnsi="Times New Roman" w:cs="Times New Roman"/>
                <w:sz w:val="24"/>
                <w:szCs w:val="24"/>
                <w:lang w:val="ro-MD"/>
              </w:rPr>
              <w:t xml:space="preserve">și 9 </w:t>
            </w:r>
            <w:r w:rsidR="00E30BD3" w:rsidRPr="00813441">
              <w:rPr>
                <w:rFonts w:ascii="Times New Roman" w:hAnsi="Times New Roman" w:cs="Times New Roman"/>
                <w:sz w:val="24"/>
                <w:szCs w:val="24"/>
                <w:lang w:val="ro-MD"/>
              </w:rPr>
              <w:t xml:space="preserve">la Hotărârea Guvernului nr.351/2005 </w:t>
            </w:r>
            <w:r w:rsidRPr="00813441">
              <w:rPr>
                <w:rFonts w:ascii="Times New Roman" w:hAnsi="Times New Roman" w:cs="Times New Roman"/>
                <w:sz w:val="24"/>
                <w:szCs w:val="24"/>
                <w:lang w:val="ro-MD"/>
              </w:rPr>
              <w:t xml:space="preserve">în partea </w:t>
            </w:r>
            <w:r w:rsidR="00222EE1" w:rsidRPr="00813441">
              <w:rPr>
                <w:rFonts w:ascii="Times New Roman" w:hAnsi="Times New Roman" w:cs="Times New Roman"/>
                <w:sz w:val="24"/>
                <w:szCs w:val="24"/>
                <w:lang w:val="ro-MD"/>
              </w:rPr>
              <w:t xml:space="preserve">ce ține de </w:t>
            </w:r>
            <w:r w:rsidRPr="00813441">
              <w:rPr>
                <w:rFonts w:ascii="Times New Roman" w:hAnsi="Times New Roman" w:cs="Times New Roman"/>
                <w:sz w:val="24"/>
                <w:szCs w:val="24"/>
                <w:lang w:val="ro-MD"/>
              </w:rPr>
              <w:t>excluder</w:t>
            </w:r>
            <w:r w:rsidR="00222EE1" w:rsidRPr="00813441">
              <w:rPr>
                <w:rFonts w:ascii="Times New Roman" w:hAnsi="Times New Roman" w:cs="Times New Roman"/>
                <w:sz w:val="24"/>
                <w:szCs w:val="24"/>
                <w:lang w:val="ro-MD"/>
              </w:rPr>
              <w:t>ea</w:t>
            </w:r>
            <w:r w:rsidRPr="00813441">
              <w:rPr>
                <w:rFonts w:ascii="Times New Roman" w:hAnsi="Times New Roman" w:cs="Times New Roman"/>
                <w:sz w:val="24"/>
                <w:szCs w:val="24"/>
                <w:lang w:val="ro-MD"/>
              </w:rPr>
              <w:t xml:space="preserve"> bunurilor din administrarea Biroului Național de Statistică și includerea acestora în administra</w:t>
            </w:r>
            <w:r w:rsidR="00CE0E5A" w:rsidRPr="00813441">
              <w:rPr>
                <w:rFonts w:ascii="Times New Roman" w:hAnsi="Times New Roman" w:cs="Times New Roman"/>
                <w:sz w:val="24"/>
                <w:szCs w:val="24"/>
                <w:lang w:val="ro-MD"/>
              </w:rPr>
              <w:t>r</w:t>
            </w:r>
            <w:r w:rsidRPr="00813441">
              <w:rPr>
                <w:rFonts w:ascii="Times New Roman" w:hAnsi="Times New Roman" w:cs="Times New Roman"/>
                <w:sz w:val="24"/>
                <w:szCs w:val="24"/>
                <w:lang w:val="ro-MD"/>
              </w:rPr>
              <w:t>ea Agenției Proprietăți Publice.</w:t>
            </w:r>
          </w:p>
          <w:p w14:paraId="6EF06954" w14:textId="77777777" w:rsidR="00AD43CD" w:rsidRPr="00813441" w:rsidRDefault="00AD43CD" w:rsidP="008F3C2A">
            <w:pPr>
              <w:spacing w:after="0" w:line="240" w:lineRule="auto"/>
              <w:jc w:val="both"/>
              <w:rPr>
                <w:rFonts w:ascii="Times New Roman" w:hAnsi="Times New Roman" w:cs="Times New Roman"/>
                <w:sz w:val="24"/>
                <w:szCs w:val="24"/>
                <w:lang w:val="ro-MD"/>
              </w:rPr>
            </w:pPr>
          </w:p>
          <w:p w14:paraId="466D5701" w14:textId="7BB51B78" w:rsidR="00093FBE" w:rsidRPr="00813441" w:rsidRDefault="00AD43CD" w:rsidP="008F3C2A">
            <w:pPr>
              <w:spacing w:after="0" w:line="240" w:lineRule="auto"/>
              <w:jc w:val="both"/>
              <w:rPr>
                <w:rFonts w:ascii="Times New Roman" w:hAnsi="Times New Roman" w:cs="Times New Roman"/>
                <w:sz w:val="24"/>
                <w:szCs w:val="24"/>
                <w:lang w:val="ro-MD"/>
              </w:rPr>
            </w:pPr>
            <w:r w:rsidRPr="00813441">
              <w:rPr>
                <w:rFonts w:ascii="Times New Roman" w:hAnsi="Times New Roman" w:cs="Times New Roman"/>
                <w:sz w:val="24"/>
                <w:szCs w:val="24"/>
                <w:lang w:val="ro-MD"/>
              </w:rPr>
              <w:t>Suplimentar</w:t>
            </w:r>
            <w:r w:rsidR="00222EE1" w:rsidRPr="00813441">
              <w:rPr>
                <w:rFonts w:ascii="Times New Roman" w:hAnsi="Times New Roman" w:cs="Times New Roman"/>
                <w:sz w:val="24"/>
                <w:szCs w:val="24"/>
                <w:lang w:val="ro-MD"/>
              </w:rPr>
              <w:t>, proiectul</w:t>
            </w:r>
            <w:r w:rsidRPr="00813441">
              <w:rPr>
                <w:rFonts w:ascii="Times New Roman" w:hAnsi="Times New Roman" w:cs="Times New Roman"/>
                <w:sz w:val="24"/>
                <w:szCs w:val="24"/>
                <w:lang w:val="ro-MD"/>
              </w:rPr>
              <w:t xml:space="preserve"> </w:t>
            </w:r>
            <w:r w:rsidR="00E30BD3" w:rsidRPr="00813441">
              <w:rPr>
                <w:rFonts w:ascii="Times New Roman" w:hAnsi="Times New Roman" w:cs="Times New Roman"/>
                <w:sz w:val="24"/>
                <w:szCs w:val="24"/>
                <w:lang w:val="ro-MD"/>
              </w:rPr>
              <w:t xml:space="preserve">stabilește dispoziția, prin care se instituie obligația comună a Biroului Național de Statistică și </w:t>
            </w:r>
            <w:r w:rsidR="008F3C2A" w:rsidRPr="00813441">
              <w:rPr>
                <w:rFonts w:ascii="Times New Roman" w:hAnsi="Times New Roman" w:cs="Times New Roman"/>
                <w:sz w:val="24"/>
                <w:szCs w:val="24"/>
                <w:lang w:val="ro-MD"/>
              </w:rPr>
              <w:t xml:space="preserve">Agenției </w:t>
            </w:r>
            <w:r w:rsidR="00E30BD3" w:rsidRPr="00813441">
              <w:rPr>
                <w:rFonts w:ascii="Times New Roman" w:hAnsi="Times New Roman" w:cs="Times New Roman"/>
                <w:sz w:val="24"/>
                <w:szCs w:val="24"/>
                <w:lang w:val="ro-MD"/>
              </w:rPr>
              <w:t>Proprietății Publice de a institui Comisia de transmitere și de a asigura transmiterea bunurilor imobile, în termen de 30 de zile, în conformitate cu prevederile Regulamentului cu privire la modul de transmitere a bunurilor proprietate publică, aprobat prin Hotărârea Guvernului nr.901/2015</w:t>
            </w:r>
            <w:r w:rsidR="00F56176" w:rsidRPr="00813441">
              <w:rPr>
                <w:rFonts w:ascii="Times New Roman" w:hAnsi="Times New Roman" w:cs="Times New Roman"/>
                <w:sz w:val="24"/>
                <w:szCs w:val="24"/>
                <w:lang w:val="ro-MD"/>
              </w:rPr>
              <w:t>.</w:t>
            </w:r>
          </w:p>
          <w:p w14:paraId="0CECB288" w14:textId="44E3D1EB" w:rsidR="00EE0C61" w:rsidRPr="00813441" w:rsidRDefault="00EE0C61" w:rsidP="00813441">
            <w:pPr>
              <w:pStyle w:val="NoSpacing"/>
              <w:jc w:val="both"/>
              <w:rPr>
                <w:rFonts w:ascii="Times New Roman" w:hAnsi="Times New Roman" w:cs="Times New Roman"/>
                <w:sz w:val="24"/>
                <w:szCs w:val="24"/>
                <w:lang w:val="ro-MD"/>
              </w:rPr>
            </w:pPr>
          </w:p>
        </w:tc>
      </w:tr>
      <w:tr w:rsidR="00E30BD3" w:rsidRPr="00813441" w14:paraId="038417F8" w14:textId="77777777" w:rsidTr="00227EF8">
        <w:tc>
          <w:tcPr>
            <w:tcW w:w="5000" w:type="pct"/>
            <w:shd w:val="clear" w:color="auto" w:fill="D9D9D9" w:themeFill="background1" w:themeFillShade="D9"/>
            <w:hideMark/>
          </w:tcPr>
          <w:p w14:paraId="10A0CA78" w14:textId="77777777" w:rsidR="00E30BD3" w:rsidRPr="00813441" w:rsidRDefault="00E30BD3" w:rsidP="008F3C2A">
            <w:pPr>
              <w:widowControl w:val="0"/>
              <w:tabs>
                <w:tab w:val="left" w:pos="884"/>
                <w:tab w:val="left" w:pos="1196"/>
              </w:tabs>
              <w:spacing w:after="0" w:line="240" w:lineRule="auto"/>
              <w:jc w:val="both"/>
              <w:rPr>
                <w:rFonts w:ascii="Times New Roman" w:eastAsia="Calibri" w:hAnsi="Times New Roman" w:cs="Times New Roman"/>
                <w:color w:val="000000"/>
                <w:sz w:val="24"/>
                <w:szCs w:val="24"/>
                <w:lang w:val="ro-MD" w:eastAsia="ro-RO" w:bidi="ro-RO"/>
              </w:rPr>
            </w:pPr>
            <w:r w:rsidRPr="00813441">
              <w:rPr>
                <w:rFonts w:ascii="Times New Roman" w:eastAsia="Courier New" w:hAnsi="Times New Roman" w:cs="Times New Roman"/>
                <w:b/>
                <w:bCs/>
                <w:color w:val="000000"/>
                <w:sz w:val="24"/>
                <w:szCs w:val="24"/>
                <w:lang w:val="ro-MD" w:eastAsia="ro-RO" w:bidi="ro-RO"/>
              </w:rPr>
              <w:lastRenderedPageBreak/>
              <w:t>5. Fundamentarea economico-financiară</w:t>
            </w:r>
          </w:p>
        </w:tc>
      </w:tr>
      <w:tr w:rsidR="00E30BD3" w:rsidRPr="00E65393" w14:paraId="2E5A73AF" w14:textId="77777777" w:rsidTr="00227EF8">
        <w:tc>
          <w:tcPr>
            <w:tcW w:w="5000" w:type="pct"/>
          </w:tcPr>
          <w:p w14:paraId="7D98254F" w14:textId="695AC986" w:rsidR="00E30BD3" w:rsidRPr="00813441" w:rsidRDefault="00222EE1" w:rsidP="008F3C2A">
            <w:pPr>
              <w:widowControl w:val="0"/>
              <w:tabs>
                <w:tab w:val="left" w:pos="884"/>
                <w:tab w:val="left" w:pos="1196"/>
              </w:tabs>
              <w:spacing w:after="0" w:line="240" w:lineRule="auto"/>
              <w:jc w:val="both"/>
              <w:rPr>
                <w:rFonts w:ascii="Times New Roman" w:eastAsia="Courier New" w:hAnsi="Times New Roman" w:cs="Times New Roman"/>
                <w:bCs/>
                <w:color w:val="000000"/>
                <w:sz w:val="24"/>
                <w:szCs w:val="24"/>
                <w:lang w:val="ro-MD" w:eastAsia="ro-RO" w:bidi="ro-RO"/>
              </w:rPr>
            </w:pPr>
            <w:r w:rsidRPr="00813441">
              <w:rPr>
                <w:rFonts w:ascii="Times New Roman" w:hAnsi="Times New Roman" w:cs="Times New Roman"/>
                <w:sz w:val="24"/>
                <w:szCs w:val="24"/>
                <w:lang w:val="ro-MD"/>
              </w:rPr>
              <w:t>Realizare</w:t>
            </w:r>
            <w:r w:rsidR="0001513C" w:rsidRPr="00813441">
              <w:rPr>
                <w:rFonts w:ascii="Times New Roman" w:hAnsi="Times New Roman" w:cs="Times New Roman"/>
                <w:sz w:val="24"/>
                <w:szCs w:val="24"/>
                <w:lang w:val="ro-MD"/>
              </w:rPr>
              <w:t>a</w:t>
            </w:r>
            <w:r w:rsidRPr="00813441">
              <w:rPr>
                <w:rFonts w:ascii="Times New Roman" w:hAnsi="Times New Roman" w:cs="Times New Roman"/>
                <w:sz w:val="24"/>
                <w:szCs w:val="24"/>
                <w:lang w:val="ro-MD"/>
              </w:rPr>
              <w:t xml:space="preserve"> </w:t>
            </w:r>
            <w:r w:rsidR="008021EF" w:rsidRPr="00813441">
              <w:rPr>
                <w:rFonts w:ascii="Times New Roman" w:hAnsi="Times New Roman" w:cs="Times New Roman"/>
                <w:sz w:val="24"/>
                <w:szCs w:val="24"/>
                <w:lang w:val="ro-MD"/>
              </w:rPr>
              <w:t>prezentului proiect de hotăr</w:t>
            </w:r>
            <w:r w:rsidR="006E0BAD">
              <w:rPr>
                <w:rFonts w:ascii="Times New Roman" w:hAnsi="Times New Roman" w:cs="Times New Roman"/>
                <w:sz w:val="24"/>
                <w:szCs w:val="24"/>
                <w:lang w:val="ro-MD"/>
              </w:rPr>
              <w:t>â</w:t>
            </w:r>
            <w:r w:rsidR="008021EF" w:rsidRPr="00813441">
              <w:rPr>
                <w:rFonts w:ascii="Times New Roman" w:hAnsi="Times New Roman" w:cs="Times New Roman"/>
                <w:sz w:val="24"/>
                <w:szCs w:val="24"/>
                <w:lang w:val="ro-MD"/>
              </w:rPr>
              <w:t>re de Guvern nu implică cheltuieli financiare suplimentare din bugetul de stat</w:t>
            </w:r>
            <w:r w:rsidR="00E30BD3" w:rsidRPr="00813441">
              <w:rPr>
                <w:rFonts w:ascii="Times New Roman" w:eastAsia="Courier New" w:hAnsi="Times New Roman" w:cs="Times New Roman"/>
                <w:bCs/>
                <w:color w:val="000000"/>
                <w:sz w:val="24"/>
                <w:szCs w:val="24"/>
                <w:lang w:val="ro-MD" w:eastAsia="ro-RO" w:bidi="ro-RO"/>
              </w:rPr>
              <w:t>.</w:t>
            </w:r>
          </w:p>
          <w:p w14:paraId="50DC4BF2" w14:textId="77777777" w:rsidR="00E30BD3" w:rsidRPr="00813441" w:rsidRDefault="00E30BD3" w:rsidP="008F3C2A">
            <w:pPr>
              <w:widowControl w:val="0"/>
              <w:tabs>
                <w:tab w:val="left" w:pos="884"/>
                <w:tab w:val="left" w:pos="1196"/>
              </w:tabs>
              <w:spacing w:after="0" w:line="240" w:lineRule="auto"/>
              <w:jc w:val="both"/>
              <w:rPr>
                <w:rFonts w:ascii="Times New Roman" w:eastAsia="Courier New" w:hAnsi="Times New Roman" w:cs="Times New Roman"/>
                <w:color w:val="000000"/>
                <w:sz w:val="24"/>
                <w:szCs w:val="24"/>
                <w:lang w:val="ro-MD" w:eastAsia="ro-RO" w:bidi="ro-RO"/>
              </w:rPr>
            </w:pPr>
          </w:p>
        </w:tc>
      </w:tr>
      <w:tr w:rsidR="00E30BD3" w:rsidRPr="00E65393" w14:paraId="3A6B6FF4" w14:textId="77777777" w:rsidTr="00227EF8">
        <w:tc>
          <w:tcPr>
            <w:tcW w:w="5000" w:type="pct"/>
            <w:shd w:val="clear" w:color="auto" w:fill="D9D9D9" w:themeFill="background1" w:themeFillShade="D9"/>
            <w:hideMark/>
          </w:tcPr>
          <w:p w14:paraId="5F14C236" w14:textId="3A8E3F12" w:rsidR="00E30BD3" w:rsidRPr="00813441" w:rsidRDefault="00E30BD3" w:rsidP="008F3C2A">
            <w:pPr>
              <w:widowControl w:val="0"/>
              <w:tabs>
                <w:tab w:val="left" w:pos="884"/>
                <w:tab w:val="left" w:pos="1196"/>
              </w:tabs>
              <w:spacing w:after="0" w:line="240" w:lineRule="auto"/>
              <w:jc w:val="both"/>
              <w:rPr>
                <w:rFonts w:ascii="Times New Roman" w:eastAsia="Calibri" w:hAnsi="Times New Roman" w:cs="Times New Roman"/>
                <w:color w:val="000000"/>
                <w:sz w:val="24"/>
                <w:szCs w:val="24"/>
                <w:lang w:val="ro-MD" w:eastAsia="ro-RO" w:bidi="ro-RO"/>
              </w:rPr>
            </w:pPr>
            <w:r w:rsidRPr="00813441">
              <w:rPr>
                <w:rFonts w:ascii="Times New Roman" w:eastAsia="Courier New" w:hAnsi="Times New Roman" w:cs="Times New Roman"/>
                <w:b/>
                <w:bCs/>
                <w:color w:val="000000"/>
                <w:sz w:val="24"/>
                <w:szCs w:val="24"/>
                <w:lang w:val="ro-MD" w:eastAsia="ro-RO" w:bidi="ro-RO"/>
              </w:rPr>
              <w:t xml:space="preserve">6. </w:t>
            </w:r>
            <w:r w:rsidR="008021EF" w:rsidRPr="00813441">
              <w:rPr>
                <w:rFonts w:ascii="Times New Roman" w:hAnsi="Times New Roman" w:cs="Times New Roman"/>
                <w:b/>
                <w:bCs/>
                <w:sz w:val="24"/>
                <w:szCs w:val="24"/>
                <w:lang w:val="ro-MD"/>
              </w:rPr>
              <w:t>Modul de încorporare a proiectului în sistemul actelor normative în vigoare</w:t>
            </w:r>
          </w:p>
        </w:tc>
      </w:tr>
      <w:tr w:rsidR="00E30BD3" w:rsidRPr="00E65393" w14:paraId="398B890D" w14:textId="77777777" w:rsidTr="00227EF8">
        <w:tc>
          <w:tcPr>
            <w:tcW w:w="5000" w:type="pct"/>
          </w:tcPr>
          <w:p w14:paraId="12FBE12E" w14:textId="6761200E" w:rsidR="00222EE1" w:rsidRPr="00813441" w:rsidRDefault="00222EE1" w:rsidP="008F3C2A">
            <w:pPr>
              <w:spacing w:after="0" w:line="240" w:lineRule="auto"/>
              <w:jc w:val="both"/>
              <w:rPr>
                <w:rFonts w:ascii="Times New Roman" w:hAnsi="Times New Roman" w:cs="Times New Roman"/>
                <w:sz w:val="24"/>
                <w:szCs w:val="24"/>
                <w:lang w:val="ro-MD"/>
              </w:rPr>
            </w:pPr>
            <w:r w:rsidRPr="00813441">
              <w:rPr>
                <w:rFonts w:ascii="Times New Roman" w:hAnsi="Times New Roman" w:cs="Times New Roman"/>
                <w:sz w:val="24"/>
                <w:szCs w:val="24"/>
                <w:lang w:val="ro-MD"/>
              </w:rPr>
              <w:t>Proiectul prevede modificarea anexelor nr.2 și 9 la Hotărârea Guvernului nr.351/2005 în partea ce ține de excluderea bunurilor din administrarea Biroului Național de Statistică și includerea acestora în administra</w:t>
            </w:r>
            <w:r w:rsidR="006E0BAD">
              <w:rPr>
                <w:rFonts w:ascii="Times New Roman" w:hAnsi="Times New Roman" w:cs="Times New Roman"/>
                <w:sz w:val="24"/>
                <w:szCs w:val="24"/>
                <w:lang w:val="ro-MD"/>
              </w:rPr>
              <w:t>r</w:t>
            </w:r>
            <w:r w:rsidRPr="00813441">
              <w:rPr>
                <w:rFonts w:ascii="Times New Roman" w:hAnsi="Times New Roman" w:cs="Times New Roman"/>
                <w:sz w:val="24"/>
                <w:szCs w:val="24"/>
                <w:lang w:val="ro-MD"/>
              </w:rPr>
              <w:t xml:space="preserve">ea Agenției </w:t>
            </w:r>
            <w:r w:rsidR="006E0BAD" w:rsidRPr="00813441">
              <w:rPr>
                <w:rFonts w:ascii="Times New Roman" w:hAnsi="Times New Roman" w:cs="Times New Roman"/>
                <w:sz w:val="24"/>
                <w:szCs w:val="24"/>
                <w:lang w:val="ro-MD"/>
              </w:rPr>
              <w:t>Proprietăți</w:t>
            </w:r>
            <w:r w:rsidR="006E0BAD">
              <w:rPr>
                <w:rFonts w:ascii="Times New Roman" w:hAnsi="Times New Roman" w:cs="Times New Roman"/>
                <w:sz w:val="24"/>
                <w:szCs w:val="24"/>
                <w:lang w:val="ro-MD"/>
              </w:rPr>
              <w:t>i</w:t>
            </w:r>
            <w:r w:rsidRPr="00813441">
              <w:rPr>
                <w:rFonts w:ascii="Times New Roman" w:hAnsi="Times New Roman" w:cs="Times New Roman"/>
                <w:sz w:val="24"/>
                <w:szCs w:val="24"/>
                <w:lang w:val="ro-MD"/>
              </w:rPr>
              <w:t xml:space="preserve"> Publice.</w:t>
            </w:r>
          </w:p>
          <w:p w14:paraId="504D1E2D" w14:textId="0F204D98" w:rsidR="008021EF" w:rsidRPr="00813441" w:rsidRDefault="008021EF" w:rsidP="008F3C2A">
            <w:pPr>
              <w:widowControl w:val="0"/>
              <w:tabs>
                <w:tab w:val="left" w:pos="884"/>
                <w:tab w:val="left" w:pos="1196"/>
              </w:tabs>
              <w:spacing w:after="0" w:line="240" w:lineRule="auto"/>
              <w:jc w:val="both"/>
              <w:rPr>
                <w:rFonts w:ascii="Times New Roman" w:hAnsi="Times New Roman" w:cs="Times New Roman"/>
                <w:sz w:val="24"/>
                <w:szCs w:val="24"/>
                <w:lang w:val="ro-MD"/>
              </w:rPr>
            </w:pPr>
          </w:p>
        </w:tc>
      </w:tr>
      <w:tr w:rsidR="00E30BD3" w:rsidRPr="00E65393" w14:paraId="0C360AB6" w14:textId="77777777" w:rsidTr="00227EF8">
        <w:tc>
          <w:tcPr>
            <w:tcW w:w="5000" w:type="pct"/>
            <w:shd w:val="clear" w:color="auto" w:fill="D9D9D9" w:themeFill="background1" w:themeFillShade="D9"/>
            <w:hideMark/>
          </w:tcPr>
          <w:p w14:paraId="3915965C" w14:textId="77777777" w:rsidR="00E30BD3" w:rsidRPr="00813441" w:rsidRDefault="00E30BD3" w:rsidP="008F3C2A">
            <w:pPr>
              <w:widowControl w:val="0"/>
              <w:tabs>
                <w:tab w:val="left" w:pos="884"/>
                <w:tab w:val="left" w:pos="1196"/>
              </w:tabs>
              <w:spacing w:after="0" w:line="240" w:lineRule="auto"/>
              <w:jc w:val="both"/>
              <w:rPr>
                <w:rFonts w:ascii="Times New Roman" w:eastAsia="Calibri" w:hAnsi="Times New Roman" w:cs="Times New Roman"/>
                <w:color w:val="000000"/>
                <w:sz w:val="24"/>
                <w:szCs w:val="24"/>
                <w:lang w:val="ro-MD" w:eastAsia="ro-RO" w:bidi="ro-RO"/>
              </w:rPr>
            </w:pPr>
            <w:r w:rsidRPr="00813441">
              <w:rPr>
                <w:rFonts w:ascii="Times New Roman" w:eastAsia="Courier New" w:hAnsi="Times New Roman" w:cs="Times New Roman"/>
                <w:b/>
                <w:bCs/>
                <w:color w:val="000000"/>
                <w:sz w:val="24"/>
                <w:szCs w:val="24"/>
                <w:lang w:val="ro-MD" w:eastAsia="ro-RO" w:bidi="ro-RO"/>
              </w:rPr>
              <w:t>7. Avizarea şi consultarea publică a proiectului</w:t>
            </w:r>
          </w:p>
        </w:tc>
      </w:tr>
      <w:tr w:rsidR="00E30BD3" w:rsidRPr="00E65393" w14:paraId="0AB6ECE1" w14:textId="77777777" w:rsidTr="00227EF8">
        <w:tc>
          <w:tcPr>
            <w:tcW w:w="5000" w:type="pct"/>
          </w:tcPr>
          <w:p w14:paraId="10459FF1" w14:textId="16713957" w:rsidR="00E30BD3" w:rsidRDefault="00E30BD3" w:rsidP="008F3C2A">
            <w:pPr>
              <w:widowControl w:val="0"/>
              <w:spacing w:after="0" w:line="240" w:lineRule="auto"/>
              <w:jc w:val="both"/>
              <w:rPr>
                <w:rFonts w:ascii="Times New Roman" w:eastAsia="Courier New" w:hAnsi="Times New Roman" w:cs="Times New Roman"/>
                <w:color w:val="5B9BD5" w:themeColor="accent1"/>
                <w:sz w:val="24"/>
                <w:szCs w:val="24"/>
                <w:lang w:val="ro-MD" w:eastAsia="ro-RO" w:bidi="ro-RO"/>
              </w:rPr>
            </w:pPr>
            <w:r w:rsidRPr="00813441">
              <w:rPr>
                <w:rFonts w:ascii="Times New Roman" w:eastAsia="Times New Roman" w:hAnsi="Times New Roman" w:cs="Times New Roman"/>
                <w:sz w:val="24"/>
                <w:szCs w:val="24"/>
                <w:lang w:val="ro-MD" w:eastAsia="ru-RU"/>
              </w:rPr>
              <w:t xml:space="preserve">În scopul respectării prevederilor Legii nr. 239/2008 privind transparența în procesul decizional, proiectul hotărârii </w:t>
            </w:r>
            <w:r w:rsidR="00222EE1" w:rsidRPr="00813441">
              <w:rPr>
                <w:rFonts w:ascii="Times New Roman" w:eastAsia="Times New Roman" w:hAnsi="Times New Roman" w:cs="Times New Roman"/>
                <w:sz w:val="24"/>
                <w:szCs w:val="24"/>
                <w:lang w:val="ro-MD" w:eastAsia="ru-RU"/>
              </w:rPr>
              <w:t xml:space="preserve">va fi </w:t>
            </w:r>
            <w:r w:rsidRPr="00813441">
              <w:rPr>
                <w:rFonts w:ascii="Times New Roman" w:eastAsia="Times New Roman" w:hAnsi="Times New Roman" w:cs="Times New Roman"/>
                <w:sz w:val="24"/>
                <w:szCs w:val="24"/>
                <w:lang w:val="ro-MD" w:eastAsia="ru-RU"/>
              </w:rPr>
              <w:t xml:space="preserve">plasat </w:t>
            </w:r>
            <w:r w:rsidRPr="00813441">
              <w:rPr>
                <w:rFonts w:ascii="Times New Roman" w:eastAsia="Calibri" w:hAnsi="Times New Roman" w:cs="Times New Roman"/>
                <w:sz w:val="24"/>
                <w:szCs w:val="24"/>
                <w:lang w:val="ro-MD"/>
              </w:rPr>
              <w:t xml:space="preserve">pe pagina oficială </w:t>
            </w:r>
            <w:r w:rsidR="008021EF" w:rsidRPr="00813441">
              <w:rPr>
                <w:rFonts w:ascii="Times New Roman" w:eastAsia="Calibri" w:hAnsi="Times New Roman" w:cs="Times New Roman"/>
                <w:sz w:val="24"/>
                <w:szCs w:val="24"/>
                <w:lang w:val="ro-MD"/>
              </w:rPr>
              <w:t>w</w:t>
            </w:r>
            <w:r w:rsidRPr="00813441">
              <w:rPr>
                <w:rFonts w:ascii="Times New Roman" w:eastAsia="Calibri" w:hAnsi="Times New Roman" w:cs="Times New Roman"/>
                <w:sz w:val="24"/>
                <w:szCs w:val="24"/>
                <w:lang w:val="ro-MD"/>
              </w:rPr>
              <w:t xml:space="preserve">eb a Biroului Național de Statistică, </w:t>
            </w:r>
            <w:r w:rsidRPr="002B61FC">
              <w:rPr>
                <w:rFonts w:ascii="Times New Roman" w:eastAsia="Calibri" w:hAnsi="Times New Roman" w:cs="Times New Roman"/>
                <w:color w:val="5B9BD5" w:themeColor="accent1"/>
                <w:sz w:val="24"/>
                <w:szCs w:val="24"/>
                <w:lang w:val="ro-MD"/>
              </w:rPr>
              <w:t>(</w:t>
            </w:r>
            <w:hyperlink r:id="rId5" w:history="1">
              <w:r w:rsidRPr="002B61FC">
                <w:rPr>
                  <w:rFonts w:ascii="Times New Roman" w:eastAsia="Calibri" w:hAnsi="Times New Roman" w:cs="Times New Roman"/>
                  <w:color w:val="5B9BD5" w:themeColor="accent1"/>
                  <w:sz w:val="24"/>
                  <w:szCs w:val="24"/>
                  <w:u w:val="single"/>
                  <w:lang w:val="ro-MD"/>
                </w:rPr>
                <w:t>www.statistica.gov.md</w:t>
              </w:r>
            </w:hyperlink>
            <w:r w:rsidRPr="002B61FC">
              <w:rPr>
                <w:rFonts w:ascii="Times New Roman" w:eastAsia="Calibri" w:hAnsi="Times New Roman" w:cs="Times New Roman"/>
                <w:color w:val="5B9BD5" w:themeColor="accent1"/>
                <w:sz w:val="24"/>
                <w:szCs w:val="24"/>
                <w:u w:val="single"/>
                <w:lang w:val="ro-MD"/>
              </w:rPr>
              <w:t>),</w:t>
            </w:r>
            <w:r w:rsidRPr="00813441">
              <w:rPr>
                <w:rFonts w:ascii="Times New Roman" w:eastAsia="Calibri" w:hAnsi="Times New Roman" w:cs="Times New Roman"/>
                <w:color w:val="0000FF"/>
                <w:sz w:val="24"/>
                <w:szCs w:val="24"/>
                <w:lang w:val="ro-MD"/>
              </w:rPr>
              <w:t xml:space="preserve"> </w:t>
            </w:r>
            <w:r w:rsidRPr="00813441">
              <w:rPr>
                <w:rFonts w:ascii="Times New Roman" w:eastAsia="Calibri" w:hAnsi="Times New Roman" w:cs="Times New Roman"/>
                <w:sz w:val="24"/>
                <w:szCs w:val="24"/>
                <w:lang w:val="ro-MD"/>
              </w:rPr>
              <w:t>la compartimentul „Transparență în procesul decizional”, rubrica „Proiecte de decizii”</w:t>
            </w:r>
            <w:r w:rsidRPr="00813441">
              <w:rPr>
                <w:rFonts w:ascii="Times New Roman" w:eastAsia="Courier New" w:hAnsi="Times New Roman" w:cs="Times New Roman"/>
                <w:color w:val="000000"/>
                <w:sz w:val="24"/>
                <w:szCs w:val="24"/>
                <w:lang w:val="ro-MD" w:eastAsia="ro-RO" w:bidi="ro-RO"/>
              </w:rPr>
              <w:t xml:space="preserve"> și pe portalul guvernamental </w:t>
            </w:r>
            <w:hyperlink r:id="rId6" w:history="1">
              <w:r w:rsidRPr="002B61FC">
                <w:rPr>
                  <w:rFonts w:ascii="Times New Roman" w:eastAsia="Courier New" w:hAnsi="Times New Roman" w:cs="Times New Roman"/>
                  <w:color w:val="5B9BD5" w:themeColor="accent1"/>
                  <w:sz w:val="24"/>
                  <w:szCs w:val="24"/>
                  <w:u w:val="single"/>
                  <w:lang w:val="ro-MD" w:eastAsia="ro-RO" w:bidi="ro-RO"/>
                </w:rPr>
                <w:t>www.particip.gov.md</w:t>
              </w:r>
            </w:hyperlink>
            <w:r w:rsidRPr="002B61FC">
              <w:rPr>
                <w:rFonts w:ascii="Times New Roman" w:eastAsia="Courier New" w:hAnsi="Times New Roman" w:cs="Times New Roman"/>
                <w:color w:val="5B9BD5" w:themeColor="accent1"/>
                <w:sz w:val="24"/>
                <w:szCs w:val="24"/>
                <w:lang w:val="ro-MD" w:eastAsia="ro-RO" w:bidi="ro-RO"/>
              </w:rPr>
              <w:t>.</w:t>
            </w:r>
          </w:p>
          <w:p w14:paraId="10B18DCF" w14:textId="77777777" w:rsidR="00227EF8" w:rsidRPr="00813441" w:rsidRDefault="00227EF8" w:rsidP="008F3C2A">
            <w:pPr>
              <w:widowControl w:val="0"/>
              <w:spacing w:after="0" w:line="240" w:lineRule="auto"/>
              <w:jc w:val="both"/>
              <w:rPr>
                <w:rFonts w:ascii="Times New Roman" w:eastAsia="Courier New" w:hAnsi="Times New Roman" w:cs="Times New Roman"/>
                <w:color w:val="000000"/>
                <w:sz w:val="24"/>
                <w:szCs w:val="24"/>
                <w:lang w:val="ro-MD" w:eastAsia="ro-RO" w:bidi="ro-RO"/>
              </w:rPr>
            </w:pPr>
          </w:p>
          <w:p w14:paraId="325CCE57" w14:textId="4A11C52C" w:rsidR="00EE0C61" w:rsidRDefault="00EE0C61" w:rsidP="008F3C2A">
            <w:pPr>
              <w:widowControl w:val="0"/>
              <w:spacing w:after="0" w:line="240" w:lineRule="auto"/>
              <w:jc w:val="both"/>
              <w:rPr>
                <w:rFonts w:ascii="Times New Roman" w:eastAsia="Courier New" w:hAnsi="Times New Roman" w:cs="Times New Roman"/>
                <w:color w:val="000000"/>
                <w:sz w:val="24"/>
                <w:szCs w:val="24"/>
                <w:lang w:val="ro-MD" w:eastAsia="ro-RO" w:bidi="ro-RO"/>
              </w:rPr>
            </w:pPr>
            <w:r w:rsidRPr="00813441">
              <w:rPr>
                <w:rFonts w:ascii="Times New Roman" w:eastAsia="Courier New" w:hAnsi="Times New Roman" w:cs="Times New Roman"/>
                <w:color w:val="000000"/>
                <w:sz w:val="24"/>
                <w:szCs w:val="24"/>
                <w:lang w:val="ro-MD" w:eastAsia="ro-RO" w:bidi="ro-RO"/>
              </w:rPr>
              <w:t>Proiectul a fost avizat de către autoritățile de resort, de propunerile cărora s-a ținut cont la definitivarea proiectului.</w:t>
            </w:r>
          </w:p>
          <w:p w14:paraId="26C60B24" w14:textId="77777777" w:rsidR="00227EF8" w:rsidRDefault="00227EF8" w:rsidP="008F3C2A">
            <w:pPr>
              <w:widowControl w:val="0"/>
              <w:spacing w:after="0" w:line="240" w:lineRule="auto"/>
              <w:jc w:val="both"/>
              <w:rPr>
                <w:rFonts w:ascii="Times New Roman" w:eastAsia="Courier New" w:hAnsi="Times New Roman" w:cs="Times New Roman"/>
                <w:color w:val="000000"/>
                <w:sz w:val="24"/>
                <w:szCs w:val="24"/>
                <w:lang w:val="ro-MD" w:eastAsia="ro-RO" w:bidi="ro-RO"/>
              </w:rPr>
            </w:pPr>
          </w:p>
          <w:p w14:paraId="7F7E63CE" w14:textId="6F4133C5" w:rsidR="00E65393" w:rsidRPr="00813441" w:rsidRDefault="00E65393" w:rsidP="008F3C2A">
            <w:pPr>
              <w:widowControl w:val="0"/>
              <w:spacing w:after="0" w:line="240" w:lineRule="auto"/>
              <w:jc w:val="both"/>
              <w:rPr>
                <w:rFonts w:ascii="Times New Roman" w:eastAsia="Courier New" w:hAnsi="Times New Roman" w:cs="Times New Roman"/>
                <w:color w:val="000000"/>
                <w:sz w:val="24"/>
                <w:szCs w:val="24"/>
                <w:lang w:val="ro-MD" w:eastAsia="ro-RO" w:bidi="ro-RO"/>
              </w:rPr>
            </w:pPr>
            <w:r>
              <w:rPr>
                <w:rFonts w:ascii="Times New Roman" w:eastAsia="Calibri" w:hAnsi="Times New Roman" w:cs="Times New Roman"/>
                <w:sz w:val="24"/>
                <w:szCs w:val="24"/>
                <w:lang w:val="ro-RO"/>
              </w:rPr>
              <w:t xml:space="preserve">Proiectul hotărârii Guvernului revizuit va fi supus repetat </w:t>
            </w:r>
            <w:r w:rsidR="00260CB9">
              <w:rPr>
                <w:rFonts w:ascii="Times New Roman" w:eastAsia="Calibri" w:hAnsi="Times New Roman" w:cs="Times New Roman"/>
                <w:sz w:val="24"/>
                <w:szCs w:val="24"/>
                <w:lang w:val="ro-RO"/>
              </w:rPr>
              <w:t>consultării publice</w:t>
            </w:r>
            <w:r>
              <w:rPr>
                <w:rFonts w:ascii="Times New Roman" w:eastAsia="Calibri" w:hAnsi="Times New Roman" w:cs="Times New Roman"/>
                <w:sz w:val="24"/>
                <w:szCs w:val="24"/>
                <w:lang w:val="ro-RO"/>
              </w:rPr>
              <w:t>.</w:t>
            </w:r>
          </w:p>
          <w:p w14:paraId="5A15A063" w14:textId="77777777" w:rsidR="00E30BD3" w:rsidRPr="00813441" w:rsidRDefault="00E30BD3" w:rsidP="008F3C2A">
            <w:pPr>
              <w:widowControl w:val="0"/>
              <w:spacing w:after="0" w:line="240" w:lineRule="auto"/>
              <w:jc w:val="both"/>
              <w:rPr>
                <w:rFonts w:ascii="Times New Roman" w:eastAsia="Courier New" w:hAnsi="Times New Roman" w:cs="Times New Roman"/>
                <w:color w:val="000000"/>
                <w:sz w:val="24"/>
                <w:szCs w:val="24"/>
                <w:lang w:val="ro-MD" w:eastAsia="ro-RO" w:bidi="ro-RO"/>
              </w:rPr>
            </w:pPr>
          </w:p>
        </w:tc>
      </w:tr>
      <w:tr w:rsidR="00D701C1" w:rsidRPr="00813441" w14:paraId="592D0B67" w14:textId="77777777" w:rsidTr="00227EF8">
        <w:tc>
          <w:tcPr>
            <w:tcW w:w="5000" w:type="pct"/>
            <w:shd w:val="clear" w:color="auto" w:fill="D9D9D9" w:themeFill="background1" w:themeFillShade="D9"/>
          </w:tcPr>
          <w:p w14:paraId="2606425F" w14:textId="7E743F4B" w:rsidR="00D701C1" w:rsidRPr="00813441" w:rsidRDefault="00D701C1" w:rsidP="008F3C2A">
            <w:pPr>
              <w:widowControl w:val="0"/>
              <w:tabs>
                <w:tab w:val="left" w:pos="884"/>
                <w:tab w:val="left" w:pos="1196"/>
              </w:tabs>
              <w:spacing w:after="0" w:line="240" w:lineRule="auto"/>
              <w:jc w:val="both"/>
              <w:rPr>
                <w:rFonts w:ascii="Times New Roman" w:eastAsia="Times New Roman" w:hAnsi="Times New Roman" w:cs="Times New Roman"/>
                <w:sz w:val="24"/>
                <w:szCs w:val="24"/>
                <w:lang w:val="ro-MD" w:eastAsia="ru-RU"/>
              </w:rPr>
            </w:pPr>
            <w:r w:rsidRPr="00813441">
              <w:rPr>
                <w:rFonts w:ascii="Times New Roman" w:eastAsia="Courier New" w:hAnsi="Times New Roman" w:cs="Times New Roman"/>
                <w:b/>
                <w:bCs/>
                <w:color w:val="000000"/>
                <w:sz w:val="24"/>
                <w:szCs w:val="24"/>
                <w:lang w:val="ro-MD" w:eastAsia="ro-RO" w:bidi="ro-RO"/>
              </w:rPr>
              <w:t>8. Constatările expertizei anticorupție</w:t>
            </w:r>
          </w:p>
        </w:tc>
      </w:tr>
      <w:tr w:rsidR="00E30BD3" w:rsidRPr="00E65393" w14:paraId="29B6430D" w14:textId="77777777" w:rsidTr="00227EF8">
        <w:trPr>
          <w:trHeight w:val="1178"/>
        </w:trPr>
        <w:tc>
          <w:tcPr>
            <w:tcW w:w="5000" w:type="pct"/>
            <w:shd w:val="clear" w:color="auto" w:fill="FFFFFF" w:themeFill="background1"/>
          </w:tcPr>
          <w:p w14:paraId="3A8C2C30" w14:textId="1727A3BC" w:rsidR="00227EF8" w:rsidRDefault="00B2797A" w:rsidP="00813441">
            <w:pPr>
              <w:spacing w:after="0" w:line="240" w:lineRule="auto"/>
              <w:jc w:val="both"/>
              <w:rPr>
                <w:rFonts w:ascii="Times New Roman" w:eastAsia="Calibri" w:hAnsi="Times New Roman" w:cs="Times New Roman"/>
                <w:sz w:val="24"/>
                <w:szCs w:val="24"/>
                <w:lang w:val="ro-RO"/>
              </w:rPr>
            </w:pPr>
            <w:r w:rsidRPr="00813441">
              <w:rPr>
                <w:rFonts w:ascii="Times New Roman" w:eastAsia="Courier New" w:hAnsi="Times New Roman" w:cs="Times New Roman"/>
                <w:color w:val="000000"/>
                <w:sz w:val="24"/>
                <w:szCs w:val="24"/>
                <w:lang w:val="ro-MD" w:eastAsia="ro-RO" w:bidi="ro-RO"/>
              </w:rPr>
              <w:t xml:space="preserve">Centrul Național Anticorupție </w:t>
            </w:r>
            <w:r w:rsidR="007260E9" w:rsidRPr="00813441">
              <w:rPr>
                <w:rFonts w:ascii="Times New Roman" w:eastAsia="Courier New" w:hAnsi="Times New Roman" w:cs="Times New Roman"/>
                <w:color w:val="000000"/>
                <w:sz w:val="24"/>
                <w:szCs w:val="24"/>
                <w:lang w:val="ro-MD" w:eastAsia="ro-RO" w:bidi="ro-RO"/>
              </w:rPr>
              <w:t xml:space="preserve">a prezentat expertiza anticorupție </w:t>
            </w:r>
            <w:r w:rsidR="00E65393">
              <w:rPr>
                <w:rFonts w:ascii="Times New Roman" w:eastAsia="Courier New" w:hAnsi="Times New Roman" w:cs="Times New Roman"/>
                <w:color w:val="000000"/>
                <w:sz w:val="24"/>
                <w:szCs w:val="24"/>
                <w:lang w:val="ro-MD" w:eastAsia="ro-RO" w:bidi="ro-RO"/>
              </w:rPr>
              <w:t xml:space="preserve">a proiectului inițial </w:t>
            </w:r>
            <w:r w:rsidR="007260E9" w:rsidRPr="00813441">
              <w:rPr>
                <w:rFonts w:ascii="Times New Roman" w:eastAsia="Courier New" w:hAnsi="Times New Roman" w:cs="Times New Roman"/>
                <w:color w:val="000000"/>
                <w:sz w:val="24"/>
                <w:szCs w:val="24"/>
                <w:lang w:val="ro-MD" w:eastAsia="ro-RO" w:bidi="ro-RO"/>
              </w:rPr>
              <w:t>prin scrisoare</w:t>
            </w:r>
            <w:r w:rsidR="00CE0E5A" w:rsidRPr="00813441">
              <w:rPr>
                <w:rFonts w:ascii="Times New Roman" w:eastAsia="Courier New" w:hAnsi="Times New Roman" w:cs="Times New Roman"/>
                <w:color w:val="000000"/>
                <w:sz w:val="24"/>
                <w:szCs w:val="24"/>
                <w:lang w:val="ro-MD" w:eastAsia="ro-RO" w:bidi="ro-RO"/>
              </w:rPr>
              <w:t>a</w:t>
            </w:r>
            <w:r w:rsidR="007260E9" w:rsidRPr="00813441">
              <w:rPr>
                <w:rFonts w:ascii="Times New Roman" w:eastAsia="Courier New" w:hAnsi="Times New Roman" w:cs="Times New Roman"/>
                <w:color w:val="000000"/>
                <w:sz w:val="24"/>
                <w:szCs w:val="24"/>
                <w:lang w:val="ro-MD" w:eastAsia="ro-RO" w:bidi="ro-RO"/>
              </w:rPr>
              <w:t xml:space="preserve"> cu nr. </w:t>
            </w:r>
            <w:r w:rsidR="007260E9" w:rsidRPr="00813441">
              <w:rPr>
                <w:rFonts w:ascii="Times New Roman" w:eastAsia="Calibri" w:hAnsi="Times New Roman" w:cs="Times New Roman"/>
                <w:sz w:val="24"/>
                <w:szCs w:val="24"/>
                <w:lang w:val="ro-RO"/>
              </w:rPr>
              <w:t>06/2/3712 din 06.03.2023</w:t>
            </w:r>
            <w:r w:rsidR="00C77047">
              <w:rPr>
                <w:rFonts w:ascii="Times New Roman" w:eastAsia="Calibri" w:hAnsi="Times New Roman" w:cs="Times New Roman"/>
                <w:sz w:val="24"/>
                <w:szCs w:val="24"/>
                <w:lang w:val="ro-RO"/>
              </w:rPr>
              <w:t xml:space="preserve">, </w:t>
            </w:r>
            <w:r w:rsidR="00813441">
              <w:rPr>
                <w:rFonts w:ascii="Times New Roman" w:eastAsia="Calibri" w:hAnsi="Times New Roman" w:cs="Times New Roman"/>
                <w:sz w:val="24"/>
                <w:szCs w:val="24"/>
                <w:lang w:val="ro-RO"/>
              </w:rPr>
              <w:t xml:space="preserve">prin care s-a </w:t>
            </w:r>
            <w:r w:rsidR="00813441" w:rsidRPr="00813441">
              <w:rPr>
                <w:rFonts w:ascii="Times New Roman" w:eastAsia="Calibri" w:hAnsi="Times New Roman" w:cs="Times New Roman"/>
                <w:sz w:val="24"/>
                <w:szCs w:val="24"/>
                <w:lang w:val="ro-RO"/>
              </w:rPr>
              <w:t>constat că proiectul nu conține factori</w:t>
            </w:r>
            <w:r w:rsidR="00813441">
              <w:rPr>
                <w:rFonts w:ascii="Times New Roman" w:eastAsia="Calibri" w:hAnsi="Times New Roman" w:cs="Times New Roman"/>
                <w:sz w:val="24"/>
                <w:szCs w:val="24"/>
                <w:lang w:val="ro-RO"/>
              </w:rPr>
              <w:t xml:space="preserve"> de risc,</w:t>
            </w:r>
            <w:r w:rsidR="00813441" w:rsidRPr="00813441">
              <w:rPr>
                <w:rFonts w:ascii="Times New Roman" w:eastAsia="Calibri" w:hAnsi="Times New Roman" w:cs="Times New Roman"/>
                <w:sz w:val="24"/>
                <w:szCs w:val="24"/>
                <w:lang w:val="ro-RO"/>
              </w:rPr>
              <w:t xml:space="preserve"> care să genereze riscuri de corupție.</w:t>
            </w:r>
          </w:p>
          <w:p w14:paraId="16BC5A57" w14:textId="36461B25" w:rsidR="00E65393" w:rsidRDefault="00E65393" w:rsidP="0081344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Totodată, proiectul hotărârii Guvernului revizuit</w:t>
            </w:r>
            <w:r w:rsidR="00260CB9">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va fi supus repetat expertizei anticorupție.</w:t>
            </w:r>
          </w:p>
          <w:p w14:paraId="4C8BC94C" w14:textId="0E8B4267" w:rsidR="00E65393" w:rsidRPr="00813441" w:rsidRDefault="00E65393" w:rsidP="00813441">
            <w:pPr>
              <w:spacing w:after="0" w:line="240" w:lineRule="auto"/>
              <w:jc w:val="both"/>
              <w:rPr>
                <w:rFonts w:ascii="Times New Roman" w:eastAsia="Courier New" w:hAnsi="Times New Roman" w:cs="Times New Roman"/>
                <w:color w:val="000000"/>
                <w:sz w:val="24"/>
                <w:szCs w:val="24"/>
                <w:lang w:val="ro-RO" w:eastAsia="ro-RO" w:bidi="ro-RO"/>
              </w:rPr>
            </w:pPr>
          </w:p>
        </w:tc>
      </w:tr>
      <w:tr w:rsidR="00A87EEA" w:rsidRPr="00813441" w14:paraId="63C32114" w14:textId="77777777" w:rsidTr="00227EF8">
        <w:tc>
          <w:tcPr>
            <w:tcW w:w="5000" w:type="pct"/>
            <w:shd w:val="clear" w:color="auto" w:fill="D9D9D9" w:themeFill="background1" w:themeFillShade="D9"/>
          </w:tcPr>
          <w:p w14:paraId="7CB26B16" w14:textId="1B9BCF38" w:rsidR="00A87EEA" w:rsidRPr="00813441" w:rsidRDefault="00A87EEA" w:rsidP="008F3C2A">
            <w:pPr>
              <w:spacing w:after="0"/>
              <w:jc w:val="both"/>
              <w:rPr>
                <w:rFonts w:ascii="Times New Roman" w:hAnsi="Times New Roman" w:cs="Times New Roman"/>
                <w:sz w:val="24"/>
                <w:szCs w:val="24"/>
                <w:lang w:val="ro-MD"/>
              </w:rPr>
            </w:pPr>
            <w:r w:rsidRPr="00813441">
              <w:rPr>
                <w:rFonts w:ascii="Times New Roman" w:eastAsia="Courier New" w:hAnsi="Times New Roman" w:cs="Times New Roman"/>
                <w:b/>
                <w:bCs/>
                <w:color w:val="000000"/>
                <w:sz w:val="24"/>
                <w:szCs w:val="24"/>
                <w:lang w:val="ro-MD" w:eastAsia="ro-RO" w:bidi="ro-RO"/>
              </w:rPr>
              <w:t>9. Constatările expertizei de compatibilitate</w:t>
            </w:r>
          </w:p>
        </w:tc>
      </w:tr>
      <w:tr w:rsidR="00813441" w:rsidRPr="00E65393" w14:paraId="339977A2" w14:textId="77777777" w:rsidTr="00227EF8">
        <w:trPr>
          <w:trHeight w:val="562"/>
        </w:trPr>
        <w:tc>
          <w:tcPr>
            <w:tcW w:w="5000" w:type="pct"/>
            <w:shd w:val="clear" w:color="auto" w:fill="auto"/>
          </w:tcPr>
          <w:p w14:paraId="0C40F8E7" w14:textId="44E80776" w:rsidR="00813441" w:rsidRPr="00813441" w:rsidRDefault="00813441" w:rsidP="008F3C2A">
            <w:pPr>
              <w:widowControl w:val="0"/>
              <w:tabs>
                <w:tab w:val="left" w:pos="884"/>
                <w:tab w:val="left" w:pos="1196"/>
              </w:tabs>
              <w:spacing w:after="0" w:line="240" w:lineRule="auto"/>
              <w:jc w:val="both"/>
              <w:rPr>
                <w:rFonts w:ascii="Times New Roman" w:eastAsia="Courier New" w:hAnsi="Times New Roman" w:cs="Times New Roman"/>
                <w:b/>
                <w:bCs/>
                <w:color w:val="000000"/>
                <w:sz w:val="24"/>
                <w:szCs w:val="24"/>
                <w:lang w:val="ro-MD" w:eastAsia="ro-RO" w:bidi="ro-RO"/>
              </w:rPr>
            </w:pPr>
            <w:r w:rsidRPr="00813441">
              <w:rPr>
                <w:rFonts w:ascii="Times New Roman" w:hAnsi="Times New Roman" w:cs="Times New Roman"/>
                <w:sz w:val="24"/>
                <w:szCs w:val="24"/>
                <w:lang w:val="ro-MD"/>
              </w:rPr>
              <w:t>Proiectul hotărârii nu cade sub incidența expertizei de compatibilitate</w:t>
            </w:r>
            <w:r w:rsidR="00F276F7">
              <w:rPr>
                <w:rFonts w:ascii="Times New Roman" w:hAnsi="Times New Roman" w:cs="Times New Roman"/>
                <w:sz w:val="24"/>
                <w:szCs w:val="24"/>
                <w:lang w:val="ro-MD"/>
              </w:rPr>
              <w:t>.</w:t>
            </w:r>
            <w:r w:rsidRPr="00813441">
              <w:rPr>
                <w:rFonts w:ascii="Times New Roman" w:eastAsia="Courier New" w:hAnsi="Times New Roman" w:cs="Times New Roman"/>
                <w:b/>
                <w:bCs/>
                <w:color w:val="000000"/>
                <w:sz w:val="24"/>
                <w:szCs w:val="24"/>
                <w:lang w:val="ro-MD" w:eastAsia="ro-RO" w:bidi="ro-RO"/>
              </w:rPr>
              <w:t xml:space="preserve"> </w:t>
            </w:r>
          </w:p>
        </w:tc>
      </w:tr>
      <w:tr w:rsidR="00A87EEA" w:rsidRPr="00813441" w14:paraId="5D2F88A3" w14:textId="77777777" w:rsidTr="00227EF8">
        <w:tc>
          <w:tcPr>
            <w:tcW w:w="5000" w:type="pct"/>
            <w:shd w:val="clear" w:color="auto" w:fill="D9D9D9" w:themeFill="background1" w:themeFillShade="D9"/>
          </w:tcPr>
          <w:p w14:paraId="289E54FF" w14:textId="706CD5CC" w:rsidR="00A87EEA" w:rsidRPr="00813441" w:rsidRDefault="00A87EEA" w:rsidP="008F3C2A">
            <w:pPr>
              <w:autoSpaceDE w:val="0"/>
              <w:autoSpaceDN w:val="0"/>
              <w:adjustRightInd w:val="0"/>
              <w:spacing w:after="0" w:line="240" w:lineRule="auto"/>
              <w:jc w:val="both"/>
              <w:rPr>
                <w:rFonts w:ascii="Times New Roman" w:eastAsia="Courier New" w:hAnsi="Times New Roman" w:cs="Times New Roman"/>
                <w:b/>
                <w:bCs/>
                <w:color w:val="000000"/>
                <w:sz w:val="24"/>
                <w:szCs w:val="24"/>
                <w:lang w:val="ro-MD" w:eastAsia="ro-RO" w:bidi="ro-RO"/>
              </w:rPr>
            </w:pPr>
            <w:r w:rsidRPr="00813441">
              <w:rPr>
                <w:rFonts w:ascii="Times New Roman" w:eastAsia="Courier New" w:hAnsi="Times New Roman" w:cs="Times New Roman"/>
                <w:b/>
                <w:bCs/>
                <w:color w:val="000000"/>
                <w:sz w:val="24"/>
                <w:szCs w:val="24"/>
                <w:lang w:val="ro-MD" w:eastAsia="ro-RO" w:bidi="ro-RO"/>
              </w:rPr>
              <w:t>10. Constatările expertizei juridice</w:t>
            </w:r>
          </w:p>
        </w:tc>
      </w:tr>
      <w:tr w:rsidR="00E30BD3" w:rsidRPr="00E65393" w14:paraId="3BA0A501" w14:textId="77777777" w:rsidTr="00227EF8">
        <w:tc>
          <w:tcPr>
            <w:tcW w:w="5000" w:type="pct"/>
          </w:tcPr>
          <w:p w14:paraId="0162854E" w14:textId="45F7AD87" w:rsidR="00E30BD3" w:rsidRPr="00813441" w:rsidRDefault="00B2797A" w:rsidP="008F3C2A">
            <w:pPr>
              <w:spacing w:after="0"/>
              <w:jc w:val="both"/>
              <w:rPr>
                <w:rFonts w:ascii="Times New Roman" w:eastAsia="Courier New" w:hAnsi="Times New Roman" w:cs="Times New Roman"/>
                <w:b/>
                <w:bCs/>
                <w:color w:val="000000"/>
                <w:sz w:val="24"/>
                <w:szCs w:val="24"/>
                <w:lang w:val="ro-MD" w:eastAsia="ro-RO" w:bidi="ro-RO"/>
              </w:rPr>
            </w:pPr>
            <w:r w:rsidRPr="00813441">
              <w:rPr>
                <w:rFonts w:ascii="Times New Roman" w:hAnsi="Times New Roman" w:cs="Times New Roman"/>
                <w:sz w:val="24"/>
                <w:szCs w:val="24"/>
                <w:lang w:val="ro-MD"/>
              </w:rPr>
              <w:t xml:space="preserve">Ministerul Justiției a </w:t>
            </w:r>
            <w:r w:rsidR="007260E9" w:rsidRPr="00813441">
              <w:rPr>
                <w:rFonts w:ascii="Times New Roman" w:hAnsi="Times New Roman" w:cs="Times New Roman"/>
                <w:sz w:val="24"/>
                <w:szCs w:val="24"/>
                <w:lang w:val="ro-MD"/>
              </w:rPr>
              <w:t>prezentat</w:t>
            </w:r>
            <w:r w:rsidRPr="00813441">
              <w:rPr>
                <w:rFonts w:ascii="Times New Roman" w:hAnsi="Times New Roman" w:cs="Times New Roman"/>
                <w:sz w:val="24"/>
                <w:szCs w:val="24"/>
                <w:lang w:val="ro-MD"/>
              </w:rPr>
              <w:t xml:space="preserve"> avizul cu nr. 04/1893 din 06.03.2023</w:t>
            </w:r>
            <w:r w:rsidR="006E0BAD">
              <w:rPr>
                <w:rFonts w:ascii="Times New Roman" w:hAnsi="Times New Roman" w:cs="Times New Roman"/>
                <w:sz w:val="24"/>
                <w:szCs w:val="24"/>
                <w:lang w:val="ro-MD"/>
              </w:rPr>
              <w:t xml:space="preserve"> și nr. 04/2-2550 din 27.03.2023</w:t>
            </w:r>
            <w:r w:rsidRPr="00813441">
              <w:rPr>
                <w:rFonts w:ascii="Times New Roman" w:hAnsi="Times New Roman" w:cs="Times New Roman"/>
                <w:sz w:val="24"/>
                <w:szCs w:val="24"/>
                <w:lang w:val="ro-MD"/>
              </w:rPr>
              <w:t xml:space="preserve">, de </w:t>
            </w:r>
            <w:r w:rsidR="00CE0E5A" w:rsidRPr="00813441">
              <w:rPr>
                <w:rFonts w:ascii="Times New Roman" w:hAnsi="Times New Roman" w:cs="Times New Roman"/>
                <w:sz w:val="24"/>
                <w:szCs w:val="24"/>
                <w:lang w:val="ro-MD"/>
              </w:rPr>
              <w:t>care</w:t>
            </w:r>
            <w:r w:rsidRPr="00813441">
              <w:rPr>
                <w:rFonts w:ascii="Times New Roman" w:hAnsi="Times New Roman" w:cs="Times New Roman"/>
                <w:sz w:val="24"/>
                <w:szCs w:val="24"/>
                <w:lang w:val="ro-MD"/>
              </w:rPr>
              <w:t xml:space="preserve"> </w:t>
            </w:r>
            <w:r w:rsidRPr="00813441">
              <w:rPr>
                <w:rFonts w:ascii="Times New Roman" w:eastAsia="Courier New" w:hAnsi="Times New Roman" w:cs="Times New Roman"/>
                <w:color w:val="000000"/>
                <w:sz w:val="24"/>
                <w:szCs w:val="24"/>
                <w:lang w:val="ro-MD" w:eastAsia="ro-RO" w:bidi="ro-RO"/>
              </w:rPr>
              <w:t>s-a ținut cont la definitivarea proiectului.</w:t>
            </w:r>
          </w:p>
        </w:tc>
      </w:tr>
      <w:tr w:rsidR="00A87EEA" w:rsidRPr="00E65393" w14:paraId="5225854A" w14:textId="77777777" w:rsidTr="00227EF8">
        <w:tc>
          <w:tcPr>
            <w:tcW w:w="5000" w:type="pct"/>
          </w:tcPr>
          <w:p w14:paraId="634E692B" w14:textId="77777777" w:rsidR="00A87EEA" w:rsidRPr="00813441" w:rsidRDefault="00A87EEA" w:rsidP="008F3C2A">
            <w:pPr>
              <w:spacing w:after="0"/>
              <w:jc w:val="both"/>
              <w:rPr>
                <w:rFonts w:ascii="Times New Roman" w:hAnsi="Times New Roman" w:cs="Times New Roman"/>
                <w:sz w:val="24"/>
                <w:szCs w:val="24"/>
                <w:lang w:val="ro-MD"/>
              </w:rPr>
            </w:pPr>
          </w:p>
        </w:tc>
      </w:tr>
      <w:tr w:rsidR="00A87EEA" w:rsidRPr="00813441" w14:paraId="1F1E3F79" w14:textId="77777777" w:rsidTr="00227EF8">
        <w:tc>
          <w:tcPr>
            <w:tcW w:w="5000" w:type="pct"/>
            <w:shd w:val="clear" w:color="auto" w:fill="D9D9D9" w:themeFill="background1" w:themeFillShade="D9"/>
          </w:tcPr>
          <w:p w14:paraId="5DB5B644" w14:textId="7DA4ACA8" w:rsidR="00A87EEA" w:rsidRPr="00813441" w:rsidRDefault="00A87EEA" w:rsidP="008F3C2A">
            <w:pPr>
              <w:spacing w:after="0"/>
              <w:jc w:val="both"/>
              <w:rPr>
                <w:rFonts w:ascii="Times New Roman" w:hAnsi="Times New Roman" w:cs="Times New Roman"/>
                <w:sz w:val="24"/>
                <w:szCs w:val="24"/>
                <w:lang w:val="ro-MD"/>
              </w:rPr>
            </w:pPr>
            <w:r w:rsidRPr="00813441">
              <w:rPr>
                <w:rFonts w:ascii="Times New Roman" w:eastAsia="Calibri" w:hAnsi="Times New Roman" w:cs="Times New Roman"/>
                <w:b/>
                <w:bCs/>
                <w:color w:val="000000"/>
                <w:sz w:val="24"/>
                <w:szCs w:val="24"/>
                <w:lang w:val="ro-MD" w:eastAsia="en-GB"/>
              </w:rPr>
              <w:lastRenderedPageBreak/>
              <w:t xml:space="preserve">11. Constatările altor expertize </w:t>
            </w:r>
          </w:p>
        </w:tc>
      </w:tr>
      <w:tr w:rsidR="00E30BD3" w:rsidRPr="00E65393" w14:paraId="3616EF3D" w14:textId="77777777" w:rsidTr="00227EF8">
        <w:tc>
          <w:tcPr>
            <w:tcW w:w="5000" w:type="pct"/>
          </w:tcPr>
          <w:p w14:paraId="730FE225" w14:textId="77777777" w:rsidR="00A87EEA" w:rsidRPr="00813441" w:rsidRDefault="00A87EEA" w:rsidP="008F3C2A">
            <w:pPr>
              <w:autoSpaceDE w:val="0"/>
              <w:autoSpaceDN w:val="0"/>
              <w:adjustRightInd w:val="0"/>
              <w:spacing w:after="0" w:line="240" w:lineRule="auto"/>
              <w:jc w:val="both"/>
              <w:rPr>
                <w:rFonts w:ascii="Times New Roman" w:eastAsia="Courier New" w:hAnsi="Times New Roman" w:cs="Times New Roman"/>
                <w:color w:val="000000"/>
                <w:sz w:val="24"/>
                <w:szCs w:val="24"/>
                <w:lang w:val="ro-MD" w:eastAsia="ro-RO" w:bidi="ro-RO"/>
              </w:rPr>
            </w:pPr>
            <w:r w:rsidRPr="00813441">
              <w:rPr>
                <w:rFonts w:ascii="Times New Roman" w:eastAsia="Courier New" w:hAnsi="Times New Roman" w:cs="Times New Roman"/>
                <w:color w:val="000000"/>
                <w:sz w:val="24"/>
                <w:szCs w:val="24"/>
                <w:lang w:val="ro-MD" w:eastAsia="ro-RO" w:bidi="ro-RO"/>
              </w:rPr>
              <w:t xml:space="preserve">Proiectul nu cade sub incidența altor expertize necesare de a fi efectuate în condițiile Legii nr.100/2017 cu privire la actele normative. </w:t>
            </w:r>
          </w:p>
          <w:p w14:paraId="0DD16B88" w14:textId="7CC24D5A" w:rsidR="001B1FC0" w:rsidRPr="00813441" w:rsidRDefault="001B1FC0" w:rsidP="008F3C2A">
            <w:pPr>
              <w:widowControl w:val="0"/>
              <w:tabs>
                <w:tab w:val="left" w:pos="884"/>
                <w:tab w:val="left" w:pos="1196"/>
              </w:tabs>
              <w:spacing w:after="0" w:line="276" w:lineRule="auto"/>
              <w:jc w:val="both"/>
              <w:rPr>
                <w:rFonts w:ascii="Times New Roman" w:eastAsia="Courier New" w:hAnsi="Times New Roman" w:cs="Times New Roman"/>
                <w:b/>
                <w:bCs/>
                <w:color w:val="000000"/>
                <w:sz w:val="24"/>
                <w:szCs w:val="24"/>
                <w:lang w:val="ro-MD" w:eastAsia="ro-RO" w:bidi="ro-RO"/>
              </w:rPr>
            </w:pPr>
          </w:p>
        </w:tc>
      </w:tr>
    </w:tbl>
    <w:p w14:paraId="485A39EC" w14:textId="4B4E3713" w:rsidR="00E30BD3" w:rsidRDefault="00E30BD3" w:rsidP="00EC5CE4">
      <w:pPr>
        <w:widowControl w:val="0"/>
        <w:spacing w:after="0" w:line="276" w:lineRule="auto"/>
        <w:rPr>
          <w:rFonts w:ascii="Times New Roman" w:eastAsia="Courier New" w:hAnsi="Times New Roman" w:cs="Times New Roman"/>
          <w:color w:val="000000"/>
          <w:sz w:val="24"/>
          <w:szCs w:val="24"/>
          <w:lang w:val="ro-MD" w:eastAsia="ro-RO" w:bidi="ro-RO"/>
        </w:rPr>
      </w:pPr>
    </w:p>
    <w:p w14:paraId="12A3A25B" w14:textId="77777777" w:rsidR="00C019BB" w:rsidRPr="00813441" w:rsidRDefault="00C019BB" w:rsidP="00EC5CE4">
      <w:pPr>
        <w:widowControl w:val="0"/>
        <w:spacing w:after="0" w:line="276" w:lineRule="auto"/>
        <w:rPr>
          <w:rFonts w:ascii="Times New Roman" w:eastAsia="Courier New" w:hAnsi="Times New Roman" w:cs="Times New Roman"/>
          <w:color w:val="000000"/>
          <w:sz w:val="24"/>
          <w:szCs w:val="24"/>
          <w:lang w:val="ro-MD" w:eastAsia="ro-RO" w:bidi="ro-RO"/>
        </w:rPr>
      </w:pPr>
    </w:p>
    <w:p w14:paraId="64F84E6F" w14:textId="1F7B5A3B" w:rsidR="0001513C" w:rsidRPr="00813441" w:rsidRDefault="002903F5" w:rsidP="002903F5">
      <w:pPr>
        <w:rPr>
          <w:rFonts w:ascii="Times New Roman" w:eastAsia="Calibri" w:hAnsi="Times New Roman" w:cs="Times New Roman"/>
          <w:b/>
          <w:bCs/>
          <w:sz w:val="24"/>
          <w:szCs w:val="24"/>
          <w:lang w:val="ro-MD"/>
        </w:rPr>
      </w:pPr>
      <w:r>
        <w:rPr>
          <w:rFonts w:ascii="Times New Roman" w:eastAsia="Calibri" w:hAnsi="Times New Roman" w:cs="Times New Roman"/>
          <w:b/>
          <w:bCs/>
          <w:sz w:val="24"/>
          <w:szCs w:val="24"/>
          <w:lang w:val="ro-MD"/>
        </w:rPr>
        <w:t xml:space="preserve">       </w:t>
      </w:r>
      <w:r w:rsidR="00E30BD3" w:rsidRPr="00813441">
        <w:rPr>
          <w:rFonts w:ascii="Times New Roman" w:eastAsia="Calibri" w:hAnsi="Times New Roman" w:cs="Times New Roman"/>
          <w:b/>
          <w:bCs/>
          <w:sz w:val="24"/>
          <w:szCs w:val="24"/>
          <w:lang w:val="ro-MD"/>
        </w:rPr>
        <w:t>Director general</w:t>
      </w:r>
    </w:p>
    <w:p w14:paraId="50E63595" w14:textId="7CE76C21" w:rsidR="00F12C76" w:rsidRPr="00813441" w:rsidRDefault="0001513C" w:rsidP="002903F5">
      <w:pPr>
        <w:jc w:val="center"/>
        <w:rPr>
          <w:rFonts w:ascii="Times New Roman" w:eastAsia="Calibri" w:hAnsi="Times New Roman" w:cs="Times New Roman"/>
          <w:b/>
          <w:bCs/>
          <w:sz w:val="24"/>
          <w:szCs w:val="24"/>
          <w:lang w:val="ro-MD"/>
        </w:rPr>
      </w:pPr>
      <w:r w:rsidRPr="00813441">
        <w:rPr>
          <w:rFonts w:ascii="Times New Roman" w:eastAsia="Calibri" w:hAnsi="Times New Roman" w:cs="Times New Roman"/>
          <w:b/>
          <w:bCs/>
          <w:sz w:val="24"/>
          <w:szCs w:val="24"/>
          <w:lang w:val="ro-MD"/>
        </w:rPr>
        <w:t>al Biroului Național de Statistică</w:t>
      </w:r>
      <w:r w:rsidR="00E30BD3" w:rsidRPr="00813441">
        <w:rPr>
          <w:rFonts w:ascii="Times New Roman" w:eastAsia="Calibri" w:hAnsi="Times New Roman" w:cs="Times New Roman"/>
          <w:b/>
          <w:bCs/>
          <w:sz w:val="24"/>
          <w:szCs w:val="24"/>
          <w:lang w:val="ro-MD"/>
        </w:rPr>
        <w:t xml:space="preserve">     </w:t>
      </w:r>
      <w:r w:rsidRPr="00813441">
        <w:rPr>
          <w:rFonts w:ascii="Times New Roman" w:eastAsia="Calibri" w:hAnsi="Times New Roman" w:cs="Times New Roman"/>
          <w:b/>
          <w:bCs/>
          <w:sz w:val="24"/>
          <w:szCs w:val="24"/>
          <w:lang w:val="ro-MD"/>
        </w:rPr>
        <w:t xml:space="preserve">            </w:t>
      </w:r>
      <w:r w:rsidR="0064148E" w:rsidRPr="00813441">
        <w:rPr>
          <w:rFonts w:ascii="Times New Roman" w:eastAsia="Calibri" w:hAnsi="Times New Roman" w:cs="Times New Roman"/>
          <w:b/>
          <w:bCs/>
          <w:sz w:val="24"/>
          <w:szCs w:val="24"/>
          <w:lang w:val="ro-MD"/>
        </w:rPr>
        <w:t xml:space="preserve"> </w:t>
      </w:r>
      <w:r w:rsidRPr="00813441">
        <w:rPr>
          <w:rFonts w:ascii="Times New Roman" w:eastAsia="Calibri" w:hAnsi="Times New Roman" w:cs="Times New Roman"/>
          <w:b/>
          <w:bCs/>
          <w:sz w:val="24"/>
          <w:szCs w:val="24"/>
          <w:lang w:val="ro-MD"/>
        </w:rPr>
        <w:t xml:space="preserve">           </w:t>
      </w:r>
      <w:r w:rsidR="001B1FC0" w:rsidRPr="00813441">
        <w:rPr>
          <w:rFonts w:ascii="Times New Roman" w:eastAsia="Calibri" w:hAnsi="Times New Roman" w:cs="Times New Roman"/>
          <w:b/>
          <w:bCs/>
          <w:sz w:val="24"/>
          <w:szCs w:val="24"/>
          <w:lang w:val="ro-MD"/>
        </w:rPr>
        <w:t xml:space="preserve">  </w:t>
      </w:r>
      <w:r w:rsidRPr="00813441">
        <w:rPr>
          <w:rFonts w:ascii="Times New Roman" w:eastAsia="Calibri" w:hAnsi="Times New Roman" w:cs="Times New Roman"/>
          <w:b/>
          <w:bCs/>
          <w:sz w:val="24"/>
          <w:szCs w:val="24"/>
          <w:lang w:val="ro-MD"/>
        </w:rPr>
        <w:t xml:space="preserve">                                   </w:t>
      </w:r>
      <w:r w:rsidR="00E30BD3" w:rsidRPr="00813441">
        <w:rPr>
          <w:rFonts w:ascii="Times New Roman" w:eastAsia="Calibri" w:hAnsi="Times New Roman" w:cs="Times New Roman"/>
          <w:b/>
          <w:bCs/>
          <w:sz w:val="24"/>
          <w:szCs w:val="24"/>
          <w:lang w:val="ro-MD"/>
        </w:rPr>
        <w:t xml:space="preserve"> Oleg CARA</w:t>
      </w:r>
    </w:p>
    <w:sectPr w:rsidR="00F12C76" w:rsidRPr="00813441" w:rsidSect="00EC5CE4">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DB"/>
    <w:rsid w:val="0001513C"/>
    <w:rsid w:val="00093FBE"/>
    <w:rsid w:val="001362E8"/>
    <w:rsid w:val="001B0F86"/>
    <w:rsid w:val="001B1FC0"/>
    <w:rsid w:val="00203946"/>
    <w:rsid w:val="00222EE1"/>
    <w:rsid w:val="00225808"/>
    <w:rsid w:val="00227EF8"/>
    <w:rsid w:val="002460C5"/>
    <w:rsid w:val="00260CB9"/>
    <w:rsid w:val="002903F5"/>
    <w:rsid w:val="00292E49"/>
    <w:rsid w:val="002B61FC"/>
    <w:rsid w:val="003238CC"/>
    <w:rsid w:val="0035370F"/>
    <w:rsid w:val="004363EE"/>
    <w:rsid w:val="004738D1"/>
    <w:rsid w:val="005142A7"/>
    <w:rsid w:val="005344F7"/>
    <w:rsid w:val="0057038C"/>
    <w:rsid w:val="00580387"/>
    <w:rsid w:val="005B2733"/>
    <w:rsid w:val="005C421A"/>
    <w:rsid w:val="005E7231"/>
    <w:rsid w:val="0064148E"/>
    <w:rsid w:val="006432FC"/>
    <w:rsid w:val="006C0B77"/>
    <w:rsid w:val="006E0BAD"/>
    <w:rsid w:val="007260E9"/>
    <w:rsid w:val="0077601E"/>
    <w:rsid w:val="0078523A"/>
    <w:rsid w:val="008021EF"/>
    <w:rsid w:val="00813441"/>
    <w:rsid w:val="008242FF"/>
    <w:rsid w:val="00870751"/>
    <w:rsid w:val="008A62D7"/>
    <w:rsid w:val="008F3C2A"/>
    <w:rsid w:val="00922C48"/>
    <w:rsid w:val="00995ED2"/>
    <w:rsid w:val="00A0634E"/>
    <w:rsid w:val="00A13B1A"/>
    <w:rsid w:val="00A233DB"/>
    <w:rsid w:val="00A33754"/>
    <w:rsid w:val="00A6724B"/>
    <w:rsid w:val="00A87EEA"/>
    <w:rsid w:val="00AC4073"/>
    <w:rsid w:val="00AD43CD"/>
    <w:rsid w:val="00AE5F50"/>
    <w:rsid w:val="00B049DA"/>
    <w:rsid w:val="00B17729"/>
    <w:rsid w:val="00B2797A"/>
    <w:rsid w:val="00B915B7"/>
    <w:rsid w:val="00C019BB"/>
    <w:rsid w:val="00C77047"/>
    <w:rsid w:val="00CB2DA8"/>
    <w:rsid w:val="00CC724E"/>
    <w:rsid w:val="00CE0E5A"/>
    <w:rsid w:val="00D06427"/>
    <w:rsid w:val="00D701C1"/>
    <w:rsid w:val="00DD0773"/>
    <w:rsid w:val="00E30BD3"/>
    <w:rsid w:val="00E65393"/>
    <w:rsid w:val="00EA59DF"/>
    <w:rsid w:val="00EC102E"/>
    <w:rsid w:val="00EC5CE4"/>
    <w:rsid w:val="00EE0C61"/>
    <w:rsid w:val="00EE4070"/>
    <w:rsid w:val="00F12C76"/>
    <w:rsid w:val="00F276F7"/>
    <w:rsid w:val="00F56176"/>
    <w:rsid w:val="00F80F2C"/>
    <w:rsid w:val="00FD4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C791"/>
  <w15:chartTrackingRefBased/>
  <w15:docId w15:val="{A86B6F78-4CB1-4BDE-AE00-ADFDE859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BD3"/>
    <w:rPr>
      <w:lang w:val="en-US"/>
    </w:rPr>
  </w:style>
  <w:style w:type="paragraph" w:styleId="Heading4">
    <w:name w:val="heading 4"/>
    <w:basedOn w:val="Normal"/>
    <w:link w:val="Heading4Char"/>
    <w:uiPriority w:val="9"/>
    <w:qFormat/>
    <w:rsid w:val="00EC5C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0BD3"/>
    <w:pPr>
      <w:spacing w:after="0" w:line="240" w:lineRule="auto"/>
    </w:pPr>
    <w:rPr>
      <w:lang w:val="en-US"/>
    </w:rPr>
  </w:style>
  <w:style w:type="paragraph" w:styleId="Header">
    <w:name w:val="header"/>
    <w:basedOn w:val="Normal"/>
    <w:link w:val="HeaderChar"/>
    <w:rsid w:val="00DD077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DD0773"/>
    <w:rPr>
      <w:rFonts w:ascii="Times New Roman" w:eastAsia="Times New Roman" w:hAnsi="Times New Roman" w:cs="Times New Roman"/>
      <w:sz w:val="20"/>
      <w:szCs w:val="20"/>
      <w:lang w:eastAsia="ru-RU"/>
    </w:rPr>
  </w:style>
  <w:style w:type="paragraph" w:styleId="Revision">
    <w:name w:val="Revision"/>
    <w:hidden/>
    <w:uiPriority w:val="99"/>
    <w:semiHidden/>
    <w:rsid w:val="00222EE1"/>
    <w:pPr>
      <w:spacing w:after="0" w:line="240" w:lineRule="auto"/>
    </w:pPr>
    <w:rPr>
      <w:lang w:val="en-US"/>
    </w:rPr>
  </w:style>
  <w:style w:type="character" w:styleId="CommentReference">
    <w:name w:val="annotation reference"/>
    <w:basedOn w:val="DefaultParagraphFont"/>
    <w:uiPriority w:val="99"/>
    <w:semiHidden/>
    <w:unhideWhenUsed/>
    <w:rsid w:val="00222EE1"/>
    <w:rPr>
      <w:sz w:val="16"/>
      <w:szCs w:val="16"/>
    </w:rPr>
  </w:style>
  <w:style w:type="paragraph" w:styleId="CommentText">
    <w:name w:val="annotation text"/>
    <w:basedOn w:val="Normal"/>
    <w:link w:val="CommentTextChar"/>
    <w:uiPriority w:val="99"/>
    <w:semiHidden/>
    <w:unhideWhenUsed/>
    <w:rsid w:val="00222EE1"/>
    <w:pPr>
      <w:spacing w:line="240" w:lineRule="auto"/>
    </w:pPr>
    <w:rPr>
      <w:sz w:val="20"/>
      <w:szCs w:val="20"/>
    </w:rPr>
  </w:style>
  <w:style w:type="character" w:customStyle="1" w:styleId="CommentTextChar">
    <w:name w:val="Comment Text Char"/>
    <w:basedOn w:val="DefaultParagraphFont"/>
    <w:link w:val="CommentText"/>
    <w:uiPriority w:val="99"/>
    <w:semiHidden/>
    <w:rsid w:val="00222EE1"/>
    <w:rPr>
      <w:sz w:val="20"/>
      <w:szCs w:val="20"/>
      <w:lang w:val="en-US"/>
    </w:rPr>
  </w:style>
  <w:style w:type="paragraph" w:styleId="CommentSubject">
    <w:name w:val="annotation subject"/>
    <w:basedOn w:val="CommentText"/>
    <w:next w:val="CommentText"/>
    <w:link w:val="CommentSubjectChar"/>
    <w:uiPriority w:val="99"/>
    <w:semiHidden/>
    <w:unhideWhenUsed/>
    <w:rsid w:val="00222EE1"/>
    <w:rPr>
      <w:b/>
      <w:bCs/>
    </w:rPr>
  </w:style>
  <w:style w:type="character" w:customStyle="1" w:styleId="CommentSubjectChar">
    <w:name w:val="Comment Subject Char"/>
    <w:basedOn w:val="CommentTextChar"/>
    <w:link w:val="CommentSubject"/>
    <w:uiPriority w:val="99"/>
    <w:semiHidden/>
    <w:rsid w:val="00222EE1"/>
    <w:rPr>
      <w:b/>
      <w:bCs/>
      <w:sz w:val="20"/>
      <w:szCs w:val="20"/>
      <w:lang w:val="en-US"/>
    </w:rPr>
  </w:style>
  <w:style w:type="character" w:customStyle="1" w:styleId="Heading4Char">
    <w:name w:val="Heading 4 Char"/>
    <w:basedOn w:val="DefaultParagraphFont"/>
    <w:link w:val="Heading4"/>
    <w:uiPriority w:val="9"/>
    <w:rsid w:val="00EC5CE4"/>
    <w:rPr>
      <w:rFonts w:ascii="Times New Roman" w:eastAsia="Times New Roman" w:hAnsi="Times New Roman" w:cs="Times New Roman"/>
      <w:b/>
      <w:bCs/>
      <w:sz w:val="24"/>
      <w:szCs w:val="24"/>
      <w:lang w:val="en-US"/>
    </w:rPr>
  </w:style>
  <w:style w:type="character" w:styleId="Strong">
    <w:name w:val="Strong"/>
    <w:basedOn w:val="DefaultParagraphFont"/>
    <w:uiPriority w:val="22"/>
    <w:qFormat/>
    <w:rsid w:val="00EC5CE4"/>
    <w:rPr>
      <w:b/>
      <w:bCs/>
    </w:rPr>
  </w:style>
  <w:style w:type="character" w:customStyle="1" w:styleId="markedcontent">
    <w:name w:val="markedcontent"/>
    <w:basedOn w:val="DefaultParagraphFont"/>
    <w:rsid w:val="00353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909002">
      <w:bodyDiv w:val="1"/>
      <w:marLeft w:val="0"/>
      <w:marRight w:val="0"/>
      <w:marTop w:val="0"/>
      <w:marBottom w:val="0"/>
      <w:divBdr>
        <w:top w:val="none" w:sz="0" w:space="0" w:color="auto"/>
        <w:left w:val="none" w:sz="0" w:space="0" w:color="auto"/>
        <w:bottom w:val="none" w:sz="0" w:space="0" w:color="auto"/>
        <w:right w:val="none" w:sz="0" w:space="0" w:color="auto"/>
      </w:divBdr>
    </w:div>
    <w:div w:id="167753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hyperlink" Target="http://www.statistica.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03F34-E836-4162-B1FB-05C98EAB6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Statistica</dc:creator>
  <cp:keywords/>
  <dc:description/>
  <cp:lastModifiedBy>Oleg Cara</cp:lastModifiedBy>
  <cp:revision>2</cp:revision>
  <cp:lastPrinted>2023-03-20T14:35:00Z</cp:lastPrinted>
  <dcterms:created xsi:type="dcterms:W3CDTF">2023-04-10T07:46:00Z</dcterms:created>
  <dcterms:modified xsi:type="dcterms:W3CDTF">2023-04-10T07:46:00Z</dcterms:modified>
</cp:coreProperties>
</file>