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B91B" w14:textId="670B324A" w:rsidR="00470990" w:rsidRPr="00BF4042" w:rsidRDefault="002E3C19" w:rsidP="004347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B63" w:rsidRPr="00BF4042">
        <w:rPr>
          <w:rFonts w:ascii="Times New Roman" w:hAnsi="Times New Roman" w:cs="Times New Roman"/>
          <w:b/>
          <w:sz w:val="24"/>
          <w:szCs w:val="24"/>
        </w:rPr>
        <w:t xml:space="preserve">NOTĂ INFORMATIVĂ </w:t>
      </w:r>
      <w:r w:rsidR="00C17B63" w:rsidRPr="00BF4042">
        <w:rPr>
          <w:rFonts w:ascii="Times New Roman" w:hAnsi="Times New Roman" w:cs="Times New Roman"/>
          <w:b/>
          <w:sz w:val="24"/>
          <w:szCs w:val="24"/>
        </w:rPr>
        <w:br/>
      </w:r>
      <w:r w:rsidR="002B75B6" w:rsidRPr="00BF4042">
        <w:rPr>
          <w:rFonts w:ascii="Times New Roman" w:hAnsi="Times New Roman" w:cs="Times New Roman"/>
          <w:b/>
          <w:sz w:val="24"/>
          <w:szCs w:val="24"/>
        </w:rPr>
        <w:t xml:space="preserve">a proiectului </w:t>
      </w:r>
      <w:r w:rsidR="002E7A0B">
        <w:rPr>
          <w:rFonts w:ascii="Times New Roman" w:hAnsi="Times New Roman" w:cs="Times New Roman"/>
          <w:b/>
          <w:sz w:val="24"/>
          <w:szCs w:val="24"/>
        </w:rPr>
        <w:t>h</w:t>
      </w:r>
      <w:r w:rsidR="002C7160" w:rsidRPr="00BF4042">
        <w:rPr>
          <w:rFonts w:ascii="Times New Roman" w:hAnsi="Times New Roman" w:cs="Times New Roman"/>
          <w:b/>
          <w:sz w:val="24"/>
          <w:szCs w:val="24"/>
        </w:rPr>
        <w:t>otărârii</w:t>
      </w:r>
      <w:r w:rsidR="002B75B6" w:rsidRPr="00BF4042">
        <w:rPr>
          <w:rFonts w:ascii="Times New Roman" w:hAnsi="Times New Roman" w:cs="Times New Roman"/>
          <w:b/>
          <w:sz w:val="24"/>
          <w:szCs w:val="24"/>
        </w:rPr>
        <w:t xml:space="preserve"> Guvernului </w:t>
      </w:r>
      <w:r w:rsidR="00C17B63" w:rsidRPr="00BF4042">
        <w:rPr>
          <w:rFonts w:ascii="Times New Roman" w:hAnsi="Times New Roman" w:cs="Times New Roman"/>
          <w:b/>
          <w:sz w:val="24"/>
          <w:szCs w:val="24"/>
        </w:rPr>
        <w:t>cu privire la modificarea</w:t>
      </w:r>
      <w:r w:rsidR="002B75B6" w:rsidRPr="00BF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60" w:rsidRPr="00BF4042">
        <w:rPr>
          <w:rFonts w:ascii="Times New Roman" w:hAnsi="Times New Roman" w:cs="Times New Roman"/>
          <w:b/>
          <w:sz w:val="24"/>
          <w:szCs w:val="24"/>
        </w:rPr>
        <w:t>Hotărârii</w:t>
      </w:r>
      <w:r w:rsidR="00C17B63" w:rsidRPr="00BF4042">
        <w:rPr>
          <w:rFonts w:ascii="Times New Roman" w:hAnsi="Times New Roman" w:cs="Times New Roman"/>
          <w:b/>
          <w:sz w:val="24"/>
          <w:szCs w:val="24"/>
        </w:rPr>
        <w:t xml:space="preserve"> Guvernului </w:t>
      </w:r>
      <w:r w:rsidR="00C17B63" w:rsidRPr="00BF4042">
        <w:rPr>
          <w:rFonts w:ascii="Times New Roman" w:eastAsia="Calibri" w:hAnsi="Times New Roman" w:cs="Times New Roman"/>
          <w:b/>
          <w:sz w:val="24"/>
          <w:szCs w:val="24"/>
        </w:rPr>
        <w:t>nr.</w:t>
      </w:r>
      <w:r w:rsidR="00CA0940" w:rsidRPr="00BF40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7B63" w:rsidRPr="00BF4042">
        <w:rPr>
          <w:rFonts w:ascii="Times New Roman" w:eastAsia="Calibri" w:hAnsi="Times New Roman" w:cs="Times New Roman"/>
          <w:b/>
          <w:sz w:val="24"/>
          <w:szCs w:val="24"/>
        </w:rPr>
        <w:t xml:space="preserve">538/2009 </w:t>
      </w:r>
      <w:r w:rsidR="00470990" w:rsidRPr="00BF4042">
        <w:rPr>
          <w:rFonts w:ascii="Times New Roman" w:hAnsi="Times New Roman" w:cs="Times New Roman"/>
          <w:b/>
          <w:bCs/>
          <w:iCs/>
          <w:sz w:val="24"/>
          <w:szCs w:val="24"/>
        </w:rPr>
        <w:t>pentru aprobarea Regulamentului sanitar privind suplimentele alimentare</w:t>
      </w:r>
    </w:p>
    <w:p w14:paraId="732F4893" w14:textId="77777777" w:rsidR="00C17B63" w:rsidRPr="00BF4042" w:rsidRDefault="00C17B63" w:rsidP="004347F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F4042">
        <w:rPr>
          <w:rFonts w:ascii="Times New Roman" w:hAnsi="Times New Roman" w:cs="Times New Roman"/>
          <w:color w:val="FFFFFF" w:themeColor="background1"/>
          <w:sz w:val="24"/>
          <w:szCs w:val="24"/>
        </w:rPr>
        <w:t>(număr 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C17B63" w:rsidRPr="00BF4042" w14:paraId="3AF29643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34B2" w14:textId="77777777" w:rsidR="00C17B63" w:rsidRPr="00BF4042" w:rsidRDefault="002371C0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7B63" w:rsidRPr="00BF4042">
              <w:rPr>
                <w:rFonts w:ascii="Times New Roman" w:hAnsi="Times New Roman" w:cs="Times New Roman"/>
                <w:b/>
                <w:sz w:val="24"/>
                <w:szCs w:val="24"/>
              </w:rPr>
              <w:t>Denumirea autorului şi, după caz, a participanţilor la elaborarea proiectului</w:t>
            </w:r>
          </w:p>
        </w:tc>
      </w:tr>
      <w:tr w:rsidR="00E74372" w:rsidRPr="00E74372" w14:paraId="22AED92E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D16" w14:textId="0BC3590B" w:rsidR="00C17B63" w:rsidRPr="00E74372" w:rsidRDefault="00CA0940" w:rsidP="004347F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Proiectul hotărârii Guvern</w:t>
            </w:r>
            <w:r w:rsidR="00BC0C12" w:rsidRPr="00E74372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cu privire la modificarea Hotărîrii Guvernului nr. 538/2009 pentru aprobarea Regulamentului sanitar privind suplimentele alimentare</w:t>
            </w:r>
            <w:r w:rsidRPr="00E743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(în continuare - proiect)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a fost elaborat de </w:t>
            </w:r>
            <w:r w:rsidR="00C17B63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Ministerul Sănătății</w:t>
            </w: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comun cu Agenția Națională pentru Sănătate Publică</w:t>
            </w:r>
            <w:r w:rsidR="00E02528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C1638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și Agenția Medicamentului și Dispozitivelor Medicale.</w:t>
            </w:r>
          </w:p>
        </w:tc>
      </w:tr>
      <w:tr w:rsidR="00E74372" w:rsidRPr="00E74372" w14:paraId="13EEC8B7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786D" w14:textId="77777777" w:rsidR="00C17B63" w:rsidRPr="00E74372" w:rsidRDefault="002371C0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7B63"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Condiţiile ce au impus elaborarea proiectului de act normativ şi finalităţile </w:t>
            </w:r>
            <w:r w:rsidR="00A62657"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7B63"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urmărite</w:t>
            </w:r>
          </w:p>
        </w:tc>
      </w:tr>
      <w:tr w:rsidR="00E74372" w:rsidRPr="00E74372" w14:paraId="739DB42A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F3" w14:textId="21037543" w:rsidR="00026262" w:rsidRPr="00E74372" w:rsidRDefault="00026262" w:rsidP="004347F5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este elaborat în contextul ajustării cadrului normativ care reglementează suplimentele alimentare la versiunea actuală a normelor comunitare aplicabile acestui domeniu (</w:t>
            </w:r>
            <w:r w:rsidR="001873C7"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Directiva 2002/46/CE </w:t>
            </w:r>
            <w:r w:rsidR="001873C7" w:rsidRPr="00E74372"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  <w:t> </w:t>
            </w:r>
            <w:r w:rsidR="001873C7"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Parlamentului European și a Consiliului din 10 iunie 2002 referitoare la apropierea legislațiilor statelor membre privind suplimentele alimentare).</w:t>
            </w:r>
            <w:r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9322F8A" w14:textId="7F8B2BD0" w:rsidR="00664D9A" w:rsidRPr="00E74372" w:rsidRDefault="003B7076" w:rsidP="00C84135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Regulamentul sanitar </w:t>
            </w:r>
            <w:r w:rsidRPr="00E743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privind suplimentele alimentare, aprobat prin 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Hotărârea Guvernului </w:t>
            </w: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nr. 538/2009 a fost unul din primele acte de transpunere a actelor normative ale Comuni</w:t>
            </w:r>
            <w:r w:rsidR="00857BAD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tății </w:t>
            </w:r>
            <w:r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Europene specifice pentru anumite categorii de produse alimentare, astfel cum sunt suplimentele alimentare. </w:t>
            </w:r>
            <w:r w:rsidR="005E4013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Ulterior,</w:t>
            </w:r>
            <w:r w:rsidR="007D3D9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013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pentru a ține pasul cu evoluțiile științifice și tehnologice, </w:t>
            </w:r>
            <w:r w:rsidR="005E4013" w:rsidRPr="00E74372">
              <w:rPr>
                <w:rFonts w:ascii="Times New Roman" w:eastAsia="Calibri" w:hAnsi="Times New Roman" w:cs="Times New Roman"/>
                <w:sz w:val="24"/>
                <w:szCs w:val="24"/>
              </w:rPr>
              <w:t>Directiva 2002/46/CE a Parlamentului European</w:t>
            </w:r>
            <w:r w:rsidR="005E4013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A0F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 fost modificată prin mai multe acte ale Uniunii Europene</w:t>
            </w:r>
            <w:r w:rsidR="00664D9A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inclusiv ultima modificare din luna martie anului 2021. De precizat, că </w:t>
            </w:r>
            <w:r w:rsidR="00664D9A"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Regulamentul sanitar privind suplimentele alimentare din Republica Moldova, aprobat prin HG nr.538/2009, a fost supus actualizării doar în anii 2017-2018, și la moment nu transpune modificările aduse la </w:t>
            </w:r>
            <w:r w:rsidR="00664D9A"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Anexa nr.1 și Anexa nr.2 a Directivei 2002/46/CE </w:t>
            </w:r>
            <w:r w:rsidR="00664D9A"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prin aprobarea </w:t>
            </w:r>
            <w:r w:rsidR="00664D9A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Regulamentului (UE) 2017/1203 al Comisiei din 5 iulie 2017 și Regulamentului (UE) 2021/418 al Comisiei din 9 martie 2021.</w:t>
            </w:r>
            <w:r w:rsidR="00C8413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Astfel, mai multe poziții de vitamine, minerale și substanțe minerale aprobate la nivel european, nu se regăsesc </w:t>
            </w:r>
            <w:r w:rsidR="00590004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actualmente</w:t>
            </w:r>
            <w:r w:rsidR="00C3791D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13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 listele naționale de vitamine, minerale și substanțe minerale care pot fi utilizate la fabricarea suplimentelor alimentare.</w:t>
            </w:r>
          </w:p>
          <w:p w14:paraId="4BA810DF" w14:textId="2D5C20CB" w:rsidR="0037621D" w:rsidRPr="00E74372" w:rsidRDefault="00C3791D" w:rsidP="005E4013">
            <w:pPr>
              <w:pStyle w:val="NoSpacing"/>
              <w:ind w:firstLine="630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Mai mult, </w:t>
            </w:r>
            <w:r w:rsidR="009C06A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din considerentul faptului că un aport excesiv de vitamine și minerale poate avea efecte </w:t>
            </w:r>
            <w:r w:rsidR="00521B24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dăunătoare</w:t>
            </w:r>
            <w:r w:rsidR="009C06A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pentru sănătate, </w:t>
            </w:r>
            <w:r w:rsidR="00B619D3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Directiva 2002/46/CE impune aprobarea la nivelul fiecărui stat a dozelor maxime zilnice de consum de vitamine și minerale</w:t>
            </w:r>
            <w:r w:rsidR="009C06A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Acestea reiese</w:t>
            </w:r>
            <w:r w:rsidR="00A80027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19D3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027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în primul rînd, din nivelurile superioare de siguranţă de vitamine şi minerale stabilite prin evaluarea ştiinţifică a riscului, pe baza datelor </w:t>
            </w:r>
            <w:r w:rsidR="00502488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științifice</w:t>
            </w:r>
            <w:r w:rsidR="00A80027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general acceptate</w:t>
            </w:r>
            <w:r w:rsidR="009C06A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precum și </w:t>
            </w:r>
            <w:r w:rsidR="00F6265E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cantitatea acestor nutrienți din regimul alimentar normal</w:t>
            </w:r>
            <w:r w:rsidR="00A80027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De menționat, că în </w:t>
            </w:r>
            <w:r w:rsidR="0013173C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RM</w:t>
            </w:r>
            <w:r w:rsidR="00A80027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dozele zilnice maxime de vitamine şi minerale sunt aprobate prin Anexa nr.4 la HG nr. 538/2009, însă aceasta nu a fost supusă revizurii și actualizării în timp, și actualmente nu corespunde nivelurilor maxime de dozare pentru vitamine și minerale setate de către Autoritatea Europeană pentru Siguranța Alimentelor (EFSA).</w:t>
            </w:r>
            <w:r w:rsidR="0013173C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0004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Aceste lacune normative creează</w:t>
            </w:r>
            <w:r w:rsidR="0013173C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bariere</w:t>
            </w:r>
            <w:r w:rsidR="00590004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pentru</w:t>
            </w:r>
            <w:r w:rsidR="0013173C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plasarea pe piaț</w:t>
            </w:r>
            <w:r w:rsidR="00590004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>a</w:t>
            </w:r>
            <w:r w:rsidR="0013173C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RM a produselor fabricate în UE, sau fabricarea în RM a suplimentelor alimentare </w:t>
            </w:r>
            <w:r w:rsidR="00E02528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>cu scop de</w:t>
            </w:r>
            <w:r w:rsidR="0013173C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export</w:t>
            </w:r>
            <w:r w:rsidR="00E02528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>are</w:t>
            </w:r>
            <w:r w:rsidR="0013173C" w:rsidRPr="00E743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pe piața UE. </w:t>
            </w:r>
          </w:p>
          <w:p w14:paraId="2421482A" w14:textId="3B7C966A" w:rsidR="008B0121" w:rsidRPr="00E74372" w:rsidRDefault="00821340" w:rsidP="000C553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asemenea, </w:t>
            </w:r>
            <w:r w:rsidR="00F6265E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o altă problemă care a devenit</w:t>
            </w:r>
            <w:r w:rsidR="00521B24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tot mai</w:t>
            </w:r>
            <w:r w:rsidR="00F6265E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evidentă este confundarea suplimentelor alimentare cu medicamente și invers</w:t>
            </w:r>
            <w:r w:rsidR="00521B24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partea consumatorilor. </w:t>
            </w:r>
            <w:r w:rsidR="005E401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Suplimentele alimentare reprezintă surse concentrate de vitamine, minerale sau alte 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substanțe</w:t>
            </w:r>
            <w:r w:rsidR="005E401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efect nutritiv sau fiziologic. Suplimentele alimentare sunt produse al căror scop este de a completa regimul alimentar, dar care nu au proprietatea de tratare sau vindecare a unei boli. 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Disponibilitatea și utilizarea pe scara largă a suplimentelor alimentare</w:t>
            </w:r>
            <w:r w:rsidR="005E401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ultimii ani a generat un ni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vel semnificativ de expunere a consumatorului la această categorie de produse</w:t>
            </w:r>
            <w:r w:rsidR="005E401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323C50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Majoritatea suplimentelor alimentare se comercializează sub formă „dozată”, precum pastile, tablete, capsule sau lichide dozate precis, ceea ce le conferă o similaritate cu medicamentele.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Astfel, consumatorii fac confuzie între suplimente alimentare și medicamente, iar practicile aplicate la comercializarea și publicitatea suplimentelor alimentare pot induce în eroare consumatorii. </w:t>
            </w:r>
          </w:p>
          <w:p w14:paraId="0EFF5B72" w14:textId="5C717ED4" w:rsidR="00F97343" w:rsidRPr="00E74372" w:rsidRDefault="00BC084F" w:rsidP="00CB01EC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Mai mult decât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atât,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xistența unui cadru normativ incomplet generează probleme în ceea ce privește înregistrarea și comercializarea suplimentelor alimentare și conduce la o aplicarea neunitară a reglementărilor în materie. 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u fost constatate situații în care un produs cu aceeași compoziție a fost înregistrat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într-un caz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calitate de medicament, iar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într-un alt caz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agentul </w:t>
            </w:r>
            <w:r w:rsidR="00F97343" w:rsidRPr="00E74372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economic a obținut înregistrarea </w:t>
            </w:r>
            <w:r w:rsidR="008C1DD6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aceluiași produs sub formă de supliment alimentar. 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menționat că, reglementările privind producția și comercializarea suplimentelor alimentare sunt mai flexibile și mai permisive comparativ cu prevederile legale aplicabile medicamentelor. 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Principalele diferențe sunt reprezentate de libertatea operatorilor de a-</w:t>
            </w:r>
            <w:proofErr w:type="spellStart"/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stabili prețurile de comercializare, posibilitatea promovării produselor către publicul larg, canalele prin intermediul cărora se pot comercializa aceste produse </w:t>
            </w:r>
            <w:proofErr w:type="spellStart"/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procedurile privind punerea pe piață. 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Astfel, agenții economici profit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lacunele normative</w:t>
            </w:r>
            <w:r w:rsidR="000C5532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</w:t>
            </w:r>
            <w:r w:rsidR="00945899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pun la dispoziția consumatorilor produsele din categoria medicamentelor, aplicând reglementările stabilite pentru suplimentele alimentare. </w:t>
            </w:r>
            <w:r w:rsidR="00895B9D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513201E7" w14:textId="7DC3B940" w:rsidR="00F97343" w:rsidRPr="00E74372" w:rsidRDefault="007F6AE3" w:rsidP="00E7437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Modificările Regulamentului sanitar privind </w:t>
            </w:r>
            <w:r w:rsidR="006717F8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suplimentele </w:t>
            </w:r>
            <w:r w:rsidR="006717F8" w:rsidRPr="00E74372">
              <w:rPr>
                <w:rFonts w:ascii="Times New Roman" w:hAnsi="Times New Roman"/>
                <w:sz w:val="24"/>
                <w:szCs w:val="24"/>
              </w:rPr>
              <w:t>alimentare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propuse spre aprobare prin Hotărârea Guvernului urmează să </w:t>
            </w:r>
            <w:r w:rsidR="006717F8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sporească nivelul de aliniere a reglementărilor naționale cu legislația UE aplicabilă acestui domeniu, precum și să completeze cadrul normativ în scopul asigurării unei interpretări corecte și unitare a reglementărilor specifice suplimentelor alimentare.  </w:t>
            </w:r>
          </w:p>
          <w:p w14:paraId="763E0AE8" w14:textId="067FE0F9" w:rsidR="00854D19" w:rsidRPr="00E74372" w:rsidRDefault="00854D19" w:rsidP="004347F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Principalele obiective ale intervenției sunt:</w:t>
            </w:r>
          </w:p>
          <w:p w14:paraId="4D236D3E" w14:textId="77777777" w:rsidR="00854D19" w:rsidRPr="00E74372" w:rsidRDefault="00854D19" w:rsidP="004347F5">
            <w:pPr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minimizarea riscurilor de daune asupra sănătății consumatorilor de la utilizarea suplimentelor alimentare;</w:t>
            </w:r>
          </w:p>
          <w:p w14:paraId="6FFC927E" w14:textId="700C9709" w:rsidR="00854D19" w:rsidRPr="00E74372" w:rsidRDefault="00854D19" w:rsidP="004347F5">
            <w:pPr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facilitarea accesului suplimentelor alimentare de origine europeană de calitate, eficiente și inofensive pe piața din </w:t>
            </w:r>
            <w:r w:rsidR="00CB556A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RM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sporirea interesului producătorilor/importătorilor în această piață;</w:t>
            </w:r>
          </w:p>
          <w:p w14:paraId="352979CB" w14:textId="77777777" w:rsidR="004347F5" w:rsidRPr="00E74372" w:rsidRDefault="00854D19" w:rsidP="004347F5">
            <w:pPr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facilitarea accesului pe piață europeană a suplimentelor alimentare produse în Republica Moldova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75BFB047" w14:textId="13321DE4" w:rsidR="00854D19" w:rsidRPr="00E74372" w:rsidRDefault="004347F5" w:rsidP="004347F5">
            <w:pPr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f</w:t>
            </w:r>
            <w:r w:rsidR="00854D19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inalizarea procesului de aliniere a cadrului normativ în domeniul suplimentelor alimentare la Legislația UE, corespunzător.</w:t>
            </w:r>
          </w:p>
          <w:p w14:paraId="501C956F" w14:textId="539571A9" w:rsidR="00C17B63" w:rsidRPr="00E74372" w:rsidRDefault="00854D19" w:rsidP="004347F5">
            <w:pPr>
              <w:pStyle w:val="NoSpacing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modificărilor și completărilor în HG nr. 538/2009 este prevăzută în Planul Guvernului pentru anul 2023. Ministerul Sănătății este desemnat în calitate de autoritatea responsabilă pentru realizarea acestui obiectiv, conform domeniul de competență.</w:t>
            </w:r>
          </w:p>
        </w:tc>
      </w:tr>
      <w:tr w:rsidR="00E74372" w:rsidRPr="00E74372" w14:paraId="4C63F15C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E3B" w14:textId="77777777" w:rsidR="002371C0" w:rsidRPr="00E74372" w:rsidRDefault="002371C0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Descrierea gradului de compatibilitate pentru proiectele care au ca scop armonizarea legislaţiei naționale cu legislaţia Uniunii Europene</w:t>
            </w:r>
          </w:p>
        </w:tc>
      </w:tr>
      <w:tr w:rsidR="00E74372" w:rsidRPr="00E74372" w14:paraId="782BD95D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B8B" w14:textId="0CFAB87C" w:rsidR="004A4EEE" w:rsidRPr="00E74372" w:rsidRDefault="003F7432" w:rsidP="004F6490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Proiectul urmăreşte transpunerea în </w:t>
            </w:r>
            <w:r w:rsidR="0087274D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cadrul normativ național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502488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legislației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comunitare incidente în domeniu şi 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liberei circulaţii</w:t>
            </w:r>
            <w:r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A4EEE" w:rsidRPr="00E74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suplimentelor</w:t>
            </w:r>
            <w:r w:rsidR="004A4EEE" w:rsidRPr="00E74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alimentare</w:t>
            </w:r>
            <w:r w:rsidR="004A4EEE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63428" w14:textId="34952862" w:rsidR="00E02528" w:rsidRPr="00E74372" w:rsidRDefault="003F7432" w:rsidP="004F64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7160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Măsurile propuse în proiectul de act normativ asigură armonizarea legislaţiei naţionale cu 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r w:rsidR="002C7160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28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Regulamentului (UE) 2017/1203 al Comisiei din 5 iulie 2017 și Regulamentului (UE) 2021/418 al Comisiei din 9 martie 2021</w:t>
            </w:r>
            <w:r w:rsidR="00C45925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prin care au fost aduse modificări în Directiva 2002/46/CE</w:t>
            </w:r>
            <w:r w:rsidR="00E02528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17F8"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Proiectul este inclus în </w:t>
            </w:r>
            <w:r w:rsidR="004F6490" w:rsidRPr="00E74372">
              <w:rPr>
                <w:rFonts w:ascii="Times New Roman" w:eastAsia="Times New Roman" w:hAnsi="Times New Roman" w:cs="Times New Roman"/>
                <w:sz w:val="24"/>
                <w:szCs w:val="24"/>
              </w:rPr>
              <w:t>Plan de acțiuni privind ridicarea nivelului de pregătire pentru aderare la Uniunea Europeană și aliniere la legislația UE pe cele 33 de capitole din acquis.</w:t>
            </w:r>
          </w:p>
        </w:tc>
      </w:tr>
      <w:tr w:rsidR="00E74372" w:rsidRPr="00E74372" w14:paraId="149669F8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C849" w14:textId="77777777" w:rsidR="00C17B63" w:rsidRPr="00E74372" w:rsidRDefault="00C17B63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Principalele prevederi ale proiectului și evidenţierea elementelor noi</w:t>
            </w:r>
          </w:p>
        </w:tc>
      </w:tr>
      <w:tr w:rsidR="00E74372" w:rsidRPr="00E74372" w14:paraId="1FEDD631" w14:textId="77777777" w:rsidTr="005A440B">
        <w:trPr>
          <w:trHeight w:val="8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CC0" w14:textId="4A40DC7A" w:rsidR="004347F5" w:rsidRPr="00E74372" w:rsidRDefault="0087274D" w:rsidP="004347F5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Prevederile proiectului privind modificarea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Hotărâr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Guvernului nr. 538/2009 </w:t>
            </w:r>
            <w:r w:rsidR="002E7A0B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 privire la aprobarea Regulamentului </w:t>
            </w:r>
            <w:r w:rsidR="004347F5" w:rsidRPr="00E74372">
              <w:rPr>
                <w:rFonts w:ascii="Times New Roman" w:hAnsi="Times New Roman" w:cs="Times New Roman"/>
                <w:sz w:val="24"/>
                <w:szCs w:val="24"/>
              </w:rPr>
              <w:t>sanitar privind suplimentele alimentare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referă la următoarele aspecte</w:t>
            </w:r>
            <w:r w:rsidR="004347F5" w:rsidRPr="00E74372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</w:p>
          <w:p w14:paraId="44E04EDE" w14:textId="79C55D43" w:rsidR="00E02528" w:rsidRPr="00E74372" w:rsidRDefault="007A5A86" w:rsidP="00816686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ajustarea redacțională a Anexei nr.1 la prevederile Anexei nr.1 din </w:t>
            </w:r>
            <w:r w:rsidRPr="00E743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Directiva 2002/46/CE;</w:t>
            </w:r>
          </w:p>
          <w:p w14:paraId="029EAB89" w14:textId="0D227703" w:rsidR="007A5A86" w:rsidRPr="00E74372" w:rsidRDefault="007A5A86" w:rsidP="007A5A86">
            <w:pPr>
              <w:numPr>
                <w:ilvl w:val="0"/>
                <w:numId w:val="12"/>
              </w:numPr>
              <w:tabs>
                <w:tab w:val="left" w:pos="484"/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completarea Anexei nr. 2 cu privire la </w:t>
            </w:r>
            <w:r w:rsidRPr="00E743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MD"/>
              </w:rPr>
              <w:t>lista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substanțelor vitaminice și minerale ce pot fi utilizate la fabricarea supliemntelor alimentare, cu pozițiile noi conform celor prevăzute în Anexa nr.2 din Directiva 2002/46/CE, f</w:t>
            </w:r>
            <w:r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apt ce </w:t>
            </w:r>
            <w:r w:rsidR="0087274D"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va</w:t>
            </w:r>
            <w:r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permite excluderea barierelor tehnice în calea comerțului;</w:t>
            </w:r>
          </w:p>
          <w:p w14:paraId="54838A43" w14:textId="24C9B24B" w:rsidR="007A5A86" w:rsidRPr="00E74372" w:rsidRDefault="007A5A86" w:rsidP="007A5A86">
            <w:pPr>
              <w:numPr>
                <w:ilvl w:val="0"/>
                <w:numId w:val="12"/>
              </w:numPr>
              <w:tabs>
                <w:tab w:val="left" w:pos="484"/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ajustarea Anexei nr.4 cu referire </w:t>
            </w:r>
            <w:r w:rsidRPr="00E743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MD"/>
              </w:rPr>
              <w:t xml:space="preserve">dozele zilnice maximale a vitaminelor și mineralelor  conform cerințelor </w:t>
            </w:r>
            <w:r w:rsidRPr="00E74372">
              <w:rPr>
                <w:rFonts w:ascii="Times New Roman" w:hAnsi="Times New Roman"/>
                <w:sz w:val="24"/>
                <w:szCs w:val="24"/>
                <w:lang w:val="ro-MD"/>
              </w:rPr>
              <w:t>stabilite de Autoritatea Europenă pentru Siguranța Alimentelor (EFSA), Grupul de experți privind vitaminele și mineralele al Agenției pentru Standarde Alimentare din Anglia (EVM UK), practicilor altor țari (ex. Bulgaria), f</w:t>
            </w:r>
            <w:r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apt ce </w:t>
            </w:r>
            <w:r w:rsidR="0087274D"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va</w:t>
            </w:r>
            <w:r w:rsidRPr="00E7437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facilita procesul de liberă circulație a suplimentelor alimentare între RM și UE;</w:t>
            </w:r>
          </w:p>
          <w:p w14:paraId="7A9B6FA6" w14:textId="49725BE3" w:rsidR="007A5A86" w:rsidRPr="00E74372" w:rsidRDefault="007A5A86" w:rsidP="007A5A86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lang w:val="ro-MD"/>
              </w:rPr>
              <w:t xml:space="preserve">stabilirea criteriilor clare de </w:t>
            </w: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apreciere a unui produs ca fiind supliment alimentar (diferențierea de produs medicamentos), fapt, ce </w:t>
            </w:r>
            <w:r w:rsidR="0087274D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va</w:t>
            </w: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permite e</w:t>
            </w:r>
            <w:r w:rsidR="00816686" w:rsidRPr="00E74372">
              <w:rPr>
                <w:rFonts w:ascii="Times New Roman" w:hAnsi="Times New Roman" w:cs="Times New Roman"/>
                <w:sz w:val="24"/>
                <w:szCs w:val="24"/>
              </w:rPr>
              <w:t>vitarea înregistrării duble a aceleiași substanțe active de către două instituții diferite (A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genția medicamentului și Dispozitivelor medicale </w:t>
            </w:r>
            <w:r w:rsidR="00816686" w:rsidRPr="00E74372">
              <w:rPr>
                <w:rFonts w:ascii="Times New Roman" w:hAnsi="Times New Roman" w:cs="Times New Roman"/>
                <w:sz w:val="24"/>
                <w:szCs w:val="24"/>
              </w:rPr>
              <w:t>și ANSP), evita confuzia consumatorilor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0EEBC4" w14:textId="376888C8" w:rsidR="007A5A86" w:rsidRPr="00E74372" w:rsidRDefault="007A5A86" w:rsidP="007A5A86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eastAsia="Cambria" w:hAnsi="Times New Roman" w:cs="Times New Roman"/>
                <w:sz w:val="24"/>
                <w:lang w:val="ro-MD"/>
              </w:rPr>
            </w:pP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lastRenderedPageBreak/>
              <w:t>revizuirea setului de documente necesar spre prezentare la ANSP pentru notificare/înregistrare a suplimentului alimentar</w:t>
            </w:r>
            <w:r w:rsidR="0087274D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, ceea ce va duce la îmbunătățirea proceselor operaționale, precum și </w:t>
            </w: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sporirea calității și siguranței produselor plasate spre comercializare pe piață națională;</w:t>
            </w:r>
          </w:p>
          <w:p w14:paraId="743D30D6" w14:textId="0612E0A9" w:rsidR="00C45925" w:rsidRPr="00E74372" w:rsidRDefault="00C45925" w:rsidP="007A5A86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eastAsia="Cambria" w:hAnsi="Times New Roman" w:cs="Times New Roman"/>
                <w:sz w:val="24"/>
                <w:lang w:val="ro-MD"/>
              </w:rPr>
            </w:pP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completarea cerințelor pentru etichetare prin includerea</w:t>
            </w:r>
            <w:r w:rsidR="0087274D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inscripției obligatorii că produsul dat nu este medicament, fapt care va reduce confuzia consumatorilor dintre suplimente alimentare și medicamente;</w:t>
            </w: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</w:t>
            </w:r>
          </w:p>
          <w:p w14:paraId="132EC692" w14:textId="68DCF4C7" w:rsidR="00816686" w:rsidRPr="00E74372" w:rsidRDefault="007A5A86" w:rsidP="00247AC0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eastAsia="Cambria" w:hAnsi="Times New Roman" w:cs="Times New Roman"/>
                <w:sz w:val="24"/>
                <w:lang w:val="ro-MD"/>
              </w:rPr>
            </w:pP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in</w:t>
            </w:r>
            <w:r w:rsidR="00F375F1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stituirea</w:t>
            </w:r>
            <w:r w:rsidR="00816686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Comisi</w:t>
            </w:r>
            <w:r w:rsidR="00F375F1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ei</w:t>
            </w:r>
            <w:r w:rsidR="00816686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de experți</w:t>
            </w:r>
            <w:r w:rsidR="00626A93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, în calitate de organ colegial</w:t>
            </w:r>
            <w:r w:rsidR="006D3089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cu reprezentații din ANSP, AMDM și ANSA</w:t>
            </w:r>
            <w:r w:rsidR="00626A93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,</w:t>
            </w:r>
            <w:r w:rsidR="00816686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 xml:space="preserve"> responsabil de recepționare și analiză a cererilor de notificare/înregistrare, evaluarea materialelor din dosarele depuse</w:t>
            </w:r>
            <w:r w:rsidR="00626A93"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;</w:t>
            </w:r>
          </w:p>
          <w:p w14:paraId="73C9CDEC" w14:textId="7677D7E1" w:rsidR="00626A93" w:rsidRPr="00E74372" w:rsidRDefault="00626A93" w:rsidP="00247AC0">
            <w:pPr>
              <w:pStyle w:val="ListParagraph"/>
              <w:numPr>
                <w:ilvl w:val="0"/>
                <w:numId w:val="12"/>
              </w:numPr>
              <w:tabs>
                <w:tab w:val="left" w:pos="484"/>
                <w:tab w:val="left" w:pos="864"/>
                <w:tab w:val="left" w:pos="1196"/>
              </w:tabs>
              <w:spacing w:after="0" w:line="240" w:lineRule="auto"/>
              <w:ind w:left="34" w:firstLine="567"/>
              <w:jc w:val="both"/>
              <w:rPr>
                <w:rFonts w:ascii="Times New Roman" w:eastAsia="Cambria" w:hAnsi="Times New Roman" w:cs="Times New Roman"/>
                <w:sz w:val="24"/>
                <w:lang w:val="ro-MD"/>
              </w:rPr>
            </w:pPr>
            <w:r w:rsidRPr="00E74372">
              <w:rPr>
                <w:rFonts w:ascii="Times New Roman" w:eastAsia="Cambria" w:hAnsi="Times New Roman" w:cs="Times New Roman"/>
                <w:sz w:val="24"/>
                <w:lang w:val="ro-MD"/>
              </w:rPr>
              <w:t>asigurarea coerenței cadrului normativ și excluderea prevederilor contradictorii privind autoritatea responsabilă pentru supravegherea și controlul introducerii pe piață și utilizarea suplimentelor alimentare</w:t>
            </w:r>
          </w:p>
        </w:tc>
      </w:tr>
      <w:tr w:rsidR="00E74372" w:rsidRPr="00E74372" w14:paraId="3D943C47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C83B" w14:textId="77777777" w:rsidR="00C17B63" w:rsidRPr="00E74372" w:rsidRDefault="00C17B63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Fundamentarea economico–financiară</w:t>
            </w:r>
          </w:p>
        </w:tc>
      </w:tr>
      <w:tr w:rsidR="00E74372" w:rsidRPr="00E74372" w14:paraId="79FF5626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626" w14:textId="644271FD" w:rsidR="00C17B63" w:rsidRPr="00502488" w:rsidRDefault="00184038" w:rsidP="004347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Sub aspect financiar-economic implementarea proiectului nu va necesita cheltuieli suplimentare</w:t>
            </w:r>
            <w:r w:rsidR="007046CB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din bugetul de stat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372" w:rsidRPr="00E74372" w14:paraId="2B6AA36D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E3DE" w14:textId="77777777" w:rsidR="00C17B63" w:rsidRPr="00E74372" w:rsidRDefault="002371C0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7B63"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Modul de încorporare a actului în cadrul normativ în vigoare</w:t>
            </w:r>
          </w:p>
        </w:tc>
      </w:tr>
      <w:tr w:rsidR="00E74372" w:rsidRPr="00E74372" w14:paraId="354D24AF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607" w14:textId="77777777" w:rsidR="00C17B63" w:rsidRPr="00E74372" w:rsidRDefault="00BD331A" w:rsidP="004347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r w:rsidR="00C17B63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proiectului Hotărârii Guvernului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nu necesită</w:t>
            </w:r>
            <w:r w:rsidR="00C17B63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modificarea altor acte normative.</w:t>
            </w:r>
          </w:p>
        </w:tc>
      </w:tr>
      <w:tr w:rsidR="00E74372" w:rsidRPr="00E74372" w14:paraId="6B7A1F61" w14:textId="77777777" w:rsidTr="00A626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14C1" w14:textId="77777777" w:rsidR="00C17B63" w:rsidRPr="00E74372" w:rsidRDefault="00C17B63" w:rsidP="004347F5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Avizarea şi consultarea publică a proiectului</w:t>
            </w:r>
          </w:p>
        </w:tc>
      </w:tr>
      <w:tr w:rsidR="00E74372" w:rsidRPr="00E74372" w14:paraId="08FCF11F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236" w14:textId="77777777" w:rsidR="00810966" w:rsidRPr="00E74372" w:rsidRDefault="00810966" w:rsidP="008109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Proiectul va fi avizat și consultat, conform procedurii stabilite de prevederile actelor</w:t>
            </w:r>
          </w:p>
          <w:p w14:paraId="0C48A64F" w14:textId="77777777" w:rsidR="007046CB" w:rsidRPr="00E74372" w:rsidRDefault="00810966" w:rsidP="0070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normative, va fi transmis spre consultare autorităților de resort.</w:t>
            </w:r>
          </w:p>
          <w:p w14:paraId="35B8AE21" w14:textId="15A7519D" w:rsidR="007166F8" w:rsidRPr="00E74372" w:rsidRDefault="00447882" w:rsidP="00E74372">
            <w:pPr>
              <w:spacing w:line="226" w:lineRule="auto"/>
              <w:ind w:right="30"/>
              <w:jc w:val="both"/>
              <w:rPr>
                <w:rFonts w:ascii="Times New Roman" w:hAnsi="Times New Roman" w:cs="Times New Roman"/>
                <w:bCs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În scopul respectării prevederilor Legii nr. 239</w:t>
            </w:r>
            <w:r w:rsidR="002E7A0B" w:rsidRPr="00E74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2008 privind transparența în procesul decizional, proiectul a fost plasat pe pagina web oficială a Ministerului Sănătății </w:t>
            </w:r>
            <w:hyperlink r:id="rId8" w:history="1">
              <w:r w:rsidR="00C03B12" w:rsidRPr="00E7437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www.ms.gov.md</w:t>
              </w:r>
            </w:hyperlink>
            <w:r w:rsidR="00C03B12" w:rsidRPr="00E74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compartimentul Transparența decizională</w:t>
            </w:r>
            <w:r w:rsidR="00E74372" w:rsidRPr="00E7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372" w:rsidRPr="00E74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și pe </w:t>
            </w:r>
            <w:hyperlink r:id="rId9" w:history="1">
              <w:r w:rsidR="00E74372" w:rsidRPr="00E74372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www.particip.gov.md</w:t>
              </w:r>
            </w:hyperlink>
            <w:r w:rsidR="00E74372" w:rsidRPr="00E74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pentru consultări publice</w:t>
            </w: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372" w:rsidRPr="00E74372" w14:paraId="7A5A8F16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46E" w14:textId="08FAE9B7" w:rsidR="00683379" w:rsidRPr="00E74372" w:rsidRDefault="00683379" w:rsidP="00EB5A75">
            <w:pPr>
              <w:pStyle w:val="ListParagraph"/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Constatările expertizei </w:t>
            </w:r>
            <w:r w:rsidR="00502488"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anticorupție</w:t>
            </w:r>
          </w:p>
        </w:tc>
      </w:tr>
      <w:tr w:rsidR="00E74372" w:rsidRPr="00E74372" w14:paraId="3AD34772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FEE" w14:textId="0449C148" w:rsidR="00683379" w:rsidRPr="00E74372" w:rsidRDefault="00EB5A75" w:rsidP="00EB5A75">
            <w:pPr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Proiectul urmează a fi supus expertizei anticorupție.</w:t>
            </w:r>
          </w:p>
        </w:tc>
      </w:tr>
      <w:tr w:rsidR="00E74372" w:rsidRPr="00E74372" w14:paraId="5E707F20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2F9" w14:textId="769E0575" w:rsidR="00683379" w:rsidRPr="00E74372" w:rsidRDefault="00683379" w:rsidP="00683379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Constatările expertizei de compatibilitate</w:t>
            </w:r>
          </w:p>
        </w:tc>
      </w:tr>
      <w:tr w:rsidR="00E74372" w:rsidRPr="00E74372" w14:paraId="58628389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C50" w14:textId="2969B623" w:rsidR="00683379" w:rsidRPr="00E74372" w:rsidRDefault="00EB5A75" w:rsidP="00EB5A75">
            <w:pPr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Proiectul urmează a fi supus expertizei de compatibilitate.</w:t>
            </w:r>
          </w:p>
        </w:tc>
      </w:tr>
      <w:tr w:rsidR="00E74372" w:rsidRPr="00E74372" w14:paraId="3C520F0F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277" w14:textId="054149CD" w:rsidR="00683379" w:rsidRPr="00E74372" w:rsidRDefault="00683379" w:rsidP="00683379">
            <w:pPr>
              <w:pStyle w:val="ListParagraph"/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Constatările expertizei juridice</w:t>
            </w:r>
          </w:p>
        </w:tc>
      </w:tr>
      <w:tr w:rsidR="00E74372" w:rsidRPr="00E74372" w14:paraId="5214B1E4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6F9" w14:textId="13B12021" w:rsidR="00683379" w:rsidRPr="00E74372" w:rsidRDefault="00EB5A75" w:rsidP="00EB5A75">
            <w:pPr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</w:rPr>
              <w:t>Proiectul urmează a fi supus expertizei juridice.</w:t>
            </w:r>
          </w:p>
        </w:tc>
      </w:tr>
      <w:tr w:rsidR="00E74372" w:rsidRPr="00E74372" w14:paraId="118BDF50" w14:textId="77777777" w:rsidTr="00C17B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1FC" w14:textId="77777777" w:rsidR="00683379" w:rsidRPr="00E74372" w:rsidRDefault="00683379" w:rsidP="00683379">
            <w:pPr>
              <w:numPr>
                <w:ilvl w:val="3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b/>
                <w:sz w:val="24"/>
                <w:szCs w:val="24"/>
              </w:rPr>
              <w:t>Constatările altor expertize</w:t>
            </w:r>
          </w:p>
          <w:p w14:paraId="1321C4E9" w14:textId="6CB73FCA" w:rsidR="00EB5A75" w:rsidRPr="00E74372" w:rsidRDefault="00EB5A75" w:rsidP="00EB5A7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AIR-ul a fost susținut condiționat de către Grupul de lucru al Comisiei de stat pentru reglementarea activității de întreprinzător.</w:t>
            </w:r>
            <w:r w:rsidR="009C07C5" w:rsidRPr="00E743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6ABAF086" w14:textId="77777777" w:rsidR="00B374F2" w:rsidRPr="00BF4042" w:rsidRDefault="00B374F2" w:rsidP="004347F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75116BAB" w14:textId="11993827" w:rsidR="002E7A0B" w:rsidRDefault="002E7A0B" w:rsidP="004347F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3E0BFD92" w14:textId="77777777" w:rsidR="0046219F" w:rsidRDefault="0046219F" w:rsidP="004347F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5022DE2C" w14:textId="77777777" w:rsidR="002E7A0B" w:rsidRDefault="002E7A0B" w:rsidP="004347F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0AA42B6" w14:textId="03A541AA" w:rsidR="00DC64C1" w:rsidRPr="00BF4042" w:rsidRDefault="00C17B63" w:rsidP="004347F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4042">
        <w:rPr>
          <w:rFonts w:ascii="Times New Roman" w:hAnsi="Times New Roman" w:cs="Times New Roman"/>
          <w:b/>
          <w:sz w:val="24"/>
          <w:szCs w:val="24"/>
        </w:rPr>
        <w:t xml:space="preserve">Ministru           </w:t>
      </w:r>
      <w:r w:rsidR="00B374F2" w:rsidRPr="00BF404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06E03" w:rsidRPr="00BF40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6219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06E03" w:rsidRPr="00BF40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374F2" w:rsidRPr="00BF4042">
        <w:rPr>
          <w:rFonts w:ascii="Times New Roman" w:hAnsi="Times New Roman" w:cs="Times New Roman"/>
          <w:b/>
          <w:sz w:val="24"/>
          <w:szCs w:val="24"/>
        </w:rPr>
        <w:t xml:space="preserve">                Ala NEMERENCO</w:t>
      </w:r>
      <w:r w:rsidRPr="00BF404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sectPr w:rsidR="00DC64C1" w:rsidRPr="00BF4042" w:rsidSect="00206E03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6E27" w14:textId="77777777" w:rsidR="007464D2" w:rsidRDefault="007464D2" w:rsidP="00BF4042">
      <w:pPr>
        <w:spacing w:after="0" w:line="240" w:lineRule="auto"/>
      </w:pPr>
      <w:r>
        <w:separator/>
      </w:r>
    </w:p>
  </w:endnote>
  <w:endnote w:type="continuationSeparator" w:id="0">
    <w:p w14:paraId="639817DB" w14:textId="77777777" w:rsidR="007464D2" w:rsidRDefault="007464D2" w:rsidP="00BF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5DC9" w14:textId="77777777" w:rsidR="007464D2" w:rsidRDefault="007464D2" w:rsidP="00BF4042">
      <w:pPr>
        <w:spacing w:after="0" w:line="240" w:lineRule="auto"/>
      </w:pPr>
      <w:r>
        <w:separator/>
      </w:r>
    </w:p>
  </w:footnote>
  <w:footnote w:type="continuationSeparator" w:id="0">
    <w:p w14:paraId="7DCA0ADC" w14:textId="77777777" w:rsidR="007464D2" w:rsidRDefault="007464D2" w:rsidP="00BF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AAE"/>
    <w:multiLevelType w:val="hybridMultilevel"/>
    <w:tmpl w:val="C862D692"/>
    <w:lvl w:ilvl="0" w:tplc="770A475A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9FA"/>
    <w:multiLevelType w:val="hybridMultilevel"/>
    <w:tmpl w:val="69D80374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9C4071"/>
    <w:multiLevelType w:val="hybridMultilevel"/>
    <w:tmpl w:val="C6AA14F2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0584"/>
    <w:multiLevelType w:val="hybridMultilevel"/>
    <w:tmpl w:val="C638D718"/>
    <w:lvl w:ilvl="0" w:tplc="AF2237A6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" w15:restartNumberingAfterBreak="0">
    <w:nsid w:val="3A480E78"/>
    <w:multiLevelType w:val="hybridMultilevel"/>
    <w:tmpl w:val="E1A4DC50"/>
    <w:lvl w:ilvl="0" w:tplc="B0620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9C6368"/>
    <w:multiLevelType w:val="hybridMultilevel"/>
    <w:tmpl w:val="7F30B3B4"/>
    <w:lvl w:ilvl="0" w:tplc="A5008E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C91335"/>
    <w:multiLevelType w:val="hybridMultilevel"/>
    <w:tmpl w:val="5CAE0F98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533A1A40"/>
    <w:multiLevelType w:val="hybridMultilevel"/>
    <w:tmpl w:val="555AE458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42613"/>
    <w:multiLevelType w:val="hybridMultilevel"/>
    <w:tmpl w:val="AB6E3D56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84B04"/>
    <w:multiLevelType w:val="hybridMultilevel"/>
    <w:tmpl w:val="06E0F7B4"/>
    <w:lvl w:ilvl="0" w:tplc="196EF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3B5ACF"/>
    <w:multiLevelType w:val="hybridMultilevel"/>
    <w:tmpl w:val="92207E5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D810A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8E51E0"/>
    <w:multiLevelType w:val="hybridMultilevel"/>
    <w:tmpl w:val="9DD6A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E528F"/>
    <w:multiLevelType w:val="hybridMultilevel"/>
    <w:tmpl w:val="6F6CF3BA"/>
    <w:lvl w:ilvl="0" w:tplc="52CE03BA">
      <w:numFmt w:val="bullet"/>
      <w:lvlText w:val="-"/>
      <w:lvlJc w:val="left"/>
      <w:pPr>
        <w:ind w:left="8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 w16cid:durableId="32313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157790">
    <w:abstractNumId w:val="9"/>
  </w:num>
  <w:num w:numId="3" w16cid:durableId="1130779838">
    <w:abstractNumId w:val="4"/>
  </w:num>
  <w:num w:numId="4" w16cid:durableId="2058310080">
    <w:abstractNumId w:val="5"/>
  </w:num>
  <w:num w:numId="5" w16cid:durableId="1511333209">
    <w:abstractNumId w:val="6"/>
  </w:num>
  <w:num w:numId="6" w16cid:durableId="784885922">
    <w:abstractNumId w:val="1"/>
  </w:num>
  <w:num w:numId="7" w16cid:durableId="437678407">
    <w:abstractNumId w:val="12"/>
  </w:num>
  <w:num w:numId="8" w16cid:durableId="8375803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147784">
    <w:abstractNumId w:val="11"/>
  </w:num>
  <w:num w:numId="10" w16cid:durableId="1038704891">
    <w:abstractNumId w:val="11"/>
  </w:num>
  <w:num w:numId="11" w16cid:durableId="4707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0819131">
    <w:abstractNumId w:val="3"/>
  </w:num>
  <w:num w:numId="13" w16cid:durableId="389235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1746090">
    <w:abstractNumId w:val="2"/>
  </w:num>
  <w:num w:numId="15" w16cid:durableId="1593705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63"/>
    <w:rsid w:val="00016E68"/>
    <w:rsid w:val="00026262"/>
    <w:rsid w:val="00036100"/>
    <w:rsid w:val="000445AF"/>
    <w:rsid w:val="00072320"/>
    <w:rsid w:val="00075F28"/>
    <w:rsid w:val="0008598B"/>
    <w:rsid w:val="00087C37"/>
    <w:rsid w:val="00090E6E"/>
    <w:rsid w:val="000B273C"/>
    <w:rsid w:val="000C5532"/>
    <w:rsid w:val="000E5CDB"/>
    <w:rsid w:val="000F2139"/>
    <w:rsid w:val="00107B77"/>
    <w:rsid w:val="001209FD"/>
    <w:rsid w:val="00120F3E"/>
    <w:rsid w:val="0013173C"/>
    <w:rsid w:val="00134634"/>
    <w:rsid w:val="00136662"/>
    <w:rsid w:val="00147A20"/>
    <w:rsid w:val="00154C6C"/>
    <w:rsid w:val="00163F85"/>
    <w:rsid w:val="001719C3"/>
    <w:rsid w:val="001752C2"/>
    <w:rsid w:val="00176782"/>
    <w:rsid w:val="00184038"/>
    <w:rsid w:val="001873C7"/>
    <w:rsid w:val="001A79C9"/>
    <w:rsid w:val="001C4A9E"/>
    <w:rsid w:val="00206E03"/>
    <w:rsid w:val="002371C0"/>
    <w:rsid w:val="00247AC0"/>
    <w:rsid w:val="00262E17"/>
    <w:rsid w:val="0027767B"/>
    <w:rsid w:val="00290926"/>
    <w:rsid w:val="002A620E"/>
    <w:rsid w:val="002B75B6"/>
    <w:rsid w:val="002C643A"/>
    <w:rsid w:val="002C7160"/>
    <w:rsid w:val="002D4985"/>
    <w:rsid w:val="002D5B3E"/>
    <w:rsid w:val="002D6FA9"/>
    <w:rsid w:val="002E3C19"/>
    <w:rsid w:val="002E7A0B"/>
    <w:rsid w:val="00323C50"/>
    <w:rsid w:val="00356E79"/>
    <w:rsid w:val="0037621D"/>
    <w:rsid w:val="003976DA"/>
    <w:rsid w:val="003A0C03"/>
    <w:rsid w:val="003A11B1"/>
    <w:rsid w:val="003B7076"/>
    <w:rsid w:val="003C4118"/>
    <w:rsid w:val="003F7432"/>
    <w:rsid w:val="004055BD"/>
    <w:rsid w:val="004232B1"/>
    <w:rsid w:val="004236C0"/>
    <w:rsid w:val="004347F5"/>
    <w:rsid w:val="00443129"/>
    <w:rsid w:val="004465A0"/>
    <w:rsid w:val="00447882"/>
    <w:rsid w:val="00457CCB"/>
    <w:rsid w:val="0046219F"/>
    <w:rsid w:val="00470990"/>
    <w:rsid w:val="004855DB"/>
    <w:rsid w:val="004A4EEE"/>
    <w:rsid w:val="004A59AD"/>
    <w:rsid w:val="004B69F5"/>
    <w:rsid w:val="004C1B70"/>
    <w:rsid w:val="004F6490"/>
    <w:rsid w:val="00502488"/>
    <w:rsid w:val="005219DC"/>
    <w:rsid w:val="00521B24"/>
    <w:rsid w:val="00531FC2"/>
    <w:rsid w:val="00536DD5"/>
    <w:rsid w:val="00543DF7"/>
    <w:rsid w:val="00550B04"/>
    <w:rsid w:val="005528E1"/>
    <w:rsid w:val="00556A60"/>
    <w:rsid w:val="00590004"/>
    <w:rsid w:val="005A42FA"/>
    <w:rsid w:val="005A440B"/>
    <w:rsid w:val="005C6C93"/>
    <w:rsid w:val="005E06AC"/>
    <w:rsid w:val="005E4013"/>
    <w:rsid w:val="005F6293"/>
    <w:rsid w:val="006060F3"/>
    <w:rsid w:val="00622911"/>
    <w:rsid w:val="00626A93"/>
    <w:rsid w:val="00634C5F"/>
    <w:rsid w:val="0064269D"/>
    <w:rsid w:val="006464D2"/>
    <w:rsid w:val="00664D9A"/>
    <w:rsid w:val="006717F8"/>
    <w:rsid w:val="006768DF"/>
    <w:rsid w:val="00683379"/>
    <w:rsid w:val="006A73FB"/>
    <w:rsid w:val="006C1B10"/>
    <w:rsid w:val="006D3089"/>
    <w:rsid w:val="007046CB"/>
    <w:rsid w:val="007166F8"/>
    <w:rsid w:val="00722046"/>
    <w:rsid w:val="007464D2"/>
    <w:rsid w:val="00776726"/>
    <w:rsid w:val="0078411D"/>
    <w:rsid w:val="007A5A86"/>
    <w:rsid w:val="007B3E7A"/>
    <w:rsid w:val="007C1638"/>
    <w:rsid w:val="007D3D95"/>
    <w:rsid w:val="007D5F1E"/>
    <w:rsid w:val="007D756F"/>
    <w:rsid w:val="007F4F0C"/>
    <w:rsid w:val="007F6AE3"/>
    <w:rsid w:val="00805961"/>
    <w:rsid w:val="00810966"/>
    <w:rsid w:val="00814A9D"/>
    <w:rsid w:val="00816686"/>
    <w:rsid w:val="00821340"/>
    <w:rsid w:val="00854D19"/>
    <w:rsid w:val="0085781D"/>
    <w:rsid w:val="00857BAD"/>
    <w:rsid w:val="00865877"/>
    <w:rsid w:val="0087274D"/>
    <w:rsid w:val="00875AB3"/>
    <w:rsid w:val="0089508E"/>
    <w:rsid w:val="00895B9D"/>
    <w:rsid w:val="0089676E"/>
    <w:rsid w:val="008B0121"/>
    <w:rsid w:val="008C06D0"/>
    <w:rsid w:val="008C111C"/>
    <w:rsid w:val="008C1DD6"/>
    <w:rsid w:val="008F4A0F"/>
    <w:rsid w:val="00904065"/>
    <w:rsid w:val="00904CB3"/>
    <w:rsid w:val="0093010C"/>
    <w:rsid w:val="00945899"/>
    <w:rsid w:val="00957898"/>
    <w:rsid w:val="00960C15"/>
    <w:rsid w:val="00987E8B"/>
    <w:rsid w:val="009C06A5"/>
    <w:rsid w:val="009C07C5"/>
    <w:rsid w:val="009C6160"/>
    <w:rsid w:val="009D4547"/>
    <w:rsid w:val="009F5526"/>
    <w:rsid w:val="009F7FC5"/>
    <w:rsid w:val="00A15443"/>
    <w:rsid w:val="00A248D6"/>
    <w:rsid w:val="00A428A1"/>
    <w:rsid w:val="00A621EE"/>
    <w:rsid w:val="00A62657"/>
    <w:rsid w:val="00A62FBE"/>
    <w:rsid w:val="00A73761"/>
    <w:rsid w:val="00A80027"/>
    <w:rsid w:val="00AD40E3"/>
    <w:rsid w:val="00AD4D78"/>
    <w:rsid w:val="00AD6D36"/>
    <w:rsid w:val="00B21156"/>
    <w:rsid w:val="00B2711F"/>
    <w:rsid w:val="00B31498"/>
    <w:rsid w:val="00B374F2"/>
    <w:rsid w:val="00B43567"/>
    <w:rsid w:val="00B619D3"/>
    <w:rsid w:val="00B7015A"/>
    <w:rsid w:val="00B72E21"/>
    <w:rsid w:val="00BA4E63"/>
    <w:rsid w:val="00BC084F"/>
    <w:rsid w:val="00BC0C12"/>
    <w:rsid w:val="00BC1E6C"/>
    <w:rsid w:val="00BC3AD5"/>
    <w:rsid w:val="00BD331A"/>
    <w:rsid w:val="00BE18D3"/>
    <w:rsid w:val="00BF4042"/>
    <w:rsid w:val="00C03B12"/>
    <w:rsid w:val="00C17B63"/>
    <w:rsid w:val="00C33EB4"/>
    <w:rsid w:val="00C35836"/>
    <w:rsid w:val="00C3791D"/>
    <w:rsid w:val="00C41574"/>
    <w:rsid w:val="00C43632"/>
    <w:rsid w:val="00C45925"/>
    <w:rsid w:val="00C513B5"/>
    <w:rsid w:val="00C803CF"/>
    <w:rsid w:val="00C84135"/>
    <w:rsid w:val="00C86AD5"/>
    <w:rsid w:val="00CA0940"/>
    <w:rsid w:val="00CB01EC"/>
    <w:rsid w:val="00CB2AE4"/>
    <w:rsid w:val="00CB556A"/>
    <w:rsid w:val="00CC45C8"/>
    <w:rsid w:val="00CD49E8"/>
    <w:rsid w:val="00CE5385"/>
    <w:rsid w:val="00D2673A"/>
    <w:rsid w:val="00D854F4"/>
    <w:rsid w:val="00DC64C1"/>
    <w:rsid w:val="00DD279D"/>
    <w:rsid w:val="00E02528"/>
    <w:rsid w:val="00E2418C"/>
    <w:rsid w:val="00E457B8"/>
    <w:rsid w:val="00E5002B"/>
    <w:rsid w:val="00E74372"/>
    <w:rsid w:val="00EB5A75"/>
    <w:rsid w:val="00EB7339"/>
    <w:rsid w:val="00ED6937"/>
    <w:rsid w:val="00F238E1"/>
    <w:rsid w:val="00F375F1"/>
    <w:rsid w:val="00F45A11"/>
    <w:rsid w:val="00F6265E"/>
    <w:rsid w:val="00F7128B"/>
    <w:rsid w:val="00F734A6"/>
    <w:rsid w:val="00F8120F"/>
    <w:rsid w:val="00F97343"/>
    <w:rsid w:val="00FA7FAF"/>
    <w:rsid w:val="00FB397A"/>
    <w:rsid w:val="00FB6613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7D7E"/>
  <w15:docId w15:val="{7B6056BE-DF53-494E-B714-CE66D6DA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63"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4478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C17B6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C17B63"/>
    <w:pPr>
      <w:ind w:left="720"/>
      <w:contextualSpacing/>
    </w:pPr>
  </w:style>
  <w:style w:type="paragraph" w:customStyle="1" w:styleId="cp">
    <w:name w:val="cp"/>
    <w:basedOn w:val="Normal"/>
    <w:rsid w:val="00A6265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31F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3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634C5F"/>
    <w:rPr>
      <w:b/>
      <w:bCs/>
    </w:rPr>
  </w:style>
  <w:style w:type="character" w:customStyle="1" w:styleId="docheader1">
    <w:name w:val="doc_header1"/>
    <w:basedOn w:val="DefaultParagraphFont"/>
    <w:rsid w:val="00634C5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n">
    <w:name w:val="cn"/>
    <w:basedOn w:val="Normal"/>
    <w:rsid w:val="00107B7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4788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478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8F4A0F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semiHidden/>
    <w:unhideWhenUsed/>
    <w:rsid w:val="00816686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16686"/>
    <w:rPr>
      <w:rFonts w:ascii="Calibri" w:eastAsia="Calibri" w:hAnsi="Calibri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1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D300-BEA0-4FEB-804E-B4A4D24E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1670</Words>
  <Characters>9520</Characters>
  <Application>Microsoft Office Word</Application>
  <DocSecurity>0</DocSecurity>
  <Lines>79</Lines>
  <Paragraphs>22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Serviciul Programe Nationale</cp:lastModifiedBy>
  <cp:revision>23</cp:revision>
  <cp:lastPrinted>2023-04-13T08:19:00Z</cp:lastPrinted>
  <dcterms:created xsi:type="dcterms:W3CDTF">2023-04-11T22:57:00Z</dcterms:created>
  <dcterms:modified xsi:type="dcterms:W3CDTF">2023-04-13T08:19:00Z</dcterms:modified>
</cp:coreProperties>
</file>