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22D8" w14:textId="77777777" w:rsidR="001D7FAF" w:rsidRPr="002E64B5" w:rsidRDefault="00F47C55" w:rsidP="002E64B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14:paraId="2AF096F4" w14:textId="77777777" w:rsidR="00B4495A" w:rsidRPr="00B33970" w:rsidRDefault="00B4495A" w:rsidP="00B4495A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b/>
          <w:sz w:val="26"/>
          <w:szCs w:val="26"/>
          <w:lang w:val="ro-MD" w:eastAsia="ru-RU"/>
        </w:rPr>
        <w:t>GUVERNUL REPUBLICII MOLDOVA</w:t>
      </w:r>
    </w:p>
    <w:p w14:paraId="6ADBEA5A" w14:textId="77777777" w:rsidR="00B4495A" w:rsidRPr="00B33970" w:rsidRDefault="00B4495A" w:rsidP="00B449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</w:p>
    <w:p w14:paraId="11BA6520" w14:textId="77777777" w:rsidR="00B4495A" w:rsidRPr="00B33970" w:rsidRDefault="00B4495A" w:rsidP="00B4495A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6"/>
          <w:szCs w:val="26"/>
          <w:u w:val="single"/>
          <w:lang w:val="ro-MD" w:eastAsia="ru-RU"/>
        </w:rPr>
      </w:pPr>
      <w:r w:rsidRPr="00B33970">
        <w:rPr>
          <w:rFonts w:ascii="Times New Roman" w:eastAsia="Times New Roman" w:hAnsi="Times New Roman"/>
          <w:b/>
          <w:sz w:val="26"/>
          <w:szCs w:val="26"/>
          <w:lang w:val="ro-MD" w:eastAsia="ru-RU"/>
        </w:rPr>
        <w:t xml:space="preserve">HOTĂRÎRE 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nr. </w:t>
      </w:r>
      <w:r w:rsidRPr="00B33970">
        <w:rPr>
          <w:rFonts w:ascii="Times New Roman" w:eastAsia="Times New Roman" w:hAnsi="Times New Roman"/>
          <w:color w:val="FFFFFF"/>
          <w:sz w:val="26"/>
          <w:szCs w:val="26"/>
          <w:u w:val="single"/>
          <w:lang w:val="ro-MD" w:eastAsia="ru-RU"/>
        </w:rPr>
        <w:t>1</w:t>
      </w:r>
    </w:p>
    <w:p w14:paraId="36C63BCA" w14:textId="77777777" w:rsidR="00B4495A" w:rsidRPr="00B33970" w:rsidRDefault="00B4495A" w:rsidP="00B4495A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color w:val="FFFFFF"/>
          <w:sz w:val="26"/>
          <w:szCs w:val="26"/>
          <w:u w:val="single"/>
          <w:lang w:val="ro-MD" w:eastAsia="ru-RU"/>
        </w:rPr>
        <w:t>n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din ____  ______________</w:t>
      </w:r>
      <w:r w:rsidRPr="00B33970">
        <w:rPr>
          <w:rFonts w:ascii="Times New Roman" w:eastAsia="Times New Roman" w:hAnsi="Times New Roman"/>
          <w:color w:val="FFFFFF"/>
          <w:sz w:val="26"/>
          <w:szCs w:val="26"/>
          <w:u w:val="single"/>
          <w:lang w:val="ro-MD" w:eastAsia="ru-RU"/>
        </w:rPr>
        <w:t>1</w:t>
      </w:r>
      <w:r w:rsidR="00F30A85"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  <w:t>2022</w:t>
      </w:r>
    </w:p>
    <w:p w14:paraId="6DF092F1" w14:textId="77777777" w:rsidR="00B4495A" w:rsidRPr="00B33970" w:rsidRDefault="00B4495A" w:rsidP="00B4495A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</w:p>
    <w:p w14:paraId="41420A3B" w14:textId="77777777" w:rsidR="00B4495A" w:rsidRDefault="00B4495A" w:rsidP="002E64B5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  <w:t>Chişinău</w:t>
      </w:r>
    </w:p>
    <w:p w14:paraId="1D8F5BD1" w14:textId="77777777" w:rsidR="002E64B5" w:rsidRPr="00B33970" w:rsidRDefault="002E64B5" w:rsidP="002E64B5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</w:p>
    <w:p w14:paraId="1FC2275C" w14:textId="77777777" w:rsidR="007A3D39" w:rsidRPr="00B33970" w:rsidRDefault="00593715" w:rsidP="00436CE5">
      <w:pPr>
        <w:tabs>
          <w:tab w:val="left" w:pos="4215"/>
          <w:tab w:val="left" w:pos="802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  <w:t xml:space="preserve">Cu privire la </w:t>
      </w:r>
      <w:r w:rsidR="007A3D39" w:rsidRPr="00B33970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  <w:t>reorganizarea</w:t>
      </w:r>
      <w:r w:rsidR="007A3D39" w:rsidRPr="00B33970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="005D1531" w:rsidRPr="00B33970">
        <w:rPr>
          <w:rFonts w:ascii="Times New Roman" w:hAnsi="Times New Roman"/>
          <w:b/>
          <w:sz w:val="26"/>
          <w:szCs w:val="26"/>
          <w:lang w:val="ro-MD"/>
        </w:rPr>
        <w:t xml:space="preserve">prin transformare a </w:t>
      </w:r>
      <w:r w:rsidR="007A3D39" w:rsidRPr="00B33970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  <w:t xml:space="preserve">Întreprinderii de Stat </w:t>
      </w:r>
    </w:p>
    <w:p w14:paraId="766CC45E" w14:textId="77777777" w:rsidR="00B4495A" w:rsidRPr="00B33970" w:rsidRDefault="007A3D39" w:rsidP="00436CE5">
      <w:pPr>
        <w:tabs>
          <w:tab w:val="left" w:pos="4215"/>
          <w:tab w:val="left" w:pos="802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b/>
          <w:color w:val="000000"/>
          <w:sz w:val="26"/>
          <w:szCs w:val="26"/>
          <w:lang w:val="ro-MD" w:eastAsia="ru-RU"/>
        </w:rPr>
        <w:t>Organizația Concertistică și de Impresariat „Moldova–Concert”</w:t>
      </w:r>
    </w:p>
    <w:p w14:paraId="45B64315" w14:textId="77777777" w:rsidR="00B4495A" w:rsidRPr="00B33970" w:rsidRDefault="00B4495A" w:rsidP="00436CE5">
      <w:pPr>
        <w:tabs>
          <w:tab w:val="left" w:pos="4215"/>
          <w:tab w:val="left" w:pos="8027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MD" w:eastAsia="ru-RU"/>
        </w:rPr>
      </w:pPr>
    </w:p>
    <w:p w14:paraId="0BB21A32" w14:textId="77777777" w:rsidR="00B70F73" w:rsidRDefault="00F817D7" w:rsidP="00B70F73">
      <w:pPr>
        <w:tabs>
          <w:tab w:val="left" w:pos="253"/>
          <w:tab w:val="left" w:pos="4215"/>
          <w:tab w:val="left" w:pos="8027"/>
        </w:tabs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În temeiul 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art. 7 lit. e) din Legea nr. 136/2017 cu privire la Guvern (Monitorul Oficial al Republicii Moldova, 2017, nr. 252, art. 412), cu modificările ulterioare, 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art.6 alin.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(1) lit.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e) din Legea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nr.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121/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2007 privind administrarea şi deetatizarea proprietății publice (Monitorul Oficial a1 Republicii Moldova, 2007, nr.90-93, art.401), cu modificările şi completările ulterioare,</w:t>
      </w:r>
      <w:r w:rsidR="00155E9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art.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10 </w:t>
      </w:r>
      <w:r w:rsidR="00F0001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alin. (1) 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din Legea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nr. 1421/</w:t>
      </w:r>
      <w:r w:rsidR="00155E9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2002 cu privire la teatre, circuri și organizații concertistice </w:t>
      </w:r>
      <w:r w:rsidR="005B11E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(Monitorul Oficial al Republicii Moldova, 2002, nr. 174 – 176, art. 1331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)</w:t>
      </w:r>
      <w:r w:rsidR="005B11E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, </w:t>
      </w:r>
      <w:r w:rsidR="006C163E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cu modifică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rile şi completările ulterioare</w:t>
      </w:r>
      <w:r w:rsidR="00357990">
        <w:rPr>
          <w:rFonts w:ascii="Times New Roman" w:eastAsia="Times New Roman" w:hAnsi="Times New Roman"/>
          <w:sz w:val="26"/>
          <w:szCs w:val="26"/>
          <w:lang w:val="ro-MD" w:eastAsia="ru-RU"/>
        </w:rPr>
        <w:t>,</w:t>
      </w:r>
      <w:r w:rsidR="006C163E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5B11E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a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rt.32 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alin. (2) din Legea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nr. 98/</w:t>
      </w:r>
      <w:r w:rsidR="005B11E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2012 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privind </w:t>
      </w:r>
      <w:r w:rsidR="009D0803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administrația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publică centrală de specialitate (Monitorul Oficial al Republicii Moldova, 2012, nr.160-164, art.537), cu modifică</w:t>
      </w:r>
      <w:r w:rsidR="006C163E">
        <w:rPr>
          <w:rFonts w:ascii="Times New Roman" w:eastAsia="Times New Roman" w:hAnsi="Times New Roman"/>
          <w:sz w:val="26"/>
          <w:szCs w:val="26"/>
          <w:lang w:val="ro-MD" w:eastAsia="ru-RU"/>
        </w:rPr>
        <w:t>rile şi completările ulterioare</w:t>
      </w:r>
      <w:r w:rsidR="00597A95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şi </w:t>
      </w:r>
      <w:r w:rsidR="006F38E2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art.12 </w:t>
      </w:r>
      <w:r w:rsidR="00357990">
        <w:rPr>
          <w:rFonts w:ascii="Times New Roman" w:eastAsia="Times New Roman" w:hAnsi="Times New Roman"/>
          <w:sz w:val="26"/>
          <w:szCs w:val="26"/>
          <w:lang w:val="ro-MD" w:eastAsia="ru-RU"/>
        </w:rPr>
        <w:t>alin. (1) și art. 19 alin. (3) lit. b) din Legea</w:t>
      </w:r>
      <w:r w:rsidR="006F38E2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nr.246</w:t>
      </w:r>
      <w:r w:rsidR="006F4D2C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/</w:t>
      </w:r>
      <w:r w:rsidR="0073477E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2017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cu privire la întreprinderea de stat</w:t>
      </w:r>
      <w:r w:rsidR="0073477E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și întreprinderea municipală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(Monitorul Oficial al Republicii </w:t>
      </w:r>
      <w:r w:rsidR="006F38E2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Moldova, 2017, nr.</w:t>
      </w:r>
      <w:r w:rsidR="006F38E2" w:rsidRPr="00B33970">
        <w:rPr>
          <w:sz w:val="26"/>
          <w:szCs w:val="26"/>
          <w:lang w:val="ro-MD"/>
        </w:rPr>
        <w:t xml:space="preserve"> </w:t>
      </w:r>
      <w:r w:rsidR="006F38E2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441-450, art.750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), cu modificările şi completările ulterioare</w:t>
      </w:r>
      <w:r w:rsidR="00F26C64" w:rsidRPr="00B70F73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, </w:t>
      </w:r>
      <w:r w:rsidR="00B4495A" w:rsidRPr="00B70F73">
        <w:rPr>
          <w:rFonts w:ascii="Times New Roman" w:eastAsia="Times New Roman" w:hAnsi="Times New Roman"/>
          <w:bCs/>
          <w:sz w:val="26"/>
          <w:szCs w:val="26"/>
          <w:lang w:val="ro-MD" w:eastAsia="ru-RU"/>
        </w:rPr>
        <w:t>Guvernul</w:t>
      </w:r>
      <w:r w:rsidR="00B4495A" w:rsidRPr="00A80157"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  <w:t xml:space="preserve"> </w:t>
      </w:r>
    </w:p>
    <w:p w14:paraId="0253C18E" w14:textId="77777777" w:rsidR="00B70F73" w:rsidRDefault="00B70F73" w:rsidP="00B70F73">
      <w:pPr>
        <w:tabs>
          <w:tab w:val="left" w:pos="253"/>
          <w:tab w:val="left" w:pos="4215"/>
          <w:tab w:val="left" w:pos="8027"/>
        </w:tabs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</w:pPr>
    </w:p>
    <w:p w14:paraId="39A36F9F" w14:textId="6235271F" w:rsidR="00B4495A" w:rsidRDefault="00B4495A" w:rsidP="00B70F73">
      <w:pPr>
        <w:tabs>
          <w:tab w:val="left" w:pos="253"/>
          <w:tab w:val="left" w:pos="4215"/>
          <w:tab w:val="left" w:pos="8027"/>
        </w:tabs>
        <w:spacing w:after="0" w:line="276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</w:pPr>
      <w:r w:rsidRPr="00A80157"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  <w:t>HOTĂRĂŞTE:</w:t>
      </w:r>
    </w:p>
    <w:p w14:paraId="2C2AB57E" w14:textId="77777777" w:rsidR="00B70F73" w:rsidRPr="00B70F73" w:rsidRDefault="00B70F73" w:rsidP="00B70F73">
      <w:pPr>
        <w:tabs>
          <w:tab w:val="left" w:pos="253"/>
          <w:tab w:val="left" w:pos="4215"/>
          <w:tab w:val="left" w:pos="8027"/>
        </w:tabs>
        <w:spacing w:after="0" w:line="276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14:paraId="4DFDFD87" w14:textId="056141FF" w:rsidR="00EE0F16" w:rsidRPr="00B33970" w:rsidRDefault="00717E2F" w:rsidP="00436CE5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Se reorganizează</w:t>
      </w:r>
      <w:r w:rsidR="00AE4B5E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prin </w:t>
      </w:r>
      <w:r w:rsidR="009D0803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transformare</w:t>
      </w:r>
      <w:r w:rsidR="007A3D3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7A3D39" w:rsidRPr="00B33970">
        <w:rPr>
          <w:rFonts w:ascii="Times New Roman" w:eastAsia="Times New Roman" w:hAnsi="Times New Roman"/>
          <w:sz w:val="26"/>
          <w:szCs w:val="26"/>
          <w:lang w:val="ro-MD"/>
        </w:rPr>
        <w:t xml:space="preserve">Întreprinderea de Stat </w:t>
      </w:r>
      <w:r w:rsidR="007A3D39"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și de Impresariat </w:t>
      </w:r>
      <w:r w:rsidR="005875DD">
        <w:rPr>
          <w:rFonts w:ascii="Times New Roman" w:eastAsia="Times New Roman" w:hAnsi="Times New Roman"/>
          <w:sz w:val="26"/>
          <w:szCs w:val="26"/>
          <w:lang w:val="ro-MD"/>
        </w:rPr>
        <w:t>„Moldova–Concert</w:t>
      </w:r>
      <w:r w:rsidR="007A3D39" w:rsidRPr="00B33970">
        <w:rPr>
          <w:rFonts w:ascii="Times New Roman" w:eastAsia="Times New Roman" w:hAnsi="Times New Roman"/>
          <w:sz w:val="26"/>
          <w:szCs w:val="26"/>
          <w:lang w:val="ro-MD"/>
        </w:rPr>
        <w:t>”</w:t>
      </w:r>
      <w:r w:rsidR="007A3D39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EE0F16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în Instituția </w:t>
      </w:r>
      <w:r w:rsidR="00BE5735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p</w:t>
      </w:r>
      <w:r w:rsidR="00EE0F16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ublică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3D2773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și de Management Artistic 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/>
        </w:rPr>
        <w:t>„Moldova–Concert”</w:t>
      </w:r>
      <w:r w:rsidR="00FA3EA3">
        <w:rPr>
          <w:rFonts w:ascii="Times New Roman" w:eastAsia="Times New Roman" w:hAnsi="Times New Roman"/>
          <w:sz w:val="26"/>
          <w:szCs w:val="26"/>
          <w:lang w:val="ro-MD" w:eastAsia="ru-RU"/>
        </w:rPr>
        <w:t>.</w:t>
      </w:r>
    </w:p>
    <w:p w14:paraId="23F40AEC" w14:textId="13B22972" w:rsidR="005D1531" w:rsidRDefault="005D1531" w:rsidP="00436CE5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Ministerul Culturii </w:t>
      </w:r>
      <w:r w:rsidR="005875DD">
        <w:rPr>
          <w:rFonts w:ascii="Times New Roman" w:eastAsia="Times New Roman" w:hAnsi="Times New Roman"/>
          <w:sz w:val="26"/>
          <w:szCs w:val="26"/>
          <w:lang w:val="ro-MD" w:eastAsia="ru-RU"/>
        </w:rPr>
        <w:t>va exercita, în numele statului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funcția de fondator al Instituției Publice </w:t>
      </w:r>
      <w:r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și de Management Artistic </w:t>
      </w:r>
      <w:r w:rsidRPr="00B33970">
        <w:rPr>
          <w:rFonts w:ascii="Times New Roman" w:eastAsia="Times New Roman" w:hAnsi="Times New Roman"/>
          <w:sz w:val="26"/>
          <w:szCs w:val="26"/>
          <w:lang w:val="ro-MD"/>
        </w:rPr>
        <w:t>„Moldova–Concert”</w:t>
      </w:r>
      <w:r w:rsidR="00FA3EA3">
        <w:rPr>
          <w:rFonts w:ascii="Times New Roman" w:eastAsia="Times New Roman" w:hAnsi="Times New Roman"/>
          <w:sz w:val="26"/>
          <w:szCs w:val="26"/>
          <w:lang w:val="ro-MD" w:eastAsia="ru-RU"/>
        </w:rPr>
        <w:t>.</w:t>
      </w:r>
    </w:p>
    <w:p w14:paraId="18EDC744" w14:textId="2FB47714" w:rsidR="00FA3EA3" w:rsidRDefault="00FA3EA3" w:rsidP="00FA3EA3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Se aprobă structura </w:t>
      </w:r>
      <w:r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Instituției Publice </w:t>
      </w:r>
      <w:r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și de Management Artistic </w:t>
      </w:r>
      <w:r>
        <w:rPr>
          <w:rFonts w:ascii="Times New Roman" w:eastAsia="Times New Roman" w:hAnsi="Times New Roman"/>
          <w:sz w:val="26"/>
          <w:szCs w:val="26"/>
          <w:lang w:val="ro-MD"/>
        </w:rPr>
        <w:t xml:space="preserve">„Moldova–Concert” </w:t>
      </w:r>
      <w:r w:rsidR="00400AF0">
        <w:rPr>
          <w:rFonts w:ascii="Times New Roman" w:eastAsia="Times New Roman" w:hAnsi="Times New Roman"/>
          <w:sz w:val="26"/>
          <w:szCs w:val="26"/>
          <w:lang w:val="ro-MD"/>
        </w:rPr>
        <w:t>(se anexează)</w:t>
      </w:r>
      <w:r>
        <w:rPr>
          <w:rFonts w:ascii="Times New Roman" w:eastAsia="Times New Roman" w:hAnsi="Times New Roman"/>
          <w:sz w:val="26"/>
          <w:szCs w:val="26"/>
          <w:lang w:val="ro-MD"/>
        </w:rPr>
        <w:t>.</w:t>
      </w:r>
    </w:p>
    <w:p w14:paraId="66D7FE86" w14:textId="632C3730" w:rsidR="00D77FC0" w:rsidRPr="00D77FC0" w:rsidRDefault="005024C4" w:rsidP="00D77FC0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Se </w:t>
      </w:r>
      <w:r w:rsidR="00CD45EA">
        <w:rPr>
          <w:rFonts w:ascii="Times New Roman" w:eastAsia="Times New Roman" w:hAnsi="Times New Roman"/>
          <w:sz w:val="26"/>
          <w:szCs w:val="26"/>
          <w:lang w:val="ro-MD" w:eastAsia="ru-RU"/>
        </w:rPr>
        <w:t>stabilește</w:t>
      </w:r>
      <w:r w:rsidR="00D77FC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efectivul-limită al </w:t>
      </w:r>
      <w:r w:rsidR="00D77FC0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Instituției Publice </w:t>
      </w:r>
      <w:r w:rsidR="00D77FC0"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și de Management Artistic </w:t>
      </w:r>
      <w:r w:rsidR="00D77FC0">
        <w:rPr>
          <w:rFonts w:ascii="Times New Roman" w:eastAsia="Times New Roman" w:hAnsi="Times New Roman"/>
          <w:sz w:val="26"/>
          <w:szCs w:val="26"/>
          <w:lang w:val="ro-MD"/>
        </w:rPr>
        <w:t xml:space="preserve">„Moldova–Concert” </w:t>
      </w:r>
      <w:r>
        <w:rPr>
          <w:rFonts w:ascii="Times New Roman" w:eastAsia="Times New Roman" w:hAnsi="Times New Roman"/>
          <w:sz w:val="26"/>
          <w:szCs w:val="26"/>
          <w:lang w:val="ro-MD"/>
        </w:rPr>
        <w:t>în număr de 443 unități</w:t>
      </w:r>
      <w:r w:rsidR="00D77FC0">
        <w:rPr>
          <w:rFonts w:ascii="Times New Roman" w:eastAsia="Times New Roman" w:hAnsi="Times New Roman"/>
          <w:sz w:val="26"/>
          <w:szCs w:val="26"/>
          <w:lang w:val="ro-MD"/>
        </w:rPr>
        <w:t>.</w:t>
      </w:r>
    </w:p>
    <w:p w14:paraId="7C50B64B" w14:textId="688AEFC1" w:rsidR="005D1531" w:rsidRDefault="0007600D" w:rsidP="00436CE5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>Patrimoniul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Întreprinderii de Stat </w:t>
      </w:r>
      <w:r w:rsidR="005D1531"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și de Impresariat </w:t>
      </w:r>
      <w:r w:rsidR="00991CF0">
        <w:rPr>
          <w:rFonts w:ascii="Times New Roman" w:eastAsia="Times New Roman" w:hAnsi="Times New Roman"/>
          <w:sz w:val="26"/>
          <w:szCs w:val="26"/>
          <w:lang w:val="ro-MD"/>
        </w:rPr>
        <w:t>„Moldova–Concert”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se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transmi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t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e Instituției </w:t>
      </w:r>
      <w:r w:rsidR="005D1531" w:rsidRPr="00E47604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Publice </w:t>
      </w:r>
      <w:r w:rsidR="005D1531" w:rsidRPr="00E47604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>Organizația Concertistică</w:t>
      </w:r>
      <w:r w:rsidR="00E47604" w:rsidRPr="00E47604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 </w:t>
      </w:r>
      <w:r w:rsidR="00E47604" w:rsidRPr="00E47604">
        <w:rPr>
          <w:rFonts w:ascii="Times New Roman" w:eastAsia="Times New Roman" w:hAnsi="Times New Roman"/>
          <w:bCs/>
          <w:sz w:val="26"/>
          <w:szCs w:val="26"/>
          <w:lang w:val="ro-RO" w:eastAsia="ru-RU"/>
        </w:rPr>
        <w:t>și de Management Artistic</w:t>
      </w:r>
      <w:r w:rsidR="005D1531" w:rsidRPr="00E47604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 </w:t>
      </w:r>
      <w:r w:rsidR="00991CF0" w:rsidRPr="00E47604">
        <w:rPr>
          <w:rFonts w:ascii="Times New Roman" w:eastAsia="Times New Roman" w:hAnsi="Times New Roman"/>
          <w:sz w:val="26"/>
          <w:szCs w:val="26"/>
          <w:lang w:val="ro-MD"/>
        </w:rPr>
        <w:t>„Moldova–Concert”</w:t>
      </w:r>
      <w:r w:rsidR="005D1531" w:rsidRPr="00E47604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conf</w:t>
      </w:r>
      <w:r w:rsidR="005D1531" w:rsidRPr="00B33970">
        <w:rPr>
          <w:rFonts w:ascii="Times New Roman" w:eastAsia="Times New Roman" w:hAnsi="Times New Roman"/>
          <w:sz w:val="26"/>
          <w:szCs w:val="26"/>
          <w:lang w:val="ro-MD" w:eastAsia="ru-RU"/>
        </w:rPr>
        <w:t>orm prevederilor Regulamentului cu privire la modul de transmitere a bunurilor proprietate publică, aprobat prin Hotărârea Guvernului nr. 901/2015.</w:t>
      </w:r>
    </w:p>
    <w:p w14:paraId="043EE491" w14:textId="18B30010" w:rsidR="00F30A85" w:rsidRPr="00807BC0" w:rsidRDefault="005D1531" w:rsidP="00807BC0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B33970">
        <w:rPr>
          <w:rFonts w:ascii="Times New Roman" w:hAnsi="Times New Roman"/>
          <w:sz w:val="26"/>
          <w:szCs w:val="26"/>
          <w:lang w:val="ro-MD"/>
        </w:rPr>
        <w:t>Ins</w:t>
      </w:r>
      <w:r w:rsidR="00987111" w:rsidRPr="00B33970">
        <w:rPr>
          <w:rFonts w:ascii="Times New Roman" w:hAnsi="Times New Roman"/>
          <w:sz w:val="26"/>
          <w:szCs w:val="26"/>
          <w:lang w:val="ro-MD"/>
        </w:rPr>
        <w:t xml:space="preserve">tituția Publică </w:t>
      </w:r>
      <w:r w:rsidR="00987111" w:rsidRPr="00B33970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și de Management Artistic </w:t>
      </w:r>
      <w:r w:rsidR="00987111" w:rsidRPr="00B33970">
        <w:rPr>
          <w:rFonts w:ascii="Times New Roman" w:eastAsia="Times New Roman" w:hAnsi="Times New Roman"/>
          <w:sz w:val="26"/>
          <w:szCs w:val="26"/>
          <w:lang w:val="ro-MD"/>
        </w:rPr>
        <w:t>„Moldova–Concert”</w:t>
      </w:r>
      <w:r w:rsidR="00807BC0">
        <w:rPr>
          <w:rFonts w:ascii="Times New Roman" w:hAnsi="Times New Roman"/>
          <w:sz w:val="26"/>
          <w:szCs w:val="26"/>
          <w:lang w:val="ro-MD"/>
        </w:rPr>
        <w:t xml:space="preserve"> î</w:t>
      </w:r>
      <w:r w:rsidRPr="00807BC0">
        <w:rPr>
          <w:rFonts w:ascii="Times New Roman" w:hAnsi="Times New Roman"/>
          <w:sz w:val="26"/>
          <w:szCs w:val="26"/>
          <w:lang w:val="ro-MD"/>
        </w:rPr>
        <w:t>n termen de o lună de la data intrării în vigoare a prezentei hotărâri, va asigura transferarea soldurilor mijloacelor financiare din conturile bancare deschise la prestatorii de servicii de plată în conturile deschise în contul unic trezore</w:t>
      </w:r>
      <w:r w:rsidR="00B33970" w:rsidRPr="00807BC0">
        <w:rPr>
          <w:rFonts w:ascii="Times New Roman" w:hAnsi="Times New Roman"/>
          <w:sz w:val="26"/>
          <w:szCs w:val="26"/>
          <w:lang w:val="ro-MD"/>
        </w:rPr>
        <w:t>rial al Ministerului Finanțelor</w:t>
      </w:r>
      <w:r w:rsidR="00B303EF" w:rsidRPr="00807BC0">
        <w:rPr>
          <w:rFonts w:ascii="Times New Roman" w:hAnsi="Times New Roman"/>
          <w:sz w:val="26"/>
          <w:szCs w:val="26"/>
          <w:lang w:val="ro-MD"/>
        </w:rPr>
        <w:t>. După expirarea acestui termen, va utiliza în activitatea sa doar conturile deschise în contul unic trezorerial al Ministerului Finanțelor.</w:t>
      </w:r>
    </w:p>
    <w:p w14:paraId="6FFFE1F8" w14:textId="77777777" w:rsidR="001E3479" w:rsidRPr="001E3479" w:rsidRDefault="005D1531" w:rsidP="001E3479">
      <w:pPr>
        <w:pStyle w:val="a4"/>
        <w:numPr>
          <w:ilvl w:val="0"/>
          <w:numId w:val="2"/>
        </w:numPr>
        <w:tabs>
          <w:tab w:val="left" w:pos="4215"/>
          <w:tab w:val="left" w:pos="8027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B33970">
        <w:rPr>
          <w:rFonts w:ascii="Times New Roman" w:hAnsi="Times New Roman"/>
          <w:sz w:val="26"/>
          <w:szCs w:val="26"/>
          <w:lang w:val="ro-MD"/>
        </w:rPr>
        <w:lastRenderedPageBreak/>
        <w:t xml:space="preserve">Ministerul </w:t>
      </w:r>
      <w:r w:rsidR="001E1774" w:rsidRPr="00B33970">
        <w:rPr>
          <w:rFonts w:ascii="Times New Roman" w:hAnsi="Times New Roman"/>
          <w:sz w:val="26"/>
          <w:szCs w:val="26"/>
          <w:lang w:val="ro-MD"/>
        </w:rPr>
        <w:t>Culturii</w:t>
      </w:r>
      <w:r w:rsidRPr="00B33970">
        <w:rPr>
          <w:rFonts w:ascii="Times New Roman" w:hAnsi="Times New Roman"/>
          <w:sz w:val="26"/>
          <w:szCs w:val="26"/>
          <w:lang w:val="ro-MD"/>
        </w:rPr>
        <w:t>:</w:t>
      </w:r>
    </w:p>
    <w:p w14:paraId="468CE80C" w14:textId="77777777" w:rsidR="00862708" w:rsidRPr="001E3479" w:rsidRDefault="00862708" w:rsidP="001E3479">
      <w:pPr>
        <w:pStyle w:val="a4"/>
        <w:numPr>
          <w:ilvl w:val="0"/>
          <w:numId w:val="10"/>
        </w:numPr>
        <w:tabs>
          <w:tab w:val="left" w:pos="4215"/>
          <w:tab w:val="left" w:pos="8027"/>
        </w:tabs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E3479">
        <w:rPr>
          <w:rFonts w:ascii="Times New Roman" w:hAnsi="Times New Roman"/>
          <w:sz w:val="26"/>
          <w:szCs w:val="26"/>
          <w:lang w:val="ro-MD"/>
        </w:rPr>
        <w:t>în termen de 5 zile de la data intrării în vigoare a prezentei hotărîri, va crea comisia de reorganizare, care va asigura reorganizarea prin transformare a întreprinderii de stat în instituție publică;</w:t>
      </w:r>
    </w:p>
    <w:p w14:paraId="26AEDF11" w14:textId="3C5C12D4" w:rsidR="00862708" w:rsidRDefault="009C7FC6" w:rsidP="00436CE5">
      <w:pPr>
        <w:pStyle w:val="ae"/>
        <w:numPr>
          <w:ilvl w:val="0"/>
          <w:numId w:val="10"/>
        </w:numPr>
        <w:spacing w:after="0" w:afterAutospacing="0" w:line="276" w:lineRule="auto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în termen de 2 luni de la data intrării în vigoare a prezentei hotărîri, </w:t>
      </w:r>
      <w:r w:rsidR="00862708" w:rsidRPr="00862708">
        <w:rPr>
          <w:sz w:val="26"/>
          <w:szCs w:val="26"/>
          <w:lang w:val="ro-MD"/>
        </w:rPr>
        <w:t xml:space="preserve">va efectua, prin intermediul comisiei de reorganizare, transmiterea </w:t>
      </w:r>
      <w:r w:rsidR="00862708">
        <w:rPr>
          <w:sz w:val="26"/>
          <w:szCs w:val="26"/>
          <w:lang w:val="ro-MD"/>
        </w:rPr>
        <w:t>patrimoniului căt</w:t>
      </w:r>
      <w:r w:rsidR="006C163E">
        <w:rPr>
          <w:sz w:val="26"/>
          <w:szCs w:val="26"/>
          <w:lang w:val="ro-MD"/>
        </w:rPr>
        <w:t>re instituția publică</w:t>
      </w:r>
      <w:r w:rsidR="00862708" w:rsidRPr="00862708">
        <w:rPr>
          <w:sz w:val="26"/>
          <w:szCs w:val="26"/>
          <w:lang w:val="ro-MD"/>
        </w:rPr>
        <w:t>;</w:t>
      </w:r>
    </w:p>
    <w:p w14:paraId="1DB04653" w14:textId="21154F50" w:rsidR="00862708" w:rsidRPr="003C37A5" w:rsidRDefault="009C7FC6" w:rsidP="00436CE5">
      <w:pPr>
        <w:pStyle w:val="ae"/>
        <w:numPr>
          <w:ilvl w:val="0"/>
          <w:numId w:val="10"/>
        </w:numPr>
        <w:spacing w:after="0" w:afterAutospacing="0" w:line="276" w:lineRule="auto"/>
        <w:jc w:val="both"/>
        <w:rPr>
          <w:sz w:val="26"/>
          <w:szCs w:val="26"/>
          <w:lang w:val="ro-MD"/>
        </w:rPr>
      </w:pPr>
      <w:r w:rsidRPr="003C37A5">
        <w:rPr>
          <w:sz w:val="26"/>
          <w:szCs w:val="26"/>
          <w:lang w:val="ro-MD"/>
        </w:rPr>
        <w:t xml:space="preserve">în termen de 2 luni de la data intrării în vigoare a prezentei hotărîri, </w:t>
      </w:r>
      <w:r w:rsidR="00862708" w:rsidRPr="003C37A5">
        <w:rPr>
          <w:sz w:val="26"/>
          <w:szCs w:val="26"/>
          <w:lang w:val="ro-MD"/>
        </w:rPr>
        <w:t>va</w:t>
      </w:r>
      <w:r w:rsidR="00C31B5C" w:rsidRPr="003C37A5">
        <w:rPr>
          <w:sz w:val="26"/>
          <w:szCs w:val="26"/>
          <w:lang w:val="ro-MD"/>
        </w:rPr>
        <w:t xml:space="preserve"> aproba statutul</w:t>
      </w:r>
      <w:r w:rsidR="00862708" w:rsidRPr="003C37A5">
        <w:rPr>
          <w:sz w:val="26"/>
          <w:szCs w:val="26"/>
          <w:lang w:val="ro-MD"/>
        </w:rPr>
        <w:t xml:space="preserve"> </w:t>
      </w:r>
      <w:r w:rsidR="00C31B5C" w:rsidRPr="003C37A5">
        <w:rPr>
          <w:sz w:val="26"/>
          <w:szCs w:val="26"/>
          <w:lang w:val="ro-MD"/>
        </w:rPr>
        <w:t xml:space="preserve">Instituției publice Organizația Concertistică </w:t>
      </w:r>
      <w:r w:rsidR="002E35F6" w:rsidRPr="003C37A5">
        <w:rPr>
          <w:sz w:val="26"/>
          <w:szCs w:val="26"/>
          <w:lang w:val="ro-MD"/>
        </w:rPr>
        <w:t xml:space="preserve">și de Management Artistic </w:t>
      </w:r>
      <w:r w:rsidR="00C31B5C" w:rsidRPr="003C37A5">
        <w:rPr>
          <w:sz w:val="26"/>
          <w:szCs w:val="26"/>
          <w:lang w:val="ro-MD"/>
        </w:rPr>
        <w:t>„Moldova–Concert”</w:t>
      </w:r>
      <w:r w:rsidR="008E4910" w:rsidRPr="003C37A5">
        <w:rPr>
          <w:sz w:val="26"/>
          <w:szCs w:val="26"/>
          <w:lang w:val="ro-MD"/>
        </w:rPr>
        <w:t>;</w:t>
      </w:r>
    </w:p>
    <w:p w14:paraId="0E86AC02" w14:textId="2F4AF08A" w:rsidR="001E1774" w:rsidRPr="00B33970" w:rsidRDefault="009C7FC6" w:rsidP="00436CE5">
      <w:pPr>
        <w:pStyle w:val="ae"/>
        <w:numPr>
          <w:ilvl w:val="0"/>
          <w:numId w:val="10"/>
        </w:numPr>
        <w:spacing w:after="0" w:afterAutospacing="0" w:line="276" w:lineRule="auto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în termen de 3 luni de la data intrării în vigoare a prezentei hotărîri, </w:t>
      </w:r>
      <w:r w:rsidR="005D1531" w:rsidRPr="00B33970">
        <w:rPr>
          <w:sz w:val="26"/>
          <w:szCs w:val="26"/>
          <w:lang w:val="ro-MD"/>
        </w:rPr>
        <w:t xml:space="preserve">va elabora și va prezenta Guvernului spre aprobare Metodologia de calculare a tarifelor la serviciile prestate de către </w:t>
      </w:r>
      <w:r w:rsidR="006C790E" w:rsidRPr="00B33970">
        <w:rPr>
          <w:sz w:val="26"/>
          <w:szCs w:val="26"/>
          <w:lang w:val="ro-MD"/>
        </w:rPr>
        <w:t xml:space="preserve">Instituția publică </w:t>
      </w:r>
      <w:r w:rsidR="006C790E" w:rsidRPr="00CC7DF7">
        <w:rPr>
          <w:color w:val="000000"/>
          <w:sz w:val="26"/>
          <w:szCs w:val="26"/>
          <w:lang w:val="ro-MD"/>
        </w:rPr>
        <w:t>Organizația Concertistică</w:t>
      </w:r>
      <w:r w:rsidR="00CC7DF7" w:rsidRPr="00CC7DF7">
        <w:rPr>
          <w:color w:val="000000"/>
          <w:sz w:val="26"/>
          <w:szCs w:val="26"/>
          <w:lang w:val="ro-MD"/>
        </w:rPr>
        <w:t xml:space="preserve"> </w:t>
      </w:r>
      <w:bookmarkStart w:id="0" w:name="_Hlk132828507"/>
      <w:r w:rsidR="00CC7DF7" w:rsidRPr="00CC7DF7">
        <w:rPr>
          <w:bCs/>
          <w:sz w:val="26"/>
          <w:szCs w:val="26"/>
          <w:lang w:val="ro-RO"/>
        </w:rPr>
        <w:t>și de Management Artistic</w:t>
      </w:r>
      <w:bookmarkEnd w:id="0"/>
      <w:r w:rsidR="006C790E" w:rsidRPr="00CC7DF7">
        <w:rPr>
          <w:color w:val="000000"/>
          <w:sz w:val="26"/>
          <w:szCs w:val="26"/>
          <w:lang w:val="ro-MD"/>
        </w:rPr>
        <w:t xml:space="preserve"> </w:t>
      </w:r>
      <w:r w:rsidR="006C790E" w:rsidRPr="00CC7DF7">
        <w:rPr>
          <w:sz w:val="26"/>
          <w:szCs w:val="26"/>
          <w:lang w:val="ro-MD"/>
        </w:rPr>
        <w:t>„Moldova–Concert”</w:t>
      </w:r>
      <w:r w:rsidR="005D1531" w:rsidRPr="00CC7DF7">
        <w:rPr>
          <w:sz w:val="26"/>
          <w:szCs w:val="26"/>
          <w:lang w:val="ro-MD"/>
        </w:rPr>
        <w:t xml:space="preserve"> și Nomenclato</w:t>
      </w:r>
      <w:r w:rsidR="005D1531" w:rsidRPr="00B33970">
        <w:rPr>
          <w:sz w:val="26"/>
          <w:szCs w:val="26"/>
          <w:lang w:val="ro-MD"/>
        </w:rPr>
        <w:t>rul serviciilor prestate și tarifele acestora</w:t>
      </w:r>
      <w:r w:rsidR="00B26E42">
        <w:rPr>
          <w:sz w:val="26"/>
          <w:szCs w:val="26"/>
          <w:lang w:val="ro-MD"/>
        </w:rPr>
        <w:t>.</w:t>
      </w:r>
    </w:p>
    <w:p w14:paraId="03F15ACD" w14:textId="2F58CB5B" w:rsidR="00F30A85" w:rsidRDefault="00F30A85" w:rsidP="00C452CB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Pînă la aprobarea Metodologiei </w:t>
      </w:r>
      <w:r w:rsidRPr="00B33970">
        <w:rPr>
          <w:sz w:val="26"/>
          <w:szCs w:val="26"/>
          <w:lang w:val="ro-MD"/>
        </w:rPr>
        <w:t>de calculare a tarifelor la serviciile prestate</w:t>
      </w:r>
      <w:r>
        <w:rPr>
          <w:sz w:val="26"/>
          <w:szCs w:val="26"/>
          <w:lang w:val="ro-MD"/>
        </w:rPr>
        <w:t xml:space="preserve"> </w:t>
      </w:r>
      <w:r w:rsidRPr="00B33970">
        <w:rPr>
          <w:sz w:val="26"/>
          <w:szCs w:val="26"/>
          <w:lang w:val="ro-MD"/>
        </w:rPr>
        <w:t xml:space="preserve">de către Instituția Publică </w:t>
      </w:r>
      <w:r w:rsidRPr="00B33970">
        <w:rPr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color w:val="000000"/>
          <w:sz w:val="26"/>
          <w:szCs w:val="26"/>
          <w:lang w:val="ro-MD"/>
        </w:rPr>
        <w:t xml:space="preserve">și de Management Artistic </w:t>
      </w:r>
      <w:r w:rsidRPr="00B33970">
        <w:rPr>
          <w:sz w:val="26"/>
          <w:szCs w:val="26"/>
          <w:lang w:val="ro-MD"/>
        </w:rPr>
        <w:t>„Moldova–Concert”</w:t>
      </w:r>
      <w:r w:rsidR="008D5376">
        <w:rPr>
          <w:sz w:val="26"/>
          <w:szCs w:val="26"/>
          <w:lang w:val="ro-MD"/>
        </w:rPr>
        <w:t xml:space="preserve"> și </w:t>
      </w:r>
      <w:r w:rsidR="00356F8C">
        <w:rPr>
          <w:sz w:val="26"/>
          <w:szCs w:val="26"/>
          <w:lang w:val="ro-MD"/>
        </w:rPr>
        <w:t xml:space="preserve">a </w:t>
      </w:r>
      <w:r w:rsidR="008D5376">
        <w:rPr>
          <w:sz w:val="26"/>
          <w:szCs w:val="26"/>
          <w:lang w:val="ro-MD"/>
        </w:rPr>
        <w:t xml:space="preserve">noilor tarife calculate în baza acesteia, se vor aplica tarifele în vigoare la serviciile prestate de </w:t>
      </w:r>
      <w:r w:rsidR="005527DE">
        <w:rPr>
          <w:sz w:val="26"/>
          <w:szCs w:val="26"/>
          <w:lang w:val="ro-MD"/>
        </w:rPr>
        <w:t xml:space="preserve">către </w:t>
      </w:r>
      <w:r w:rsidR="008D5376">
        <w:rPr>
          <w:sz w:val="26"/>
          <w:szCs w:val="26"/>
          <w:lang w:val="ro-MD"/>
        </w:rPr>
        <w:t>persoana juridică reorganizată.</w:t>
      </w:r>
    </w:p>
    <w:p w14:paraId="5D35231E" w14:textId="397612C4" w:rsidR="005D1531" w:rsidRPr="00B33970" w:rsidRDefault="005D1531" w:rsidP="00436CE5">
      <w:pPr>
        <w:pStyle w:val="ae"/>
        <w:numPr>
          <w:ilvl w:val="0"/>
          <w:numId w:val="2"/>
        </w:numPr>
        <w:spacing w:after="0" w:afterAutospacing="0" w:line="276" w:lineRule="auto"/>
        <w:ind w:left="426"/>
        <w:jc w:val="both"/>
        <w:rPr>
          <w:sz w:val="26"/>
          <w:szCs w:val="26"/>
          <w:lang w:val="ro-MD"/>
        </w:rPr>
      </w:pPr>
      <w:r w:rsidRPr="00B33970">
        <w:rPr>
          <w:sz w:val="26"/>
          <w:szCs w:val="26"/>
          <w:lang w:val="ro-MD"/>
        </w:rPr>
        <w:t>Disponibilizarea personalului în legătură cu reorganizarea</w:t>
      </w:r>
      <w:r w:rsidR="001E1774" w:rsidRPr="00B33970">
        <w:rPr>
          <w:sz w:val="26"/>
          <w:szCs w:val="26"/>
          <w:lang w:val="ro-MD"/>
        </w:rPr>
        <w:t xml:space="preserve"> Întreprinderii de Stat </w:t>
      </w:r>
      <w:r w:rsidR="001E1774" w:rsidRPr="00B33970">
        <w:rPr>
          <w:color w:val="000000"/>
          <w:sz w:val="26"/>
          <w:szCs w:val="26"/>
          <w:lang w:val="ro-MD"/>
        </w:rPr>
        <w:t xml:space="preserve">Organizația Concertistică și de Impresariat </w:t>
      </w:r>
      <w:r w:rsidR="00752404">
        <w:rPr>
          <w:sz w:val="26"/>
          <w:szCs w:val="26"/>
          <w:lang w:val="ro-MD"/>
        </w:rPr>
        <w:t>„Moldova–Concert</w:t>
      </w:r>
      <w:r w:rsidR="001E1774" w:rsidRPr="00B33970">
        <w:rPr>
          <w:sz w:val="26"/>
          <w:szCs w:val="26"/>
          <w:lang w:val="ro-MD"/>
        </w:rPr>
        <w:t>”</w:t>
      </w:r>
      <w:r w:rsidRPr="00B33970">
        <w:rPr>
          <w:sz w:val="26"/>
          <w:szCs w:val="26"/>
          <w:lang w:val="ro-MD"/>
        </w:rPr>
        <w:t>, în cazul imposibilității transferului acestuia, se va efectua în conformitate cu legislația muncii, iar cheltuielile aferente vor fi asigurate din contul veniturilor prop</w:t>
      </w:r>
      <w:r w:rsidR="001E1774" w:rsidRPr="00B33970">
        <w:rPr>
          <w:sz w:val="26"/>
          <w:szCs w:val="26"/>
          <w:lang w:val="ro-MD"/>
        </w:rPr>
        <w:t>rii ale entității reorganizate.</w:t>
      </w:r>
    </w:p>
    <w:p w14:paraId="5A911C06" w14:textId="0527E577" w:rsidR="005D1531" w:rsidRPr="00B33970" w:rsidRDefault="005D1531" w:rsidP="00436CE5">
      <w:pPr>
        <w:pStyle w:val="ae"/>
        <w:numPr>
          <w:ilvl w:val="0"/>
          <w:numId w:val="2"/>
        </w:numPr>
        <w:spacing w:after="0" w:afterAutospacing="0" w:line="276" w:lineRule="auto"/>
        <w:ind w:left="426"/>
        <w:jc w:val="both"/>
        <w:rPr>
          <w:sz w:val="26"/>
          <w:szCs w:val="26"/>
          <w:lang w:val="ro-MD"/>
        </w:rPr>
      </w:pPr>
      <w:r w:rsidRPr="00B33970">
        <w:rPr>
          <w:sz w:val="26"/>
          <w:szCs w:val="26"/>
          <w:lang w:val="ro-MD"/>
        </w:rPr>
        <w:t>Până la numirea în funcție a directorului</w:t>
      </w:r>
      <w:r w:rsidR="001E1774" w:rsidRPr="00B33970">
        <w:rPr>
          <w:sz w:val="26"/>
          <w:szCs w:val="26"/>
          <w:lang w:val="ro-MD"/>
        </w:rPr>
        <w:t xml:space="preserve"> Instituției publice </w:t>
      </w:r>
      <w:r w:rsidR="001E1774" w:rsidRPr="00B33970">
        <w:rPr>
          <w:color w:val="000000"/>
          <w:sz w:val="26"/>
          <w:szCs w:val="26"/>
          <w:lang w:val="ro-MD"/>
        </w:rPr>
        <w:t xml:space="preserve">Organizația Concertistică </w:t>
      </w:r>
      <w:r w:rsidR="002E35F6" w:rsidRPr="002E35F6">
        <w:rPr>
          <w:color w:val="000000"/>
          <w:sz w:val="26"/>
          <w:szCs w:val="26"/>
          <w:lang w:val="ro-MD"/>
        </w:rPr>
        <w:t xml:space="preserve">și de Management Artistic </w:t>
      </w:r>
      <w:r w:rsidR="001E1774" w:rsidRPr="00B33970">
        <w:rPr>
          <w:sz w:val="26"/>
          <w:szCs w:val="26"/>
          <w:lang w:val="ro-MD"/>
        </w:rPr>
        <w:t>„Moldova–Concert”</w:t>
      </w:r>
      <w:r w:rsidRPr="00B33970">
        <w:rPr>
          <w:sz w:val="26"/>
          <w:szCs w:val="26"/>
          <w:lang w:val="ro-MD"/>
        </w:rPr>
        <w:t>, atribuțiile acestuia vor fi exercitate de actualul director al întreprinderii supuse reorganizării.</w:t>
      </w:r>
    </w:p>
    <w:p w14:paraId="27BAF429" w14:textId="2E3D6936" w:rsidR="00E319CC" w:rsidRDefault="00987111" w:rsidP="00436CE5">
      <w:pPr>
        <w:pStyle w:val="ae"/>
        <w:numPr>
          <w:ilvl w:val="0"/>
          <w:numId w:val="2"/>
        </w:numPr>
        <w:spacing w:after="0" w:afterAutospacing="0" w:line="276" w:lineRule="auto"/>
        <w:ind w:left="426"/>
        <w:jc w:val="both"/>
        <w:rPr>
          <w:sz w:val="26"/>
          <w:szCs w:val="26"/>
          <w:lang w:val="ro-MD"/>
        </w:rPr>
      </w:pPr>
      <w:r w:rsidRPr="00B33970">
        <w:rPr>
          <w:sz w:val="26"/>
          <w:szCs w:val="26"/>
          <w:lang w:val="ro-MD"/>
        </w:rPr>
        <w:t xml:space="preserve">Hotărârea Guvernului nr. 147/2021 cu privire la organizarea şi funcţionarea Ministerului </w:t>
      </w:r>
      <w:r w:rsidRPr="006B31A0">
        <w:rPr>
          <w:sz w:val="26"/>
          <w:szCs w:val="26"/>
          <w:lang w:val="ro-MD"/>
        </w:rPr>
        <w:t>Culturii</w:t>
      </w:r>
      <w:r w:rsidR="005D1531" w:rsidRPr="006B31A0">
        <w:rPr>
          <w:sz w:val="26"/>
          <w:szCs w:val="26"/>
          <w:lang w:val="ro-MD"/>
        </w:rPr>
        <w:t xml:space="preserve"> (</w:t>
      </w:r>
      <w:r w:rsidR="006B31A0" w:rsidRPr="006B31A0">
        <w:rPr>
          <w:bCs/>
          <w:sz w:val="26"/>
          <w:szCs w:val="26"/>
          <w:lang w:val="ro-RO"/>
        </w:rPr>
        <w:t>Monitorul Oficial al Republicii Moldova, 2021, nr. 206-208, art. 345</w:t>
      </w:r>
      <w:r w:rsidR="006F4D2C" w:rsidRPr="006B31A0">
        <w:rPr>
          <w:sz w:val="26"/>
          <w:szCs w:val="26"/>
          <w:lang w:val="ro-MD"/>
        </w:rPr>
        <w:t>),</w:t>
      </w:r>
      <w:r w:rsidR="006F4D2C" w:rsidRPr="00B33970">
        <w:rPr>
          <w:sz w:val="26"/>
          <w:szCs w:val="26"/>
          <w:lang w:val="ro-MD"/>
        </w:rPr>
        <w:t xml:space="preserve"> cu modificările ulterioare,</w:t>
      </w:r>
      <w:r w:rsidR="005D1531" w:rsidRPr="00B33970">
        <w:rPr>
          <w:sz w:val="26"/>
          <w:szCs w:val="26"/>
          <w:lang w:val="ro-MD"/>
        </w:rPr>
        <w:t xml:space="preserve"> </w:t>
      </w:r>
      <w:r w:rsidR="006F4D2C" w:rsidRPr="00B33970">
        <w:rPr>
          <w:sz w:val="26"/>
          <w:szCs w:val="26"/>
          <w:lang w:val="ro-MD"/>
        </w:rPr>
        <w:t xml:space="preserve">se </w:t>
      </w:r>
      <w:r w:rsidR="00E319CC">
        <w:rPr>
          <w:sz w:val="26"/>
          <w:szCs w:val="26"/>
          <w:lang w:val="ro-MD"/>
        </w:rPr>
        <w:t>modifică după cum urmează:</w:t>
      </w:r>
    </w:p>
    <w:p w14:paraId="3F177CA9" w14:textId="05B8FB24" w:rsidR="00E319CC" w:rsidRPr="00A41B9D" w:rsidRDefault="00E319CC" w:rsidP="00577FEF">
      <w:pPr>
        <w:pStyle w:val="ae"/>
        <w:spacing w:before="0" w:beforeAutospacing="0" w:after="0" w:afterAutospacing="0" w:line="276" w:lineRule="auto"/>
        <w:ind w:left="426" w:firstLine="282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1</w:t>
      </w:r>
      <w:r w:rsidRPr="00887FE9">
        <w:rPr>
          <w:sz w:val="26"/>
          <w:szCs w:val="26"/>
          <w:lang w:val="ro-MD"/>
        </w:rPr>
        <w:t>)</w:t>
      </w:r>
      <w:r w:rsidR="00887FE9" w:rsidRPr="00887FE9">
        <w:rPr>
          <w:sz w:val="26"/>
          <w:szCs w:val="26"/>
          <w:lang w:val="ro-MD"/>
        </w:rPr>
        <w:t xml:space="preserve"> </w:t>
      </w:r>
      <w:r w:rsidR="00887FE9" w:rsidRPr="00887FE9">
        <w:rPr>
          <w:bCs/>
          <w:sz w:val="26"/>
          <w:szCs w:val="26"/>
          <w:lang w:val="ro-RO"/>
        </w:rPr>
        <w:t xml:space="preserve">compartimentul „Instituții publice concertistice” din anexa nr. 5 se completează cu punctul 4 cu următorul </w:t>
      </w:r>
      <w:r w:rsidR="00887FE9" w:rsidRPr="00A41B9D">
        <w:rPr>
          <w:bCs/>
          <w:sz w:val="26"/>
          <w:szCs w:val="26"/>
          <w:lang w:val="ro-RO"/>
        </w:rPr>
        <w:t>cuprins:</w:t>
      </w:r>
      <w:r w:rsidR="005D1531" w:rsidRPr="00A41B9D">
        <w:rPr>
          <w:sz w:val="26"/>
          <w:szCs w:val="26"/>
          <w:lang w:val="ro-MD"/>
        </w:rPr>
        <w:t xml:space="preserve"> „</w:t>
      </w:r>
      <w:r w:rsidR="006F4D2C" w:rsidRPr="00A41B9D">
        <w:rPr>
          <w:sz w:val="26"/>
          <w:szCs w:val="26"/>
          <w:lang w:val="ro-MD"/>
        </w:rPr>
        <w:t xml:space="preserve">4. Instituția publică </w:t>
      </w:r>
      <w:r w:rsidR="006F4D2C" w:rsidRPr="00A41B9D">
        <w:rPr>
          <w:color w:val="000000"/>
          <w:sz w:val="26"/>
          <w:szCs w:val="26"/>
          <w:lang w:val="ro-MD"/>
        </w:rPr>
        <w:t xml:space="preserve">Organizația Concertistică </w:t>
      </w:r>
      <w:r w:rsidR="002E35F6" w:rsidRPr="00A41B9D">
        <w:rPr>
          <w:color w:val="000000"/>
          <w:sz w:val="26"/>
          <w:szCs w:val="26"/>
          <w:lang w:val="ro-MD"/>
        </w:rPr>
        <w:t xml:space="preserve">și de Management Artistic </w:t>
      </w:r>
      <w:r w:rsidR="006F4D2C" w:rsidRPr="00A41B9D">
        <w:rPr>
          <w:sz w:val="26"/>
          <w:szCs w:val="26"/>
          <w:lang w:val="ro-MD"/>
        </w:rPr>
        <w:t>„Moldova–Concert”</w:t>
      </w:r>
      <w:r w:rsidR="005875DD" w:rsidRPr="00A41B9D">
        <w:rPr>
          <w:sz w:val="26"/>
          <w:szCs w:val="26"/>
          <w:lang w:val="ro-MD"/>
        </w:rPr>
        <w:t>”</w:t>
      </w:r>
      <w:r w:rsidRPr="00A41B9D">
        <w:rPr>
          <w:sz w:val="26"/>
          <w:szCs w:val="26"/>
          <w:lang w:val="ro-MD"/>
        </w:rPr>
        <w:t>;</w:t>
      </w:r>
    </w:p>
    <w:p w14:paraId="1E774757" w14:textId="4902346E" w:rsidR="006F4D2C" w:rsidRPr="00A41B9D" w:rsidRDefault="00E319CC" w:rsidP="00577FEF">
      <w:pPr>
        <w:pStyle w:val="ae"/>
        <w:spacing w:before="0" w:beforeAutospacing="0" w:after="0" w:afterAutospacing="0" w:line="276" w:lineRule="auto"/>
        <w:ind w:left="426" w:firstLine="282"/>
        <w:jc w:val="both"/>
        <w:rPr>
          <w:sz w:val="26"/>
          <w:szCs w:val="26"/>
          <w:lang w:val="ro-MD"/>
        </w:rPr>
      </w:pPr>
      <w:r w:rsidRPr="00A41B9D">
        <w:rPr>
          <w:sz w:val="26"/>
          <w:szCs w:val="26"/>
          <w:lang w:val="ro-MD"/>
        </w:rPr>
        <w:t xml:space="preserve">2) </w:t>
      </w:r>
      <w:r w:rsidR="00A41B9D" w:rsidRPr="00A41B9D">
        <w:rPr>
          <w:bCs/>
          <w:sz w:val="26"/>
          <w:szCs w:val="26"/>
          <w:lang w:val="ro-RO"/>
        </w:rPr>
        <w:t>la anexa nr. 6, punctul 1 se abrogă</w:t>
      </w:r>
      <w:r w:rsidR="006F4D2C" w:rsidRPr="00A41B9D">
        <w:rPr>
          <w:sz w:val="26"/>
          <w:szCs w:val="26"/>
          <w:lang w:val="ro-MD"/>
        </w:rPr>
        <w:t>.</w:t>
      </w:r>
    </w:p>
    <w:p w14:paraId="3B412B84" w14:textId="40170DBA" w:rsidR="005D1531" w:rsidRPr="00B33970" w:rsidRDefault="005D1531" w:rsidP="00834F4D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sz w:val="26"/>
          <w:szCs w:val="26"/>
          <w:lang w:val="ro-MD"/>
        </w:rPr>
      </w:pPr>
      <w:r w:rsidRPr="00B33970">
        <w:rPr>
          <w:sz w:val="26"/>
          <w:szCs w:val="26"/>
          <w:lang w:val="ro-MD"/>
        </w:rPr>
        <w:t>Prezenta hotărâre intră în vigoare la data publicării</w:t>
      </w:r>
      <w:r w:rsidR="00906397">
        <w:rPr>
          <w:sz w:val="26"/>
          <w:szCs w:val="26"/>
          <w:lang w:val="ro-MD"/>
        </w:rPr>
        <w:t xml:space="preserve"> </w:t>
      </w:r>
      <w:r w:rsidR="00906397">
        <w:rPr>
          <w:bCs/>
          <w:lang w:val="ro-RO"/>
        </w:rPr>
        <w:t>în Monitorul Oficial al Republicii Moldova</w:t>
      </w:r>
      <w:r w:rsidRPr="00B33970">
        <w:rPr>
          <w:sz w:val="26"/>
          <w:szCs w:val="26"/>
          <w:lang w:val="ro-MD"/>
        </w:rPr>
        <w:t>.</w:t>
      </w:r>
    </w:p>
    <w:p w14:paraId="4E2F2FA2" w14:textId="77777777" w:rsidR="00104291" w:rsidRPr="00A35905" w:rsidRDefault="00104291" w:rsidP="00104291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3433B0A" w14:textId="1F8E6F83" w:rsidR="00104291" w:rsidRPr="00A35905" w:rsidRDefault="00104291" w:rsidP="001042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A35905">
        <w:rPr>
          <w:rFonts w:ascii="Times New Roman" w:eastAsia="Times New Roman" w:hAnsi="Times New Roman"/>
          <w:b/>
          <w:sz w:val="28"/>
          <w:szCs w:val="28"/>
          <w:lang w:val="ro-RO"/>
        </w:rPr>
        <w:t>Prim-ministr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u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 w:rsidR="00065376">
        <w:rPr>
          <w:rFonts w:ascii="Times New Roman" w:eastAsia="Times New Roman" w:hAnsi="Times New Roman"/>
          <w:b/>
          <w:sz w:val="28"/>
          <w:szCs w:val="28"/>
          <w:lang w:val="ro-RO"/>
        </w:rPr>
        <w:t>Dorin RECEAN</w:t>
      </w:r>
    </w:p>
    <w:p w14:paraId="453C924C" w14:textId="77777777" w:rsidR="00104291" w:rsidRPr="00A35905" w:rsidRDefault="00104291" w:rsidP="001042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FC55922" w14:textId="77777777" w:rsidR="00104291" w:rsidRPr="00A35905" w:rsidRDefault="00104291" w:rsidP="001042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o-RO"/>
        </w:rPr>
      </w:pPr>
      <w:r w:rsidRPr="00A35905">
        <w:rPr>
          <w:rFonts w:ascii="Times New Roman" w:eastAsia="Times New Roman" w:hAnsi="Times New Roman"/>
          <w:sz w:val="28"/>
          <w:szCs w:val="28"/>
          <w:lang w:val="ro-RO"/>
        </w:rPr>
        <w:t>Contrasemnează:</w:t>
      </w:r>
    </w:p>
    <w:p w14:paraId="10F950EF" w14:textId="77777777" w:rsidR="00104291" w:rsidRPr="00A35905" w:rsidRDefault="00104291" w:rsidP="001042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56D6522" w14:textId="341664C3" w:rsidR="00593715" w:rsidRPr="005944D3" w:rsidRDefault="00104291" w:rsidP="005944D3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35905">
        <w:rPr>
          <w:rFonts w:ascii="Times New Roman" w:eastAsia="Times New Roman" w:hAnsi="Times New Roman"/>
          <w:sz w:val="28"/>
          <w:szCs w:val="28"/>
          <w:lang w:val="ro-RO"/>
        </w:rPr>
        <w:t xml:space="preserve">Ministrul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Culturii                                         </w:t>
      </w:r>
      <w:r w:rsidRPr="00A35905">
        <w:rPr>
          <w:rFonts w:ascii="Times New Roman" w:eastAsia="Times New Roman" w:hAnsi="Times New Roman"/>
          <w:sz w:val="28"/>
          <w:szCs w:val="28"/>
          <w:lang w:val="ro-RO"/>
        </w:rPr>
        <w:tab/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Sergiu</w:t>
      </w:r>
      <w:r w:rsidRPr="00A35905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PRODAN</w:t>
      </w:r>
    </w:p>
    <w:sectPr w:rsidR="00593715" w:rsidRPr="005944D3" w:rsidSect="001E177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40D"/>
    <w:multiLevelType w:val="hybridMultilevel"/>
    <w:tmpl w:val="50041740"/>
    <w:lvl w:ilvl="0" w:tplc="1624AB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040844"/>
    <w:multiLevelType w:val="hybridMultilevel"/>
    <w:tmpl w:val="5A26B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6E2"/>
    <w:multiLevelType w:val="hybridMultilevel"/>
    <w:tmpl w:val="6AE8BF92"/>
    <w:lvl w:ilvl="0" w:tplc="B6D83408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FB70E68"/>
    <w:multiLevelType w:val="hybridMultilevel"/>
    <w:tmpl w:val="B980F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077"/>
    <w:multiLevelType w:val="hybridMultilevel"/>
    <w:tmpl w:val="A6A0CBC2"/>
    <w:lvl w:ilvl="0" w:tplc="8650364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8D42E00"/>
    <w:multiLevelType w:val="hybridMultilevel"/>
    <w:tmpl w:val="B4A48CC0"/>
    <w:lvl w:ilvl="0" w:tplc="A99C5E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A3F284A"/>
    <w:multiLevelType w:val="hybridMultilevel"/>
    <w:tmpl w:val="CE149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23772"/>
    <w:multiLevelType w:val="hybridMultilevel"/>
    <w:tmpl w:val="9BEE6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48E1"/>
    <w:multiLevelType w:val="hybridMultilevel"/>
    <w:tmpl w:val="57CE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21D51"/>
    <w:multiLevelType w:val="hybridMultilevel"/>
    <w:tmpl w:val="76A41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863C4"/>
    <w:multiLevelType w:val="hybridMultilevel"/>
    <w:tmpl w:val="5D3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C7A22"/>
    <w:multiLevelType w:val="hybridMultilevel"/>
    <w:tmpl w:val="7256CD20"/>
    <w:lvl w:ilvl="0" w:tplc="3D96FFE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7A"/>
    <w:rsid w:val="00023424"/>
    <w:rsid w:val="00061D1B"/>
    <w:rsid w:val="00065376"/>
    <w:rsid w:val="0007600D"/>
    <w:rsid w:val="000B6119"/>
    <w:rsid w:val="000D26C5"/>
    <w:rsid w:val="000E59EF"/>
    <w:rsid w:val="0010134F"/>
    <w:rsid w:val="00104291"/>
    <w:rsid w:val="00111B9E"/>
    <w:rsid w:val="00155E91"/>
    <w:rsid w:val="00157DDC"/>
    <w:rsid w:val="00160BA6"/>
    <w:rsid w:val="001B6F60"/>
    <w:rsid w:val="001D2B7C"/>
    <w:rsid w:val="001D7FAF"/>
    <w:rsid w:val="001E1774"/>
    <w:rsid w:val="001E3479"/>
    <w:rsid w:val="001F32F3"/>
    <w:rsid w:val="00205171"/>
    <w:rsid w:val="00211E3E"/>
    <w:rsid w:val="00214F67"/>
    <w:rsid w:val="00221C0D"/>
    <w:rsid w:val="00241626"/>
    <w:rsid w:val="00252FDA"/>
    <w:rsid w:val="00262BE9"/>
    <w:rsid w:val="002A4A2B"/>
    <w:rsid w:val="002B799B"/>
    <w:rsid w:val="002C31BC"/>
    <w:rsid w:val="002D6503"/>
    <w:rsid w:val="002E35F6"/>
    <w:rsid w:val="002E5FE7"/>
    <w:rsid w:val="002E64B5"/>
    <w:rsid w:val="00356F8C"/>
    <w:rsid w:val="00357990"/>
    <w:rsid w:val="0038017C"/>
    <w:rsid w:val="00384D11"/>
    <w:rsid w:val="00393A26"/>
    <w:rsid w:val="003A70BD"/>
    <w:rsid w:val="003C1104"/>
    <w:rsid w:val="003C37A5"/>
    <w:rsid w:val="003C78C1"/>
    <w:rsid w:val="003D2773"/>
    <w:rsid w:val="003D31F4"/>
    <w:rsid w:val="003E318C"/>
    <w:rsid w:val="00400AF0"/>
    <w:rsid w:val="00405144"/>
    <w:rsid w:val="00407F2B"/>
    <w:rsid w:val="00414508"/>
    <w:rsid w:val="00423292"/>
    <w:rsid w:val="004304EF"/>
    <w:rsid w:val="00434424"/>
    <w:rsid w:val="00436CE5"/>
    <w:rsid w:val="00446ABF"/>
    <w:rsid w:val="00450424"/>
    <w:rsid w:val="00451125"/>
    <w:rsid w:val="00464DB0"/>
    <w:rsid w:val="004A3D82"/>
    <w:rsid w:val="004C0653"/>
    <w:rsid w:val="004F6F19"/>
    <w:rsid w:val="005024C4"/>
    <w:rsid w:val="0052281B"/>
    <w:rsid w:val="00536C9C"/>
    <w:rsid w:val="00546939"/>
    <w:rsid w:val="005527DE"/>
    <w:rsid w:val="005703E4"/>
    <w:rsid w:val="00572992"/>
    <w:rsid w:val="00577FEF"/>
    <w:rsid w:val="005875DD"/>
    <w:rsid w:val="00593715"/>
    <w:rsid w:val="00594129"/>
    <w:rsid w:val="005944D3"/>
    <w:rsid w:val="00597A95"/>
    <w:rsid w:val="005A71E5"/>
    <w:rsid w:val="005B11E9"/>
    <w:rsid w:val="005B2F8A"/>
    <w:rsid w:val="005D1531"/>
    <w:rsid w:val="006164ED"/>
    <w:rsid w:val="0064786B"/>
    <w:rsid w:val="006504EE"/>
    <w:rsid w:val="00653816"/>
    <w:rsid w:val="00697C60"/>
    <w:rsid w:val="006B31A0"/>
    <w:rsid w:val="006C163E"/>
    <w:rsid w:val="006C790E"/>
    <w:rsid w:val="006D68A8"/>
    <w:rsid w:val="006F38E2"/>
    <w:rsid w:val="006F4D2C"/>
    <w:rsid w:val="006F59E4"/>
    <w:rsid w:val="0071332B"/>
    <w:rsid w:val="00717E2F"/>
    <w:rsid w:val="00730885"/>
    <w:rsid w:val="007345D0"/>
    <w:rsid w:val="0073477E"/>
    <w:rsid w:val="00741032"/>
    <w:rsid w:val="00752404"/>
    <w:rsid w:val="00785E72"/>
    <w:rsid w:val="007974BE"/>
    <w:rsid w:val="007A0FAA"/>
    <w:rsid w:val="007A3D39"/>
    <w:rsid w:val="007C776A"/>
    <w:rsid w:val="007E457A"/>
    <w:rsid w:val="008075CA"/>
    <w:rsid w:val="00807BC0"/>
    <w:rsid w:val="0082600A"/>
    <w:rsid w:val="00834F4D"/>
    <w:rsid w:val="00862708"/>
    <w:rsid w:val="00876467"/>
    <w:rsid w:val="00882D7A"/>
    <w:rsid w:val="00887FE9"/>
    <w:rsid w:val="008B72CD"/>
    <w:rsid w:val="008C5017"/>
    <w:rsid w:val="008D4112"/>
    <w:rsid w:val="008D5376"/>
    <w:rsid w:val="008E4910"/>
    <w:rsid w:val="008F284B"/>
    <w:rsid w:val="00906397"/>
    <w:rsid w:val="00914E49"/>
    <w:rsid w:val="00917A42"/>
    <w:rsid w:val="0092041C"/>
    <w:rsid w:val="0098165B"/>
    <w:rsid w:val="00987111"/>
    <w:rsid w:val="00991CF0"/>
    <w:rsid w:val="00996CEA"/>
    <w:rsid w:val="00996D58"/>
    <w:rsid w:val="009B099B"/>
    <w:rsid w:val="009B3B31"/>
    <w:rsid w:val="009B4DF0"/>
    <w:rsid w:val="009C1EBF"/>
    <w:rsid w:val="009C7FC6"/>
    <w:rsid w:val="009D0803"/>
    <w:rsid w:val="009D08DB"/>
    <w:rsid w:val="009E254D"/>
    <w:rsid w:val="009E273F"/>
    <w:rsid w:val="00A23E29"/>
    <w:rsid w:val="00A25D6F"/>
    <w:rsid w:val="00A41B9D"/>
    <w:rsid w:val="00A479E6"/>
    <w:rsid w:val="00A80157"/>
    <w:rsid w:val="00AD0706"/>
    <w:rsid w:val="00AE1B9E"/>
    <w:rsid w:val="00AE4B5E"/>
    <w:rsid w:val="00B02683"/>
    <w:rsid w:val="00B26E42"/>
    <w:rsid w:val="00B303EF"/>
    <w:rsid w:val="00B33970"/>
    <w:rsid w:val="00B4495A"/>
    <w:rsid w:val="00B55AE5"/>
    <w:rsid w:val="00B70F73"/>
    <w:rsid w:val="00B8219C"/>
    <w:rsid w:val="00BD4D3A"/>
    <w:rsid w:val="00BE5735"/>
    <w:rsid w:val="00C00927"/>
    <w:rsid w:val="00C31B5C"/>
    <w:rsid w:val="00C452CB"/>
    <w:rsid w:val="00C62BC5"/>
    <w:rsid w:val="00C6402F"/>
    <w:rsid w:val="00C93479"/>
    <w:rsid w:val="00CC7DF7"/>
    <w:rsid w:val="00CD06C8"/>
    <w:rsid w:val="00CD45EA"/>
    <w:rsid w:val="00CD785B"/>
    <w:rsid w:val="00D029EE"/>
    <w:rsid w:val="00D25E7C"/>
    <w:rsid w:val="00D32ED8"/>
    <w:rsid w:val="00D50BEB"/>
    <w:rsid w:val="00D60844"/>
    <w:rsid w:val="00D66AA4"/>
    <w:rsid w:val="00D77FC0"/>
    <w:rsid w:val="00D94139"/>
    <w:rsid w:val="00DC4A94"/>
    <w:rsid w:val="00E21BF5"/>
    <w:rsid w:val="00E2202F"/>
    <w:rsid w:val="00E30438"/>
    <w:rsid w:val="00E319CC"/>
    <w:rsid w:val="00E36D4D"/>
    <w:rsid w:val="00E47604"/>
    <w:rsid w:val="00E774E5"/>
    <w:rsid w:val="00E9169B"/>
    <w:rsid w:val="00EB7A29"/>
    <w:rsid w:val="00EE0F16"/>
    <w:rsid w:val="00F0001C"/>
    <w:rsid w:val="00F13F1D"/>
    <w:rsid w:val="00F1533F"/>
    <w:rsid w:val="00F26C64"/>
    <w:rsid w:val="00F30A85"/>
    <w:rsid w:val="00F47C55"/>
    <w:rsid w:val="00F62A40"/>
    <w:rsid w:val="00F745E2"/>
    <w:rsid w:val="00F817D7"/>
    <w:rsid w:val="00FA3EA3"/>
    <w:rsid w:val="00FA6936"/>
    <w:rsid w:val="00FE36A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2AC"/>
  <w15:docId w15:val="{1513F50B-B7B3-4E24-A5C4-8D512969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0B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49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17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55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22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2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281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2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281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7A3D39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5D1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F2E6-98AB-422A-9F3D-B45AC6FB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2022-01-05T14:58:00Z</cp:lastPrinted>
  <dcterms:created xsi:type="dcterms:W3CDTF">2023-04-25T13:13:00Z</dcterms:created>
  <dcterms:modified xsi:type="dcterms:W3CDTF">2023-04-25T13:13:00Z</dcterms:modified>
</cp:coreProperties>
</file>