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6FCD4" w14:textId="77777777" w:rsidR="00E37DDA" w:rsidRDefault="00E37DDA" w:rsidP="00A35C1E">
      <w:pPr>
        <w:jc w:val="center"/>
        <w:rPr>
          <w:rFonts w:eastAsiaTheme="minorEastAsia" w:cs="Times New Roman"/>
          <w:b/>
          <w:lang w:val="ro-RO"/>
        </w:rPr>
      </w:pPr>
    </w:p>
    <w:p w14:paraId="55AE2F20" w14:textId="77777777" w:rsidR="00891575" w:rsidRPr="0024482E" w:rsidRDefault="00A35C1E" w:rsidP="00A35C1E">
      <w:pPr>
        <w:jc w:val="center"/>
        <w:rPr>
          <w:rFonts w:eastAsiaTheme="minorEastAsia" w:cs="Times New Roman"/>
          <w:b/>
          <w:lang w:val="ro-RO"/>
        </w:rPr>
      </w:pPr>
      <w:r w:rsidRPr="0024482E">
        <w:rPr>
          <w:rFonts w:eastAsiaTheme="minorEastAsia" w:cs="Times New Roman"/>
          <w:b/>
          <w:lang w:val="ro-RO"/>
        </w:rPr>
        <w:t>NOTA INFORMATIVĂ</w:t>
      </w:r>
    </w:p>
    <w:p w14:paraId="1652BDDD" w14:textId="77777777" w:rsidR="00891575" w:rsidRPr="0024482E" w:rsidRDefault="00891575" w:rsidP="00A35C1E">
      <w:pPr>
        <w:jc w:val="center"/>
        <w:rPr>
          <w:rFonts w:eastAsiaTheme="minorEastAsia" w:cs="Times New Roman"/>
          <w:b/>
          <w:lang w:val="ro-RO"/>
        </w:rPr>
      </w:pPr>
    </w:p>
    <w:p w14:paraId="7F4A7596" w14:textId="77777777" w:rsidR="00265B6C" w:rsidRPr="00265B6C" w:rsidRDefault="00A35C1E" w:rsidP="00265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lang w:val="ro-MD" w:eastAsia="en-US"/>
        </w:rPr>
      </w:pPr>
      <w:r w:rsidRPr="0024482E">
        <w:rPr>
          <w:rFonts w:cs="Times New Roman"/>
          <w:lang w:val="ro-MD" w:eastAsia="en-US"/>
        </w:rPr>
        <w:t>la proiectul hotărârii Guvernului</w:t>
      </w:r>
      <w:r w:rsidRPr="0024482E">
        <w:rPr>
          <w:rFonts w:eastAsia="Times New Roman" w:cs="Times New Roman"/>
          <w:i/>
          <w:lang w:val="ro-MD" w:eastAsia="en-US"/>
        </w:rPr>
        <w:t xml:space="preserve"> </w:t>
      </w:r>
      <w:r w:rsidRPr="00265B6C">
        <w:rPr>
          <w:rFonts w:cs="Times New Roman"/>
          <w:lang w:val="ro-MD" w:eastAsia="en-US"/>
        </w:rPr>
        <w:t>,,</w:t>
      </w:r>
      <w:r w:rsidR="00265B6C" w:rsidRPr="00265B6C">
        <w:rPr>
          <w:rFonts w:cs="Times New Roman"/>
          <w:lang w:val="ro-MD" w:eastAsia="en-US"/>
        </w:rPr>
        <w:t xml:space="preserve">Privind plata sumei indexate </w:t>
      </w:r>
      <w:proofErr w:type="spellStart"/>
      <w:r w:rsidR="00265B6C" w:rsidRPr="00265B6C">
        <w:rPr>
          <w:rFonts w:cs="Times New Roman"/>
          <w:lang w:val="ro-MD" w:eastAsia="en-US"/>
        </w:rPr>
        <w:t>deponenţilor</w:t>
      </w:r>
      <w:proofErr w:type="spellEnd"/>
      <w:r w:rsidR="00265B6C" w:rsidRPr="00265B6C">
        <w:rPr>
          <w:rFonts w:cs="Times New Roman"/>
          <w:lang w:val="ro-MD" w:eastAsia="en-US"/>
        </w:rPr>
        <w:t xml:space="preserve"> Băncii de Economii</w:t>
      </w:r>
      <w:r w:rsidR="00265B6C">
        <w:rPr>
          <w:rFonts w:cs="Times New Roman"/>
          <w:lang w:val="ro-MD" w:eastAsia="en-US"/>
        </w:rPr>
        <w:t>”</w:t>
      </w:r>
      <w:r w:rsidR="00265B6C" w:rsidRPr="00265B6C">
        <w:rPr>
          <w:rFonts w:cs="Times New Roman"/>
          <w:lang w:val="ro-MD" w:eastAsia="en-US"/>
        </w:rPr>
        <w:t xml:space="preserve"> </w:t>
      </w:r>
    </w:p>
    <w:p w14:paraId="668E056F" w14:textId="77777777" w:rsidR="00A35C1E" w:rsidRPr="0024482E" w:rsidRDefault="00A35C1E" w:rsidP="00A35C1E">
      <w:pPr>
        <w:jc w:val="center"/>
        <w:rPr>
          <w:rFonts w:cs="Times New Roman"/>
          <w:b/>
          <w:lang w:val="ro-MD" w:eastAsia="en-US"/>
        </w:rPr>
      </w:pPr>
    </w:p>
    <w:tbl>
      <w:tblPr>
        <w:tblW w:w="5016" w:type="pct"/>
        <w:tblLook w:val="04A0" w:firstRow="1" w:lastRow="0" w:firstColumn="1" w:lastColumn="0" w:noHBand="0" w:noVBand="1"/>
      </w:tblPr>
      <w:tblGrid>
        <w:gridCol w:w="113"/>
        <w:gridCol w:w="9805"/>
        <w:gridCol w:w="111"/>
      </w:tblGrid>
      <w:tr w:rsidR="00A35C1E" w:rsidRPr="00A51236" w14:paraId="71B43B49" w14:textId="77777777" w:rsidTr="0054324A">
        <w:trPr>
          <w:trHeight w:val="541"/>
        </w:trPr>
        <w:tc>
          <w:tcPr>
            <w:tcW w:w="4985" w:type="pct"/>
            <w:gridSpan w:val="3"/>
            <w:shd w:val="clear" w:color="auto" w:fill="D9D9D9"/>
            <w:hideMark/>
          </w:tcPr>
          <w:p w14:paraId="71735C99" w14:textId="77777777" w:rsidR="00A35C1E" w:rsidRPr="0024482E" w:rsidRDefault="00B13983" w:rsidP="00891575">
            <w:pPr>
              <w:jc w:val="both"/>
              <w:rPr>
                <w:rFonts w:eastAsia="Times New Roman" w:cs="Times New Roman"/>
                <w:b/>
                <w:lang w:val="ro-MD" w:eastAsia="en-US"/>
              </w:rPr>
            </w:pPr>
            <w:r>
              <w:rPr>
                <w:rFonts w:eastAsia="Times New Roman" w:cs="Times New Roman"/>
                <w:b/>
                <w:lang w:val="ro-MD" w:eastAsia="en-US"/>
              </w:rPr>
              <w:t>1.</w:t>
            </w:r>
            <w:r w:rsidR="00A35C1E" w:rsidRPr="0024482E">
              <w:rPr>
                <w:rFonts w:eastAsia="Times New Roman" w:cs="Times New Roman"/>
                <w:b/>
                <w:lang w:val="ro-MD" w:eastAsia="en-US"/>
              </w:rPr>
              <w:t>Denumirea autorului și, după caz, a participanților la elaborarea proiectului</w:t>
            </w:r>
          </w:p>
        </w:tc>
      </w:tr>
      <w:tr w:rsidR="00A35C1E" w:rsidRPr="00A51236" w14:paraId="5ABD1744" w14:textId="77777777" w:rsidTr="0054324A">
        <w:tc>
          <w:tcPr>
            <w:tcW w:w="4985" w:type="pct"/>
            <w:gridSpan w:val="3"/>
            <w:hideMark/>
          </w:tcPr>
          <w:p w14:paraId="2A535A54" w14:textId="77777777" w:rsidR="00A35C1E" w:rsidRPr="0024482E" w:rsidRDefault="00A35C1E" w:rsidP="002D6443">
            <w:pPr>
              <w:ind w:firstLine="601"/>
              <w:jc w:val="both"/>
              <w:rPr>
                <w:rFonts w:cs="Times New Roman"/>
                <w:lang w:val="ro-RO" w:eastAsia="en-US"/>
              </w:rPr>
            </w:pPr>
            <w:r w:rsidRPr="0024482E">
              <w:rPr>
                <w:rFonts w:cs="Times New Roman"/>
                <w:lang w:val="ro-MD" w:eastAsia="en-US"/>
              </w:rPr>
              <w:t>Proiectul hotărârii de Guvern ,,</w:t>
            </w:r>
            <w:r w:rsidR="00265B6C" w:rsidRPr="00265B6C">
              <w:rPr>
                <w:rFonts w:cs="Times New Roman"/>
                <w:lang w:val="ro-MD" w:eastAsia="en-US"/>
              </w:rPr>
              <w:t xml:space="preserve">Privind plata sumei indexate </w:t>
            </w:r>
            <w:proofErr w:type="spellStart"/>
            <w:r w:rsidR="00265B6C" w:rsidRPr="00265B6C">
              <w:rPr>
                <w:rFonts w:cs="Times New Roman"/>
                <w:lang w:val="ro-MD" w:eastAsia="en-US"/>
              </w:rPr>
              <w:t>deponenţilor</w:t>
            </w:r>
            <w:proofErr w:type="spellEnd"/>
            <w:r w:rsidR="00265B6C" w:rsidRPr="00265B6C">
              <w:rPr>
                <w:rFonts w:cs="Times New Roman"/>
                <w:lang w:val="ro-MD" w:eastAsia="en-US"/>
              </w:rPr>
              <w:t xml:space="preserve"> Băncii de Economii</w:t>
            </w:r>
            <w:r w:rsidRPr="0024482E">
              <w:rPr>
                <w:rFonts w:cs="Times New Roman"/>
                <w:lang w:val="ro-MD" w:eastAsia="en-US"/>
              </w:rPr>
              <w:t>” a fost elaborat de către Ministerul Finanțelor.</w:t>
            </w:r>
          </w:p>
        </w:tc>
      </w:tr>
      <w:tr w:rsidR="00A35C1E" w:rsidRPr="00A51236" w14:paraId="0B98A15F" w14:textId="77777777" w:rsidTr="0054324A">
        <w:tc>
          <w:tcPr>
            <w:tcW w:w="4985" w:type="pct"/>
            <w:gridSpan w:val="3"/>
            <w:shd w:val="clear" w:color="auto" w:fill="D9D9D9"/>
            <w:hideMark/>
          </w:tcPr>
          <w:p w14:paraId="233261DF" w14:textId="77777777" w:rsidR="00A35C1E" w:rsidRPr="0024482E" w:rsidRDefault="00B13983" w:rsidP="00891575">
            <w:pPr>
              <w:tabs>
                <w:tab w:val="left" w:pos="884"/>
              </w:tabs>
              <w:contextualSpacing/>
              <w:jc w:val="both"/>
              <w:rPr>
                <w:rFonts w:eastAsia="Times New Roman" w:cs="Times New Roman"/>
                <w:b/>
                <w:lang w:val="ro-MD" w:eastAsia="en-US"/>
              </w:rPr>
            </w:pPr>
            <w:r>
              <w:rPr>
                <w:rFonts w:eastAsia="Times New Roman" w:cs="Times New Roman"/>
                <w:b/>
                <w:lang w:val="ro-MD" w:eastAsia="en-US"/>
              </w:rPr>
              <w:t>2.</w:t>
            </w:r>
            <w:r w:rsidR="00A35C1E" w:rsidRPr="0024482E">
              <w:rPr>
                <w:rFonts w:eastAsia="Times New Roman" w:cs="Times New Roman"/>
                <w:b/>
                <w:lang w:val="ro-MD" w:eastAsia="en-US"/>
              </w:rPr>
              <w:t>Condițiile ce au impus elaborarea proiectului de act normativ și finalitățile urmărite</w:t>
            </w:r>
          </w:p>
          <w:p w14:paraId="5EE17D81" w14:textId="77777777" w:rsidR="00891575" w:rsidRPr="0024482E" w:rsidRDefault="00891575" w:rsidP="00891575">
            <w:pPr>
              <w:tabs>
                <w:tab w:val="left" w:pos="884"/>
              </w:tabs>
              <w:contextualSpacing/>
              <w:jc w:val="both"/>
              <w:rPr>
                <w:rFonts w:eastAsia="Times New Roman" w:cs="Times New Roman"/>
                <w:b/>
                <w:lang w:val="ro-MD" w:eastAsia="en-US"/>
              </w:rPr>
            </w:pPr>
          </w:p>
        </w:tc>
      </w:tr>
      <w:tr w:rsidR="00A35C1E" w:rsidRPr="00A51236" w14:paraId="793A69DD" w14:textId="77777777" w:rsidTr="0054324A">
        <w:tc>
          <w:tcPr>
            <w:tcW w:w="4985" w:type="pct"/>
            <w:gridSpan w:val="3"/>
            <w:hideMark/>
          </w:tcPr>
          <w:p w14:paraId="79737560" w14:textId="77777777" w:rsidR="00082FB3" w:rsidRDefault="00A35C1E" w:rsidP="00D36790">
            <w:pPr>
              <w:ind w:firstLine="601"/>
              <w:jc w:val="both"/>
              <w:rPr>
                <w:rFonts w:eastAsia="Times New Roman" w:cs="Times New Roman"/>
                <w:bCs/>
                <w:lang w:val="ro-RO" w:eastAsia="en-US"/>
              </w:rPr>
            </w:pPr>
            <w:r w:rsidRPr="0024482E">
              <w:rPr>
                <w:rFonts w:eastAsia="Times New Roman" w:cs="Times New Roman"/>
                <w:bCs/>
                <w:lang w:val="ro-RO" w:eastAsia="en-US"/>
              </w:rPr>
              <w:t xml:space="preserve">Proiectul de </w:t>
            </w:r>
            <w:proofErr w:type="spellStart"/>
            <w:r w:rsidRPr="0024482E">
              <w:rPr>
                <w:rFonts w:eastAsia="Times New Roman" w:cs="Times New Roman"/>
                <w:bCs/>
                <w:lang w:val="ro-RO" w:eastAsia="en-US"/>
              </w:rPr>
              <w:t>hotărîre</w:t>
            </w:r>
            <w:proofErr w:type="spellEnd"/>
            <w:r w:rsidRPr="0024482E">
              <w:rPr>
                <w:rFonts w:eastAsia="Times New Roman" w:cs="Times New Roman"/>
                <w:bCs/>
                <w:lang w:val="ro-RO" w:eastAsia="en-US"/>
              </w:rPr>
              <w:t xml:space="preserve"> propus a fost elaborat în baza </w:t>
            </w:r>
            <w:r w:rsidR="00E21A12" w:rsidRPr="0024482E">
              <w:rPr>
                <w:rFonts w:eastAsia="Times New Roman" w:cs="Times New Roman"/>
                <w:bCs/>
                <w:lang w:val="ro-RO" w:eastAsia="en-US"/>
              </w:rPr>
              <w:t>de</w:t>
            </w:r>
            <w:r w:rsidRPr="0024482E">
              <w:rPr>
                <w:rFonts w:eastAsia="Times New Roman" w:cs="Times New Roman"/>
                <w:bCs/>
                <w:lang w:val="ro-RO" w:eastAsia="en-US"/>
              </w:rPr>
              <w:t xml:space="preserve">ciziei </w:t>
            </w:r>
            <w:r w:rsidR="00E21A12" w:rsidRPr="0024482E">
              <w:rPr>
                <w:rFonts w:eastAsia="Times New Roman" w:cs="Times New Roman"/>
                <w:bCs/>
                <w:lang w:val="ro-RO" w:eastAsia="en-US"/>
              </w:rPr>
              <w:t xml:space="preserve">Comisiei centrale pentru indexarea depunerilor </w:t>
            </w:r>
            <w:proofErr w:type="spellStart"/>
            <w:r w:rsidR="00E21A12" w:rsidRPr="0024482E">
              <w:rPr>
                <w:rFonts w:eastAsia="Times New Roman" w:cs="Times New Roman"/>
                <w:bCs/>
                <w:lang w:val="ro-RO" w:eastAsia="en-US"/>
              </w:rPr>
              <w:t>băneşti</w:t>
            </w:r>
            <w:proofErr w:type="spellEnd"/>
            <w:r w:rsidR="00E21A12" w:rsidRPr="0024482E">
              <w:rPr>
                <w:rFonts w:eastAsia="Times New Roman" w:cs="Times New Roman"/>
                <w:bCs/>
                <w:lang w:val="ro-RO" w:eastAsia="en-US"/>
              </w:rPr>
              <w:t xml:space="preserve"> ale cetățenilor (Proces-verbal </w:t>
            </w:r>
            <w:r w:rsidRPr="0024482E">
              <w:rPr>
                <w:rFonts w:eastAsia="Times New Roman" w:cs="Times New Roman"/>
                <w:bCs/>
                <w:lang w:val="ro-RO" w:eastAsia="en-US"/>
              </w:rPr>
              <w:t>nr.</w:t>
            </w:r>
            <w:r w:rsidR="00265B6C">
              <w:rPr>
                <w:rFonts w:eastAsia="Times New Roman" w:cs="Times New Roman"/>
                <w:bCs/>
                <w:lang w:val="ro-RO" w:eastAsia="en-US"/>
              </w:rPr>
              <w:t>70</w:t>
            </w:r>
            <w:r w:rsidR="005B5AF4">
              <w:rPr>
                <w:rFonts w:eastAsia="Times New Roman" w:cs="Times New Roman"/>
                <w:bCs/>
                <w:lang w:val="ro-RO" w:eastAsia="en-US"/>
              </w:rPr>
              <w:t xml:space="preserve"> </w:t>
            </w:r>
            <w:r w:rsidRPr="0024482E">
              <w:rPr>
                <w:rFonts w:eastAsia="Times New Roman" w:cs="Times New Roman"/>
                <w:bCs/>
                <w:lang w:val="ro-RO" w:eastAsia="en-US"/>
              </w:rPr>
              <w:t xml:space="preserve">din </w:t>
            </w:r>
            <w:r w:rsidR="00265B6C">
              <w:rPr>
                <w:rFonts w:eastAsia="Times New Roman" w:cs="Times New Roman"/>
                <w:bCs/>
                <w:lang w:val="ro-RO" w:eastAsia="en-US"/>
              </w:rPr>
              <w:t>14</w:t>
            </w:r>
            <w:r w:rsidR="005B09DF">
              <w:rPr>
                <w:rFonts w:eastAsia="Times New Roman" w:cs="Times New Roman"/>
                <w:bCs/>
                <w:lang w:val="ro-RO" w:eastAsia="en-US"/>
              </w:rPr>
              <w:t xml:space="preserve"> </w:t>
            </w:r>
            <w:r w:rsidR="00265B6C">
              <w:rPr>
                <w:rFonts w:eastAsia="Times New Roman" w:cs="Times New Roman"/>
                <w:bCs/>
                <w:lang w:val="ro-RO" w:eastAsia="en-US"/>
              </w:rPr>
              <w:t>martie</w:t>
            </w:r>
            <w:r w:rsidR="005B5AF4">
              <w:rPr>
                <w:rFonts w:eastAsia="Times New Roman" w:cs="Times New Roman"/>
                <w:bCs/>
                <w:lang w:val="ro-RO" w:eastAsia="en-US"/>
              </w:rPr>
              <w:t xml:space="preserve"> </w:t>
            </w:r>
            <w:r w:rsidRPr="0024482E">
              <w:rPr>
                <w:rFonts w:eastAsia="Times New Roman" w:cs="Times New Roman"/>
                <w:bCs/>
                <w:lang w:val="ro-RO" w:eastAsia="en-US"/>
              </w:rPr>
              <w:t>20</w:t>
            </w:r>
            <w:r w:rsidR="00E21A12" w:rsidRPr="0024482E">
              <w:rPr>
                <w:rFonts w:eastAsia="Times New Roman" w:cs="Times New Roman"/>
                <w:bCs/>
                <w:lang w:val="ro-RO" w:eastAsia="en-US"/>
              </w:rPr>
              <w:t>2</w:t>
            </w:r>
            <w:r w:rsidR="00265B6C">
              <w:rPr>
                <w:rFonts w:eastAsia="Times New Roman" w:cs="Times New Roman"/>
                <w:bCs/>
                <w:lang w:val="ro-RO" w:eastAsia="en-US"/>
              </w:rPr>
              <w:t>3</w:t>
            </w:r>
            <w:r w:rsidR="00E21A12" w:rsidRPr="0024482E">
              <w:rPr>
                <w:rFonts w:eastAsia="Times New Roman" w:cs="Times New Roman"/>
                <w:bCs/>
                <w:lang w:val="ro-RO" w:eastAsia="en-US"/>
              </w:rPr>
              <w:t>)</w:t>
            </w:r>
            <w:r w:rsidR="005964BB" w:rsidRPr="0024482E">
              <w:rPr>
                <w:rFonts w:eastAsia="Times New Roman" w:cs="Times New Roman"/>
                <w:bCs/>
                <w:lang w:val="ro-RO" w:eastAsia="en-US"/>
              </w:rPr>
              <w:t xml:space="preserve">, precum și </w:t>
            </w:r>
            <w:r w:rsidRPr="0024482E">
              <w:rPr>
                <w:rFonts w:eastAsia="Times New Roman" w:cs="Times New Roman"/>
                <w:bCs/>
                <w:lang w:val="ro-RO" w:eastAsia="en-US"/>
              </w:rPr>
              <w:t xml:space="preserve">în </w:t>
            </w:r>
            <w:r w:rsidR="005964BB" w:rsidRPr="0024482E">
              <w:rPr>
                <w:rFonts w:eastAsia="Times New Roman" w:cs="Times New Roman"/>
                <w:bCs/>
                <w:lang w:val="ro-RO" w:eastAsia="en-US"/>
              </w:rPr>
              <w:t>temeiul</w:t>
            </w:r>
            <w:r w:rsidRPr="0024482E">
              <w:rPr>
                <w:rFonts w:eastAsia="Times New Roman" w:cs="Times New Roman"/>
                <w:bCs/>
                <w:lang w:val="ro-RO" w:eastAsia="en-US"/>
              </w:rPr>
              <w:t xml:space="preserve"> Leg</w:t>
            </w:r>
            <w:r w:rsidR="002D6443">
              <w:rPr>
                <w:rFonts w:eastAsia="Times New Roman" w:cs="Times New Roman"/>
                <w:bCs/>
                <w:lang w:val="ro-RO" w:eastAsia="en-US"/>
              </w:rPr>
              <w:t>ii</w:t>
            </w:r>
            <w:r w:rsidRPr="0024482E">
              <w:rPr>
                <w:rFonts w:eastAsia="Times New Roman" w:cs="Times New Roman"/>
                <w:bCs/>
                <w:lang w:val="ro-RO" w:eastAsia="en-US"/>
              </w:rPr>
              <w:t xml:space="preserve"> nr.1530</w:t>
            </w:r>
            <w:r w:rsidR="00082FB3" w:rsidRPr="0024482E">
              <w:rPr>
                <w:rFonts w:eastAsia="Times New Roman" w:cs="Times New Roman"/>
                <w:bCs/>
                <w:lang w:val="ro-RO" w:eastAsia="en-US"/>
              </w:rPr>
              <w:t>/</w:t>
            </w:r>
            <w:r w:rsidRPr="0024482E">
              <w:rPr>
                <w:rFonts w:eastAsia="Times New Roman" w:cs="Times New Roman"/>
                <w:bCs/>
                <w:lang w:val="ro-RO" w:eastAsia="en-US"/>
              </w:rPr>
              <w:t xml:space="preserve">2002 privind indexarea depunerilor </w:t>
            </w:r>
            <w:proofErr w:type="spellStart"/>
            <w:r w:rsidRPr="0024482E">
              <w:rPr>
                <w:rFonts w:eastAsia="Times New Roman" w:cs="Times New Roman"/>
                <w:bCs/>
                <w:lang w:val="ro-RO" w:eastAsia="en-US"/>
              </w:rPr>
              <w:t>băneşti</w:t>
            </w:r>
            <w:proofErr w:type="spellEnd"/>
            <w:r w:rsidRPr="0024482E">
              <w:rPr>
                <w:rFonts w:eastAsia="Times New Roman" w:cs="Times New Roman"/>
                <w:bCs/>
                <w:lang w:val="ro-RO" w:eastAsia="en-US"/>
              </w:rPr>
              <w:t xml:space="preserve"> ale cetățenilor în Banca de Economii, </w:t>
            </w:r>
            <w:r w:rsidR="002D6443">
              <w:rPr>
                <w:rFonts w:eastAsia="Times New Roman" w:cs="Times New Roman"/>
                <w:bCs/>
                <w:lang w:val="ro-RO" w:eastAsia="en-US"/>
              </w:rPr>
              <w:t xml:space="preserve">care prevede </w:t>
            </w:r>
            <w:proofErr w:type="spellStart"/>
            <w:r w:rsidR="002D6443" w:rsidRPr="002D6443">
              <w:rPr>
                <w:rFonts w:eastAsia="Times New Roman" w:cs="Times New Roman"/>
                <w:bCs/>
                <w:lang w:val="ro-RO" w:eastAsia="en-US"/>
              </w:rPr>
              <w:t>obligaţiile</w:t>
            </w:r>
            <w:proofErr w:type="spellEnd"/>
            <w:r w:rsidR="002D6443" w:rsidRPr="002D6443">
              <w:rPr>
                <w:rFonts w:eastAsia="Times New Roman" w:cs="Times New Roman"/>
                <w:bCs/>
                <w:lang w:val="ro-RO" w:eastAsia="en-US"/>
              </w:rPr>
              <w:t xml:space="preserve"> statului </w:t>
            </w:r>
            <w:proofErr w:type="spellStart"/>
            <w:r w:rsidR="002D6443" w:rsidRPr="002D6443">
              <w:rPr>
                <w:rFonts w:eastAsia="Times New Roman" w:cs="Times New Roman"/>
                <w:bCs/>
                <w:lang w:val="ro-RO" w:eastAsia="en-US"/>
              </w:rPr>
              <w:t>faţă</w:t>
            </w:r>
            <w:proofErr w:type="spellEnd"/>
            <w:r w:rsidR="002D6443" w:rsidRPr="002D6443">
              <w:rPr>
                <w:rFonts w:eastAsia="Times New Roman" w:cs="Times New Roman"/>
                <w:bCs/>
                <w:lang w:val="ro-RO" w:eastAsia="en-US"/>
              </w:rPr>
              <w:t xml:space="preserve"> de </w:t>
            </w:r>
            <w:proofErr w:type="spellStart"/>
            <w:r w:rsidR="002D6443" w:rsidRPr="002D6443">
              <w:rPr>
                <w:rFonts w:eastAsia="Times New Roman" w:cs="Times New Roman"/>
                <w:bCs/>
                <w:lang w:val="ro-RO" w:eastAsia="en-US"/>
              </w:rPr>
              <w:t>cetăţenii</w:t>
            </w:r>
            <w:proofErr w:type="spellEnd"/>
            <w:r w:rsidR="002D6443" w:rsidRPr="002D6443">
              <w:rPr>
                <w:rFonts w:eastAsia="Times New Roman" w:cs="Times New Roman"/>
                <w:bCs/>
                <w:lang w:val="ro-RO" w:eastAsia="en-US"/>
              </w:rPr>
              <w:t xml:space="preserve"> Republicii Moldova care au avut depuneri </w:t>
            </w:r>
            <w:proofErr w:type="spellStart"/>
            <w:r w:rsidR="002D6443" w:rsidRPr="002D6443">
              <w:rPr>
                <w:rFonts w:eastAsia="Times New Roman" w:cs="Times New Roman"/>
                <w:bCs/>
                <w:lang w:val="ro-RO" w:eastAsia="en-US"/>
              </w:rPr>
              <w:t>băneşti</w:t>
            </w:r>
            <w:proofErr w:type="spellEnd"/>
            <w:r w:rsidR="002D6443" w:rsidRPr="002D6443">
              <w:rPr>
                <w:rFonts w:eastAsia="Times New Roman" w:cs="Times New Roman"/>
                <w:bCs/>
                <w:lang w:val="ro-RO" w:eastAsia="en-US"/>
              </w:rPr>
              <w:t xml:space="preserve"> în Banca de Economii la </w:t>
            </w:r>
            <w:proofErr w:type="spellStart"/>
            <w:r w:rsidR="002D6443" w:rsidRPr="002D6443">
              <w:rPr>
                <w:rFonts w:eastAsia="Times New Roman" w:cs="Times New Roman"/>
                <w:bCs/>
                <w:lang w:val="ro-RO" w:eastAsia="en-US"/>
              </w:rPr>
              <w:t>situaţia</w:t>
            </w:r>
            <w:proofErr w:type="spellEnd"/>
            <w:r w:rsidR="002D6443" w:rsidRPr="002D6443">
              <w:rPr>
                <w:rFonts w:eastAsia="Times New Roman" w:cs="Times New Roman"/>
                <w:bCs/>
                <w:lang w:val="ro-RO" w:eastAsia="en-US"/>
              </w:rPr>
              <w:t xml:space="preserve"> din 2 ianuarie 1992</w:t>
            </w:r>
            <w:r w:rsidRPr="0024482E">
              <w:rPr>
                <w:rFonts w:eastAsia="Times New Roman" w:cs="Times New Roman"/>
                <w:bCs/>
                <w:lang w:val="ro-RO" w:eastAsia="en-US"/>
              </w:rPr>
              <w:t xml:space="preserve">. </w:t>
            </w:r>
          </w:p>
          <w:p w14:paraId="5D6AE919" w14:textId="77777777" w:rsidR="002C7DF0" w:rsidRDefault="00B13983" w:rsidP="005B5AF4">
            <w:pPr>
              <w:shd w:val="clear" w:color="auto" w:fill="D9D9D9" w:themeFill="background1" w:themeFillShade="D9"/>
              <w:tabs>
                <w:tab w:val="left" w:pos="884"/>
              </w:tabs>
              <w:contextualSpacing/>
              <w:jc w:val="both"/>
              <w:rPr>
                <w:rFonts w:eastAsia="Times New Roman" w:cs="Times New Roman"/>
                <w:b/>
                <w:lang w:val="ro-MD" w:eastAsia="en-US"/>
              </w:rPr>
            </w:pPr>
            <w:r>
              <w:rPr>
                <w:rFonts w:eastAsia="Times New Roman" w:cs="Times New Roman"/>
                <w:b/>
                <w:lang w:val="ro-MD" w:eastAsia="en-US"/>
              </w:rPr>
              <w:t>3.</w:t>
            </w:r>
            <w:r w:rsidR="002C7DF0" w:rsidRPr="002C7DF0">
              <w:rPr>
                <w:rFonts w:eastAsia="Times New Roman" w:cs="Times New Roman"/>
                <w:b/>
                <w:lang w:val="ro-MD" w:eastAsia="en-US"/>
              </w:rPr>
              <w:t>Descrierea gradului de compatibilitate pentru proiectele care au ca scop armonizarea legislației naționale cu legislația Uniunii Europene</w:t>
            </w:r>
          </w:p>
          <w:p w14:paraId="697D3C6C" w14:textId="77777777" w:rsidR="00532BCF" w:rsidRPr="002C7DF0" w:rsidRDefault="00532BCF" w:rsidP="005B5AF4">
            <w:pPr>
              <w:shd w:val="clear" w:color="auto" w:fill="D9D9D9" w:themeFill="background1" w:themeFillShade="D9"/>
              <w:tabs>
                <w:tab w:val="left" w:pos="884"/>
              </w:tabs>
              <w:contextualSpacing/>
              <w:jc w:val="both"/>
              <w:rPr>
                <w:rFonts w:eastAsia="Times New Roman" w:cs="Times New Roman"/>
                <w:b/>
                <w:lang w:val="ro-MD" w:eastAsia="en-US"/>
              </w:rPr>
            </w:pPr>
          </w:p>
          <w:p w14:paraId="0483DAFF" w14:textId="77777777" w:rsidR="00252BC2" w:rsidRPr="0024482E" w:rsidRDefault="002C7DF0" w:rsidP="002C7DF0">
            <w:pPr>
              <w:ind w:firstLine="601"/>
              <w:jc w:val="both"/>
              <w:rPr>
                <w:rFonts w:eastAsia="Times New Roman" w:cs="Times New Roman"/>
                <w:bCs/>
                <w:lang w:val="ro-RO" w:eastAsia="en-US"/>
              </w:rPr>
            </w:pPr>
            <w:r w:rsidRPr="002C7DF0">
              <w:rPr>
                <w:rFonts w:eastAsia="Times New Roman" w:cs="Times New Roman"/>
                <w:bCs/>
                <w:lang w:val="ro-RO" w:eastAsia="en-US"/>
              </w:rPr>
              <w:t>Proiectul de hotărâre nu are drept scop armonizarea legislației naționale cu legislația Uniunii Europene.</w:t>
            </w:r>
          </w:p>
          <w:p w14:paraId="5175215B" w14:textId="77777777" w:rsidR="00891575" w:rsidRDefault="00B13983" w:rsidP="00891575">
            <w:pPr>
              <w:shd w:val="clear" w:color="auto" w:fill="D0CECE" w:themeFill="background2" w:themeFillShade="E6"/>
              <w:tabs>
                <w:tab w:val="left" w:pos="884"/>
              </w:tabs>
              <w:contextualSpacing/>
              <w:jc w:val="both"/>
              <w:rPr>
                <w:rFonts w:eastAsia="Times New Roman" w:cs="Times New Roman"/>
                <w:b/>
                <w:lang w:val="ro-MD" w:eastAsia="en-US"/>
              </w:rPr>
            </w:pPr>
            <w:r>
              <w:rPr>
                <w:rFonts w:eastAsia="Times New Roman" w:cs="Times New Roman"/>
                <w:b/>
                <w:lang w:val="ro-MD" w:eastAsia="en-US"/>
              </w:rPr>
              <w:t>4.</w:t>
            </w:r>
            <w:r w:rsidR="00A35C1E" w:rsidRPr="0024482E">
              <w:rPr>
                <w:rFonts w:eastAsia="Times New Roman" w:cs="Times New Roman"/>
                <w:b/>
                <w:lang w:val="ro-MD" w:eastAsia="en-US"/>
              </w:rPr>
              <w:t>Principalele prevederi ale proiectului și evidențierea elementelor lor</w:t>
            </w:r>
          </w:p>
          <w:p w14:paraId="158D8D28" w14:textId="77777777" w:rsidR="00532BCF" w:rsidRPr="0024482E" w:rsidRDefault="00532BCF" w:rsidP="00891575">
            <w:pPr>
              <w:shd w:val="clear" w:color="auto" w:fill="D0CECE" w:themeFill="background2" w:themeFillShade="E6"/>
              <w:tabs>
                <w:tab w:val="left" w:pos="884"/>
              </w:tabs>
              <w:contextualSpacing/>
              <w:jc w:val="both"/>
              <w:rPr>
                <w:rFonts w:eastAsia="Times New Roman" w:cs="Times New Roman"/>
                <w:b/>
                <w:lang w:val="ro-MD" w:eastAsia="en-US"/>
              </w:rPr>
            </w:pPr>
          </w:p>
          <w:p w14:paraId="726CFCFD" w14:textId="77777777" w:rsidR="00265B6C" w:rsidRPr="00265B6C" w:rsidRDefault="00265B6C" w:rsidP="00265B6C">
            <w:pPr>
              <w:ind w:firstLine="601"/>
              <w:jc w:val="both"/>
              <w:rPr>
                <w:rFonts w:eastAsia="Times New Roman" w:cs="Times New Roman"/>
                <w:bCs/>
                <w:lang w:val="en-US" w:eastAsia="en-US"/>
              </w:rPr>
            </w:pPr>
            <w:proofErr w:type="spellStart"/>
            <w:r w:rsidRPr="00265B6C">
              <w:rPr>
                <w:lang w:val="en-US"/>
              </w:rPr>
              <w:t>În</w:t>
            </w:r>
            <w:proofErr w:type="spellEnd"/>
            <w:r w:rsidRPr="00265B6C">
              <w:rPr>
                <w:lang w:val="en-US"/>
              </w:rPr>
              <w:t xml:space="preserve"> </w:t>
            </w:r>
            <w:proofErr w:type="spellStart"/>
            <w:r w:rsidRPr="00265B6C">
              <w:rPr>
                <w:lang w:val="en-US"/>
              </w:rPr>
              <w:t>anul</w:t>
            </w:r>
            <w:proofErr w:type="spellEnd"/>
            <w:r w:rsidRPr="00265B6C">
              <w:rPr>
                <w:lang w:val="en-US"/>
              </w:rPr>
              <w:t xml:space="preserve"> 2022 a </w:t>
            </w:r>
            <w:proofErr w:type="spellStart"/>
            <w:r w:rsidRPr="00265B6C">
              <w:rPr>
                <w:lang w:val="en-US"/>
              </w:rPr>
              <w:t>fost</w:t>
            </w:r>
            <w:proofErr w:type="spellEnd"/>
            <w:r w:rsidRPr="00265B6C">
              <w:rPr>
                <w:lang w:val="en-US"/>
              </w:rPr>
              <w:t xml:space="preserve"> </w:t>
            </w:r>
            <w:proofErr w:type="spellStart"/>
            <w:r w:rsidRPr="00265B6C">
              <w:rPr>
                <w:lang w:val="en-US"/>
              </w:rPr>
              <w:t>atinsă</w:t>
            </w:r>
            <w:proofErr w:type="spellEnd"/>
            <w:r w:rsidRPr="00265B6C">
              <w:rPr>
                <w:lang w:val="en-US"/>
              </w:rPr>
              <w:t xml:space="preserve"> </w:t>
            </w:r>
            <w:proofErr w:type="spellStart"/>
            <w:r w:rsidRPr="00265B6C">
              <w:rPr>
                <w:lang w:val="en-US"/>
              </w:rPr>
              <w:t>limita</w:t>
            </w:r>
            <w:proofErr w:type="spellEnd"/>
            <w:r w:rsidRPr="00265B6C">
              <w:rPr>
                <w:lang w:val="en-US"/>
              </w:rPr>
              <w:t xml:space="preserve"> de </w:t>
            </w:r>
            <w:proofErr w:type="spellStart"/>
            <w:r w:rsidRPr="00265B6C">
              <w:rPr>
                <w:lang w:val="en-US"/>
              </w:rPr>
              <w:t>vârstă</w:t>
            </w:r>
            <w:proofErr w:type="spellEnd"/>
            <w:r w:rsidRPr="00265B6C">
              <w:rPr>
                <w:lang w:val="en-US"/>
              </w:rPr>
              <w:t xml:space="preserve"> a </w:t>
            </w:r>
            <w:proofErr w:type="spellStart"/>
            <w:r w:rsidRPr="00265B6C">
              <w:rPr>
                <w:lang w:val="en-US"/>
              </w:rPr>
              <w:t>beneficiarilor</w:t>
            </w:r>
            <w:proofErr w:type="spellEnd"/>
            <w:r w:rsidRPr="00265B6C">
              <w:rPr>
                <w:lang w:val="en-US"/>
              </w:rPr>
              <w:t xml:space="preserve"> de </w:t>
            </w:r>
            <w:proofErr w:type="spellStart"/>
            <w:r w:rsidRPr="00265B6C">
              <w:rPr>
                <w:lang w:val="en-US"/>
              </w:rPr>
              <w:t>indexare</w:t>
            </w:r>
            <w:proofErr w:type="spellEnd"/>
            <w:r w:rsidRPr="00265B6C">
              <w:rPr>
                <w:lang w:val="en-US"/>
              </w:rPr>
              <w:t xml:space="preserve"> (</w:t>
            </w:r>
            <w:proofErr w:type="spellStart"/>
            <w:r w:rsidRPr="00265B6C">
              <w:rPr>
                <w:lang w:val="en-US"/>
              </w:rPr>
              <w:t>născuți</w:t>
            </w:r>
            <w:proofErr w:type="spellEnd"/>
            <w:r w:rsidRPr="00265B6C">
              <w:rPr>
                <w:lang w:val="en-US"/>
              </w:rPr>
              <w:t xml:space="preserve"> </w:t>
            </w:r>
            <w:proofErr w:type="spellStart"/>
            <w:r w:rsidRPr="00265B6C">
              <w:rPr>
                <w:lang w:val="en-US"/>
              </w:rPr>
              <w:t>până</w:t>
            </w:r>
            <w:proofErr w:type="spellEnd"/>
            <w:r w:rsidRPr="00265B6C">
              <w:rPr>
                <w:lang w:val="en-US"/>
              </w:rPr>
              <w:t xml:space="preserve"> </w:t>
            </w:r>
            <w:proofErr w:type="spellStart"/>
            <w:r w:rsidRPr="00265B6C">
              <w:rPr>
                <w:lang w:val="en-US"/>
              </w:rPr>
              <w:t>în</w:t>
            </w:r>
            <w:proofErr w:type="spellEnd"/>
            <w:r w:rsidRPr="00265B6C">
              <w:rPr>
                <w:lang w:val="en-US"/>
              </w:rPr>
              <w:t xml:space="preserve"> </w:t>
            </w:r>
            <w:proofErr w:type="spellStart"/>
            <w:r w:rsidRPr="00265B6C">
              <w:rPr>
                <w:lang w:val="en-US"/>
              </w:rPr>
              <w:t>anul</w:t>
            </w:r>
            <w:proofErr w:type="spellEnd"/>
            <w:r w:rsidRPr="00265B6C">
              <w:rPr>
                <w:lang w:val="en-US"/>
              </w:rPr>
              <w:t xml:space="preserve"> 1991 </w:t>
            </w:r>
            <w:proofErr w:type="spellStart"/>
            <w:r w:rsidRPr="00265B6C">
              <w:rPr>
                <w:lang w:val="en-US"/>
              </w:rPr>
              <w:t>incl</w:t>
            </w:r>
            <w:r>
              <w:rPr>
                <w:lang w:val="en-US"/>
              </w:rPr>
              <w:t>usiv</w:t>
            </w:r>
            <w:proofErr w:type="spellEnd"/>
            <w:r>
              <w:rPr>
                <w:lang w:val="en-US"/>
              </w:rPr>
              <w:t xml:space="preserve">).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același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timp</w:t>
            </w:r>
            <w:proofErr w:type="spellEnd"/>
            <w:r>
              <w:rPr>
                <w:lang w:val="en-US"/>
              </w:rPr>
              <w:t>,</w:t>
            </w:r>
            <w:r w:rsidRPr="00265B6C">
              <w:rPr>
                <w:lang w:val="en-US"/>
              </w:rPr>
              <w:t xml:space="preserve"> din diverse motive, nu </w:t>
            </w:r>
            <w:proofErr w:type="spellStart"/>
            <w:r w:rsidRPr="00265B6C">
              <w:rPr>
                <w:lang w:val="en-US"/>
              </w:rPr>
              <w:t>toți</w:t>
            </w:r>
            <w:proofErr w:type="spellEnd"/>
            <w:r w:rsidRPr="00265B6C">
              <w:rPr>
                <w:lang w:val="en-US"/>
              </w:rPr>
              <w:t xml:space="preserve"> </w:t>
            </w:r>
            <w:proofErr w:type="spellStart"/>
            <w:r w:rsidRPr="00265B6C">
              <w:rPr>
                <w:lang w:val="en-US"/>
              </w:rPr>
              <w:t>beneficiarii</w:t>
            </w:r>
            <w:proofErr w:type="spellEnd"/>
            <w:r w:rsidRPr="00265B6C">
              <w:rPr>
                <w:lang w:val="en-US"/>
              </w:rPr>
              <w:t xml:space="preserve"> de </w:t>
            </w:r>
            <w:proofErr w:type="spellStart"/>
            <w:r w:rsidRPr="00265B6C">
              <w:rPr>
                <w:lang w:val="en-US"/>
              </w:rPr>
              <w:t>indexare</w:t>
            </w:r>
            <w:proofErr w:type="spellEnd"/>
            <w:r w:rsidRPr="00265B6C">
              <w:rPr>
                <w:lang w:val="en-US"/>
              </w:rPr>
              <w:t xml:space="preserve"> se </w:t>
            </w:r>
            <w:proofErr w:type="spellStart"/>
            <w:r w:rsidRPr="00265B6C">
              <w:rPr>
                <w:lang w:val="en-US"/>
              </w:rPr>
              <w:t>adresează</w:t>
            </w:r>
            <w:proofErr w:type="spellEnd"/>
            <w:r w:rsidRPr="00265B6C">
              <w:rPr>
                <w:lang w:val="en-US"/>
              </w:rPr>
              <w:t xml:space="preserve"> </w:t>
            </w:r>
            <w:proofErr w:type="spellStart"/>
            <w:r w:rsidRPr="00265B6C">
              <w:rPr>
                <w:lang w:val="en-US"/>
              </w:rPr>
              <w:t>pentru</w:t>
            </w:r>
            <w:proofErr w:type="spellEnd"/>
            <w:r w:rsidRPr="00265B6C">
              <w:rPr>
                <w:lang w:val="en-US"/>
              </w:rPr>
              <w:t xml:space="preserve"> a </w:t>
            </w:r>
            <w:proofErr w:type="spellStart"/>
            <w:r w:rsidRPr="00265B6C">
              <w:rPr>
                <w:lang w:val="en-US"/>
              </w:rPr>
              <w:t>ridica</w:t>
            </w:r>
            <w:proofErr w:type="spellEnd"/>
            <w:r w:rsidRPr="00265B6C">
              <w:rPr>
                <w:lang w:val="en-US"/>
              </w:rPr>
              <w:t xml:space="preserve"> </w:t>
            </w:r>
            <w:proofErr w:type="spellStart"/>
            <w:r w:rsidRPr="00265B6C">
              <w:rPr>
                <w:lang w:val="en-US"/>
              </w:rPr>
              <w:t>sumele</w:t>
            </w:r>
            <w:proofErr w:type="spellEnd"/>
            <w:r w:rsidRPr="00265B6C">
              <w:rPr>
                <w:lang w:val="en-US"/>
              </w:rPr>
              <w:t xml:space="preserve"> </w:t>
            </w:r>
            <w:proofErr w:type="spellStart"/>
            <w:r w:rsidRPr="00265B6C">
              <w:rPr>
                <w:lang w:val="en-US"/>
              </w:rPr>
              <w:t>indexate</w:t>
            </w:r>
            <w:proofErr w:type="spellEnd"/>
            <w:r w:rsidRPr="00265B6C">
              <w:rPr>
                <w:lang w:val="en-US"/>
              </w:rPr>
              <w:t>.</w:t>
            </w:r>
          </w:p>
          <w:p w14:paraId="5A325E5C" w14:textId="77777777" w:rsidR="00265B6C" w:rsidRDefault="00A35C1E" w:rsidP="00E21A12">
            <w:pPr>
              <w:ind w:firstLine="601"/>
              <w:jc w:val="both"/>
              <w:rPr>
                <w:rFonts w:cs="Times New Roman"/>
                <w:lang w:val="ro-MD" w:eastAsia="en-US"/>
              </w:rPr>
            </w:pPr>
            <w:r w:rsidRPr="0024482E">
              <w:rPr>
                <w:rFonts w:eastAsia="Times New Roman" w:cs="Times New Roman"/>
                <w:bCs/>
                <w:lang w:val="ro-RO" w:eastAsia="en-US"/>
              </w:rPr>
              <w:t>Prin intermediul prezentului proiect de hotărâre se propune</w:t>
            </w:r>
            <w:r w:rsidR="00265B6C" w:rsidRPr="00265B6C">
              <w:rPr>
                <w:lang w:val="ro-MD"/>
              </w:rPr>
              <w:t xml:space="preserve">, </w:t>
            </w:r>
            <w:r w:rsidR="00265B6C" w:rsidRPr="00265B6C">
              <w:rPr>
                <w:bCs/>
                <w:lang w:val="ro-MD"/>
              </w:rPr>
              <w:t xml:space="preserve">începând cu anul 2023 efectuarea plății sumei indexate deponenților Băncii de Economii născuți până în anul 1991 inclusiv, care nu au beneficiat sumele indexate aferente primei etape și/sau </w:t>
            </w:r>
            <w:r w:rsidR="00265B6C" w:rsidRPr="00265B6C">
              <w:rPr>
                <w:lang w:val="ro-MD"/>
              </w:rPr>
              <w:t>etapei a doua</w:t>
            </w:r>
            <w:r w:rsidR="00265B6C" w:rsidRPr="00265B6C">
              <w:rPr>
                <w:bCs/>
                <w:lang w:val="ro-MD"/>
              </w:rPr>
              <w:t xml:space="preserve"> în anii precedenți.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813"/>
            </w:tblGrid>
            <w:tr w:rsidR="0024482E" w:rsidRPr="0024482E" w14:paraId="0C1E530C" w14:textId="77777777" w:rsidTr="009E21C0">
              <w:tc>
                <w:tcPr>
                  <w:tcW w:w="5000" w:type="pct"/>
                  <w:shd w:val="clear" w:color="auto" w:fill="D9D9D9"/>
                  <w:hideMark/>
                </w:tcPr>
                <w:p w14:paraId="595AD15A" w14:textId="77777777" w:rsidR="0024482E" w:rsidRPr="0024482E" w:rsidRDefault="00B13983" w:rsidP="005B5AF4">
                  <w:pPr>
                    <w:spacing w:after="240"/>
                    <w:ind w:left="-57"/>
                    <w:rPr>
                      <w:b/>
                      <w:lang w:val="ro-MD"/>
                    </w:rPr>
                  </w:pPr>
                  <w:r>
                    <w:rPr>
                      <w:b/>
                      <w:lang w:val="ro-MD"/>
                    </w:rPr>
                    <w:t>5.</w:t>
                  </w:r>
                  <w:r w:rsidR="0024482E" w:rsidRPr="0024482E">
                    <w:rPr>
                      <w:b/>
                      <w:lang w:val="ro-MD"/>
                    </w:rPr>
                    <w:t xml:space="preserve">Fundamentarea </w:t>
                  </w:r>
                  <w:proofErr w:type="spellStart"/>
                  <w:r w:rsidR="0024482E" w:rsidRPr="0024482E">
                    <w:rPr>
                      <w:b/>
                      <w:lang w:val="ro-MD"/>
                    </w:rPr>
                    <w:t>economico</w:t>
                  </w:r>
                  <w:proofErr w:type="spellEnd"/>
                  <w:r w:rsidR="0024482E" w:rsidRPr="0024482E">
                    <w:rPr>
                      <w:b/>
                      <w:lang w:val="ro-MD"/>
                    </w:rPr>
                    <w:t>-financiară</w:t>
                  </w:r>
                </w:p>
              </w:tc>
            </w:tr>
            <w:tr w:rsidR="0024482E" w:rsidRPr="00A51236" w14:paraId="0D39A8D8" w14:textId="77777777" w:rsidTr="009E21C0">
              <w:trPr>
                <w:trHeight w:val="679"/>
              </w:trPr>
              <w:tc>
                <w:tcPr>
                  <w:tcW w:w="5000" w:type="pct"/>
                  <w:hideMark/>
                </w:tcPr>
                <w:p w14:paraId="0264B5AD" w14:textId="77777777" w:rsidR="00252BC2" w:rsidRDefault="0024482E" w:rsidP="00ED595C">
                  <w:pPr>
                    <w:ind w:left="-57" w:firstLine="554"/>
                    <w:jc w:val="both"/>
                    <w:rPr>
                      <w:lang w:val="ro-MD"/>
                    </w:rPr>
                  </w:pPr>
                  <w:r w:rsidRPr="0024482E">
                    <w:rPr>
                      <w:lang w:val="ro-MD"/>
                    </w:rPr>
                    <w:t>În Legea bugetului de stat pe anul 202</w:t>
                  </w:r>
                  <w:r w:rsidR="00265B6C">
                    <w:rPr>
                      <w:lang w:val="ro-MD"/>
                    </w:rPr>
                    <w:t>3</w:t>
                  </w:r>
                  <w:r w:rsidRPr="0024482E">
                    <w:rPr>
                      <w:lang w:val="ro-MD"/>
                    </w:rPr>
                    <w:t xml:space="preserve"> pentru compensarea pierderilor pentru depunerile </w:t>
                  </w:r>
                  <w:proofErr w:type="spellStart"/>
                  <w:r w:rsidRPr="0024482E">
                    <w:rPr>
                      <w:lang w:val="ro-MD"/>
                    </w:rPr>
                    <w:t>băneşti</w:t>
                  </w:r>
                  <w:proofErr w:type="spellEnd"/>
                  <w:r w:rsidRPr="0024482E">
                    <w:rPr>
                      <w:lang w:val="ro-MD"/>
                    </w:rPr>
                    <w:t xml:space="preserve"> ale cetățenilor în Banca de Economii </w:t>
                  </w:r>
                  <w:proofErr w:type="spellStart"/>
                  <w:r w:rsidRPr="0024482E">
                    <w:rPr>
                      <w:lang w:val="ro-MD"/>
                    </w:rPr>
                    <w:t>sînt</w:t>
                  </w:r>
                  <w:proofErr w:type="spellEnd"/>
                  <w:r w:rsidRPr="0024482E">
                    <w:rPr>
                      <w:lang w:val="ro-MD"/>
                    </w:rPr>
                    <w:t xml:space="preserve"> aprobate </w:t>
                  </w:r>
                  <w:r w:rsidR="00265B6C">
                    <w:rPr>
                      <w:lang w:val="ro-MD"/>
                    </w:rPr>
                    <w:t>20</w:t>
                  </w:r>
                  <w:r w:rsidRPr="0024482E">
                    <w:rPr>
                      <w:lang w:val="ro-MD"/>
                    </w:rPr>
                    <w:t xml:space="preserve"> mil. lei. </w:t>
                  </w:r>
                </w:p>
                <w:p w14:paraId="78276F3F" w14:textId="249BADC4" w:rsidR="00B13983" w:rsidRPr="00B13983" w:rsidRDefault="00532BCF" w:rsidP="00532BCF">
                  <w:pPr>
                    <w:shd w:val="clear" w:color="auto" w:fill="D0CECE"/>
                    <w:tabs>
                      <w:tab w:val="left" w:pos="884"/>
                    </w:tabs>
                    <w:contextualSpacing/>
                    <w:jc w:val="both"/>
                    <w:rPr>
                      <w:rFonts w:ascii="Calibri" w:eastAsia="Times New Roman" w:hAnsi="Calibri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eastAsia="Times New Roman" w:cs="Times New Roman"/>
                      <w:b/>
                      <w:sz w:val="28"/>
                      <w:szCs w:val="28"/>
                      <w:highlight w:val="lightGray"/>
                      <w:lang w:val="ro-RO" w:eastAsia="en-US"/>
                    </w:rPr>
                    <w:t>6</w:t>
                  </w:r>
                  <w:r w:rsidRPr="00532BCF">
                    <w:rPr>
                      <w:b/>
                      <w:lang w:val="ro-MD"/>
                    </w:rPr>
                    <w:t>.</w:t>
                  </w:r>
                  <w:r w:rsidR="00B13983" w:rsidRPr="00B13983">
                    <w:rPr>
                      <w:b/>
                      <w:lang w:val="ro-MD"/>
                    </w:rPr>
                    <w:t>Modul de încorporare a actului în cadrul normativ în vigoare</w:t>
                  </w:r>
                  <w:bookmarkStart w:id="0" w:name="_GoBack"/>
                  <w:bookmarkEnd w:id="0"/>
                  <w:r w:rsidR="00B13983" w:rsidRPr="00B13983">
                    <w:rPr>
                      <w:rFonts w:eastAsia="Times New Roman" w:cs="Times New Roman"/>
                      <w:b/>
                      <w:sz w:val="28"/>
                      <w:szCs w:val="28"/>
                      <w:lang w:val="ro-RO"/>
                    </w:rPr>
                    <w:t xml:space="preserve"> </w:t>
                  </w:r>
                </w:p>
                <w:p w14:paraId="1BE3CCEF" w14:textId="0B2143FD" w:rsidR="00B13983" w:rsidRPr="00B13983" w:rsidRDefault="00E046FA" w:rsidP="00252BC2">
                  <w:pPr>
                    <w:ind w:firstLine="494"/>
                    <w:jc w:val="both"/>
                    <w:rPr>
                      <w:lang w:val="ro-MD"/>
                    </w:rPr>
                  </w:pPr>
                  <w:proofErr w:type="spellStart"/>
                  <w:r w:rsidRPr="0024482E">
                    <w:rPr>
                      <w:rFonts w:eastAsia="Times New Roman" w:cs="Times New Roman"/>
                      <w:lang w:val="ro-MD" w:eastAsia="en-US"/>
                    </w:rPr>
                    <w:t>Hotărîrea</w:t>
                  </w:r>
                  <w:proofErr w:type="spellEnd"/>
                  <w:r w:rsidRPr="0024482E">
                    <w:rPr>
                      <w:rFonts w:eastAsia="Times New Roman" w:cs="Times New Roman"/>
                      <w:lang w:val="ro-MD" w:eastAsia="en-US"/>
                    </w:rPr>
                    <w:t xml:space="preserve"> respectivă nu necesit</w:t>
                  </w:r>
                  <w:r>
                    <w:rPr>
                      <w:rFonts w:eastAsia="Times New Roman" w:cs="Times New Roman"/>
                      <w:lang w:val="ro-MD" w:eastAsia="en-US"/>
                    </w:rPr>
                    <w:t>ă</w:t>
                  </w:r>
                  <w:r w:rsidRPr="0024482E">
                    <w:rPr>
                      <w:rFonts w:eastAsia="Times New Roman" w:cs="Times New Roman"/>
                      <w:lang w:val="ro-MD" w:eastAsia="en-US"/>
                    </w:rPr>
                    <w:t xml:space="preserve"> modificarea </w:t>
                  </w:r>
                  <w:r w:rsidRPr="0024482E">
                    <w:rPr>
                      <w:rFonts w:eastAsia="Times New Roman" w:cs="Times New Roman"/>
                      <w:lang w:val="ro-RO" w:eastAsia="en-US"/>
                    </w:rPr>
                    <w:t>și abrogarea actelor normative</w:t>
                  </w:r>
                  <w:r>
                    <w:rPr>
                      <w:rFonts w:eastAsia="Times New Roman" w:cs="Times New Roman"/>
                      <w:lang w:val="ro-RO" w:eastAsia="en-US"/>
                    </w:rPr>
                    <w:t xml:space="preserve"> în vigoare sau adoptarea actelor normative noi. </w:t>
                  </w:r>
                  <w:r w:rsidR="00252BC2" w:rsidRPr="00252BC2">
                    <w:rPr>
                      <w:rFonts w:eastAsia="Times New Roman" w:cs="Times New Roman"/>
                      <w:lang w:val="ro-MD" w:eastAsia="en-US"/>
                    </w:rPr>
                    <w:t xml:space="preserve">Necesitatea  </w:t>
                  </w:r>
                  <w:r>
                    <w:rPr>
                      <w:rFonts w:eastAsia="Times New Roman" w:cs="Times New Roman"/>
                      <w:lang w:val="ro-MD" w:eastAsia="en-US"/>
                    </w:rPr>
                    <w:t>i</w:t>
                  </w:r>
                  <w:r w:rsidR="00252BC2" w:rsidRPr="00252BC2">
                    <w:rPr>
                      <w:rFonts w:eastAsia="Times New Roman" w:cs="Times New Roman"/>
                      <w:lang w:val="ro-MD" w:eastAsia="en-US"/>
                    </w:rPr>
                    <w:t xml:space="preserve">ntrării în vigoare a Hotărârii respective la data publicării este condiționată de faptul,  că beneficiari a indexării în anul 2023 sunt preponderent persoanele în etate </w:t>
                  </w:r>
                  <w:proofErr w:type="spellStart"/>
                  <w:r w:rsidR="00252BC2" w:rsidRPr="00252BC2">
                    <w:rPr>
                      <w:rFonts w:eastAsia="Times New Roman" w:cs="Times New Roman"/>
                      <w:lang w:val="ro-MD" w:eastAsia="en-US"/>
                    </w:rPr>
                    <w:t>cît</w:t>
                  </w:r>
                  <w:proofErr w:type="spellEnd"/>
                  <w:r w:rsidR="00252BC2" w:rsidRPr="00252BC2">
                    <w:rPr>
                      <w:rFonts w:eastAsia="Times New Roman" w:cs="Times New Roman"/>
                      <w:lang w:val="ro-MD" w:eastAsia="en-US"/>
                    </w:rPr>
                    <w:t xml:space="preserve"> și persoanele social-venerabile, depunerile bănești ale cărora au fost devalorizate în rezultatul hiperinflației în anii 90.</w:t>
                  </w:r>
                </w:p>
              </w:tc>
            </w:tr>
          </w:tbl>
          <w:p w14:paraId="780F2CE6" w14:textId="77777777" w:rsidR="0024482E" w:rsidRPr="0024482E" w:rsidRDefault="0024482E" w:rsidP="00E21A12">
            <w:pPr>
              <w:ind w:firstLine="601"/>
              <w:jc w:val="both"/>
              <w:rPr>
                <w:rFonts w:cs="Times New Roman"/>
                <w:lang w:val="ro-RO" w:eastAsia="en-US"/>
              </w:rPr>
            </w:pPr>
          </w:p>
        </w:tc>
      </w:tr>
      <w:tr w:rsidR="00082FB3" w:rsidRPr="00A51236" w14:paraId="1A96FD63" w14:textId="77777777" w:rsidTr="0054324A">
        <w:trPr>
          <w:gridBefore w:val="1"/>
          <w:gridAfter w:val="1"/>
          <w:wBefore w:w="56" w:type="pct"/>
          <w:wAfter w:w="55" w:type="pct"/>
        </w:trPr>
        <w:tc>
          <w:tcPr>
            <w:tcW w:w="4889" w:type="pct"/>
            <w:shd w:val="clear" w:color="auto" w:fill="D9D9D9"/>
            <w:hideMark/>
          </w:tcPr>
          <w:p w14:paraId="77A1F092" w14:textId="1119C4B2" w:rsidR="00532BCF" w:rsidRPr="0024482E" w:rsidRDefault="00532BCF" w:rsidP="00A51236">
            <w:pPr>
              <w:tabs>
                <w:tab w:val="left" w:pos="884"/>
              </w:tabs>
              <w:spacing w:line="276" w:lineRule="auto"/>
              <w:ind w:firstLine="36"/>
              <w:contextualSpacing/>
              <w:jc w:val="both"/>
              <w:rPr>
                <w:rFonts w:eastAsia="Times New Roman" w:cs="Times New Roman"/>
                <w:b/>
                <w:lang w:val="ro-MD" w:eastAsia="en-US"/>
              </w:rPr>
            </w:pPr>
            <w:r>
              <w:rPr>
                <w:rFonts w:eastAsia="Times New Roman" w:cs="Times New Roman"/>
                <w:b/>
                <w:lang w:val="ro-MD" w:eastAsia="en-US"/>
              </w:rPr>
              <w:t>7.</w:t>
            </w:r>
            <w:r w:rsidR="00082FB3" w:rsidRPr="0024482E">
              <w:rPr>
                <w:rFonts w:eastAsia="Times New Roman" w:cs="Times New Roman"/>
                <w:b/>
                <w:lang w:val="ro-MD" w:eastAsia="en-US"/>
              </w:rPr>
              <w:t>Avizarea și consultarea publică a proiectului</w:t>
            </w:r>
          </w:p>
        </w:tc>
      </w:tr>
      <w:tr w:rsidR="00082FB3" w:rsidRPr="00A51236" w14:paraId="36FCE81C" w14:textId="77777777" w:rsidTr="0054324A">
        <w:trPr>
          <w:trHeight w:val="1102"/>
        </w:trPr>
        <w:tc>
          <w:tcPr>
            <w:tcW w:w="4985" w:type="pct"/>
            <w:gridSpan w:val="3"/>
            <w:hideMark/>
          </w:tcPr>
          <w:p w14:paraId="2D838B9E" w14:textId="77777777" w:rsidR="00252BC2" w:rsidRPr="00532BCF" w:rsidRDefault="00082FB3" w:rsidP="00ED595C">
            <w:pPr>
              <w:tabs>
                <w:tab w:val="left" w:pos="884"/>
              </w:tabs>
              <w:ind w:firstLine="601"/>
              <w:jc w:val="both"/>
              <w:rPr>
                <w:rFonts w:eastAsia="Times New Roman" w:cs="Times New Roman"/>
                <w:lang w:val="ro-RO"/>
              </w:rPr>
            </w:pPr>
            <w:r w:rsidRPr="00532BCF">
              <w:rPr>
                <w:rFonts w:eastAsia="Times New Roman" w:cs="Times New Roman"/>
                <w:lang w:val="ro-MD" w:eastAsia="en-US"/>
              </w:rPr>
              <w:t xml:space="preserve">În scopul respectării prevederilor Legii nr.239/2008 privind transparența în procesul decizional, proiectul </w:t>
            </w:r>
            <w:r w:rsidR="007A4526" w:rsidRPr="00532BCF">
              <w:rPr>
                <w:rFonts w:eastAsia="Times New Roman" w:cs="Times New Roman"/>
                <w:lang w:val="ro-MD" w:eastAsia="en-US"/>
              </w:rPr>
              <w:t xml:space="preserve">de </w:t>
            </w:r>
            <w:r w:rsidRPr="00532BCF">
              <w:rPr>
                <w:rFonts w:eastAsia="Times New Roman" w:cs="Times New Roman"/>
                <w:lang w:val="ro-MD" w:eastAsia="en-US"/>
              </w:rPr>
              <w:t>hotărâr</w:t>
            </w:r>
            <w:r w:rsidR="007A4526" w:rsidRPr="00532BCF">
              <w:rPr>
                <w:rFonts w:eastAsia="Times New Roman" w:cs="Times New Roman"/>
                <w:lang w:val="ro-MD" w:eastAsia="en-US"/>
              </w:rPr>
              <w:t>e</w:t>
            </w:r>
            <w:r w:rsidRPr="00532BCF">
              <w:rPr>
                <w:rFonts w:eastAsia="Times New Roman" w:cs="Times New Roman"/>
                <w:lang w:val="ro-MD" w:eastAsia="en-US"/>
              </w:rPr>
              <w:t xml:space="preserve"> </w:t>
            </w:r>
            <w:r w:rsidR="002D6443" w:rsidRPr="00265B6C">
              <w:rPr>
                <w:rFonts w:cs="Times New Roman"/>
                <w:lang w:val="ro-MD" w:eastAsia="en-US"/>
              </w:rPr>
              <w:t xml:space="preserve">privind plata sumei indexate </w:t>
            </w:r>
            <w:proofErr w:type="spellStart"/>
            <w:r w:rsidR="002D6443" w:rsidRPr="00265B6C">
              <w:rPr>
                <w:rFonts w:cs="Times New Roman"/>
                <w:lang w:val="ro-MD" w:eastAsia="en-US"/>
              </w:rPr>
              <w:t>deponenţilor</w:t>
            </w:r>
            <w:proofErr w:type="spellEnd"/>
            <w:r w:rsidR="002D6443" w:rsidRPr="00265B6C">
              <w:rPr>
                <w:rFonts w:cs="Times New Roman"/>
                <w:lang w:val="ro-MD" w:eastAsia="en-US"/>
              </w:rPr>
              <w:t xml:space="preserve"> Băncii de Economii</w:t>
            </w:r>
            <w:r w:rsidR="002D6443">
              <w:rPr>
                <w:rFonts w:cs="Times New Roman"/>
                <w:lang w:val="ro-MD" w:eastAsia="en-US"/>
              </w:rPr>
              <w:t xml:space="preserve"> </w:t>
            </w:r>
            <w:r w:rsidR="00AE581C">
              <w:rPr>
                <w:rFonts w:cs="Times New Roman"/>
                <w:lang w:val="ro-MD" w:eastAsia="en-US"/>
              </w:rPr>
              <w:t>este plasat</w:t>
            </w:r>
            <w:r w:rsidRPr="00532BCF">
              <w:rPr>
                <w:rFonts w:eastAsia="Times New Roman" w:cs="Times New Roman"/>
                <w:lang w:val="ro-MD"/>
              </w:rPr>
              <w:t xml:space="preserve"> pe pagina web oficială a Ministerului Finanțelor (</w:t>
            </w:r>
            <w:hyperlink r:id="rId6" w:history="1">
              <w:r w:rsidRPr="00532BCF">
                <w:rPr>
                  <w:rFonts w:eastAsia="Times New Roman" w:cs="Times New Roman"/>
                  <w:color w:val="0563C1" w:themeColor="hyperlink"/>
                  <w:u w:val="single"/>
                  <w:lang w:val="ro-MD"/>
                </w:rPr>
                <w:t>www.mf.gov.md</w:t>
              </w:r>
            </w:hyperlink>
            <w:r w:rsidRPr="00532BCF">
              <w:rPr>
                <w:rFonts w:eastAsia="Times New Roman" w:cs="Times New Roman"/>
                <w:lang w:val="ro-MD"/>
              </w:rPr>
              <w:t xml:space="preserve">), directoriul ”Transparența decizională”, secțiunea ”Procesul decizional” și pe site-ul </w:t>
            </w:r>
            <w:r w:rsidRPr="00532BCF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hyperlink r:id="rId7" w:history="1">
              <w:r w:rsidRPr="00532BCF">
                <w:rPr>
                  <w:rFonts w:eastAsia="Times New Roman" w:cs="Times New Roman"/>
                  <w:color w:val="0563C1" w:themeColor="hyperlink"/>
                  <w:u w:val="single"/>
                  <w:lang w:val="ro-RO"/>
                </w:rPr>
                <w:t>particip.gov.md</w:t>
              </w:r>
            </w:hyperlink>
            <w:r w:rsidRPr="00532BCF">
              <w:rPr>
                <w:rFonts w:eastAsia="Times New Roman" w:cs="Times New Roman"/>
                <w:lang w:val="ro-RO"/>
              </w:rPr>
              <w:t>.</w:t>
            </w:r>
          </w:p>
          <w:p w14:paraId="2A8FFF45" w14:textId="77777777" w:rsidR="00B13983" w:rsidRDefault="00532BCF" w:rsidP="00532BCF">
            <w:pPr>
              <w:shd w:val="clear" w:color="auto" w:fill="D0CECE"/>
              <w:tabs>
                <w:tab w:val="left" w:pos="884"/>
              </w:tabs>
              <w:contextualSpacing/>
              <w:jc w:val="both"/>
              <w:rPr>
                <w:rFonts w:eastAsia="Times New Roman" w:cs="Times New Roman"/>
                <w:b/>
                <w:lang w:val="ro-MD"/>
              </w:rPr>
            </w:pPr>
            <w:r w:rsidRPr="00532BCF">
              <w:rPr>
                <w:rFonts w:eastAsia="Times New Roman" w:cs="Times New Roman"/>
                <w:b/>
                <w:highlight w:val="lightGray"/>
                <w:lang w:val="ro-RO" w:eastAsia="en-US"/>
              </w:rPr>
              <w:t>8.</w:t>
            </w:r>
            <w:r w:rsidR="00B13983" w:rsidRPr="00B13983">
              <w:rPr>
                <w:rFonts w:eastAsia="Times New Roman" w:cs="Times New Roman"/>
                <w:b/>
                <w:highlight w:val="lightGray"/>
                <w:lang w:val="ro-RO"/>
              </w:rPr>
              <w:t>Constatările</w:t>
            </w:r>
            <w:r w:rsidR="00B13983" w:rsidRPr="00B13983">
              <w:rPr>
                <w:rFonts w:eastAsia="Times New Roman" w:cs="Times New Roman"/>
                <w:b/>
                <w:lang w:val="ro-RO"/>
              </w:rPr>
              <w:t xml:space="preserve"> expertizei </w:t>
            </w:r>
            <w:proofErr w:type="spellStart"/>
            <w:r w:rsidR="00B13983" w:rsidRPr="00532BCF">
              <w:rPr>
                <w:rFonts w:eastAsia="Times New Roman" w:cs="Times New Roman"/>
                <w:b/>
                <w:lang w:val="ro-RO"/>
              </w:rPr>
              <w:t>anticorup</w:t>
            </w:r>
            <w:proofErr w:type="spellEnd"/>
            <w:r w:rsidR="00B13983" w:rsidRPr="00532BCF">
              <w:rPr>
                <w:rFonts w:eastAsia="Times New Roman" w:cs="Times New Roman"/>
                <w:b/>
                <w:lang w:val="ro-MD"/>
              </w:rPr>
              <w:t>ție</w:t>
            </w:r>
          </w:p>
          <w:p w14:paraId="7140CFDB" w14:textId="77777777" w:rsidR="00532BCF" w:rsidRPr="00B13983" w:rsidRDefault="00532BCF" w:rsidP="00532BCF">
            <w:pPr>
              <w:shd w:val="clear" w:color="auto" w:fill="D0CECE"/>
              <w:tabs>
                <w:tab w:val="left" w:pos="884"/>
              </w:tabs>
              <w:contextualSpacing/>
              <w:jc w:val="both"/>
              <w:rPr>
                <w:rFonts w:eastAsia="Times New Roman" w:cs="Times New Roman"/>
                <w:lang w:val="ro-RO"/>
              </w:rPr>
            </w:pPr>
          </w:p>
          <w:p w14:paraId="5E7303EF" w14:textId="77777777" w:rsidR="00B13983" w:rsidRPr="00532BCF" w:rsidRDefault="00B13983" w:rsidP="00532BCF">
            <w:pPr>
              <w:ind w:firstLine="455"/>
              <w:jc w:val="both"/>
              <w:rPr>
                <w:rFonts w:eastAsia="Calibri"/>
                <w:lang w:val="ro-RO"/>
              </w:rPr>
            </w:pPr>
            <w:r w:rsidRPr="00532BCF">
              <w:rPr>
                <w:lang w:val="ro-RO" w:eastAsia="en-GB"/>
              </w:rPr>
              <w:t xml:space="preserve">Informația privind rezultatele expertizei anticorupție </w:t>
            </w:r>
            <w:r w:rsidR="002D6443">
              <w:rPr>
                <w:lang w:val="ro-RO" w:eastAsia="en-GB"/>
              </w:rPr>
              <w:t>este</w:t>
            </w:r>
            <w:r w:rsidR="00532BCF" w:rsidRPr="00532BCF">
              <w:rPr>
                <w:lang w:val="ro-RO" w:eastAsia="en-GB"/>
              </w:rPr>
              <w:t xml:space="preserve"> inclusă în sinteza obiecțiilor și propunerilor/recomandărilor la proiect</w:t>
            </w:r>
            <w:r w:rsidRPr="00532BCF">
              <w:rPr>
                <w:lang w:val="ro-RO" w:eastAsia="en-GB"/>
              </w:rPr>
              <w:t>.</w:t>
            </w:r>
          </w:p>
          <w:p w14:paraId="7D6ADFEE" w14:textId="77777777" w:rsidR="00B13983" w:rsidRDefault="00532BCF" w:rsidP="00532BCF">
            <w:pPr>
              <w:shd w:val="clear" w:color="auto" w:fill="D0CECE"/>
              <w:tabs>
                <w:tab w:val="left" w:pos="884"/>
              </w:tabs>
              <w:ind w:left="30"/>
              <w:contextualSpacing/>
              <w:jc w:val="both"/>
              <w:rPr>
                <w:rFonts w:eastAsia="Times New Roman" w:cs="Times New Roman"/>
                <w:b/>
                <w:lang w:val="ro-RO"/>
              </w:rPr>
            </w:pPr>
            <w:r w:rsidRPr="00532BCF">
              <w:rPr>
                <w:rFonts w:eastAsia="Times New Roman" w:cs="Times New Roman"/>
                <w:b/>
                <w:highlight w:val="lightGray"/>
                <w:lang w:val="ro-RO" w:eastAsia="en-US"/>
              </w:rPr>
              <w:t>9.</w:t>
            </w:r>
            <w:r w:rsidR="00B13983" w:rsidRPr="00B13983">
              <w:rPr>
                <w:rFonts w:eastAsia="Times New Roman" w:cs="Times New Roman"/>
                <w:b/>
                <w:highlight w:val="lightGray"/>
                <w:lang w:val="ro-RO"/>
              </w:rPr>
              <w:t>Constatările</w:t>
            </w:r>
            <w:r w:rsidR="00B13983" w:rsidRPr="00B13983">
              <w:rPr>
                <w:rFonts w:eastAsia="Times New Roman" w:cs="Times New Roman"/>
                <w:b/>
                <w:lang w:val="ro-RO"/>
              </w:rPr>
              <w:t xml:space="preserve"> expertizei de compatibilitate</w:t>
            </w:r>
          </w:p>
          <w:p w14:paraId="081DB430" w14:textId="77777777" w:rsidR="00532BCF" w:rsidRPr="00B13983" w:rsidRDefault="00532BCF" w:rsidP="00532BCF">
            <w:pPr>
              <w:shd w:val="clear" w:color="auto" w:fill="D0CECE"/>
              <w:tabs>
                <w:tab w:val="left" w:pos="884"/>
              </w:tabs>
              <w:ind w:left="30"/>
              <w:contextualSpacing/>
              <w:jc w:val="both"/>
              <w:rPr>
                <w:rFonts w:eastAsia="Times New Roman" w:cs="Times New Roman"/>
                <w:lang w:val="ro-RO"/>
              </w:rPr>
            </w:pPr>
          </w:p>
          <w:p w14:paraId="76963953" w14:textId="77777777" w:rsidR="00B13983" w:rsidRPr="00B13983" w:rsidRDefault="00B13983" w:rsidP="00B13983">
            <w:pPr>
              <w:tabs>
                <w:tab w:val="left" w:pos="567"/>
              </w:tabs>
              <w:ind w:firstLine="567"/>
              <w:jc w:val="both"/>
              <w:rPr>
                <w:rFonts w:eastAsia="Calibri" w:cs="Times New Roman"/>
                <w:lang w:val="ro-RO"/>
              </w:rPr>
            </w:pPr>
            <w:r w:rsidRPr="00B13983">
              <w:rPr>
                <w:rFonts w:eastAsia="Calibri" w:cs="Times New Roman"/>
                <w:color w:val="000000"/>
                <w:lang w:val="ro-RO"/>
              </w:rPr>
              <w:lastRenderedPageBreak/>
              <w:t>Proiectul</w:t>
            </w:r>
            <w:r w:rsidRPr="00B13983">
              <w:rPr>
                <w:rFonts w:eastAsia="Calibri" w:cs="Times New Roman"/>
                <w:lang w:val="ro-RO"/>
              </w:rPr>
              <w:t xml:space="preserve"> nu vizează armonizarea legislației naționale cu legislația Uniunii Europene, respectiv nu va fi supus expertizei de compatibilitate.</w:t>
            </w:r>
          </w:p>
          <w:tbl>
            <w:tblPr>
              <w:tblW w:w="9811" w:type="dxa"/>
              <w:tblLook w:val="04A0" w:firstRow="1" w:lastRow="0" w:firstColumn="1" w:lastColumn="0" w:noHBand="0" w:noVBand="1"/>
            </w:tblPr>
            <w:tblGrid>
              <w:gridCol w:w="9811"/>
            </w:tblGrid>
            <w:tr w:rsidR="00B13983" w:rsidRPr="00B13983" w14:paraId="72F60DCF" w14:textId="77777777" w:rsidTr="00532BCF">
              <w:trPr>
                <w:trHeight w:val="328"/>
              </w:trPr>
              <w:tc>
                <w:tcPr>
                  <w:tcW w:w="5000" w:type="pct"/>
                  <w:shd w:val="clear" w:color="auto" w:fill="D9D9D9"/>
                  <w:hideMark/>
                </w:tcPr>
                <w:p w14:paraId="7C222593" w14:textId="77777777" w:rsidR="00B13983" w:rsidRDefault="00532BCF" w:rsidP="00532BCF">
                  <w:pPr>
                    <w:shd w:val="clear" w:color="auto" w:fill="D0CECE"/>
                    <w:tabs>
                      <w:tab w:val="left" w:pos="884"/>
                    </w:tabs>
                    <w:ind w:firstLine="81"/>
                    <w:contextualSpacing/>
                    <w:jc w:val="both"/>
                    <w:rPr>
                      <w:rFonts w:eastAsia="Times New Roman" w:cs="Times New Roman"/>
                      <w:b/>
                      <w:highlight w:val="lightGray"/>
                      <w:lang w:val="ro-RO"/>
                    </w:rPr>
                  </w:pPr>
                  <w:r w:rsidRPr="00532BCF">
                    <w:rPr>
                      <w:rFonts w:eastAsia="Times New Roman" w:cs="Times New Roman"/>
                      <w:b/>
                      <w:lang w:val="ro-RO" w:eastAsia="en-US"/>
                    </w:rPr>
                    <w:t>10.</w:t>
                  </w:r>
                  <w:r w:rsidR="00B13983" w:rsidRPr="00B13983">
                    <w:rPr>
                      <w:rFonts w:eastAsia="Times New Roman" w:cs="Times New Roman"/>
                      <w:b/>
                      <w:lang w:val="ro-RO"/>
                    </w:rPr>
                    <w:t>Constatările</w:t>
                  </w:r>
                  <w:r w:rsidR="00B13983" w:rsidRPr="00B13983">
                    <w:rPr>
                      <w:rFonts w:eastAsia="Times New Roman" w:cs="Times New Roman"/>
                      <w:b/>
                      <w:highlight w:val="lightGray"/>
                      <w:lang w:val="ro-RO"/>
                    </w:rPr>
                    <w:t xml:space="preserve"> expertizei juridice</w:t>
                  </w:r>
                </w:p>
                <w:p w14:paraId="4508857E" w14:textId="77777777" w:rsidR="00532BCF" w:rsidRPr="00B13983" w:rsidRDefault="00532BCF" w:rsidP="00532BCF">
                  <w:pPr>
                    <w:shd w:val="clear" w:color="auto" w:fill="D0CECE"/>
                    <w:tabs>
                      <w:tab w:val="left" w:pos="884"/>
                    </w:tabs>
                    <w:ind w:firstLine="81"/>
                    <w:contextualSpacing/>
                    <w:jc w:val="both"/>
                    <w:rPr>
                      <w:rFonts w:ascii="Calibri" w:eastAsia="Times New Roman" w:hAnsi="Calibri" w:cs="Times New Roman"/>
                      <w:highlight w:val="lightGray"/>
                      <w:lang w:val="ro-RO"/>
                    </w:rPr>
                  </w:pPr>
                </w:p>
              </w:tc>
            </w:tr>
            <w:tr w:rsidR="00B13983" w:rsidRPr="00A51236" w14:paraId="383884CA" w14:textId="77777777" w:rsidTr="00532BCF">
              <w:trPr>
                <w:trHeight w:val="1155"/>
              </w:trPr>
              <w:tc>
                <w:tcPr>
                  <w:tcW w:w="5000" w:type="pct"/>
                  <w:hideMark/>
                </w:tcPr>
                <w:p w14:paraId="647CB2A3" w14:textId="77777777" w:rsidR="00B13983" w:rsidRPr="00B13983" w:rsidRDefault="00B13983" w:rsidP="00532BCF">
                  <w:pPr>
                    <w:ind w:firstLine="485"/>
                    <w:jc w:val="both"/>
                    <w:rPr>
                      <w:rFonts w:eastAsia="Calibri" w:cs="Times New Roman"/>
                      <w:lang w:val="ro-RO"/>
                    </w:rPr>
                  </w:pPr>
                  <w:r w:rsidRPr="00B13983">
                    <w:rPr>
                      <w:rFonts w:eastAsia="Calibri" w:cs="Times New Roman"/>
                      <w:color w:val="000000"/>
                      <w:lang w:val="ro-RO"/>
                    </w:rPr>
                    <w:t>Potrivit</w:t>
                  </w:r>
                  <w:r w:rsidRPr="00B13983">
                    <w:rPr>
                      <w:rFonts w:eastAsia="Calibri" w:cs="Times New Roman"/>
                      <w:lang w:val="ro-RO"/>
                    </w:rPr>
                    <w:t xml:space="preserve"> art.34 alin.(1) și art.37 din Legea nr.100/2017 privind actele normative, proiectul hotărârii </w:t>
                  </w:r>
                  <w:r w:rsidRPr="00B13983">
                    <w:rPr>
                      <w:rFonts w:eastAsia="Times New Roman" w:cs="Times New Roman"/>
                      <w:lang w:val="ro-RO" w:eastAsia="en-GB"/>
                    </w:rPr>
                    <w:t xml:space="preserve">Guvernului </w:t>
                  </w:r>
                  <w:r w:rsidR="00861DF3" w:rsidRPr="00861DF3">
                    <w:rPr>
                      <w:rFonts w:cs="Times New Roman"/>
                      <w:lang w:val="ro-MD" w:eastAsia="en-US"/>
                    </w:rPr>
                    <w:t>p</w:t>
                  </w:r>
                  <w:r w:rsidR="00265B6C" w:rsidRPr="00265B6C">
                    <w:rPr>
                      <w:rFonts w:cs="Times New Roman"/>
                      <w:lang w:val="ro-MD" w:eastAsia="en-US"/>
                    </w:rPr>
                    <w:t xml:space="preserve">rivind plata sumei indexate </w:t>
                  </w:r>
                  <w:r w:rsidR="00861DF3" w:rsidRPr="00265B6C">
                    <w:rPr>
                      <w:rFonts w:cs="Times New Roman"/>
                      <w:lang w:val="ro-MD" w:eastAsia="en-US"/>
                    </w:rPr>
                    <w:t>deponenților</w:t>
                  </w:r>
                  <w:r w:rsidR="00265B6C" w:rsidRPr="00265B6C">
                    <w:rPr>
                      <w:rFonts w:cs="Times New Roman"/>
                      <w:lang w:val="ro-MD" w:eastAsia="en-US"/>
                    </w:rPr>
                    <w:t xml:space="preserve"> Băncii de Economii</w:t>
                  </w:r>
                  <w:r w:rsidR="002D6443">
                    <w:rPr>
                      <w:rFonts w:cs="Times New Roman"/>
                      <w:lang w:val="ro-MD" w:eastAsia="en-US"/>
                    </w:rPr>
                    <w:t xml:space="preserve"> a fost supus</w:t>
                  </w:r>
                  <w:r w:rsidRPr="00B13983">
                    <w:rPr>
                      <w:rFonts w:eastAsia="Calibri" w:cs="Times New Roman"/>
                      <w:lang w:val="ro-RO"/>
                    </w:rPr>
                    <w:t xml:space="preserve"> </w:t>
                  </w:r>
                  <w:r w:rsidR="002D6443" w:rsidRPr="00B13983">
                    <w:rPr>
                      <w:rFonts w:eastAsia="Calibri" w:cs="Times New Roman"/>
                      <w:lang w:val="ro-RO"/>
                    </w:rPr>
                    <w:t xml:space="preserve">expertizei juridice </w:t>
                  </w:r>
                  <w:r w:rsidR="002D6443">
                    <w:rPr>
                      <w:rFonts w:eastAsia="Calibri" w:cs="Times New Roman"/>
                      <w:lang w:val="ro-RO"/>
                    </w:rPr>
                    <w:t xml:space="preserve">de către </w:t>
                  </w:r>
                  <w:r w:rsidRPr="00B13983">
                    <w:rPr>
                      <w:rFonts w:eastAsia="Calibri" w:cs="Times New Roman"/>
                      <w:lang w:val="ro-RO"/>
                    </w:rPr>
                    <w:t>Ministerul Justiției.</w:t>
                  </w:r>
                </w:p>
                <w:p w14:paraId="1EDDFB8C" w14:textId="77777777" w:rsidR="00B13983" w:rsidRPr="00B13983" w:rsidRDefault="00B13983" w:rsidP="00532BCF">
                  <w:pPr>
                    <w:tabs>
                      <w:tab w:val="left" w:pos="567"/>
                    </w:tabs>
                    <w:ind w:firstLine="567"/>
                    <w:jc w:val="both"/>
                    <w:rPr>
                      <w:rFonts w:eastAsia="Calibri" w:cs="Times New Roman"/>
                      <w:lang w:val="ro-RO"/>
                    </w:rPr>
                  </w:pPr>
                  <w:r w:rsidRPr="00B13983">
                    <w:rPr>
                      <w:rFonts w:eastAsia="Calibri" w:cs="Times New Roman"/>
                      <w:lang w:val="ro-RO"/>
                    </w:rPr>
                    <w:t xml:space="preserve">Informația referitoare la concluziile expertizei juridice privind compatibilitatea proiectului de hotărâre cu alte acte normative în vigoare, precum și respectarea normelor de tehnică legislativă </w:t>
                  </w:r>
                  <w:r w:rsidR="002D6443">
                    <w:rPr>
                      <w:rFonts w:eastAsia="Calibri" w:cs="Times New Roman"/>
                      <w:lang w:val="ro-RO"/>
                    </w:rPr>
                    <w:t>este</w:t>
                  </w:r>
                  <w:r w:rsidR="00532BCF">
                    <w:rPr>
                      <w:rFonts w:eastAsia="Calibri" w:cs="Times New Roman"/>
                      <w:lang w:val="ro-RO"/>
                    </w:rPr>
                    <w:t xml:space="preserve"> </w:t>
                  </w:r>
                  <w:r w:rsidRPr="00B13983">
                    <w:rPr>
                      <w:rFonts w:eastAsia="Calibri" w:cs="Times New Roman"/>
                      <w:lang w:val="ro-RO"/>
                    </w:rPr>
                    <w:t>inclusă în sinteza obiecțiilor și propunerilor/recomandărilor la proiect.</w:t>
                  </w:r>
                </w:p>
                <w:p w14:paraId="4507E5A7" w14:textId="77777777" w:rsidR="00B13983" w:rsidRDefault="00532BCF" w:rsidP="00532BCF">
                  <w:pPr>
                    <w:shd w:val="clear" w:color="auto" w:fill="D0CECE"/>
                    <w:tabs>
                      <w:tab w:val="left" w:pos="884"/>
                    </w:tabs>
                    <w:contextualSpacing/>
                    <w:jc w:val="both"/>
                    <w:rPr>
                      <w:rFonts w:eastAsia="Times New Roman" w:cs="Times New Roman"/>
                      <w:b/>
                      <w:lang w:val="ro-RO"/>
                    </w:rPr>
                  </w:pPr>
                  <w:r w:rsidRPr="00532BCF">
                    <w:rPr>
                      <w:rFonts w:eastAsia="Times New Roman" w:cs="Times New Roman"/>
                      <w:b/>
                      <w:lang w:val="ro-RO" w:eastAsia="en-US"/>
                    </w:rPr>
                    <w:t>11.</w:t>
                  </w:r>
                  <w:r w:rsidR="00B13983" w:rsidRPr="00B13983">
                    <w:rPr>
                      <w:rFonts w:eastAsia="Times New Roman" w:cs="Times New Roman"/>
                      <w:b/>
                      <w:lang w:val="ro-RO"/>
                    </w:rPr>
                    <w:t xml:space="preserve">Constatările altor expertize </w:t>
                  </w:r>
                </w:p>
                <w:p w14:paraId="5B020F8F" w14:textId="77777777" w:rsidR="00532BCF" w:rsidRPr="00B13983" w:rsidRDefault="00532BCF" w:rsidP="00532BCF">
                  <w:pPr>
                    <w:shd w:val="clear" w:color="auto" w:fill="D0CECE"/>
                    <w:tabs>
                      <w:tab w:val="left" w:pos="884"/>
                    </w:tabs>
                    <w:contextualSpacing/>
                    <w:jc w:val="both"/>
                    <w:rPr>
                      <w:rFonts w:eastAsia="Times New Roman" w:cs="Times New Roman"/>
                      <w:lang w:val="ro-RO"/>
                    </w:rPr>
                  </w:pPr>
                </w:p>
                <w:p w14:paraId="791BBD42" w14:textId="77777777" w:rsidR="00B13983" w:rsidRPr="00B13983" w:rsidRDefault="00B13983" w:rsidP="00B13983">
                  <w:pPr>
                    <w:tabs>
                      <w:tab w:val="left" w:pos="567"/>
                    </w:tabs>
                    <w:ind w:firstLine="567"/>
                    <w:jc w:val="both"/>
                    <w:rPr>
                      <w:rFonts w:eastAsia="Calibri" w:cs="Times New Roman"/>
                      <w:lang w:val="ro-RO"/>
                    </w:rPr>
                  </w:pPr>
                  <w:r w:rsidRPr="00B13983">
                    <w:rPr>
                      <w:rFonts w:eastAsia="Calibri" w:cs="Times New Roman"/>
                      <w:lang w:val="ro-RO"/>
                    </w:rPr>
                    <w:t>Nu este relevant pentru acest proiect.</w:t>
                  </w:r>
                </w:p>
              </w:tc>
            </w:tr>
          </w:tbl>
          <w:p w14:paraId="6B4AFDF1" w14:textId="77777777" w:rsidR="00B13983" w:rsidRPr="00532BCF" w:rsidRDefault="00B13983" w:rsidP="00ED595C">
            <w:pPr>
              <w:tabs>
                <w:tab w:val="left" w:pos="884"/>
              </w:tabs>
              <w:ind w:firstLine="601"/>
              <w:jc w:val="both"/>
              <w:rPr>
                <w:rFonts w:eastAsia="Times New Roman" w:cs="Times New Roman"/>
                <w:lang w:val="ro-RO" w:eastAsia="en-US"/>
              </w:rPr>
            </w:pPr>
          </w:p>
        </w:tc>
      </w:tr>
      <w:tr w:rsidR="00082FB3" w:rsidRPr="00A51236" w14:paraId="7100E9DE" w14:textId="77777777" w:rsidTr="0054324A">
        <w:tblPrEx>
          <w:tblLook w:val="0000" w:firstRow="0" w:lastRow="0" w:firstColumn="0" w:lastColumn="0" w:noHBand="0" w:noVBand="0"/>
        </w:tblPrEx>
        <w:trPr>
          <w:gridBefore w:val="1"/>
          <w:wBefore w:w="56" w:type="pct"/>
          <w:trHeight w:val="1"/>
        </w:trPr>
        <w:tc>
          <w:tcPr>
            <w:tcW w:w="4944" w:type="pct"/>
            <w:gridSpan w:val="2"/>
            <w:shd w:val="clear" w:color="000000" w:fill="FFFFFF"/>
          </w:tcPr>
          <w:p w14:paraId="1F6140D5" w14:textId="77777777" w:rsidR="00745791" w:rsidRPr="0024482E" w:rsidRDefault="00745791" w:rsidP="00082FB3">
            <w:pPr>
              <w:jc w:val="both"/>
              <w:rPr>
                <w:rFonts w:cs="Times New Roman"/>
                <w:lang w:val="ro-RO" w:eastAsia="en-US"/>
              </w:rPr>
            </w:pPr>
          </w:p>
        </w:tc>
      </w:tr>
    </w:tbl>
    <w:p w14:paraId="4B18D638" w14:textId="77777777" w:rsidR="00E21A12" w:rsidRDefault="00E21A12" w:rsidP="00A35C1E">
      <w:pPr>
        <w:jc w:val="both"/>
        <w:rPr>
          <w:rFonts w:cs="Times New Roman"/>
          <w:lang w:val="ro-MD" w:eastAsia="en-US"/>
        </w:rPr>
      </w:pPr>
    </w:p>
    <w:p w14:paraId="12DF03D4" w14:textId="77777777" w:rsidR="0054324A" w:rsidRDefault="0054324A" w:rsidP="00A35C1E">
      <w:pPr>
        <w:jc w:val="both"/>
        <w:rPr>
          <w:rFonts w:cs="Times New Roman"/>
          <w:lang w:val="ro-MD" w:eastAsia="en-US"/>
        </w:rPr>
      </w:pPr>
    </w:p>
    <w:p w14:paraId="10A29B8F" w14:textId="77777777" w:rsidR="00532BCF" w:rsidRDefault="00532BCF" w:rsidP="00A35C1E">
      <w:pPr>
        <w:jc w:val="both"/>
        <w:rPr>
          <w:rFonts w:cs="Times New Roman"/>
          <w:lang w:val="ro-MD" w:eastAsia="en-US"/>
        </w:rPr>
      </w:pPr>
    </w:p>
    <w:p w14:paraId="493671A0" w14:textId="77777777" w:rsidR="00532BCF" w:rsidRDefault="00532BCF" w:rsidP="00A35C1E">
      <w:pPr>
        <w:jc w:val="both"/>
        <w:rPr>
          <w:rFonts w:cs="Times New Roman"/>
          <w:lang w:val="ro-MD" w:eastAsia="en-US"/>
        </w:rPr>
      </w:pPr>
    </w:p>
    <w:p w14:paraId="48B1D533" w14:textId="77777777" w:rsidR="00532BCF" w:rsidRDefault="00532BCF" w:rsidP="00A35C1E">
      <w:pPr>
        <w:jc w:val="both"/>
        <w:rPr>
          <w:rFonts w:cs="Times New Roman"/>
          <w:lang w:val="ro-MD" w:eastAsia="en-US"/>
        </w:rPr>
      </w:pPr>
    </w:p>
    <w:p w14:paraId="694CE9B4" w14:textId="77777777" w:rsidR="00532BCF" w:rsidRPr="0024482E" w:rsidRDefault="00532BCF" w:rsidP="00A35C1E">
      <w:pPr>
        <w:jc w:val="both"/>
        <w:rPr>
          <w:rFonts w:cs="Times New Roman"/>
          <w:lang w:val="ro-MD" w:eastAsia="en-US"/>
        </w:rPr>
      </w:pPr>
    </w:p>
    <w:tbl>
      <w:tblPr>
        <w:tblW w:w="9072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D595C" w:rsidRPr="00A51236" w14:paraId="332F6897" w14:textId="77777777" w:rsidTr="00532BCF">
        <w:trPr>
          <w:tblCellSpacing w:w="15" w:type="dxa"/>
        </w:trPr>
        <w:tc>
          <w:tcPr>
            <w:tcW w:w="9012" w:type="dxa"/>
            <w:tcMar>
              <w:top w:w="15" w:type="dxa"/>
              <w:left w:w="27" w:type="dxa"/>
              <w:bottom w:w="15" w:type="dxa"/>
              <w:right w:w="27" w:type="dxa"/>
            </w:tcMar>
          </w:tcPr>
          <w:p w14:paraId="46AE98F9" w14:textId="77777777" w:rsidR="00ED595C" w:rsidRPr="0024482E" w:rsidRDefault="00532BCF" w:rsidP="00265B6C">
            <w:pPr>
              <w:rPr>
                <w:rFonts w:eastAsia="Calibri" w:cs="Times New Roman"/>
                <w:b/>
                <w:bCs/>
                <w:lang w:val="ro-RO"/>
              </w:rPr>
            </w:pPr>
            <w:r w:rsidRPr="00532BCF">
              <w:rPr>
                <w:rFonts w:eastAsia="Calibri" w:cs="Times New Roman"/>
                <w:b/>
                <w:bCs/>
                <w:lang w:val="ro-RO"/>
              </w:rPr>
              <w:t xml:space="preserve">Ministru al Finanțelor                                  </w:t>
            </w:r>
            <w:r>
              <w:rPr>
                <w:rFonts w:eastAsia="Calibri" w:cs="Times New Roman"/>
                <w:b/>
                <w:bCs/>
                <w:lang w:val="ro-RO"/>
              </w:rPr>
              <w:t xml:space="preserve">        </w:t>
            </w:r>
            <w:r w:rsidR="00265B6C">
              <w:rPr>
                <w:rFonts w:eastAsia="Calibri" w:cs="Times New Roman"/>
                <w:b/>
                <w:bCs/>
                <w:lang w:val="ro-RO"/>
              </w:rPr>
              <w:t>Veronica SIREȚEANU</w:t>
            </w:r>
          </w:p>
        </w:tc>
      </w:tr>
      <w:tr w:rsidR="00532BCF" w:rsidRPr="00A51236" w14:paraId="0369955E" w14:textId="77777777" w:rsidTr="00532BCF">
        <w:trPr>
          <w:tblCellSpacing w:w="15" w:type="dxa"/>
        </w:trPr>
        <w:tc>
          <w:tcPr>
            <w:tcW w:w="9012" w:type="dxa"/>
            <w:tcMar>
              <w:top w:w="15" w:type="dxa"/>
              <w:left w:w="27" w:type="dxa"/>
              <w:bottom w:w="15" w:type="dxa"/>
              <w:right w:w="27" w:type="dxa"/>
            </w:tcMar>
          </w:tcPr>
          <w:p w14:paraId="3CCC446B" w14:textId="77777777" w:rsidR="00532BCF" w:rsidRPr="00532BCF" w:rsidRDefault="00532BCF" w:rsidP="00532BCF">
            <w:pPr>
              <w:rPr>
                <w:rFonts w:eastAsia="Calibri" w:cs="Times New Roman"/>
                <w:b/>
                <w:bCs/>
                <w:lang w:val="en-US"/>
              </w:rPr>
            </w:pPr>
          </w:p>
        </w:tc>
      </w:tr>
    </w:tbl>
    <w:p w14:paraId="0493D81F" w14:textId="77777777" w:rsidR="00A35C1E" w:rsidRPr="0024482E" w:rsidRDefault="00A35C1E" w:rsidP="00532BCF">
      <w:pPr>
        <w:autoSpaceDE w:val="0"/>
        <w:autoSpaceDN w:val="0"/>
        <w:adjustRightInd w:val="0"/>
        <w:ind w:firstLine="720"/>
        <w:rPr>
          <w:rFonts w:cs="Times New Roman"/>
          <w:b/>
          <w:color w:val="000000"/>
          <w:lang w:val="ro-MD" w:eastAsia="en-US"/>
        </w:rPr>
      </w:pPr>
    </w:p>
    <w:sectPr w:rsidR="00A35C1E" w:rsidRPr="0024482E" w:rsidSect="00532BCF">
      <w:pgSz w:w="12240" w:h="15840" w:code="1"/>
      <w:pgMar w:top="794" w:right="1021" w:bottom="79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F23AF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180019">
      <w:start w:val="1"/>
      <w:numFmt w:val="lowerLetter"/>
      <w:lvlText w:val="%2."/>
      <w:lvlJc w:val="left"/>
      <w:pPr>
        <w:ind w:left="2215" w:hanging="360"/>
      </w:pPr>
    </w:lvl>
    <w:lvl w:ilvl="2" w:tplc="0418001B">
      <w:start w:val="1"/>
      <w:numFmt w:val="lowerRoman"/>
      <w:lvlText w:val="%3."/>
      <w:lvlJc w:val="right"/>
      <w:pPr>
        <w:ind w:left="2935" w:hanging="180"/>
      </w:pPr>
    </w:lvl>
    <w:lvl w:ilvl="3" w:tplc="0418000F">
      <w:start w:val="1"/>
      <w:numFmt w:val="decimal"/>
      <w:lvlText w:val="%4."/>
      <w:lvlJc w:val="left"/>
      <w:pPr>
        <w:ind w:left="3655" w:hanging="360"/>
      </w:pPr>
    </w:lvl>
    <w:lvl w:ilvl="4" w:tplc="04180019">
      <w:start w:val="1"/>
      <w:numFmt w:val="lowerLetter"/>
      <w:lvlText w:val="%5."/>
      <w:lvlJc w:val="left"/>
      <w:pPr>
        <w:ind w:left="4375" w:hanging="360"/>
      </w:pPr>
    </w:lvl>
    <w:lvl w:ilvl="5" w:tplc="0418001B">
      <w:start w:val="1"/>
      <w:numFmt w:val="lowerRoman"/>
      <w:lvlText w:val="%6."/>
      <w:lvlJc w:val="right"/>
      <w:pPr>
        <w:ind w:left="5095" w:hanging="180"/>
      </w:pPr>
    </w:lvl>
    <w:lvl w:ilvl="6" w:tplc="0418000F">
      <w:start w:val="1"/>
      <w:numFmt w:val="decimal"/>
      <w:lvlText w:val="%7."/>
      <w:lvlJc w:val="left"/>
      <w:pPr>
        <w:ind w:left="5815" w:hanging="360"/>
      </w:pPr>
    </w:lvl>
    <w:lvl w:ilvl="7" w:tplc="04180019">
      <w:start w:val="1"/>
      <w:numFmt w:val="lowerLetter"/>
      <w:lvlText w:val="%8."/>
      <w:lvlJc w:val="left"/>
      <w:pPr>
        <w:ind w:left="6535" w:hanging="360"/>
      </w:pPr>
    </w:lvl>
    <w:lvl w:ilvl="8" w:tplc="0418001B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180019">
      <w:start w:val="1"/>
      <w:numFmt w:val="lowerLetter"/>
      <w:lvlText w:val="%2."/>
      <w:lvlJc w:val="left"/>
      <w:pPr>
        <w:ind w:left="2215" w:hanging="360"/>
      </w:pPr>
    </w:lvl>
    <w:lvl w:ilvl="2" w:tplc="0418001B">
      <w:start w:val="1"/>
      <w:numFmt w:val="lowerRoman"/>
      <w:lvlText w:val="%3."/>
      <w:lvlJc w:val="right"/>
      <w:pPr>
        <w:ind w:left="2935" w:hanging="180"/>
      </w:pPr>
    </w:lvl>
    <w:lvl w:ilvl="3" w:tplc="0418000F">
      <w:start w:val="1"/>
      <w:numFmt w:val="decimal"/>
      <w:lvlText w:val="%4."/>
      <w:lvlJc w:val="left"/>
      <w:pPr>
        <w:ind w:left="3655" w:hanging="360"/>
      </w:pPr>
    </w:lvl>
    <w:lvl w:ilvl="4" w:tplc="04180019">
      <w:start w:val="1"/>
      <w:numFmt w:val="lowerLetter"/>
      <w:lvlText w:val="%5."/>
      <w:lvlJc w:val="left"/>
      <w:pPr>
        <w:ind w:left="4375" w:hanging="360"/>
      </w:pPr>
    </w:lvl>
    <w:lvl w:ilvl="5" w:tplc="0418001B">
      <w:start w:val="1"/>
      <w:numFmt w:val="lowerRoman"/>
      <w:lvlText w:val="%6."/>
      <w:lvlJc w:val="right"/>
      <w:pPr>
        <w:ind w:left="5095" w:hanging="180"/>
      </w:pPr>
    </w:lvl>
    <w:lvl w:ilvl="6" w:tplc="0418000F">
      <w:start w:val="1"/>
      <w:numFmt w:val="decimal"/>
      <w:lvlText w:val="%7."/>
      <w:lvlJc w:val="left"/>
      <w:pPr>
        <w:ind w:left="5815" w:hanging="360"/>
      </w:pPr>
    </w:lvl>
    <w:lvl w:ilvl="7" w:tplc="04180019">
      <w:start w:val="1"/>
      <w:numFmt w:val="lowerLetter"/>
      <w:lvlText w:val="%8."/>
      <w:lvlJc w:val="left"/>
      <w:pPr>
        <w:ind w:left="6535" w:hanging="360"/>
      </w:pPr>
    </w:lvl>
    <w:lvl w:ilvl="8" w:tplc="0418001B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31FA7952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180019">
      <w:start w:val="1"/>
      <w:numFmt w:val="lowerLetter"/>
      <w:lvlText w:val="%2."/>
      <w:lvlJc w:val="left"/>
      <w:pPr>
        <w:ind w:left="2215" w:hanging="360"/>
      </w:pPr>
    </w:lvl>
    <w:lvl w:ilvl="2" w:tplc="0418001B">
      <w:start w:val="1"/>
      <w:numFmt w:val="lowerRoman"/>
      <w:lvlText w:val="%3."/>
      <w:lvlJc w:val="right"/>
      <w:pPr>
        <w:ind w:left="2935" w:hanging="180"/>
      </w:pPr>
    </w:lvl>
    <w:lvl w:ilvl="3" w:tplc="0418000F">
      <w:start w:val="1"/>
      <w:numFmt w:val="decimal"/>
      <w:lvlText w:val="%4."/>
      <w:lvlJc w:val="left"/>
      <w:pPr>
        <w:ind w:left="3655" w:hanging="360"/>
      </w:pPr>
    </w:lvl>
    <w:lvl w:ilvl="4" w:tplc="04180019">
      <w:start w:val="1"/>
      <w:numFmt w:val="lowerLetter"/>
      <w:lvlText w:val="%5."/>
      <w:lvlJc w:val="left"/>
      <w:pPr>
        <w:ind w:left="4375" w:hanging="360"/>
      </w:pPr>
    </w:lvl>
    <w:lvl w:ilvl="5" w:tplc="0418001B">
      <w:start w:val="1"/>
      <w:numFmt w:val="lowerRoman"/>
      <w:lvlText w:val="%6."/>
      <w:lvlJc w:val="right"/>
      <w:pPr>
        <w:ind w:left="5095" w:hanging="180"/>
      </w:pPr>
    </w:lvl>
    <w:lvl w:ilvl="6" w:tplc="0418000F">
      <w:start w:val="1"/>
      <w:numFmt w:val="decimal"/>
      <w:lvlText w:val="%7."/>
      <w:lvlJc w:val="left"/>
      <w:pPr>
        <w:ind w:left="5815" w:hanging="360"/>
      </w:pPr>
    </w:lvl>
    <w:lvl w:ilvl="7" w:tplc="04180019">
      <w:start w:val="1"/>
      <w:numFmt w:val="lowerLetter"/>
      <w:lvlText w:val="%8."/>
      <w:lvlJc w:val="left"/>
      <w:pPr>
        <w:ind w:left="6535" w:hanging="360"/>
      </w:pPr>
    </w:lvl>
    <w:lvl w:ilvl="8" w:tplc="0418001B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1E"/>
    <w:rsid w:val="00082FB3"/>
    <w:rsid w:val="00180943"/>
    <w:rsid w:val="0024482E"/>
    <w:rsid w:val="00252BC2"/>
    <w:rsid w:val="00265B6C"/>
    <w:rsid w:val="002C7DF0"/>
    <w:rsid w:val="002D6443"/>
    <w:rsid w:val="003C3341"/>
    <w:rsid w:val="00416859"/>
    <w:rsid w:val="00493A4A"/>
    <w:rsid w:val="00532BCF"/>
    <w:rsid w:val="0054324A"/>
    <w:rsid w:val="00543CEC"/>
    <w:rsid w:val="005964BB"/>
    <w:rsid w:val="005B09DF"/>
    <w:rsid w:val="005B5AF4"/>
    <w:rsid w:val="0061286D"/>
    <w:rsid w:val="00624441"/>
    <w:rsid w:val="00644168"/>
    <w:rsid w:val="00745791"/>
    <w:rsid w:val="007A4526"/>
    <w:rsid w:val="007C764A"/>
    <w:rsid w:val="00861DF3"/>
    <w:rsid w:val="00891575"/>
    <w:rsid w:val="00947679"/>
    <w:rsid w:val="009B0E7F"/>
    <w:rsid w:val="009E2175"/>
    <w:rsid w:val="00A35C1E"/>
    <w:rsid w:val="00A51236"/>
    <w:rsid w:val="00AE581C"/>
    <w:rsid w:val="00B13983"/>
    <w:rsid w:val="00B96BFA"/>
    <w:rsid w:val="00C2611A"/>
    <w:rsid w:val="00C53C75"/>
    <w:rsid w:val="00E046FA"/>
    <w:rsid w:val="00E21A12"/>
    <w:rsid w:val="00E37DDA"/>
    <w:rsid w:val="00ED2D4E"/>
    <w:rsid w:val="00ED595C"/>
    <w:rsid w:val="00F1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B981"/>
  <w15:chartTrackingRefBased/>
  <w15:docId w15:val="{F6B69446-12E2-45EF-8E5E-370F4C36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C1E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5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1575"/>
    <w:rPr>
      <w:rFonts w:ascii="Segoe UI" w:hAnsi="Segoe UI" w:cs="Segoe UI"/>
      <w:sz w:val="18"/>
      <w:szCs w:val="18"/>
      <w:lang w:val="ru-RU" w:eastAsia="ru-RU"/>
    </w:rPr>
  </w:style>
  <w:style w:type="paragraph" w:styleId="HTML">
    <w:name w:val="HTML Preformatted"/>
    <w:basedOn w:val="a"/>
    <w:link w:val="HTML0"/>
    <w:rsid w:val="00082F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82FB3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6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rticip.gov.md/proiec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f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22C1F-6F44-473B-9A5E-B5390710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Chirtoca</dc:creator>
  <cp:keywords/>
  <dc:description/>
  <cp:lastModifiedBy>Chirtoca, Alexandru</cp:lastModifiedBy>
  <cp:revision>2</cp:revision>
  <cp:lastPrinted>2023-04-28T05:54:00Z</cp:lastPrinted>
  <dcterms:created xsi:type="dcterms:W3CDTF">2023-04-28T06:09:00Z</dcterms:created>
  <dcterms:modified xsi:type="dcterms:W3CDTF">2023-04-28T06:09:00Z</dcterms:modified>
</cp:coreProperties>
</file>