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96AD" w14:textId="77777777" w:rsidR="00490412" w:rsidRPr="000D2E56" w:rsidRDefault="00490412" w:rsidP="0049041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2E56"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14:paraId="37CF3135" w14:textId="77777777" w:rsidR="00490412" w:rsidRPr="009B6B92" w:rsidRDefault="000D2E56" w:rsidP="009B6B9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D2E56">
        <w:rPr>
          <w:rFonts w:ascii="Times New Roman" w:hAnsi="Times New Roman" w:cs="Times New Roman"/>
          <w:b/>
          <w:sz w:val="24"/>
          <w:szCs w:val="24"/>
          <w:lang w:val="ro-RO"/>
        </w:rPr>
        <w:t>La proiec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tul de lege pentru modificarea L</w:t>
      </w:r>
      <w:r w:rsidRPr="000D2E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egii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nr. 160/</w:t>
      </w:r>
      <w:r w:rsidRPr="000D2E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2017cu privire la biblioteci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79"/>
      </w:tblGrid>
      <w:tr w:rsidR="00490412" w:rsidRPr="000D2E56" w14:paraId="5E719E51" w14:textId="77777777" w:rsidTr="00490412">
        <w:tc>
          <w:tcPr>
            <w:tcW w:w="9679" w:type="dxa"/>
          </w:tcPr>
          <w:p w14:paraId="229F873C" w14:textId="77777777" w:rsidR="00490412" w:rsidRDefault="00DF50BB" w:rsidP="004904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490412"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Denumirea autorului și, după caz, a participanților la elaborarea proiectului</w:t>
            </w:r>
          </w:p>
          <w:p w14:paraId="5D13DF7D" w14:textId="77777777" w:rsidR="008A6856" w:rsidRPr="000D2E56" w:rsidRDefault="008A6856" w:rsidP="004904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90412" w:rsidRPr="000D2E56" w14:paraId="753C9545" w14:textId="77777777" w:rsidTr="00490412">
        <w:tc>
          <w:tcPr>
            <w:tcW w:w="9679" w:type="dxa"/>
          </w:tcPr>
          <w:p w14:paraId="47D37672" w14:textId="77777777" w:rsidR="00490412" w:rsidRPr="000D2E56" w:rsidRDefault="00351F1B" w:rsidP="003918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Prezentul proiect este elaborat de către Ministerul Culturii cu suportul Consiliului Biblioteconomic Național.</w:t>
            </w:r>
          </w:p>
          <w:p w14:paraId="1673D845" w14:textId="77777777" w:rsidR="006F36C2" w:rsidRPr="000D2E56" w:rsidRDefault="006F36C2" w:rsidP="003918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0412" w:rsidRPr="000D2E56" w14:paraId="3B6FB302" w14:textId="77777777" w:rsidTr="00490412">
        <w:tc>
          <w:tcPr>
            <w:tcW w:w="9679" w:type="dxa"/>
          </w:tcPr>
          <w:p w14:paraId="30377FD6" w14:textId="77777777" w:rsidR="00490412" w:rsidRDefault="00DF50BB" w:rsidP="004904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490412"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Condițiile ce au impus elaborarea proiectului de act normativ și finalitățile urmărite</w:t>
            </w:r>
          </w:p>
          <w:p w14:paraId="5C3013AD" w14:textId="77777777" w:rsidR="008A6856" w:rsidRPr="000D2E56" w:rsidRDefault="008A6856" w:rsidP="004904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90412" w:rsidRPr="000D2E56" w14:paraId="39498F4D" w14:textId="77777777" w:rsidTr="00490412">
        <w:tc>
          <w:tcPr>
            <w:tcW w:w="9679" w:type="dxa"/>
          </w:tcPr>
          <w:p w14:paraId="4733216D" w14:textId="144F60CB" w:rsidR="00E85ECB" w:rsidRDefault="008E1300" w:rsidP="006847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EC1B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 w:rsidR="0039185A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fost elaborat în contextul</w:t>
            </w:r>
            <w:r w:rsidR="00684785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85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ajustării cadrului legal existent, ținând cont de schimbările care s-au produs la nivel internațional în domeniul biblioteconomie și știința informării, precum și </w:t>
            </w:r>
            <w:r w:rsidR="00E047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specificul și situația reală</w:t>
            </w:r>
            <w:r w:rsidR="00E85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047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reliefată</w:t>
            </w:r>
            <w:r w:rsidR="008A68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85E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nivel național</w:t>
            </w:r>
            <w:r w:rsidR="00297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0F963A4D" w14:textId="444106CA" w:rsidR="008E1300" w:rsidRDefault="008E1300" w:rsidP="00E85E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8A68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Necesitatea actualizării prezentei legi se realizează și în contextul a</w:t>
            </w:r>
            <w:r w:rsidR="00684785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ngajamentelor internaționale asumate de către Republica Moldova privind apropierea graduală a normelor națion</w:t>
            </w:r>
            <w:r w:rsidR="00A56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ale cu cele ale </w:t>
            </w:r>
            <w:r w:rsidR="00FE4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Uniunii Europene</w:t>
            </w:r>
            <w:r w:rsidR="00684785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dar și conturarea</w:t>
            </w:r>
            <w:r w:rsidR="00FE4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continuă a </w:t>
            </w:r>
            <w:r w:rsidR="00684785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politicilor </w:t>
            </w:r>
            <w:r w:rsidR="00006B07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conexe</w:t>
            </w:r>
            <w:r w:rsidR="00684785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biblioteci</w:t>
            </w:r>
            <w:r w:rsidR="00006B07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di</w:t>
            </w:r>
            <w:r w:rsidR="00684785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toate statele membre </w:t>
            </w:r>
            <w:r w:rsidR="004C5532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</w:t>
            </w:r>
            <w:r w:rsidR="00FE4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Consiliului Europei</w:t>
            </w:r>
            <w:r w:rsidR="00A56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8A68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Astfel că, î</w:t>
            </w:r>
            <w:r w:rsidR="001E1C5D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 </w:t>
            </w:r>
            <w:r w:rsidR="004C5532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mai </w:t>
            </w:r>
            <w:r w:rsidR="001E1C5D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  <w:r w:rsidR="004C5532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  <w:r w:rsidR="001E1C5D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Comitetul Director al Consiliului Europei pentru Cultură, Patrimoniu și Peisaj (CDCPP), în colaborare cu EBLIDA (Biroul European </w:t>
            </w:r>
            <w:r w:rsidR="00E84622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 Asociațiilor de</w:t>
            </w:r>
            <w:r w:rsidR="001E1C5D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Bibliotec</w:t>
            </w:r>
            <w:r w:rsidR="00E84622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1E1C5D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Informare și Documentare), a elaborat </w:t>
            </w:r>
            <w:r w:rsidR="004C5532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</w:t>
            </w:r>
            <w:r w:rsidR="001E1C5D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Ghidul</w:t>
            </w:r>
            <w:r w:rsidR="004C5532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ui</w:t>
            </w:r>
            <w:r w:rsidR="001E1C5D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Consiliului Europei / EBLIDA privind legislația și politica bibliotecilor în Europa</w:t>
            </w:r>
            <w:r w:rsidR="00606326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care vine să actualizeze Ghidul inițial elaborat și aprobat în anul 2000</w:t>
            </w:r>
            <w:r w:rsidR="001E1C5D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 document de referință, important și necesar activității bibliotecilor de astăzi</w:t>
            </w:r>
            <w:r w:rsidR="00927D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constituie și Recomandarea (UE</w:t>
            </w:r>
            <w:r w:rsidR="00550A1E" w:rsidRP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2021/1970 a Comisiei Europene </w:t>
            </w:r>
            <w:r w:rsidR="00550A1E" w:rsidRP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10 noiembrie 2021 p</w:t>
            </w:r>
            <w:r w:rsid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rivind </w:t>
            </w:r>
            <w:r w:rsidR="00FE3D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550A1E" w:rsidRP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pațiu</w:t>
            </w:r>
            <w:r w:rsid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550A1E" w:rsidRP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european comun al datelor pentru patrimoniul cultural</w:t>
            </w:r>
            <w:r w:rsidR="00927D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50A1E" w:rsidRP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</w:t>
            </w:r>
            <w:r w:rsidR="00927D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 să încurajeze</w:t>
            </w:r>
            <w:r w:rsidR="00550A1E" w:rsidRP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statele membre</w:t>
            </w:r>
            <w:r w:rsidR="00927D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UE și cele din afară,</w:t>
            </w:r>
            <w:r w:rsidR="00550A1E" w:rsidRP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să instituie cadre adecvate pentru a consolida redresarea și transformarea sectorului patrimoniului cultural și pentru a sprijini instituțiile de conservare a patrimoniului cultural să devină mai autonome și mai reziliente în viitor.</w:t>
            </w:r>
            <w:r w:rsidR="00927D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1475E70" w14:textId="77777777" w:rsidR="00C05CAD" w:rsidRPr="00927D9A" w:rsidRDefault="008E1300" w:rsidP="00E85E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550A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prenotate</w:t>
            </w:r>
            <w:r w:rsidR="001E1C5D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C5532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servesc o platformă de</w:t>
            </w:r>
            <w:r w:rsidR="001E1C5D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influență în conturarea </w:t>
            </w:r>
            <w:r w:rsidR="00E84622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legislației de </w:t>
            </w:r>
            <w:r w:rsidR="001E1C5D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bibliotec</w:t>
            </w:r>
            <w:r w:rsidR="00E84622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1E1C5D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toate statele </w:t>
            </w:r>
            <w:r w:rsidR="00927D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europene,</w:t>
            </w:r>
            <w:r w:rsidR="00E84622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inclusiv și Republica Moldova</w:t>
            </w:r>
            <w:r w:rsidR="001E1C5D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="00927D9A">
              <w:rPr>
                <w:rFonts w:ascii="Times New Roman" w:hAnsi="Times New Roman" w:cs="Times New Roman"/>
                <w:sz w:val="24"/>
                <w:szCs w:val="24"/>
              </w:rPr>
              <w:t>Finalitățile</w:t>
            </w:r>
            <w:proofErr w:type="spellEnd"/>
            <w:r w:rsidR="0092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D9A">
              <w:rPr>
                <w:rFonts w:ascii="Times New Roman" w:hAnsi="Times New Roman" w:cs="Times New Roman"/>
                <w:sz w:val="24"/>
                <w:szCs w:val="24"/>
              </w:rPr>
              <w:t>urmărite</w:t>
            </w:r>
            <w:proofErr w:type="spellEnd"/>
            <w:r w:rsidR="00927D9A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="00927D9A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="00927D9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27D9A">
              <w:rPr>
                <w:rFonts w:ascii="Times New Roman" w:hAnsi="Times New Roman" w:cs="Times New Roman"/>
                <w:sz w:val="24"/>
                <w:szCs w:val="24"/>
              </w:rPr>
              <w:t>lege</w:t>
            </w:r>
            <w:proofErr w:type="spellEnd"/>
            <w:r w:rsidR="0092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D9A">
              <w:rPr>
                <w:rFonts w:ascii="Times New Roman" w:hAnsi="Times New Roman" w:cs="Times New Roman"/>
                <w:sz w:val="24"/>
                <w:szCs w:val="24"/>
              </w:rPr>
              <w:t>conduc</w:t>
            </w:r>
            <w:proofErr w:type="spellEnd"/>
            <w:r w:rsidR="00927D9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927D9A" w:rsidRPr="00927D9A">
              <w:rPr>
                <w:rFonts w:ascii="Times New Roman" w:hAnsi="Times New Roman" w:cs="Times New Roman"/>
                <w:sz w:val="24"/>
                <w:szCs w:val="24"/>
              </w:rPr>
              <w:t>ajustarea</w:t>
            </w:r>
            <w:proofErr w:type="spellEnd"/>
            <w:r w:rsidR="00927D9A" w:rsidRPr="0092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D9A" w:rsidRPr="00927D9A">
              <w:rPr>
                <w:rFonts w:ascii="Times New Roman" w:hAnsi="Times New Roman" w:cs="Times New Roman"/>
                <w:sz w:val="24"/>
                <w:szCs w:val="24"/>
              </w:rPr>
              <w:t>cadrului</w:t>
            </w:r>
            <w:proofErr w:type="spellEnd"/>
            <w:r w:rsidR="00927D9A" w:rsidRPr="0092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D9A">
              <w:rPr>
                <w:rFonts w:ascii="Times New Roman" w:hAnsi="Times New Roman" w:cs="Times New Roman"/>
                <w:sz w:val="24"/>
                <w:szCs w:val="24"/>
              </w:rPr>
              <w:t>normativ</w:t>
            </w:r>
            <w:proofErr w:type="spellEnd"/>
            <w:r w:rsidR="0092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D9A" w:rsidRPr="00927D9A">
              <w:rPr>
                <w:rFonts w:ascii="Times New Roman" w:hAnsi="Times New Roman" w:cs="Times New Roman"/>
                <w:sz w:val="24"/>
                <w:szCs w:val="24"/>
              </w:rPr>
              <w:t>aferent</w:t>
            </w:r>
            <w:proofErr w:type="spellEnd"/>
            <w:r w:rsidR="00927D9A" w:rsidRPr="0092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D9A" w:rsidRPr="00927D9A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="00927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7D9A">
              <w:rPr>
                <w:rFonts w:ascii="Times New Roman" w:hAnsi="Times New Roman" w:cs="Times New Roman"/>
                <w:sz w:val="24"/>
                <w:szCs w:val="24"/>
              </w:rPr>
              <w:t>biblioteconomice</w:t>
            </w:r>
            <w:proofErr w:type="spellEnd"/>
            <w:r w:rsidR="00927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precizarea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norme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excluderea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inexactități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clarificarea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dispozițiilo</w:t>
            </w:r>
            <w:r w:rsidR="008A685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8A6856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="008A6856">
              <w:rPr>
                <w:rFonts w:ascii="Times New Roman" w:hAnsi="Times New Roman" w:cs="Times New Roman"/>
                <w:sz w:val="24"/>
                <w:szCs w:val="24"/>
              </w:rPr>
              <w:t>lasă</w:t>
            </w:r>
            <w:proofErr w:type="spellEnd"/>
            <w:r w:rsidR="008A6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6856"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  <w:proofErr w:type="spellEnd"/>
            <w:r w:rsidR="008A6856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A6856">
              <w:rPr>
                <w:rFonts w:ascii="Times New Roman" w:hAnsi="Times New Roman" w:cs="Times New Roman"/>
                <w:sz w:val="24"/>
                <w:szCs w:val="24"/>
              </w:rPr>
              <w:t>interpretări</w:t>
            </w:r>
            <w:proofErr w:type="spellEnd"/>
            <w:r w:rsidR="008A68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EA695" w14:textId="77777777" w:rsidR="008A6856" w:rsidRPr="008A6856" w:rsidRDefault="008A6856" w:rsidP="00E85E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0412" w:rsidRPr="000D2E56" w14:paraId="6C0DA5A5" w14:textId="77777777" w:rsidTr="00490412">
        <w:tc>
          <w:tcPr>
            <w:tcW w:w="9679" w:type="dxa"/>
          </w:tcPr>
          <w:p w14:paraId="560B4979" w14:textId="77777777" w:rsidR="00490412" w:rsidRDefault="00490412" w:rsidP="004904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3. Descrierea gradului de compatibilitate pentru proiectele care au ca scop armonizarea </w:t>
            </w:r>
            <w:r w:rsidR="00684785"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legislației</w:t>
            </w: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684785"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naționale</w:t>
            </w: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cu </w:t>
            </w:r>
            <w:r w:rsidR="00684785"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legislația</w:t>
            </w: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Uniunii Europene</w:t>
            </w:r>
          </w:p>
          <w:p w14:paraId="0A0E9242" w14:textId="77777777" w:rsidR="008A6856" w:rsidRPr="000D2E56" w:rsidRDefault="008A6856" w:rsidP="004904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90412" w:rsidRPr="000D2E56" w14:paraId="53E74DF6" w14:textId="77777777" w:rsidTr="00490412">
        <w:tc>
          <w:tcPr>
            <w:tcW w:w="9679" w:type="dxa"/>
          </w:tcPr>
          <w:p w14:paraId="6298A992" w14:textId="77777777" w:rsidR="00490412" w:rsidRDefault="00000C30" w:rsidP="0049041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hotără</w:t>
            </w:r>
            <w:r w:rsidR="00DF50BB" w:rsidRPr="00DF50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rii Guvernului nu conține </w:t>
            </w:r>
            <w:r w:rsidR="00DF50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norme referitoare la legislația </w:t>
            </w:r>
            <w:r w:rsidR="00DF50BB" w:rsidRPr="00DF50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Uniunii Europene</w:t>
            </w:r>
          </w:p>
          <w:p w14:paraId="15AE1EFB" w14:textId="77777777" w:rsidR="008A6856" w:rsidRPr="000D2E56" w:rsidRDefault="008A6856" w:rsidP="0049041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0412" w:rsidRPr="000D2E56" w14:paraId="1765C3F7" w14:textId="77777777" w:rsidTr="00490412">
        <w:tc>
          <w:tcPr>
            <w:tcW w:w="9679" w:type="dxa"/>
          </w:tcPr>
          <w:p w14:paraId="6BA6BAD8" w14:textId="77777777" w:rsidR="00490412" w:rsidRDefault="00490412" w:rsidP="004904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4. Principalele prevederi ale proiectului şi </w:t>
            </w:r>
            <w:r w:rsidR="00E164C6"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evidențierea</w:t>
            </w: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elementelor noi</w:t>
            </w:r>
          </w:p>
          <w:p w14:paraId="765AE08F" w14:textId="77777777" w:rsidR="008A6856" w:rsidRPr="000D2E56" w:rsidRDefault="008A6856" w:rsidP="004904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90412" w:rsidRPr="000D2E56" w14:paraId="508B1898" w14:textId="77777777" w:rsidTr="00490412">
        <w:tc>
          <w:tcPr>
            <w:tcW w:w="9679" w:type="dxa"/>
          </w:tcPr>
          <w:p w14:paraId="361B9181" w14:textId="77777777" w:rsidR="00A56D71" w:rsidRPr="000D2E56" w:rsidRDefault="00436C78" w:rsidP="00A56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6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Prezentu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 proiect de modificare a Legii </w:t>
            </w:r>
            <w:r w:rsidRPr="00436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160/2017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36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biblioteci îşi propune operarea  unor  modificări în special la Capitolul I, art.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și 5; Capitolul II</w:t>
            </w:r>
            <w:r w:rsidRPr="00436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art.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436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10, 11, 13, 14</w:t>
            </w:r>
            <w:r w:rsidR="008E13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18;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36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Capitolu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IV, art.</w:t>
            </w:r>
            <w:r w:rsidR="008E13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22 și art.23; Capitolul VII, art.38, </w:t>
            </w:r>
            <w:r w:rsidRPr="00436C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etc.</w:t>
            </w:r>
            <w:r w:rsidR="008E13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E1300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Scopul major al actualizării cadrului de reglementare este de a consolida rolul bibliotecii în soci</w:t>
            </w:r>
            <w:r w:rsidR="008E13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etate drept un serviciu public.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 lege oferă prin art.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art.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 o nouă abordare bibliotecii ce contribuie la edificarea și dezvoltarea durabilă a unei societăți reziliente, informate, incluzive și democratice, completând noi principii de dezvoltare a acesteia – al gratuității, confidențialității, asigurării demnității și respectului, precum și al dezvoltării durabile. În această ordine de idei</w:t>
            </w:r>
            <w:r w:rsidR="00A56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legea menționează rolul bibliotecilor de platforme pentru interacțiunea umană, crearea cunoștințelor, angajamentul civic, susținerea și 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dezvoltarea democrației. La fel ajustările la legea menționată conferă claritate termenului de bibliotecă publică, care în legea anterioară prezenta confuzii atât terminologice, cât și biblioteconomice. </w:t>
            </w:r>
          </w:p>
          <w:p w14:paraId="5AA9D33C" w14:textId="77777777" w:rsidR="00A56D71" w:rsidRPr="000D2E56" w:rsidRDefault="008E1300" w:rsidP="00A56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Totodată, experiența aplicării Legii cu privire la biblioteci, din 2017 până în 2022 a reliefat necesitatea de a exclude carențele normei vizate și oferă o abordare corelată cu legislația națională în cadrul 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Articolului 6. Sistemul național de biblioteci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01988AD" w14:textId="77777777" w:rsidR="00A56D71" w:rsidRPr="000D2E56" w:rsidRDefault="00A56D71" w:rsidP="00A56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(2) După forma de constituire bibliotecile pot fi de drept public și de drept privat:</w:t>
            </w:r>
          </w:p>
          <w:p w14:paraId="2E9D338F" w14:textId="77777777" w:rsidR="00A56D71" w:rsidRPr="000D2E56" w:rsidRDefault="00A56D71" w:rsidP="00A56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a) Bibliotecile de drept public se înființează şi se organizează în subordinea autorităților administrației publice centrale sau locale, a altor autorități publice ori instituții şi funcționează potrivit regulamentelor proprii aprobate de autoritățile sau instituțiile tutelare.</w:t>
            </w:r>
          </w:p>
          <w:p w14:paraId="5FCFBF34" w14:textId="77777777" w:rsidR="00A56D71" w:rsidRPr="000D2E56" w:rsidRDefault="00A56D71" w:rsidP="00A56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b) Bibliotecile de drept privat se înființează, se organizează şi funcționează în subordinea persoanelor juridice private sau a persoanelor fizice.</w:t>
            </w:r>
          </w:p>
          <w:p w14:paraId="3FE707F4" w14:textId="77777777" w:rsidR="00A56D71" w:rsidRPr="000D2E56" w:rsidRDefault="00A56D71" w:rsidP="00A56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(2) După forma de organizare a activității bibliotecile sunt:</w:t>
            </w:r>
          </w:p>
          <w:p w14:paraId="1D290238" w14:textId="77777777" w:rsidR="00A56D71" w:rsidRPr="000D2E56" w:rsidRDefault="00A56D71" w:rsidP="00A56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a) biblioteci cu statut de persoană juridică;</w:t>
            </w:r>
          </w:p>
          <w:p w14:paraId="4946EB5F" w14:textId="77777777" w:rsidR="00E85ECB" w:rsidRPr="00A4177B" w:rsidRDefault="00A56D71" w:rsidP="00A56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b) biblioteci fără statut de persoană juridică.</w:t>
            </w:r>
          </w:p>
          <w:p w14:paraId="40C06ADC" w14:textId="77777777" w:rsidR="00A4177B" w:rsidRPr="00A4177B" w:rsidRDefault="008E1300" w:rsidP="00A56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4177B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r w:rsidR="00E85EC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modificări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 vin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consonanță</w:t>
            </w:r>
            <w:proofErr w:type="spellEnd"/>
            <w:r w:rsidR="00E85ECB" w:rsidRPr="00F2071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E85ECB" w:rsidRPr="00F20719">
              <w:rPr>
                <w:rFonts w:ascii="Times New Roman" w:hAnsi="Times New Roman" w:cs="Times New Roman"/>
                <w:sz w:val="24"/>
                <w:szCs w:val="24"/>
              </w:rPr>
              <w:t>tendințele</w:t>
            </w:r>
            <w:proofErr w:type="spellEnd"/>
            <w:r w:rsidR="00E85ECB" w:rsidRPr="00F2071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85ECB" w:rsidRPr="00F20719">
              <w:rPr>
                <w:rFonts w:ascii="Times New Roman" w:hAnsi="Times New Roman" w:cs="Times New Roman"/>
                <w:sz w:val="24"/>
                <w:szCs w:val="24"/>
              </w:rPr>
              <w:t>modernizare</w:t>
            </w:r>
            <w:proofErr w:type="spellEnd"/>
            <w:r w:rsidR="00E85ECB" w:rsidRPr="00F20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 w:rsidRPr="00F2071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85ECB" w:rsidRPr="00F20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 w:rsidRPr="00F20719">
              <w:rPr>
                <w:rFonts w:ascii="Times New Roman" w:hAnsi="Times New Roman" w:cs="Times New Roman"/>
                <w:sz w:val="24"/>
                <w:szCs w:val="24"/>
              </w:rPr>
              <w:t>transformare</w:t>
            </w:r>
            <w:proofErr w:type="spellEnd"/>
            <w:r w:rsidR="00E85ECB" w:rsidRPr="00F20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bibliotecilor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5ECB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="00E85E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Această continuare a modificării legii devine tot mai necesară pe măsură ce instituțiile naționale își diversifică activitățile. Spre ex. Biblioteca Națională a Republicii Moldova va exercita funcția de 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Centrul Național de Digitalizare</w:t>
            </w:r>
            <w:r w:rsidR="00A417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asigura funcționarea 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Rezervei Naționale de Publicații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va dezvolta 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Repozitoriul Tematic Național în Biblioteconomie și Știința Informări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i, va exercita funcția de 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Centru Național de Statistică privind Activitatea Bibliotecilor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funcția de 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Centru Național de Formare Profesională Continuă în Biblioteconomie și Știința Informării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30D06179" w14:textId="77777777" w:rsidR="00863294" w:rsidRDefault="008E1300" w:rsidP="00A56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8632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Conform modelului de biblioteci de acest tip din spațiul european, 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Biblioteca Municipală „B</w:t>
            </w:r>
            <w:r w:rsidR="00A56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ogdan Petriceicu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Hasdeu” – </w:t>
            </w:r>
            <w:r w:rsidR="008632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reprezentând o instituție complexă, cu o rețea de </w:t>
            </w:r>
            <w:r w:rsidR="00E661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27 filiale </w:t>
            </w:r>
            <w:r w:rsidR="008632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863294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biblioteci-filiale pentru copii, biblioteci de cartier, biblioteci specializate</w:t>
            </w:r>
            <w:r w:rsidR="008632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va deveni o instituție de cultură cu statut de persoan</w:t>
            </w:r>
            <w:r w:rsidR="00A417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juridică care </w:t>
            </w:r>
            <w:r w:rsidR="00A4177B" w:rsidRPr="00A417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oferă un ansamblu coerent şi funcțional de servicii de informare, documentare, instruire, cercetare pentru o populație de circa 700</w:t>
            </w:r>
            <w:r w:rsidR="00A417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  <w:r w:rsidR="00A4177B" w:rsidRPr="00A417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  <w:r w:rsidR="00A417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Justificarea este argumentată </w:t>
            </w:r>
            <w:r w:rsidR="008632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responsabilitățile pe care le aplică: coordonarea și îndrumarea metodologică de organizare și funcționare a 35 de biblioteci din localitățile suburbane și formarea profesională continuă a personalului din aceste biblioteci. La fel deține responsabilitatea profesională și metodologică ca 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Centru biblioteconomic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ce asigură coordonarea și formarea profesională în bibliotecile ce-i conferă atribuții care depășesc capacitarea unei biblioteci municipale. În acest context, Biblioteca M</w:t>
            </w:r>
            <w:r w:rsidR="00A56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unicipală „Bogdan Petriceicu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Hasdeu” exercitând funcția de bibliotecă publică municipală </w:t>
            </w:r>
            <w:r w:rsidR="00A56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municipiul Chișinău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precum şi de statut de centru biblioteconomic teritorial pentru bibliotecile publice din unitățile administrativ-teritoriale de nivelul întâi</w:t>
            </w:r>
            <w:r w:rsidR="00E6618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municipiu.</w:t>
            </w:r>
          </w:p>
          <w:p w14:paraId="453839D8" w14:textId="3640B419" w:rsidR="00A56D71" w:rsidRPr="000D2E56" w:rsidRDefault="008E1300" w:rsidP="00A56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</w:t>
            </w:r>
            <w:r w:rsidR="008A68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contextul situației re</w:t>
            </w:r>
            <w:r w:rsidR="00297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ale, evaluarea bibliotecilor </w:t>
            </w:r>
            <w:r w:rsidR="008A68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demonstrat necesitatea reflectării în lege a bibliotecilor </w:t>
            </w:r>
            <w:r w:rsidR="00DD32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instituțiile de învățământ în raport cu tipurile instituțiilor de învățământ. În context, c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onform noilo</w:t>
            </w:r>
            <w:r w:rsidR="008632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 ajustări, legea se va conforma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structurii tipurilor instituțiilor de învățământ</w:t>
            </w:r>
            <w:r w:rsidR="00DE21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6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potrivit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Codului educației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6D71" w:rsidRPr="006D014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al Republicii Moldova </w:t>
            </w:r>
            <w:r w:rsidR="00A56D7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nr. </w:t>
            </w:r>
            <w:r w:rsidR="00A56D71" w:rsidRPr="006D014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152/2014</w:t>
            </w:r>
            <w:r w:rsidR="00A56D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va avea următorul text, inclus în 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Art. 11</w:t>
            </w:r>
            <w:r w:rsidR="00A56D7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Bibliotecile din instituțiile</w:t>
            </w:r>
            <w:r w:rsidR="00A56D7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de învăţămâ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nt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În conformitate cu tip</w:t>
            </w:r>
            <w:r w:rsidR="008632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urile </w:t>
            </w:r>
            <w:r w:rsidR="00AE54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8632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 din învățămâ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</w:t>
            </w:r>
            <w:r w:rsidR="008632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bibliotecile se vor clasifica în:</w:t>
            </w:r>
          </w:p>
          <w:p w14:paraId="190FF9F9" w14:textId="0FD79052" w:rsidR="009C5DE1" w:rsidRPr="009C5DE1" w:rsidRDefault="009C5DE1" w:rsidP="009C5D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</w:t>
            </w: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a) biblioteci</w:t>
            </w:r>
            <w:r w:rsidR="00DE215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din</w:t>
            </w: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instituţii de învăţământ primar și secundar;</w:t>
            </w:r>
          </w:p>
          <w:p w14:paraId="14F58B85" w14:textId="3B88A4C1" w:rsidR="009C5DE1" w:rsidRPr="009C5DE1" w:rsidRDefault="009C5DE1" w:rsidP="009C5D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b) biblioteci </w:t>
            </w:r>
            <w:r w:rsidR="00DE215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din </w:t>
            </w: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instituţii de învăţământ general cu programe combinate;</w:t>
            </w:r>
          </w:p>
          <w:p w14:paraId="2AF61A6D" w14:textId="0E027DE8" w:rsidR="009C5DE1" w:rsidRPr="009C5DE1" w:rsidRDefault="009C5DE1" w:rsidP="009C5D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c) biblioteci </w:t>
            </w:r>
            <w:r w:rsidR="00DE215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din </w:t>
            </w: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instituţii de învăţământ profesional tehnic;</w:t>
            </w:r>
          </w:p>
          <w:p w14:paraId="3E608869" w14:textId="722B26AE" w:rsidR="009C5DE1" w:rsidRPr="009C5DE1" w:rsidRDefault="009C5DE1" w:rsidP="009C5D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d) biblioteci </w:t>
            </w:r>
            <w:r w:rsidR="00DE215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din </w:t>
            </w: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instituţii de învăţământ profesional tehnic postsecundar şi postsecundar nonterţiar – colegiu;</w:t>
            </w:r>
          </w:p>
          <w:p w14:paraId="185E028F" w14:textId="3C2DD5D1" w:rsidR="009C5DE1" w:rsidRPr="009C5DE1" w:rsidRDefault="009C5DE1" w:rsidP="009C5D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e) biblioteci </w:t>
            </w:r>
            <w:r w:rsidR="00DE215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din </w:t>
            </w: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instituţii de învăţământ profesional tehnic cu programe combinate - centru de </w:t>
            </w: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excelenţă;</w:t>
            </w:r>
          </w:p>
          <w:p w14:paraId="6994D654" w14:textId="1A2EC6B9" w:rsidR="009C5DE1" w:rsidRPr="009C5DE1" w:rsidRDefault="009C5DE1" w:rsidP="009C5D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f) biblioteci </w:t>
            </w:r>
            <w:r w:rsidR="00DE215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din </w:t>
            </w: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instituţii de învăţământ superior;</w:t>
            </w:r>
          </w:p>
          <w:p w14:paraId="0DEF3F11" w14:textId="035E0C8B" w:rsidR="00A56D71" w:rsidRPr="000D2E56" w:rsidRDefault="009C5DE1" w:rsidP="009C5D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g) biblioteci</w:t>
            </w:r>
            <w:r w:rsidR="00DE215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din</w:t>
            </w:r>
            <w:r w:rsidRPr="009C5DE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instituţii de învăţământ special – instituţ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ie specială, școala auxiliară.</w:t>
            </w:r>
          </w:p>
          <w:p w14:paraId="2E532DE4" w14:textId="77777777" w:rsidR="00297914" w:rsidRDefault="008E1300" w:rsidP="00E16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contextul asigurării unui cadru legislativ uniform şi previzibil, legea aduce claritate și norme mai explicite pentru articolele: 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Articolul 22. Personalul bibliotecii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A56D71"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Articolul 38. Drepturile utilizatorului</w:t>
            </w:r>
            <w:r w:rsidR="00A56D71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etc.</w:t>
            </w:r>
            <w:r w:rsidR="00E164C6"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97914" w:rsidRPr="000D2E5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Prevederile </w:t>
            </w:r>
            <w:r w:rsidR="0029791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noului proiect de lege </w:t>
            </w:r>
            <w:r w:rsidR="00297914" w:rsidRPr="000D2E56">
              <w:rPr>
                <w:rFonts w:ascii="Times New Roman" w:hAnsi="Times New Roman"/>
                <w:sz w:val="24"/>
                <w:szCs w:val="24"/>
                <w:lang w:val="ro-RO"/>
              </w:rPr>
              <w:t>vin să reglementeze statutul bibliotecilor şi competențele lor, precum și consolidarea unei societăți bine informate, incluzive și democratice.</w:t>
            </w:r>
          </w:p>
          <w:p w14:paraId="48145EF1" w14:textId="77777777" w:rsidR="002913F3" w:rsidRPr="000D2E56" w:rsidRDefault="002913F3" w:rsidP="00E164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0412" w:rsidRPr="000D2E56" w14:paraId="17C2FB64" w14:textId="77777777" w:rsidTr="00490412">
        <w:tc>
          <w:tcPr>
            <w:tcW w:w="9679" w:type="dxa"/>
          </w:tcPr>
          <w:p w14:paraId="033B5F48" w14:textId="77777777" w:rsidR="00490412" w:rsidRPr="000D2E56" w:rsidRDefault="00490412" w:rsidP="0049041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5. Fundamentarea economico-financiară</w:t>
            </w:r>
          </w:p>
        </w:tc>
      </w:tr>
      <w:tr w:rsidR="00490412" w:rsidRPr="000D2E56" w14:paraId="5F9558DE" w14:textId="77777777" w:rsidTr="00490412">
        <w:tc>
          <w:tcPr>
            <w:tcW w:w="9679" w:type="dxa"/>
          </w:tcPr>
          <w:p w14:paraId="2E32E194" w14:textId="77777777" w:rsidR="00DF50BB" w:rsidRPr="00DF50BB" w:rsidRDefault="00DF50BB" w:rsidP="00606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CA">
              <w:rPr>
                <w:rFonts w:ascii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BB59CA">
              <w:rPr>
                <w:rFonts w:ascii="Times New Roman" w:hAnsi="Times New Roman" w:cs="Times New Roman"/>
                <w:sz w:val="24"/>
                <w:szCs w:val="24"/>
              </w:rPr>
              <w:t xml:space="preserve"> respective nu </w:t>
            </w:r>
            <w:proofErr w:type="spellStart"/>
            <w:r w:rsidRPr="00BB59CA">
              <w:rPr>
                <w:rFonts w:ascii="Times New Roman" w:hAnsi="Times New Roman" w:cs="Times New Roman"/>
                <w:sz w:val="24"/>
                <w:szCs w:val="24"/>
              </w:rPr>
              <w:t>generează</w:t>
            </w:r>
            <w:proofErr w:type="spellEnd"/>
            <w:r w:rsidRPr="00BB5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9CA">
              <w:rPr>
                <w:rFonts w:ascii="Times New Roman" w:hAnsi="Times New Roman" w:cs="Times New Roman"/>
                <w:sz w:val="24"/>
                <w:szCs w:val="24"/>
              </w:rPr>
              <w:t>cheltuieli</w:t>
            </w:r>
            <w:proofErr w:type="spellEnd"/>
            <w:r w:rsidRPr="00BB5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9CA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BB5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9CA">
              <w:rPr>
                <w:rFonts w:ascii="Times New Roman" w:hAnsi="Times New Roman" w:cs="Times New Roman"/>
                <w:sz w:val="24"/>
                <w:szCs w:val="24"/>
              </w:rPr>
              <w:t>suplimentare</w:t>
            </w:r>
            <w:proofErr w:type="spellEnd"/>
            <w:r w:rsidRPr="00BB5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04C8B9" w14:textId="77777777" w:rsidR="006F36C2" w:rsidRPr="000D2E56" w:rsidRDefault="006F36C2" w:rsidP="006F36C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0412" w:rsidRPr="000D2E56" w14:paraId="4A0745A6" w14:textId="77777777" w:rsidTr="00490412">
        <w:tc>
          <w:tcPr>
            <w:tcW w:w="9679" w:type="dxa"/>
          </w:tcPr>
          <w:p w14:paraId="7F7F19A2" w14:textId="77777777" w:rsidR="00490412" w:rsidRPr="000D2E56" w:rsidRDefault="00490412" w:rsidP="0049041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 Modul de încorporare a actului în cadrul normativ în vigoare</w:t>
            </w:r>
          </w:p>
        </w:tc>
      </w:tr>
      <w:tr w:rsidR="00490412" w:rsidRPr="000D2E56" w14:paraId="0CC67C90" w14:textId="77777777" w:rsidTr="00490412">
        <w:tc>
          <w:tcPr>
            <w:tcW w:w="9679" w:type="dxa"/>
          </w:tcPr>
          <w:p w14:paraId="1407DD6E" w14:textId="315BBFAA" w:rsidR="003A50DA" w:rsidRPr="000D2E56" w:rsidRDefault="00C15549" w:rsidP="003003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15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de lege nu necesită </w:t>
            </w:r>
            <w:r w:rsidR="00FE3D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actelor normative</w:t>
            </w:r>
            <w:r w:rsidR="003003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noi</w:t>
            </w:r>
            <w:r w:rsidR="003A449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FE3D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003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precum </w:t>
            </w:r>
            <w:r w:rsidR="00300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27CC" w:rsidRPr="003A4494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FE3D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155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operarea modificărilor în cuprinsul altor acte normative.</w:t>
            </w:r>
          </w:p>
        </w:tc>
      </w:tr>
      <w:tr w:rsidR="00490412" w:rsidRPr="000D2E56" w14:paraId="21448CCD" w14:textId="77777777" w:rsidTr="00490412">
        <w:tc>
          <w:tcPr>
            <w:tcW w:w="9679" w:type="dxa"/>
          </w:tcPr>
          <w:p w14:paraId="35A54B3F" w14:textId="77777777" w:rsidR="00490412" w:rsidRPr="000D2E56" w:rsidRDefault="00490412" w:rsidP="0049041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 Avizarea şi consultarea publică a proiectului</w:t>
            </w:r>
          </w:p>
        </w:tc>
      </w:tr>
      <w:tr w:rsidR="00490412" w:rsidRPr="000D2E56" w14:paraId="1B5FF76F" w14:textId="77777777" w:rsidTr="00490412">
        <w:tc>
          <w:tcPr>
            <w:tcW w:w="9679" w:type="dxa"/>
          </w:tcPr>
          <w:p w14:paraId="5DDA50F0" w14:textId="77777777" w:rsidR="003A50DA" w:rsidRPr="000D2E56" w:rsidRDefault="003A50DA" w:rsidP="00C474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În scopul respectării prevederilor </w:t>
            </w:r>
            <w:r w:rsidRPr="000D2E5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Legii nr. 239/2008 privind transparența în procesul decizional</w:t>
            </w:r>
            <w:r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în vederea elaborării actelor normative, anunțul despre inițierea procesului de elaborare a proiectului de lege pentru modificarea Legii </w:t>
            </w:r>
            <w:r w:rsidR="009B6B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160/2017 </w:t>
            </w:r>
            <w:r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 privire la biblioteci a fost plasat pe platforma </w:t>
            </w:r>
            <w:r w:rsidRPr="00DF17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particip.gov.md</w:t>
            </w:r>
            <w:r w:rsidR="00DF17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 </w:t>
            </w:r>
            <w:hyperlink r:id="rId6" w:history="1">
              <w:r w:rsidR="00DF17F2" w:rsidRPr="000C2D6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https://bit.ly/3AI0B15</w:t>
              </w:r>
            </w:hyperlink>
            <w:r w:rsidR="00DF17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490412" w:rsidRPr="000D2E56" w14:paraId="70B513AD" w14:textId="77777777" w:rsidTr="00490412">
        <w:tc>
          <w:tcPr>
            <w:tcW w:w="9679" w:type="dxa"/>
          </w:tcPr>
          <w:p w14:paraId="4BA4148C" w14:textId="77777777" w:rsidR="00490412" w:rsidRPr="000D2E56" w:rsidRDefault="00490412" w:rsidP="0049041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8. Constatările expertizei </w:t>
            </w:r>
            <w:r w:rsidR="00E164C6"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anticorupție</w:t>
            </w:r>
          </w:p>
        </w:tc>
      </w:tr>
      <w:tr w:rsidR="00490412" w:rsidRPr="000D2E56" w14:paraId="67957174" w14:textId="77777777" w:rsidTr="00490412">
        <w:tc>
          <w:tcPr>
            <w:tcW w:w="9679" w:type="dxa"/>
          </w:tcPr>
          <w:p w14:paraId="6DC0C55D" w14:textId="77777777" w:rsidR="00490412" w:rsidRPr="000D2E56" w:rsidRDefault="003A50DA" w:rsidP="003A5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Constatările expertizei anticorupție vor fi incluse în sinteza obiecțiilor și propunerilor (recomandărilor) parvenite urmare procedurii de avizare.</w:t>
            </w:r>
          </w:p>
          <w:p w14:paraId="176061D2" w14:textId="77777777" w:rsidR="006F36C2" w:rsidRPr="000D2E56" w:rsidRDefault="006F36C2" w:rsidP="003A5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0412" w:rsidRPr="000D2E56" w14:paraId="6EA07E14" w14:textId="77777777" w:rsidTr="00490412">
        <w:tc>
          <w:tcPr>
            <w:tcW w:w="9679" w:type="dxa"/>
          </w:tcPr>
          <w:p w14:paraId="6B2E69DF" w14:textId="77777777" w:rsidR="00490412" w:rsidRPr="000D2E56" w:rsidRDefault="00490412" w:rsidP="0049041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 Constatările expertizei de compatibilitate</w:t>
            </w:r>
          </w:p>
        </w:tc>
      </w:tr>
      <w:tr w:rsidR="00490412" w:rsidRPr="000D2E56" w14:paraId="29DA2977" w14:textId="77777777" w:rsidTr="00490412">
        <w:tc>
          <w:tcPr>
            <w:tcW w:w="9679" w:type="dxa"/>
          </w:tcPr>
          <w:p w14:paraId="1E11BF07" w14:textId="77777777" w:rsidR="00490412" w:rsidRPr="000D2E56" w:rsidRDefault="00297914" w:rsidP="0049041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7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nu cade sub incidența altor expertize de compatibilitate, necesare de a fi efectuate, în condițiile Legii nr.100/2017 cu privire la actele normative.</w:t>
            </w:r>
          </w:p>
        </w:tc>
      </w:tr>
      <w:tr w:rsidR="00490412" w:rsidRPr="000D2E56" w14:paraId="03574F67" w14:textId="77777777" w:rsidTr="00490412">
        <w:tc>
          <w:tcPr>
            <w:tcW w:w="9679" w:type="dxa"/>
          </w:tcPr>
          <w:p w14:paraId="31757D5E" w14:textId="77777777" w:rsidR="00490412" w:rsidRPr="000D2E56" w:rsidRDefault="00490412" w:rsidP="0049041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 Constatările expertizei juridice</w:t>
            </w:r>
          </w:p>
        </w:tc>
      </w:tr>
      <w:tr w:rsidR="00490412" w:rsidRPr="000D2E56" w14:paraId="32C68697" w14:textId="77777777" w:rsidTr="00490412">
        <w:tc>
          <w:tcPr>
            <w:tcW w:w="9679" w:type="dxa"/>
          </w:tcPr>
          <w:p w14:paraId="478DC423" w14:textId="77777777" w:rsidR="00490412" w:rsidRPr="000D2E56" w:rsidRDefault="003A50DA" w:rsidP="003A5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Concluziile expertizei Ministerului Justiției vor fi incluse în sinteza obiecțiilor și propunerilor (recomandărilor) parvenite urmare procedurii de avizare.</w:t>
            </w:r>
          </w:p>
          <w:p w14:paraId="24AA4284" w14:textId="77777777" w:rsidR="006F36C2" w:rsidRPr="000D2E56" w:rsidRDefault="006F36C2" w:rsidP="003A5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0412" w:rsidRPr="000D2E56" w14:paraId="2067AF35" w14:textId="77777777" w:rsidTr="00490412">
        <w:tc>
          <w:tcPr>
            <w:tcW w:w="9679" w:type="dxa"/>
          </w:tcPr>
          <w:p w14:paraId="05261105" w14:textId="77777777" w:rsidR="00490412" w:rsidRPr="000D2E56" w:rsidRDefault="00490412" w:rsidP="0049041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D2E5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 Constatările altor expertize</w:t>
            </w:r>
          </w:p>
        </w:tc>
      </w:tr>
      <w:tr w:rsidR="00490412" w:rsidRPr="000D2E56" w14:paraId="103A1701" w14:textId="77777777" w:rsidTr="00490412">
        <w:tc>
          <w:tcPr>
            <w:tcW w:w="9679" w:type="dxa"/>
          </w:tcPr>
          <w:p w14:paraId="44B9352F" w14:textId="77777777" w:rsidR="00490412" w:rsidRPr="000D2E56" w:rsidRDefault="00297914" w:rsidP="0049041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79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nu cade sub incidența altor expertize necesare de a fi efectuate, în condițiile Legii nr.100/2017 cu privire la actele normative.</w:t>
            </w:r>
          </w:p>
        </w:tc>
      </w:tr>
    </w:tbl>
    <w:p w14:paraId="1F914D6B" w14:textId="77777777" w:rsidR="00490412" w:rsidRDefault="00490412" w:rsidP="0049041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453C35C" w14:textId="77777777" w:rsidR="00633E14" w:rsidRDefault="00633E14" w:rsidP="0049041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C7A70D2" w14:textId="77777777" w:rsidR="009C5DE1" w:rsidRDefault="009C5DE1" w:rsidP="0049041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046FE4F" w14:textId="77777777" w:rsidR="009C5DE1" w:rsidRDefault="009C5DE1" w:rsidP="0049041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E96E441" w14:textId="536E5B0D" w:rsidR="009C5DE1" w:rsidRPr="009C5DE1" w:rsidRDefault="009C5DE1" w:rsidP="0049041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DBF7D5B" w14:textId="17EF53CB" w:rsidR="00633E14" w:rsidRPr="009C5DE1" w:rsidRDefault="00AD7FA4" w:rsidP="0049041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Secreta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r general</w:t>
      </w:r>
      <w:r w:rsidRPr="009C5D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Ana VARZARI</w:t>
      </w:r>
    </w:p>
    <w:sectPr w:rsidR="00633E14" w:rsidRPr="009C5DE1" w:rsidSect="000879D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esea Bordan">
    <w15:presenceInfo w15:providerId="AD" w15:userId="S-1-5-21-2194404385-734786314-3077462605-1951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412"/>
    <w:rsid w:val="00000C30"/>
    <w:rsid w:val="00006B07"/>
    <w:rsid w:val="000111C3"/>
    <w:rsid w:val="000879DD"/>
    <w:rsid w:val="000D2E56"/>
    <w:rsid w:val="000E0DB9"/>
    <w:rsid w:val="00177DCE"/>
    <w:rsid w:val="001E1C5D"/>
    <w:rsid w:val="001F2364"/>
    <w:rsid w:val="00251698"/>
    <w:rsid w:val="002913F3"/>
    <w:rsid w:val="00294C9F"/>
    <w:rsid w:val="00297914"/>
    <w:rsid w:val="002A24E4"/>
    <w:rsid w:val="002F0674"/>
    <w:rsid w:val="0030037D"/>
    <w:rsid w:val="00304E40"/>
    <w:rsid w:val="00312619"/>
    <w:rsid w:val="00351F1B"/>
    <w:rsid w:val="003802A9"/>
    <w:rsid w:val="0039185A"/>
    <w:rsid w:val="003A4494"/>
    <w:rsid w:val="003A50DA"/>
    <w:rsid w:val="003E45B2"/>
    <w:rsid w:val="004140A1"/>
    <w:rsid w:val="00436C78"/>
    <w:rsid w:val="00460AED"/>
    <w:rsid w:val="00490412"/>
    <w:rsid w:val="00491243"/>
    <w:rsid w:val="004C5532"/>
    <w:rsid w:val="004D5FE1"/>
    <w:rsid w:val="0051505F"/>
    <w:rsid w:val="00550A1E"/>
    <w:rsid w:val="00606326"/>
    <w:rsid w:val="0063327B"/>
    <w:rsid w:val="00633E14"/>
    <w:rsid w:val="00684785"/>
    <w:rsid w:val="006927CC"/>
    <w:rsid w:val="006D014D"/>
    <w:rsid w:val="006F36C2"/>
    <w:rsid w:val="007874D4"/>
    <w:rsid w:val="00810CDF"/>
    <w:rsid w:val="00816A20"/>
    <w:rsid w:val="00863294"/>
    <w:rsid w:val="008A6856"/>
    <w:rsid w:val="008E1300"/>
    <w:rsid w:val="009264A3"/>
    <w:rsid w:val="00927D9A"/>
    <w:rsid w:val="009B6B92"/>
    <w:rsid w:val="009C5DE1"/>
    <w:rsid w:val="00A13E95"/>
    <w:rsid w:val="00A4177B"/>
    <w:rsid w:val="00A472EF"/>
    <w:rsid w:val="00A56D71"/>
    <w:rsid w:val="00A70033"/>
    <w:rsid w:val="00A8041F"/>
    <w:rsid w:val="00AA243C"/>
    <w:rsid w:val="00AB4836"/>
    <w:rsid w:val="00AD7FA4"/>
    <w:rsid w:val="00AE47FF"/>
    <w:rsid w:val="00AE545C"/>
    <w:rsid w:val="00B0197F"/>
    <w:rsid w:val="00B31AA2"/>
    <w:rsid w:val="00B35168"/>
    <w:rsid w:val="00B82AC1"/>
    <w:rsid w:val="00BB59CA"/>
    <w:rsid w:val="00C05CAD"/>
    <w:rsid w:val="00C070B7"/>
    <w:rsid w:val="00C15549"/>
    <w:rsid w:val="00C270CE"/>
    <w:rsid w:val="00C47455"/>
    <w:rsid w:val="00C63243"/>
    <w:rsid w:val="00CB6516"/>
    <w:rsid w:val="00CB670A"/>
    <w:rsid w:val="00DD32CD"/>
    <w:rsid w:val="00DE2150"/>
    <w:rsid w:val="00DF17F2"/>
    <w:rsid w:val="00DF50BB"/>
    <w:rsid w:val="00E04793"/>
    <w:rsid w:val="00E164C6"/>
    <w:rsid w:val="00E66187"/>
    <w:rsid w:val="00E84622"/>
    <w:rsid w:val="00E85ECB"/>
    <w:rsid w:val="00E873E7"/>
    <w:rsid w:val="00E95019"/>
    <w:rsid w:val="00EB6C80"/>
    <w:rsid w:val="00EC1B12"/>
    <w:rsid w:val="00F20719"/>
    <w:rsid w:val="00FE3D5C"/>
    <w:rsid w:val="00F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2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50D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A6856"/>
    <w:pPr>
      <w:ind w:left="720"/>
      <w:contextualSpacing/>
    </w:pPr>
  </w:style>
  <w:style w:type="paragraph" w:styleId="a6">
    <w:name w:val="Revision"/>
    <w:hidden/>
    <w:uiPriority w:val="99"/>
    <w:semiHidden/>
    <w:rsid w:val="000111C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A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50D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A6856"/>
    <w:pPr>
      <w:ind w:left="720"/>
      <w:contextualSpacing/>
    </w:pPr>
  </w:style>
  <w:style w:type="paragraph" w:styleId="a6">
    <w:name w:val="Revision"/>
    <w:hidden/>
    <w:uiPriority w:val="99"/>
    <w:semiHidden/>
    <w:rsid w:val="000111C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A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19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0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3AI0B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88CF-FC9A-4F5E-9587-B249FD1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1468</Words>
  <Characters>8373</Characters>
  <Application>Microsoft Office Word</Application>
  <DocSecurity>0</DocSecurity>
  <Lines>69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Lenovo</cp:lastModifiedBy>
  <cp:revision>5</cp:revision>
  <cp:lastPrinted>2023-05-11T08:40:00Z</cp:lastPrinted>
  <dcterms:created xsi:type="dcterms:W3CDTF">2023-05-11T05:53:00Z</dcterms:created>
  <dcterms:modified xsi:type="dcterms:W3CDTF">2023-05-11T08:40:00Z</dcterms:modified>
</cp:coreProperties>
</file>