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0F" w:rsidRPr="00DE360F" w:rsidRDefault="00DE360F" w:rsidP="00DE360F">
      <w:pPr>
        <w:pStyle w:val="Default"/>
        <w:jc w:val="center"/>
        <w:rPr>
          <w:lang w:val="ro-RO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DE360F" w:rsidRPr="00DE360F" w:rsidTr="00ED0F1C">
        <w:trPr>
          <w:trHeight w:val="768"/>
        </w:trPr>
        <w:tc>
          <w:tcPr>
            <w:tcW w:w="9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F" w:rsidRPr="00DE360F" w:rsidRDefault="00DE360F" w:rsidP="00DE360F">
            <w:pPr>
              <w:pStyle w:val="Default"/>
              <w:jc w:val="center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>NOTĂ INFORMATIVĂ</w:t>
            </w:r>
          </w:p>
          <w:p w:rsidR="00DE360F" w:rsidRPr="0042731B" w:rsidRDefault="00DE360F" w:rsidP="00DE360F">
            <w:pPr>
              <w:pStyle w:val="Default"/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>la proiectul hotărâr</w:t>
            </w:r>
            <w:r w:rsidR="00ED4473">
              <w:rPr>
                <w:b/>
                <w:bCs/>
                <w:sz w:val="28"/>
                <w:szCs w:val="28"/>
                <w:lang w:val="ro-RO"/>
              </w:rPr>
              <w:t>ii</w:t>
            </w: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 Parlamentului</w:t>
            </w:r>
            <w:r w:rsidR="00F155AD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DE360F">
              <w:rPr>
                <w:b/>
                <w:bCs/>
                <w:sz w:val="28"/>
                <w:szCs w:val="28"/>
                <w:lang w:val="ro-RO"/>
              </w:rPr>
              <w:t>pentru aprobarea Raportului privind executarea bugetului</w:t>
            </w:r>
            <w:r w:rsidR="006F3607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de stat </w:t>
            </w:r>
            <w:r w:rsidR="0098100E">
              <w:rPr>
                <w:b/>
                <w:bCs/>
                <w:sz w:val="28"/>
                <w:szCs w:val="28"/>
                <w:lang w:val="ro-RO"/>
              </w:rPr>
              <w:t>pe</w:t>
            </w: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 anul 20</w:t>
            </w:r>
            <w:r w:rsidR="00654975" w:rsidRPr="00654975">
              <w:rPr>
                <w:b/>
                <w:bCs/>
                <w:sz w:val="28"/>
                <w:szCs w:val="28"/>
                <w:lang w:val="en-GB"/>
              </w:rPr>
              <w:t>2</w:t>
            </w:r>
            <w:r w:rsidR="00F2578B">
              <w:rPr>
                <w:b/>
                <w:bCs/>
                <w:sz w:val="28"/>
                <w:szCs w:val="28"/>
                <w:lang w:val="en-GB"/>
              </w:rPr>
              <w:t>2</w:t>
            </w:r>
          </w:p>
          <w:p w:rsidR="00DE360F" w:rsidRPr="00DE360F" w:rsidRDefault="00DE360F" w:rsidP="00DE360F">
            <w:pPr>
              <w:pStyle w:val="Default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DE360F" w:rsidRPr="00DE360F" w:rsidTr="00ED0F1C">
        <w:trPr>
          <w:trHeight w:val="286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1. Denumirea autorului şi, după caz, a participanţilor la elaborarea proiectului </w:t>
            </w:r>
          </w:p>
        </w:tc>
      </w:tr>
      <w:tr w:rsidR="00DE360F" w:rsidRPr="00DE360F" w:rsidTr="00ED0F1C">
        <w:trPr>
          <w:trHeight w:val="127"/>
        </w:trPr>
        <w:tc>
          <w:tcPr>
            <w:tcW w:w="9558" w:type="dxa"/>
            <w:tcBorders>
              <w:top w:val="single" w:sz="4" w:space="0" w:color="auto"/>
            </w:tcBorders>
          </w:tcPr>
          <w:p w:rsidR="00DE360F" w:rsidRPr="00DE360F" w:rsidRDefault="00A16DE4" w:rsidP="00C15A93">
            <w:pPr>
              <w:pStyle w:val="Defaul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</w:t>
            </w:r>
            <w:r w:rsidR="00C15A93">
              <w:rPr>
                <w:sz w:val="28"/>
                <w:szCs w:val="28"/>
                <w:lang w:val="ro-RO"/>
              </w:rPr>
              <w:t xml:space="preserve"> hot</w:t>
            </w:r>
            <w:proofErr w:type="spellStart"/>
            <w:r w:rsidR="00C15A93">
              <w:rPr>
                <w:sz w:val="28"/>
                <w:szCs w:val="28"/>
                <w:lang w:val="ro-MD"/>
              </w:rPr>
              <w:t>ărârii</w:t>
            </w:r>
            <w:proofErr w:type="spellEnd"/>
            <w:r w:rsidR="00C15A93">
              <w:rPr>
                <w:sz w:val="28"/>
                <w:szCs w:val="28"/>
                <w:lang w:val="ro-MD"/>
              </w:rPr>
              <w:t xml:space="preserve"> Parlamentului pentru aprobarea Raportului privind executarea bugetului de stat pe anul 2022 </w:t>
            </w:r>
            <w:r>
              <w:rPr>
                <w:sz w:val="28"/>
                <w:szCs w:val="28"/>
                <w:lang w:val="ro-RO"/>
              </w:rPr>
              <w:t xml:space="preserve"> este elaborat de </w:t>
            </w:r>
            <w:r w:rsidR="006D5727">
              <w:rPr>
                <w:sz w:val="28"/>
                <w:szCs w:val="28"/>
                <w:lang w:val="ro-RO"/>
              </w:rPr>
              <w:t>Ministerul Finanțelor</w:t>
            </w:r>
          </w:p>
        </w:tc>
      </w:tr>
      <w:tr w:rsidR="00DE360F" w:rsidRPr="00DE360F" w:rsidTr="00ED0F1C">
        <w:trPr>
          <w:trHeight w:val="286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2. Condiţiile ce au impus elaborarea proiectului de act normativ şi finalităţile urmărite </w:t>
            </w:r>
          </w:p>
        </w:tc>
      </w:tr>
      <w:tr w:rsidR="00DE360F" w:rsidRPr="00DE360F" w:rsidTr="00ED0F1C">
        <w:trPr>
          <w:trHeight w:val="288"/>
        </w:trPr>
        <w:tc>
          <w:tcPr>
            <w:tcW w:w="9558" w:type="dxa"/>
          </w:tcPr>
          <w:p w:rsidR="00DE360F" w:rsidRPr="00DE360F" w:rsidRDefault="00DE360F" w:rsidP="00797EEF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  <w:r w:rsidRPr="00DE360F">
              <w:rPr>
                <w:sz w:val="28"/>
                <w:szCs w:val="28"/>
                <w:lang w:val="ro-RO"/>
              </w:rPr>
              <w:t xml:space="preserve">Proiectul menţionat este elaborat în </w:t>
            </w:r>
            <w:r w:rsidR="00823C64">
              <w:rPr>
                <w:sz w:val="28"/>
                <w:szCs w:val="28"/>
                <w:lang w:val="ro-RO"/>
              </w:rPr>
              <w:t>temeiul</w:t>
            </w:r>
            <w:r w:rsidRPr="00DE360F">
              <w:rPr>
                <w:sz w:val="28"/>
                <w:szCs w:val="28"/>
                <w:lang w:val="ro-RO"/>
              </w:rPr>
              <w:t xml:space="preserve"> art</w:t>
            </w:r>
            <w:r w:rsidR="00823C64">
              <w:rPr>
                <w:sz w:val="28"/>
                <w:szCs w:val="28"/>
                <w:lang w:val="ro-RO"/>
              </w:rPr>
              <w:t>.</w:t>
            </w:r>
            <w:r w:rsidRPr="00DE360F">
              <w:rPr>
                <w:sz w:val="28"/>
                <w:szCs w:val="28"/>
                <w:lang w:val="ro-RO"/>
              </w:rPr>
              <w:t xml:space="preserve"> 73</w:t>
            </w:r>
            <w:r w:rsidR="00797EEF">
              <w:rPr>
                <w:sz w:val="28"/>
                <w:szCs w:val="28"/>
                <w:lang w:val="ro-RO"/>
              </w:rPr>
              <w:t>, art. 47 din</w:t>
            </w:r>
            <w:r w:rsidRPr="00DE360F">
              <w:rPr>
                <w:sz w:val="28"/>
                <w:szCs w:val="28"/>
                <w:lang w:val="ro-RO"/>
              </w:rPr>
              <w:t xml:space="preserve"> Leg</w:t>
            </w:r>
            <w:r w:rsidR="00797EEF">
              <w:rPr>
                <w:sz w:val="28"/>
                <w:szCs w:val="28"/>
                <w:lang w:val="ro-RO"/>
              </w:rPr>
              <w:t>ea</w:t>
            </w:r>
            <w:r w:rsidRPr="00DE360F">
              <w:rPr>
                <w:sz w:val="28"/>
                <w:szCs w:val="28"/>
                <w:lang w:val="ro-RO"/>
              </w:rPr>
              <w:t xml:space="preserve"> finan</w:t>
            </w:r>
            <w:r w:rsidR="0042731B">
              <w:rPr>
                <w:sz w:val="28"/>
                <w:szCs w:val="28"/>
                <w:lang w:val="ro-RO"/>
              </w:rPr>
              <w:t>ț</w:t>
            </w:r>
            <w:r w:rsidRPr="00DE360F">
              <w:rPr>
                <w:sz w:val="28"/>
                <w:szCs w:val="28"/>
                <w:lang w:val="ro-RO"/>
              </w:rPr>
              <w:t xml:space="preserve">elor publice </w:t>
            </w:r>
            <w:r w:rsidR="0042731B">
              <w:rPr>
                <w:sz w:val="28"/>
                <w:szCs w:val="28"/>
                <w:lang w:val="ro-RO"/>
              </w:rPr>
              <w:t>ș</w:t>
            </w:r>
            <w:r w:rsidRPr="00DE360F">
              <w:rPr>
                <w:sz w:val="28"/>
                <w:szCs w:val="28"/>
                <w:lang w:val="ro-RO"/>
              </w:rPr>
              <w:t>i responsabilită</w:t>
            </w:r>
            <w:r w:rsidR="0042731B">
              <w:rPr>
                <w:sz w:val="28"/>
                <w:szCs w:val="28"/>
                <w:lang w:val="ro-RO"/>
              </w:rPr>
              <w:t>ț</w:t>
            </w:r>
            <w:r w:rsidRPr="00DE360F">
              <w:rPr>
                <w:sz w:val="28"/>
                <w:szCs w:val="28"/>
                <w:lang w:val="ro-RO"/>
              </w:rPr>
              <w:t xml:space="preserve">ii bugetar – fiscale nr. 181/2014. </w:t>
            </w:r>
          </w:p>
        </w:tc>
      </w:tr>
      <w:tr w:rsidR="00DE360F" w:rsidRPr="00DE360F" w:rsidTr="00ED0F1C">
        <w:trPr>
          <w:trHeight w:val="286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DE360F" w:rsidRPr="00DE360F" w:rsidTr="00ED0F1C">
        <w:trPr>
          <w:trHeight w:val="286"/>
        </w:trPr>
        <w:tc>
          <w:tcPr>
            <w:tcW w:w="9558" w:type="dxa"/>
          </w:tcPr>
          <w:p w:rsidR="00DE360F" w:rsidRPr="000F58E9" w:rsidRDefault="000F58E9" w:rsidP="008A64ED">
            <w:pPr>
              <w:pStyle w:val="Default"/>
              <w:jc w:val="both"/>
              <w:rPr>
                <w:bCs/>
                <w:sz w:val="28"/>
                <w:szCs w:val="28"/>
                <w:lang w:val="ro-RO"/>
              </w:rPr>
            </w:pPr>
            <w:r w:rsidRPr="000F58E9">
              <w:rPr>
                <w:bCs/>
                <w:sz w:val="28"/>
                <w:szCs w:val="28"/>
                <w:lang w:val="ro-RO"/>
              </w:rPr>
              <w:t>P</w:t>
            </w:r>
            <w:r>
              <w:rPr>
                <w:bCs/>
                <w:sz w:val="28"/>
                <w:szCs w:val="28"/>
                <w:lang w:val="ro-RO"/>
              </w:rPr>
              <w:t>r</w:t>
            </w:r>
            <w:r w:rsidRPr="000F58E9">
              <w:rPr>
                <w:bCs/>
                <w:sz w:val="28"/>
                <w:szCs w:val="28"/>
                <w:lang w:val="ro-RO"/>
              </w:rPr>
              <w:t xml:space="preserve">oiectul nu are drept </w:t>
            </w:r>
            <w:r>
              <w:rPr>
                <w:bCs/>
                <w:sz w:val="28"/>
                <w:szCs w:val="28"/>
                <w:lang w:val="ro-RO"/>
              </w:rPr>
              <w:t>scop armonizarea legislației naționale cu legislația Uniunii Europene.</w:t>
            </w:r>
          </w:p>
        </w:tc>
      </w:tr>
      <w:tr w:rsidR="00DE360F" w:rsidRPr="00DE360F" w:rsidTr="00ED0F1C">
        <w:trPr>
          <w:trHeight w:val="125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4. Principalele prevederi ale proiectului şi evidenţierea elementelor noi </w:t>
            </w:r>
          </w:p>
        </w:tc>
      </w:tr>
      <w:tr w:rsidR="00DE360F" w:rsidRPr="006962A1" w:rsidTr="00ED0F1C">
        <w:trPr>
          <w:trHeight w:val="2657"/>
        </w:trPr>
        <w:tc>
          <w:tcPr>
            <w:tcW w:w="9558" w:type="dxa"/>
          </w:tcPr>
          <w:p w:rsidR="005B4F95" w:rsidRPr="005B4F95" w:rsidRDefault="00DE360F" w:rsidP="00654975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  <w:r w:rsidRPr="00DE360F">
              <w:rPr>
                <w:sz w:val="28"/>
                <w:szCs w:val="28"/>
                <w:lang w:val="ro-RO"/>
              </w:rPr>
              <w:t>În Raport sunt expuse datele privind executarea bugetului de stat în anul 20</w:t>
            </w:r>
            <w:r w:rsidR="00654975" w:rsidRPr="00654975">
              <w:rPr>
                <w:sz w:val="28"/>
                <w:szCs w:val="28"/>
                <w:lang w:val="en-GB"/>
              </w:rPr>
              <w:t>2</w:t>
            </w:r>
            <w:r w:rsidR="006F2F48">
              <w:rPr>
                <w:sz w:val="28"/>
                <w:szCs w:val="28"/>
                <w:lang w:val="en-GB"/>
              </w:rPr>
              <w:t>2</w:t>
            </w:r>
            <w:r w:rsidRPr="00DE360F">
              <w:rPr>
                <w:sz w:val="28"/>
                <w:szCs w:val="28"/>
                <w:lang w:val="ro-RO"/>
              </w:rPr>
              <w:t xml:space="preserve"> la venituri în sumă de </w:t>
            </w:r>
            <w:r w:rsidR="006F2F48">
              <w:rPr>
                <w:sz w:val="28"/>
                <w:szCs w:val="28"/>
                <w:lang w:val="ro-RO"/>
              </w:rPr>
              <w:t>59 247 978,9</w:t>
            </w:r>
            <w:r w:rsidRPr="00DE360F">
              <w:rPr>
                <w:sz w:val="28"/>
                <w:szCs w:val="28"/>
                <w:lang w:val="ro-RO"/>
              </w:rPr>
              <w:t xml:space="preserve"> mi</w:t>
            </w:r>
            <w:r w:rsidR="00F271B3">
              <w:rPr>
                <w:sz w:val="28"/>
                <w:szCs w:val="28"/>
                <w:lang w:val="ro-RO"/>
              </w:rPr>
              <w:t xml:space="preserve">i </w:t>
            </w:r>
            <w:r w:rsidRPr="00DE360F">
              <w:rPr>
                <w:sz w:val="28"/>
                <w:szCs w:val="28"/>
                <w:lang w:val="ro-RO"/>
              </w:rPr>
              <w:t xml:space="preserve">lei </w:t>
            </w:r>
            <w:proofErr w:type="spellStart"/>
            <w:r w:rsidRPr="00DE360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DE360F">
              <w:rPr>
                <w:sz w:val="28"/>
                <w:szCs w:val="28"/>
                <w:lang w:val="ro-RO"/>
              </w:rPr>
              <w:t xml:space="preserve"> la cheltuieli în sumă de </w:t>
            </w:r>
            <w:r w:rsidR="006F2F48">
              <w:rPr>
                <w:sz w:val="28"/>
                <w:szCs w:val="28"/>
                <w:lang w:val="ro-RO"/>
              </w:rPr>
              <w:t>68 573 472,0</w:t>
            </w:r>
            <w:r w:rsidR="00C9139E">
              <w:rPr>
                <w:sz w:val="28"/>
                <w:szCs w:val="28"/>
                <w:lang w:val="ro-RO"/>
              </w:rPr>
              <w:t xml:space="preserve"> </w:t>
            </w:r>
            <w:r w:rsidRPr="00DE360F">
              <w:rPr>
                <w:sz w:val="28"/>
                <w:szCs w:val="28"/>
                <w:lang w:val="ro-RO"/>
              </w:rPr>
              <w:t>mi</w:t>
            </w:r>
            <w:r w:rsidR="00F271B3">
              <w:rPr>
                <w:sz w:val="28"/>
                <w:szCs w:val="28"/>
                <w:lang w:val="ro-RO"/>
              </w:rPr>
              <w:t>i</w:t>
            </w:r>
            <w:r w:rsidRPr="00DE360F">
              <w:rPr>
                <w:sz w:val="28"/>
                <w:szCs w:val="28"/>
                <w:lang w:val="ro-RO"/>
              </w:rPr>
              <w:t xml:space="preserve"> lei, cu un </w:t>
            </w:r>
            <w:r w:rsidR="004C7F58">
              <w:rPr>
                <w:sz w:val="28"/>
                <w:szCs w:val="28"/>
                <w:lang w:val="ro-RO"/>
              </w:rPr>
              <w:t>deficit</w:t>
            </w:r>
            <w:r w:rsidRPr="00DE360F">
              <w:rPr>
                <w:sz w:val="28"/>
                <w:szCs w:val="28"/>
                <w:lang w:val="ro-RO"/>
              </w:rPr>
              <w:t xml:space="preserve"> în sumă de </w:t>
            </w:r>
            <w:r w:rsidR="0036120E">
              <w:rPr>
                <w:sz w:val="28"/>
                <w:szCs w:val="28"/>
                <w:lang w:val="ro-RO"/>
              </w:rPr>
              <w:t>9 325 493,1</w:t>
            </w:r>
            <w:r w:rsidR="00F271B3">
              <w:rPr>
                <w:sz w:val="28"/>
                <w:szCs w:val="28"/>
                <w:lang w:val="ro-RO"/>
              </w:rPr>
              <w:t xml:space="preserve"> mii</w:t>
            </w:r>
            <w:r w:rsidRPr="00DE360F">
              <w:rPr>
                <w:sz w:val="28"/>
                <w:szCs w:val="28"/>
                <w:lang w:val="ro-RO"/>
              </w:rPr>
              <w:t xml:space="preserve"> lei.</w:t>
            </w:r>
          </w:p>
          <w:p w:rsidR="00DE360F" w:rsidRPr="005B4F95" w:rsidRDefault="005B4F95" w:rsidP="005B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afară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aceasta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Raportul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conține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informația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surse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finanţare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deficitului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datoria</w:t>
            </w:r>
            <w:proofErr w:type="spellEnd"/>
            <w:proofErr w:type="gram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de stat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soldurile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mijloace</w:t>
            </w:r>
            <w:r w:rsidR="00DB7AF8">
              <w:rPr>
                <w:rFonts w:ascii="Times New Roman" w:hAnsi="Times New Roman" w:cs="Times New Roman"/>
                <w:sz w:val="28"/>
                <w:szCs w:val="28"/>
              </w:rPr>
              <w:t>lor</w:t>
            </w:r>
            <w:proofErr w:type="spellEnd"/>
            <w:r w:rsidR="00DB7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bănești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conturile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>bugetului</w:t>
            </w:r>
            <w:proofErr w:type="spellEnd"/>
            <w:r w:rsidRPr="005B4F95">
              <w:rPr>
                <w:rFonts w:ascii="Times New Roman" w:hAnsi="Times New Roman" w:cs="Times New Roman"/>
                <w:sz w:val="28"/>
                <w:szCs w:val="28"/>
              </w:rPr>
              <w:t xml:space="preserve"> de stat.</w:t>
            </w:r>
          </w:p>
          <w:p w:rsidR="00EE3BEB" w:rsidRDefault="00DE360F" w:rsidP="006962A1">
            <w:pPr>
              <w:pStyle w:val="Default"/>
              <w:jc w:val="both"/>
              <w:rPr>
                <w:sz w:val="28"/>
                <w:szCs w:val="28"/>
                <w:lang w:val="ro-MD"/>
              </w:rPr>
            </w:pPr>
            <w:r w:rsidRPr="00DE360F">
              <w:rPr>
                <w:sz w:val="28"/>
                <w:szCs w:val="28"/>
                <w:lang w:val="ro-RO"/>
              </w:rPr>
              <w:t xml:space="preserve">Bugetul de stat </w:t>
            </w:r>
            <w:r w:rsidR="004C7F58">
              <w:rPr>
                <w:sz w:val="28"/>
                <w:szCs w:val="28"/>
                <w:lang w:val="ro-RO"/>
              </w:rPr>
              <w:t>pe</w:t>
            </w:r>
            <w:r w:rsidRPr="00DE360F">
              <w:rPr>
                <w:sz w:val="28"/>
                <w:szCs w:val="28"/>
                <w:lang w:val="ro-RO"/>
              </w:rPr>
              <w:t xml:space="preserve"> anul 20</w:t>
            </w:r>
            <w:r w:rsidR="00676815" w:rsidRPr="00676815">
              <w:rPr>
                <w:sz w:val="28"/>
                <w:szCs w:val="28"/>
                <w:lang w:val="en-GB"/>
              </w:rPr>
              <w:t>2</w:t>
            </w:r>
            <w:r w:rsidR="00662FF4">
              <w:rPr>
                <w:sz w:val="28"/>
                <w:szCs w:val="28"/>
                <w:lang w:val="en-GB"/>
              </w:rPr>
              <w:t>2</w:t>
            </w:r>
            <w:r w:rsidRPr="00DE360F">
              <w:rPr>
                <w:sz w:val="28"/>
                <w:szCs w:val="28"/>
                <w:lang w:val="ro-RO"/>
              </w:rPr>
              <w:t xml:space="preserve"> a fost executat în conformitate cu indicatorii</w:t>
            </w:r>
            <w:r w:rsidR="004C7F58">
              <w:rPr>
                <w:sz w:val="28"/>
                <w:szCs w:val="28"/>
                <w:lang w:val="ro-RO"/>
              </w:rPr>
              <w:t>,</w:t>
            </w:r>
            <w:r w:rsidRPr="00DE360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E360F">
              <w:rPr>
                <w:sz w:val="28"/>
                <w:szCs w:val="28"/>
                <w:lang w:val="ro-RO"/>
              </w:rPr>
              <w:t>stabiliţi</w:t>
            </w:r>
            <w:proofErr w:type="spellEnd"/>
            <w:r w:rsidRPr="00DE360F">
              <w:rPr>
                <w:sz w:val="28"/>
                <w:szCs w:val="28"/>
                <w:lang w:val="ro-RO"/>
              </w:rPr>
              <w:t xml:space="preserve"> prin </w:t>
            </w:r>
            <w:r w:rsidR="00FC62FD">
              <w:rPr>
                <w:sz w:val="28"/>
                <w:szCs w:val="28"/>
                <w:lang w:val="ro-MD"/>
              </w:rPr>
              <w:t>Legea</w:t>
            </w:r>
            <w:r w:rsidR="004C7F58">
              <w:rPr>
                <w:sz w:val="28"/>
                <w:szCs w:val="28"/>
                <w:lang w:val="ro-MD"/>
              </w:rPr>
              <w:t xml:space="preserve"> bugetului de stat pe anul 20</w:t>
            </w:r>
            <w:r w:rsidR="00676815" w:rsidRPr="00676815">
              <w:rPr>
                <w:sz w:val="28"/>
                <w:szCs w:val="28"/>
                <w:lang w:val="en-GB"/>
              </w:rPr>
              <w:t>2</w:t>
            </w:r>
            <w:r w:rsidR="00915D50">
              <w:rPr>
                <w:sz w:val="28"/>
                <w:szCs w:val="28"/>
                <w:lang w:val="en-GB"/>
              </w:rPr>
              <w:t>2</w:t>
            </w:r>
            <w:r w:rsidR="00FC62FD">
              <w:rPr>
                <w:sz w:val="28"/>
                <w:szCs w:val="28"/>
                <w:lang w:val="ro-MD"/>
              </w:rPr>
              <w:t xml:space="preserve"> nr. </w:t>
            </w:r>
            <w:r w:rsidR="00A6533A">
              <w:rPr>
                <w:sz w:val="28"/>
                <w:szCs w:val="28"/>
                <w:lang w:val="ro-MD"/>
              </w:rPr>
              <w:t>2</w:t>
            </w:r>
            <w:r w:rsidR="00915D50">
              <w:rPr>
                <w:sz w:val="28"/>
                <w:szCs w:val="28"/>
                <w:lang w:val="ro-MD"/>
              </w:rPr>
              <w:t>05</w:t>
            </w:r>
            <w:r w:rsidR="004C7F58">
              <w:rPr>
                <w:sz w:val="28"/>
                <w:szCs w:val="28"/>
                <w:lang w:val="ro-MD"/>
              </w:rPr>
              <w:t>/20</w:t>
            </w:r>
            <w:r w:rsidR="00A6533A">
              <w:rPr>
                <w:sz w:val="28"/>
                <w:szCs w:val="28"/>
                <w:lang w:val="ro-MD"/>
              </w:rPr>
              <w:t>2</w:t>
            </w:r>
            <w:r w:rsidR="00824A49">
              <w:rPr>
                <w:sz w:val="28"/>
                <w:szCs w:val="28"/>
                <w:lang w:val="ro-MD"/>
              </w:rPr>
              <w:t>1</w:t>
            </w:r>
            <w:r w:rsidR="00874B51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EE3BEB">
              <w:rPr>
                <w:sz w:val="28"/>
                <w:szCs w:val="28"/>
              </w:rPr>
              <w:t>și</w:t>
            </w:r>
            <w:proofErr w:type="spellEnd"/>
            <w:r w:rsidR="00EE3BEB">
              <w:rPr>
                <w:sz w:val="28"/>
                <w:szCs w:val="28"/>
              </w:rPr>
              <w:t xml:space="preserve"> </w:t>
            </w:r>
            <w:proofErr w:type="spellStart"/>
            <w:r w:rsidR="00A76E00">
              <w:rPr>
                <w:sz w:val="28"/>
                <w:szCs w:val="28"/>
              </w:rPr>
              <w:t>prevederilor</w:t>
            </w:r>
            <w:proofErr w:type="spellEnd"/>
            <w:r w:rsidR="00A76E0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E3BEB">
              <w:rPr>
                <w:sz w:val="28"/>
                <w:szCs w:val="28"/>
              </w:rPr>
              <w:t>art.1</w:t>
            </w:r>
            <w:r w:rsidR="00706BCA">
              <w:rPr>
                <w:sz w:val="28"/>
                <w:szCs w:val="28"/>
              </w:rPr>
              <w:t>6</w:t>
            </w:r>
            <w:r w:rsidR="00EE3BEB">
              <w:rPr>
                <w:sz w:val="28"/>
                <w:szCs w:val="28"/>
              </w:rPr>
              <w:t xml:space="preserve"> al </w:t>
            </w:r>
            <w:proofErr w:type="spellStart"/>
            <w:r w:rsidR="00EE3BEB">
              <w:rPr>
                <w:sz w:val="28"/>
                <w:szCs w:val="28"/>
              </w:rPr>
              <w:t>Legii</w:t>
            </w:r>
            <w:proofErr w:type="spellEnd"/>
            <w:r w:rsidR="00EE3BEB">
              <w:rPr>
                <w:sz w:val="28"/>
                <w:szCs w:val="28"/>
              </w:rPr>
              <w:t xml:space="preserve"> </w:t>
            </w:r>
            <w:proofErr w:type="spellStart"/>
            <w:r w:rsidR="00EE3BEB">
              <w:rPr>
                <w:sz w:val="28"/>
                <w:szCs w:val="28"/>
              </w:rPr>
              <w:t>bugetului</w:t>
            </w:r>
            <w:proofErr w:type="spellEnd"/>
            <w:r w:rsidR="00EE3BEB">
              <w:rPr>
                <w:sz w:val="28"/>
                <w:szCs w:val="28"/>
              </w:rPr>
              <w:t xml:space="preserve"> de stat </w:t>
            </w:r>
            <w:proofErr w:type="spellStart"/>
            <w:r w:rsidR="00EE3BEB">
              <w:rPr>
                <w:sz w:val="28"/>
                <w:szCs w:val="28"/>
              </w:rPr>
              <w:t>pentru</w:t>
            </w:r>
            <w:proofErr w:type="spellEnd"/>
            <w:r w:rsidR="00EE3BEB">
              <w:rPr>
                <w:sz w:val="28"/>
                <w:szCs w:val="28"/>
              </w:rPr>
              <w:t xml:space="preserve"> </w:t>
            </w:r>
            <w:proofErr w:type="spellStart"/>
            <w:r w:rsidR="00EE3BEB">
              <w:rPr>
                <w:sz w:val="28"/>
                <w:szCs w:val="28"/>
              </w:rPr>
              <w:t>anul</w:t>
            </w:r>
            <w:proofErr w:type="spellEnd"/>
            <w:r w:rsidR="00EE3BEB">
              <w:rPr>
                <w:sz w:val="28"/>
                <w:szCs w:val="28"/>
              </w:rPr>
              <w:t xml:space="preserve"> 202</w:t>
            </w:r>
            <w:r w:rsidR="00915D50">
              <w:rPr>
                <w:sz w:val="28"/>
                <w:szCs w:val="28"/>
              </w:rPr>
              <w:t>2</w:t>
            </w:r>
            <w:r w:rsidR="00EE3BEB">
              <w:rPr>
                <w:sz w:val="28"/>
                <w:szCs w:val="28"/>
              </w:rPr>
              <w:t>.</w:t>
            </w:r>
          </w:p>
          <w:p w:rsidR="00DE360F" w:rsidRPr="00DE360F" w:rsidRDefault="00DE360F" w:rsidP="006962A1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  <w:r w:rsidRPr="00DE360F">
              <w:rPr>
                <w:sz w:val="28"/>
                <w:szCs w:val="28"/>
                <w:lang w:val="ro-RO"/>
              </w:rPr>
              <w:t>Conform datelor Raportului privind executarea bugetului de stat în anul 20</w:t>
            </w:r>
            <w:r w:rsidR="00676815" w:rsidRPr="00676815">
              <w:rPr>
                <w:sz w:val="28"/>
                <w:szCs w:val="28"/>
                <w:lang w:val="en-GB"/>
              </w:rPr>
              <w:t>2</w:t>
            </w:r>
            <w:r w:rsidR="00250588">
              <w:rPr>
                <w:sz w:val="28"/>
                <w:szCs w:val="28"/>
                <w:lang w:val="en-GB"/>
              </w:rPr>
              <w:t>2</w:t>
            </w:r>
            <w:r w:rsidRPr="00DE360F">
              <w:rPr>
                <w:sz w:val="28"/>
                <w:szCs w:val="28"/>
                <w:lang w:val="ro-RO"/>
              </w:rPr>
              <w:t>, comp</w:t>
            </w:r>
            <w:r w:rsidR="006B7203">
              <w:rPr>
                <w:sz w:val="28"/>
                <w:szCs w:val="28"/>
                <w:lang w:val="ro-RO"/>
              </w:rPr>
              <w:t xml:space="preserve">artimentul </w:t>
            </w:r>
            <w:r w:rsidRPr="00DE360F">
              <w:rPr>
                <w:sz w:val="28"/>
                <w:szCs w:val="28"/>
                <w:lang w:val="ro-RO"/>
              </w:rPr>
              <w:t xml:space="preserve">Venituri a fost realizat la nivel de </w:t>
            </w:r>
            <w:r w:rsidR="002438B5">
              <w:rPr>
                <w:sz w:val="28"/>
                <w:szCs w:val="28"/>
                <w:lang w:val="en-GB"/>
              </w:rPr>
              <w:t>99,8</w:t>
            </w:r>
            <w:r w:rsidRPr="00DE360F">
              <w:rPr>
                <w:sz w:val="28"/>
                <w:szCs w:val="28"/>
                <w:lang w:val="ro-RO"/>
              </w:rPr>
              <w:t xml:space="preserve"> la sută </w:t>
            </w:r>
            <w:proofErr w:type="spellStart"/>
            <w:r w:rsidRPr="00DE360F">
              <w:rPr>
                <w:sz w:val="28"/>
                <w:szCs w:val="28"/>
                <w:lang w:val="ro-RO"/>
              </w:rPr>
              <w:t>faţă</w:t>
            </w:r>
            <w:proofErr w:type="spellEnd"/>
            <w:r w:rsidRPr="00DE360F">
              <w:rPr>
                <w:sz w:val="28"/>
                <w:szCs w:val="28"/>
                <w:lang w:val="ro-RO"/>
              </w:rPr>
              <w:t xml:space="preserve"> de prevederile anuale </w:t>
            </w:r>
            <w:proofErr w:type="spellStart"/>
            <w:r w:rsidRPr="00DE360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DE360F">
              <w:rPr>
                <w:sz w:val="28"/>
                <w:szCs w:val="28"/>
                <w:lang w:val="ro-RO"/>
              </w:rPr>
              <w:t xml:space="preserve"> cel de Cheltuieli – la nivel de </w:t>
            </w:r>
            <w:r w:rsidR="004C7F58">
              <w:rPr>
                <w:sz w:val="28"/>
                <w:szCs w:val="28"/>
                <w:lang w:val="ro-RO"/>
              </w:rPr>
              <w:t>9</w:t>
            </w:r>
            <w:r w:rsidR="000D413F">
              <w:rPr>
                <w:sz w:val="28"/>
                <w:szCs w:val="28"/>
                <w:lang w:val="ro-RO"/>
              </w:rPr>
              <w:t>2</w:t>
            </w:r>
            <w:r w:rsidR="004C7F58">
              <w:rPr>
                <w:sz w:val="28"/>
                <w:szCs w:val="28"/>
                <w:lang w:val="ro-RO"/>
              </w:rPr>
              <w:t>,</w:t>
            </w:r>
            <w:r w:rsidR="000D413F">
              <w:rPr>
                <w:sz w:val="28"/>
                <w:szCs w:val="28"/>
                <w:lang w:val="ro-RO"/>
              </w:rPr>
              <w:t>7</w:t>
            </w:r>
            <w:r w:rsidRPr="00DE360F">
              <w:rPr>
                <w:sz w:val="28"/>
                <w:szCs w:val="28"/>
                <w:lang w:val="ro-RO"/>
              </w:rPr>
              <w:t xml:space="preserve"> la sută. </w:t>
            </w:r>
          </w:p>
          <w:p w:rsidR="00DE360F" w:rsidRPr="00DE360F" w:rsidRDefault="00DE360F" w:rsidP="006962A1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E360F" w:rsidRPr="00DE360F" w:rsidTr="00ED0F1C">
        <w:trPr>
          <w:trHeight w:val="125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5. Fundamentarea economico-financiară </w:t>
            </w:r>
          </w:p>
        </w:tc>
      </w:tr>
      <w:tr w:rsidR="00DE360F" w:rsidRPr="00B43C50" w:rsidTr="00ED0F1C">
        <w:trPr>
          <w:trHeight w:val="127"/>
        </w:trPr>
        <w:tc>
          <w:tcPr>
            <w:tcW w:w="9558" w:type="dxa"/>
          </w:tcPr>
          <w:p w:rsidR="00DE360F" w:rsidRPr="000855EF" w:rsidRDefault="000310B4" w:rsidP="000310B4">
            <w:pPr>
              <w:pStyle w:val="Default"/>
              <w:rPr>
                <w:b/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>Aprobarea</w:t>
            </w:r>
            <w:r w:rsidR="00502151">
              <w:rPr>
                <w:color w:val="auto"/>
                <w:sz w:val="28"/>
                <w:szCs w:val="28"/>
                <w:lang w:val="ro-RO"/>
              </w:rPr>
              <w:t xml:space="preserve"> proiectului nu va necesita cheltuieli financiare din bugetul de stat.</w:t>
            </w:r>
            <w:r w:rsidR="00C14EAB">
              <w:rPr>
                <w:color w:val="auto"/>
                <w:sz w:val="28"/>
                <w:szCs w:val="28"/>
                <w:lang w:val="ro-RO"/>
              </w:rPr>
              <w:t xml:space="preserve">   </w:t>
            </w:r>
          </w:p>
        </w:tc>
      </w:tr>
      <w:tr w:rsidR="00DE360F" w:rsidRPr="00DE360F" w:rsidTr="00ED0F1C">
        <w:trPr>
          <w:trHeight w:val="125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6. Modul de încorporare a actului în cadrul normativ în vigoare </w:t>
            </w:r>
          </w:p>
        </w:tc>
      </w:tr>
      <w:tr w:rsidR="00DE360F" w:rsidRPr="00DE360F" w:rsidTr="00ED0F1C">
        <w:trPr>
          <w:trHeight w:val="452"/>
        </w:trPr>
        <w:tc>
          <w:tcPr>
            <w:tcW w:w="9558" w:type="dxa"/>
          </w:tcPr>
          <w:p w:rsidR="00DE360F" w:rsidRPr="00DE360F" w:rsidRDefault="00DE360F" w:rsidP="00A15865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sz w:val="28"/>
                <w:szCs w:val="28"/>
                <w:lang w:val="ro-RO"/>
              </w:rPr>
              <w:t xml:space="preserve">Proiectul Hotărârii </w:t>
            </w:r>
            <w:r w:rsidR="00F2242C">
              <w:rPr>
                <w:sz w:val="28"/>
                <w:szCs w:val="28"/>
                <w:lang w:val="ro-RO"/>
              </w:rPr>
              <w:t>Parlamentului</w:t>
            </w:r>
            <w:r w:rsidRPr="00DE360F">
              <w:rPr>
                <w:sz w:val="28"/>
                <w:szCs w:val="28"/>
                <w:lang w:val="ro-RO"/>
              </w:rPr>
              <w:t xml:space="preserve"> se încadrează în cadrul normativ în vigoare</w:t>
            </w:r>
            <w:r w:rsidR="00A17AE2">
              <w:rPr>
                <w:sz w:val="28"/>
                <w:szCs w:val="28"/>
                <w:lang w:val="ro-RO"/>
              </w:rPr>
              <w:t xml:space="preserve"> și nu necesită elaborarea și modificarea altor acte normative.</w:t>
            </w:r>
            <w:r w:rsidRPr="00DE360F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DE360F" w:rsidRPr="00DE360F" w:rsidTr="00ED0F1C">
        <w:trPr>
          <w:trHeight w:val="332"/>
        </w:trPr>
        <w:tc>
          <w:tcPr>
            <w:tcW w:w="9558" w:type="dxa"/>
          </w:tcPr>
          <w:p w:rsidR="00DE360F" w:rsidRPr="00DE360F" w:rsidRDefault="00DE360F" w:rsidP="00DE360F">
            <w:pPr>
              <w:pStyle w:val="Default"/>
              <w:rPr>
                <w:sz w:val="28"/>
                <w:szCs w:val="28"/>
                <w:lang w:val="ro-RO"/>
              </w:rPr>
            </w:pPr>
            <w:r w:rsidRPr="00DE360F">
              <w:rPr>
                <w:b/>
                <w:bCs/>
                <w:sz w:val="28"/>
                <w:szCs w:val="28"/>
                <w:lang w:val="ro-RO"/>
              </w:rPr>
              <w:t xml:space="preserve">7. Avizarea şi consultarea publică a proiectului </w:t>
            </w:r>
          </w:p>
        </w:tc>
      </w:tr>
      <w:tr w:rsidR="00DE360F" w:rsidRPr="00DE360F" w:rsidTr="00ED0F1C">
        <w:trPr>
          <w:trHeight w:val="332"/>
        </w:trPr>
        <w:tc>
          <w:tcPr>
            <w:tcW w:w="9558" w:type="dxa"/>
          </w:tcPr>
          <w:p w:rsidR="00DE360F" w:rsidRPr="00671409" w:rsidRDefault="00671409" w:rsidP="00671409">
            <w:pPr>
              <w:pStyle w:val="Default"/>
              <w:jc w:val="both"/>
              <w:rPr>
                <w:bCs/>
                <w:sz w:val="28"/>
                <w:szCs w:val="28"/>
                <w:lang w:val="ro-MD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  <w:r w:rsidR="00C14EAB" w:rsidRPr="00671409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671409">
              <w:rPr>
                <w:bCs/>
                <w:sz w:val="28"/>
                <w:szCs w:val="28"/>
                <w:lang w:val="ro-MD"/>
              </w:rPr>
              <w:t>Proiectul sus menționat nu necesită consultare publică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Default="00DE360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proofErr w:type="spellStart"/>
            <w:r>
              <w:rPr>
                <w:b/>
                <w:bCs/>
                <w:sz w:val="28"/>
                <w:szCs w:val="28"/>
              </w:rPr>
              <w:t>Constatările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expertizei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anticorupţie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Pr="00671409" w:rsidRDefault="00671409" w:rsidP="00977A5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Nu </w:t>
            </w:r>
            <w:proofErr w:type="spellStart"/>
            <w:r w:rsidR="00977A5B">
              <w:rPr>
                <w:bCs/>
                <w:sz w:val="28"/>
                <w:szCs w:val="28"/>
              </w:rPr>
              <w:t>sunt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necesar</w:t>
            </w:r>
            <w:r w:rsidR="00977A5B">
              <w:rPr>
                <w:bCs/>
                <w:sz w:val="28"/>
                <w:szCs w:val="28"/>
              </w:rPr>
              <w:t>e</w:t>
            </w:r>
            <w:proofErr w:type="spellEnd"/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Default="00DE360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9. </w:t>
            </w:r>
            <w:proofErr w:type="spellStart"/>
            <w:r>
              <w:rPr>
                <w:b/>
                <w:bCs/>
                <w:sz w:val="28"/>
                <w:szCs w:val="28"/>
              </w:rPr>
              <w:t>Constatările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expertizei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bCs/>
                <w:sz w:val="28"/>
                <w:szCs w:val="28"/>
              </w:rPr>
              <w:t>compatibilitate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Pr="00671409" w:rsidRDefault="001506F3" w:rsidP="00671409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Efectuarea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expertizei</w:t>
            </w:r>
            <w:proofErr w:type="spellEnd"/>
            <w:r>
              <w:rPr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bCs/>
                <w:sz w:val="28"/>
                <w:szCs w:val="28"/>
              </w:rPr>
              <w:t>compatibilitate</w:t>
            </w:r>
            <w:proofErr w:type="spellEnd"/>
            <w:r>
              <w:rPr>
                <w:bCs/>
                <w:sz w:val="28"/>
                <w:szCs w:val="28"/>
              </w:rPr>
              <w:t xml:space="preserve"> nu </w:t>
            </w:r>
            <w:proofErr w:type="spellStart"/>
            <w:r>
              <w:rPr>
                <w:bCs/>
                <w:sz w:val="28"/>
                <w:szCs w:val="28"/>
              </w:rPr>
              <w:t>este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necesară</w:t>
            </w:r>
            <w:proofErr w:type="spellEnd"/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Default="00DE360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10. </w:t>
            </w:r>
            <w:proofErr w:type="spellStart"/>
            <w:r>
              <w:rPr>
                <w:b/>
                <w:bCs/>
                <w:sz w:val="28"/>
                <w:szCs w:val="28"/>
              </w:rPr>
              <w:t>Constatările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expertizei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juridice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Pr="00D61B53" w:rsidRDefault="00D61B53" w:rsidP="00D61B53">
            <w:pPr>
              <w:pStyle w:val="Default"/>
              <w:jc w:val="both"/>
              <w:rPr>
                <w:bCs/>
                <w:sz w:val="28"/>
                <w:szCs w:val="28"/>
                <w:lang w:val="ro-MD"/>
              </w:rPr>
            </w:pPr>
            <w:r>
              <w:rPr>
                <w:bCs/>
                <w:sz w:val="28"/>
                <w:szCs w:val="28"/>
                <w:lang w:val="ro-MD"/>
              </w:rPr>
              <w:t>Nu este necesară expertiza juridică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Default="00DE360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11. </w:t>
            </w:r>
            <w:proofErr w:type="spellStart"/>
            <w:r>
              <w:rPr>
                <w:b/>
                <w:bCs/>
                <w:sz w:val="28"/>
                <w:szCs w:val="28"/>
              </w:rPr>
              <w:t>Constatările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altor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43C50">
              <w:rPr>
                <w:b/>
                <w:bCs/>
                <w:sz w:val="28"/>
                <w:szCs w:val="28"/>
              </w:rPr>
              <w:t>expertise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360F" w:rsidTr="00ED0F1C">
        <w:trPr>
          <w:trHeight w:val="127"/>
        </w:trPr>
        <w:tc>
          <w:tcPr>
            <w:tcW w:w="9558" w:type="dxa"/>
          </w:tcPr>
          <w:p w:rsidR="00DE360F" w:rsidRPr="00D61B53" w:rsidRDefault="00D61B53" w:rsidP="00D61B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Nu </w:t>
            </w:r>
            <w:proofErr w:type="spellStart"/>
            <w:r>
              <w:rPr>
                <w:bCs/>
                <w:sz w:val="28"/>
                <w:szCs w:val="28"/>
              </w:rPr>
              <w:t>sunt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necesare</w:t>
            </w:r>
            <w:proofErr w:type="spellEnd"/>
          </w:p>
        </w:tc>
      </w:tr>
    </w:tbl>
    <w:p w:rsidR="004B5730" w:rsidRDefault="004B573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A3615" w:rsidRPr="00ED0F1C" w:rsidRDefault="002A361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3441" w:rsidRPr="00413441" w:rsidRDefault="00413441" w:rsidP="000E5065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622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96228" w:rsidRPr="00F96228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="000F0B3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96228" w:rsidRPr="00F9622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9622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87980">
        <w:rPr>
          <w:rFonts w:ascii="Times New Roman" w:hAnsi="Times New Roman" w:cs="Times New Roman"/>
          <w:b/>
          <w:sz w:val="28"/>
          <w:szCs w:val="28"/>
        </w:rPr>
        <w:t>Veronica</w:t>
      </w:r>
      <w:r w:rsidR="00F96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980">
        <w:rPr>
          <w:rFonts w:ascii="Times New Roman" w:hAnsi="Times New Roman" w:cs="Times New Roman"/>
          <w:b/>
          <w:sz w:val="28"/>
          <w:szCs w:val="28"/>
        </w:rPr>
        <w:t>SIREȚEANU</w:t>
      </w:r>
      <w:r w:rsidRPr="0041344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E360F" w:rsidRPr="00ED0F1C" w:rsidRDefault="00DE360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E360F" w:rsidRPr="00ED0F1C" w:rsidRDefault="00DE360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E360F" w:rsidRPr="00ED0F1C" w:rsidRDefault="00DE360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E360F" w:rsidRPr="00ED0F1C" w:rsidSect="007B1E32">
      <w:pgSz w:w="12240" w:h="15840"/>
      <w:pgMar w:top="993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0C9"/>
    <w:multiLevelType w:val="hybridMultilevel"/>
    <w:tmpl w:val="8578D408"/>
    <w:lvl w:ilvl="0" w:tplc="46D6E2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F"/>
    <w:rsid w:val="000310B4"/>
    <w:rsid w:val="000855EF"/>
    <w:rsid w:val="00087980"/>
    <w:rsid w:val="0009122A"/>
    <w:rsid w:val="000D413F"/>
    <w:rsid w:val="000E5065"/>
    <w:rsid w:val="000F0B3A"/>
    <w:rsid w:val="000F1AAA"/>
    <w:rsid w:val="000F58E9"/>
    <w:rsid w:val="00110279"/>
    <w:rsid w:val="0011766C"/>
    <w:rsid w:val="001506F3"/>
    <w:rsid w:val="002438B5"/>
    <w:rsid w:val="00250588"/>
    <w:rsid w:val="00254371"/>
    <w:rsid w:val="002A3615"/>
    <w:rsid w:val="002B6F32"/>
    <w:rsid w:val="002D0341"/>
    <w:rsid w:val="002E3D43"/>
    <w:rsid w:val="00311ACF"/>
    <w:rsid w:val="0036120E"/>
    <w:rsid w:val="00413441"/>
    <w:rsid w:val="0042731B"/>
    <w:rsid w:val="00435CCB"/>
    <w:rsid w:val="0048627A"/>
    <w:rsid w:val="00494458"/>
    <w:rsid w:val="004B5730"/>
    <w:rsid w:val="004C7F58"/>
    <w:rsid w:val="00502151"/>
    <w:rsid w:val="005A0799"/>
    <w:rsid w:val="005B4F95"/>
    <w:rsid w:val="00654975"/>
    <w:rsid w:val="00662FF4"/>
    <w:rsid w:val="00671409"/>
    <w:rsid w:val="00676815"/>
    <w:rsid w:val="006962A1"/>
    <w:rsid w:val="006B7203"/>
    <w:rsid w:val="006D5727"/>
    <w:rsid w:val="006F2F48"/>
    <w:rsid w:val="006F3607"/>
    <w:rsid w:val="00706BCA"/>
    <w:rsid w:val="00751A1E"/>
    <w:rsid w:val="00760761"/>
    <w:rsid w:val="0078479D"/>
    <w:rsid w:val="00797EEF"/>
    <w:rsid w:val="007B1E32"/>
    <w:rsid w:val="00823C64"/>
    <w:rsid w:val="00824A49"/>
    <w:rsid w:val="00874B51"/>
    <w:rsid w:val="008A64ED"/>
    <w:rsid w:val="00915D50"/>
    <w:rsid w:val="00977A5B"/>
    <w:rsid w:val="0098100E"/>
    <w:rsid w:val="009B39A0"/>
    <w:rsid w:val="00A15865"/>
    <w:rsid w:val="00A16DE4"/>
    <w:rsid w:val="00A17AE2"/>
    <w:rsid w:val="00A6533A"/>
    <w:rsid w:val="00A76E00"/>
    <w:rsid w:val="00A93C0D"/>
    <w:rsid w:val="00AF6E60"/>
    <w:rsid w:val="00B43C50"/>
    <w:rsid w:val="00BC3B04"/>
    <w:rsid w:val="00C14EAB"/>
    <w:rsid w:val="00C15A93"/>
    <w:rsid w:val="00C22700"/>
    <w:rsid w:val="00C9139E"/>
    <w:rsid w:val="00C9318A"/>
    <w:rsid w:val="00D03A04"/>
    <w:rsid w:val="00D61B53"/>
    <w:rsid w:val="00D62774"/>
    <w:rsid w:val="00DB27BD"/>
    <w:rsid w:val="00DB7AF8"/>
    <w:rsid w:val="00DE360F"/>
    <w:rsid w:val="00E277C7"/>
    <w:rsid w:val="00EC70F2"/>
    <w:rsid w:val="00ED0F1C"/>
    <w:rsid w:val="00ED4473"/>
    <w:rsid w:val="00EE193B"/>
    <w:rsid w:val="00EE3BEB"/>
    <w:rsid w:val="00F155AD"/>
    <w:rsid w:val="00F2242C"/>
    <w:rsid w:val="00F2578B"/>
    <w:rsid w:val="00F271B3"/>
    <w:rsid w:val="00F96228"/>
    <w:rsid w:val="00FC62FD"/>
    <w:rsid w:val="00FE4C42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DDF7"/>
  <w15:docId w15:val="{5830BE23-DE2F-4B02-8D84-EE0BE36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3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E3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zinaida.mantaluta</dc:creator>
  <cp:keywords/>
  <dc:description/>
  <cp:lastModifiedBy>Belaia, Diana</cp:lastModifiedBy>
  <cp:revision>58</cp:revision>
  <dcterms:created xsi:type="dcterms:W3CDTF">2022-05-10T09:40:00Z</dcterms:created>
  <dcterms:modified xsi:type="dcterms:W3CDTF">2023-05-11T09:06:00Z</dcterms:modified>
</cp:coreProperties>
</file>