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1FD5" w14:textId="77777777" w:rsidR="00A42EBB" w:rsidRPr="002C0527" w:rsidRDefault="00A42EBB" w:rsidP="00A42EBB">
      <w:pPr>
        <w:pStyle w:val="Title"/>
        <w:jc w:val="right"/>
        <w:rPr>
          <w:b w:val="0"/>
          <w:bCs/>
          <w:iCs/>
          <w:sz w:val="24"/>
          <w:szCs w:val="24"/>
        </w:rPr>
      </w:pPr>
      <w:bookmarkStart w:id="0" w:name="_Hlk132682344"/>
      <w:bookmarkEnd w:id="0"/>
      <w:r w:rsidRPr="002C0527">
        <w:rPr>
          <w:b w:val="0"/>
          <w:bCs/>
          <w:iCs/>
          <w:sz w:val="24"/>
          <w:szCs w:val="24"/>
        </w:rPr>
        <w:t>Proiect</w:t>
      </w:r>
    </w:p>
    <w:p w14:paraId="2A5326DE" w14:textId="77777777" w:rsidR="00A42EBB" w:rsidRPr="002C0527" w:rsidRDefault="00A42EBB" w:rsidP="00A42EBB">
      <w:pPr>
        <w:pStyle w:val="Title"/>
        <w:jc w:val="right"/>
        <w:rPr>
          <w:b w:val="0"/>
          <w:bCs/>
          <w:i w:val="0"/>
          <w:iCs/>
          <w:sz w:val="24"/>
          <w:szCs w:val="24"/>
          <w:u w:val="single"/>
        </w:rPr>
      </w:pPr>
    </w:p>
    <w:p w14:paraId="5306C91F" w14:textId="77777777" w:rsidR="00A42EBB" w:rsidRPr="002C0527" w:rsidRDefault="00A42EBB" w:rsidP="00A42EBB">
      <w:pPr>
        <w:pStyle w:val="Title"/>
        <w:rPr>
          <w:i w:val="0"/>
          <w:iCs/>
          <w:sz w:val="24"/>
          <w:szCs w:val="24"/>
        </w:rPr>
      </w:pPr>
      <w:r w:rsidRPr="002C0527">
        <w:rPr>
          <w:i w:val="0"/>
          <w:iCs/>
          <w:sz w:val="24"/>
          <w:szCs w:val="24"/>
        </w:rPr>
        <w:t>GUVERNUL REPUBLICII MOLDOVA</w:t>
      </w:r>
    </w:p>
    <w:p w14:paraId="465E8620" w14:textId="77777777" w:rsidR="00A42EBB" w:rsidRPr="002C0527" w:rsidRDefault="00A42EBB" w:rsidP="00A42EBB">
      <w:pPr>
        <w:pStyle w:val="Title"/>
        <w:rPr>
          <w:b w:val="0"/>
          <w:bCs/>
          <w:i w:val="0"/>
          <w:iCs/>
          <w:sz w:val="24"/>
          <w:szCs w:val="24"/>
        </w:rPr>
      </w:pPr>
    </w:p>
    <w:p w14:paraId="334C47A0" w14:textId="77777777" w:rsidR="00A42EBB" w:rsidRPr="002C0527" w:rsidRDefault="00A42EBB" w:rsidP="00A42EBB">
      <w:pPr>
        <w:pStyle w:val="Title"/>
        <w:rPr>
          <w:b w:val="0"/>
          <w:bCs/>
          <w:i w:val="0"/>
          <w:iCs/>
          <w:sz w:val="24"/>
          <w:szCs w:val="24"/>
        </w:rPr>
      </w:pPr>
      <w:r w:rsidRPr="002C0527">
        <w:rPr>
          <w:b w:val="0"/>
          <w:bCs/>
          <w:i w:val="0"/>
          <w:iCs/>
          <w:sz w:val="24"/>
          <w:szCs w:val="24"/>
        </w:rPr>
        <w:t>HOTĂRÎRE nr. ____</w:t>
      </w:r>
    </w:p>
    <w:p w14:paraId="1064A257" w14:textId="77777777" w:rsidR="00A42EBB" w:rsidRPr="002C0527" w:rsidRDefault="00A42EBB" w:rsidP="00A42EBB">
      <w:pPr>
        <w:pStyle w:val="Title"/>
        <w:rPr>
          <w:b w:val="0"/>
          <w:bCs/>
          <w:i w:val="0"/>
          <w:iCs/>
          <w:sz w:val="24"/>
          <w:szCs w:val="24"/>
        </w:rPr>
      </w:pPr>
    </w:p>
    <w:p w14:paraId="5B04BD69" w14:textId="268057DF" w:rsidR="00E426A8" w:rsidRPr="004E666B" w:rsidRDefault="00A42EBB" w:rsidP="00E426A8">
      <w:pPr>
        <w:pStyle w:val="tt"/>
        <w:rPr>
          <w:lang w:val="ro-RO"/>
        </w:rPr>
      </w:pPr>
      <w:r w:rsidRPr="002C0527">
        <w:rPr>
          <w:lang w:val="ro-RO"/>
        </w:rPr>
        <w:t xml:space="preserve">cu privire la aprobarea </w:t>
      </w:r>
      <w:bookmarkStart w:id="1" w:name="_Hlk128993123"/>
      <w:r w:rsidR="00970EA0" w:rsidRPr="004E666B">
        <w:rPr>
          <w:lang w:val="ro-RO"/>
        </w:rPr>
        <w:t>Plan</w:t>
      </w:r>
      <w:r w:rsidR="00D425A1" w:rsidRPr="004E666B">
        <w:rPr>
          <w:lang w:val="ro-RO"/>
        </w:rPr>
        <w:t>ului</w:t>
      </w:r>
      <w:r w:rsidR="00970EA0" w:rsidRPr="004E666B">
        <w:rPr>
          <w:lang w:val="ro-RO"/>
        </w:rPr>
        <w:t xml:space="preserve"> de</w:t>
      </w:r>
      <w:r w:rsidRPr="004E666B">
        <w:rPr>
          <w:lang w:val="ro-RO"/>
        </w:rPr>
        <w:t xml:space="preserve"> măsuri</w:t>
      </w:r>
      <w:r w:rsidR="00DA18C1" w:rsidRPr="004E666B">
        <w:rPr>
          <w:lang w:val="ro-RO"/>
        </w:rPr>
        <w:t xml:space="preserve"> </w:t>
      </w:r>
      <w:r w:rsidR="00970EA0" w:rsidRPr="004E666B">
        <w:rPr>
          <w:lang w:val="ro-RO"/>
        </w:rPr>
        <w:t>pentru</w:t>
      </w:r>
      <w:r w:rsidR="00DA18C1" w:rsidRPr="004E666B">
        <w:rPr>
          <w:lang w:val="ro-RO"/>
        </w:rPr>
        <w:t xml:space="preserve"> pregătirea</w:t>
      </w:r>
    </w:p>
    <w:p w14:paraId="7FB49594" w14:textId="11608C7B" w:rsidR="00A42EBB" w:rsidRPr="002C0527" w:rsidRDefault="00D425A1" w:rsidP="00DA18C1">
      <w:pPr>
        <w:pStyle w:val="tt"/>
        <w:rPr>
          <w:lang w:val="ro-RO"/>
        </w:rPr>
      </w:pPr>
      <w:r w:rsidRPr="004E666B">
        <w:rPr>
          <w:lang w:val="ro-RO"/>
        </w:rPr>
        <w:t>de</w:t>
      </w:r>
      <w:r w:rsidR="00DA18C1" w:rsidRPr="004E666B">
        <w:rPr>
          <w:lang w:val="ro-RO"/>
        </w:rPr>
        <w:t xml:space="preserve"> sezonul </w:t>
      </w:r>
      <w:r w:rsidR="004E666B">
        <w:rPr>
          <w:lang w:val="ro-RO"/>
        </w:rPr>
        <w:t xml:space="preserve">de </w:t>
      </w:r>
      <w:r w:rsidRPr="004E666B">
        <w:rPr>
          <w:lang w:val="ro-RO"/>
        </w:rPr>
        <w:t>încălzire</w:t>
      </w:r>
      <w:r w:rsidR="00DA18C1" w:rsidRPr="004E666B">
        <w:rPr>
          <w:lang w:val="ro-RO"/>
        </w:rPr>
        <w:t xml:space="preserve"> 2023-2024</w:t>
      </w:r>
    </w:p>
    <w:bookmarkEnd w:id="1"/>
    <w:p w14:paraId="4DDB54E3" w14:textId="77777777" w:rsidR="00A42EBB" w:rsidRPr="002C0527" w:rsidRDefault="00A42EBB" w:rsidP="00A42EBB">
      <w:pPr>
        <w:pStyle w:val="Title"/>
        <w:rPr>
          <w:b w:val="0"/>
          <w:bCs/>
          <w:i w:val="0"/>
          <w:iCs/>
          <w:sz w:val="24"/>
          <w:szCs w:val="24"/>
        </w:rPr>
      </w:pPr>
    </w:p>
    <w:p w14:paraId="725467B2" w14:textId="77777777" w:rsidR="00A42EBB" w:rsidRPr="002C0527" w:rsidRDefault="00A42EBB" w:rsidP="00A42EBB">
      <w:pPr>
        <w:pStyle w:val="Title"/>
        <w:rPr>
          <w:b w:val="0"/>
          <w:bCs/>
          <w:i w:val="0"/>
          <w:iCs/>
          <w:sz w:val="24"/>
          <w:szCs w:val="24"/>
        </w:rPr>
      </w:pPr>
      <w:r w:rsidRPr="002C0527">
        <w:rPr>
          <w:b w:val="0"/>
          <w:bCs/>
          <w:i w:val="0"/>
          <w:iCs/>
          <w:sz w:val="24"/>
          <w:szCs w:val="24"/>
        </w:rPr>
        <w:t>din ________________________</w:t>
      </w:r>
    </w:p>
    <w:p w14:paraId="2B1B12B3" w14:textId="77777777" w:rsidR="00A42EBB" w:rsidRPr="002C0527" w:rsidRDefault="00A42EBB" w:rsidP="00A42EBB">
      <w:pPr>
        <w:pStyle w:val="Title"/>
        <w:rPr>
          <w:b w:val="0"/>
          <w:bCs/>
          <w:i w:val="0"/>
          <w:iCs/>
          <w:sz w:val="24"/>
          <w:szCs w:val="24"/>
        </w:rPr>
      </w:pPr>
      <w:r w:rsidRPr="002C0527">
        <w:rPr>
          <w:b w:val="0"/>
          <w:bCs/>
          <w:i w:val="0"/>
          <w:iCs/>
          <w:sz w:val="24"/>
          <w:szCs w:val="24"/>
        </w:rPr>
        <w:t xml:space="preserve">Chișinău </w:t>
      </w:r>
    </w:p>
    <w:p w14:paraId="48A91A65" w14:textId="77777777" w:rsidR="00A42EBB" w:rsidRPr="002C0527" w:rsidRDefault="00A42EBB" w:rsidP="00A42EBB">
      <w:pPr>
        <w:pStyle w:val="cn"/>
        <w:rPr>
          <w:lang w:val="ro-RO"/>
        </w:rPr>
      </w:pPr>
    </w:p>
    <w:p w14:paraId="1A666577" w14:textId="526A1D88" w:rsidR="00A42EBB" w:rsidRPr="002C0527" w:rsidRDefault="00A42EBB" w:rsidP="00A42EBB">
      <w:pPr>
        <w:pStyle w:val="cn"/>
        <w:rPr>
          <w:lang w:val="ro-RO"/>
        </w:rPr>
      </w:pPr>
      <w:r w:rsidRPr="002C0527">
        <w:rPr>
          <w:lang w:val="ro-RO"/>
        </w:rPr>
        <w:t>*</w:t>
      </w:r>
      <w:r w:rsidR="000708E1">
        <w:rPr>
          <w:lang w:val="ro-RO"/>
        </w:rPr>
        <w:t xml:space="preserve"> </w:t>
      </w:r>
      <w:r w:rsidRPr="002C0527">
        <w:rPr>
          <w:lang w:val="ro-RO"/>
        </w:rPr>
        <w:t>* *</w:t>
      </w:r>
    </w:p>
    <w:p w14:paraId="36B51357" w14:textId="5048AF68" w:rsidR="00CF1922" w:rsidRPr="002C0527" w:rsidRDefault="00A42EBB" w:rsidP="002861C1">
      <w:pPr>
        <w:pStyle w:val="NormalWeb"/>
        <w:spacing w:after="360"/>
        <w:jc w:val="both"/>
        <w:rPr>
          <w:lang w:val="ro-RO"/>
        </w:rPr>
      </w:pPr>
      <w:r w:rsidRPr="002C0527">
        <w:rPr>
          <w:lang w:val="ro-RO"/>
        </w:rPr>
        <w:t>În temeiul art. 4 alin. (1) lit. (e) din Legea nr. 174/2017 cu privire la energetică</w:t>
      </w:r>
      <w:r w:rsidR="00F03A36">
        <w:rPr>
          <w:lang w:val="ro-RO"/>
        </w:rPr>
        <w:t xml:space="preserve"> și</w:t>
      </w:r>
      <w:r w:rsidRPr="002C0527">
        <w:rPr>
          <w:lang w:val="ro-RO"/>
        </w:rPr>
        <w:t xml:space="preserve"> ținând cont de existența riscului de limitare în sezonul de încălzire 202</w:t>
      </w:r>
      <w:r w:rsidR="00DA18C1">
        <w:rPr>
          <w:lang w:val="ro-RO"/>
        </w:rPr>
        <w:t>3</w:t>
      </w:r>
      <w:r w:rsidRPr="002C0527">
        <w:rPr>
          <w:lang w:val="ro-RO"/>
        </w:rPr>
        <w:t>-202</w:t>
      </w:r>
      <w:r w:rsidR="00DA18C1">
        <w:rPr>
          <w:lang w:val="ro-RO"/>
        </w:rPr>
        <w:t>4</w:t>
      </w:r>
      <w:r w:rsidRPr="002C0527">
        <w:rPr>
          <w:lang w:val="ro-RO"/>
        </w:rPr>
        <w:t xml:space="preserve"> a aprovizionării cu gaze naturale a Republicii Moldova în baza contractelor existente de </w:t>
      </w:r>
      <w:r w:rsidR="00BB6323">
        <w:rPr>
          <w:lang w:val="ro-RO"/>
        </w:rPr>
        <w:t>furnizare</w:t>
      </w:r>
      <w:r w:rsidRPr="002C0527">
        <w:rPr>
          <w:lang w:val="ro-RO"/>
        </w:rPr>
        <w:t xml:space="preserve">, în vederea asigurării fiabile a economiei naționale și a populației cu resurse energetice și servicii comunale, Guvernul </w:t>
      </w:r>
    </w:p>
    <w:p w14:paraId="17677815" w14:textId="44EC1F11" w:rsidR="00A42EBB" w:rsidRPr="002C0527" w:rsidRDefault="00A42EBB" w:rsidP="002861C1">
      <w:pPr>
        <w:pStyle w:val="cb"/>
        <w:ind w:left="708"/>
        <w:rPr>
          <w:lang w:val="ro-RO"/>
        </w:rPr>
      </w:pPr>
      <w:r w:rsidRPr="002C0527">
        <w:rPr>
          <w:lang w:val="ro-RO"/>
        </w:rPr>
        <w:t>HOTĂRĂȘTE:</w:t>
      </w:r>
    </w:p>
    <w:p w14:paraId="02A8D9C7" w14:textId="67B7792F" w:rsidR="00970EA0" w:rsidRDefault="00A42EBB">
      <w:pPr>
        <w:pStyle w:val="NormalWeb"/>
        <w:numPr>
          <w:ilvl w:val="0"/>
          <w:numId w:val="1"/>
        </w:numPr>
        <w:spacing w:after="0" w:line="276" w:lineRule="auto"/>
        <w:ind w:left="0" w:firstLine="450"/>
        <w:jc w:val="both"/>
        <w:rPr>
          <w:color w:val="000000" w:themeColor="text1"/>
          <w:lang w:val="ro-RO"/>
        </w:rPr>
      </w:pPr>
      <w:r w:rsidRPr="002C0527">
        <w:rPr>
          <w:color w:val="000000" w:themeColor="text1"/>
          <w:lang w:val="ro-RO"/>
        </w:rPr>
        <w:t xml:space="preserve">Se instituie </w:t>
      </w:r>
      <w:r w:rsidR="00732FB1" w:rsidRPr="002C0527">
        <w:rPr>
          <w:color w:val="000000" w:themeColor="text1"/>
          <w:lang w:val="ro-RO"/>
        </w:rPr>
        <w:t>Comisi</w:t>
      </w:r>
      <w:r w:rsidR="00732FB1">
        <w:rPr>
          <w:color w:val="000000" w:themeColor="text1"/>
          <w:lang w:val="ro-RO"/>
        </w:rPr>
        <w:t>a</w:t>
      </w:r>
      <w:r w:rsidR="00732FB1" w:rsidRPr="002C0527">
        <w:rPr>
          <w:color w:val="000000" w:themeColor="text1"/>
          <w:lang w:val="ro-RO"/>
        </w:rPr>
        <w:t xml:space="preserve"> guvernamental</w:t>
      </w:r>
      <w:r w:rsidR="00732FB1">
        <w:rPr>
          <w:color w:val="000000" w:themeColor="text1"/>
          <w:lang w:val="ro-RO"/>
        </w:rPr>
        <w:t>ă</w:t>
      </w:r>
      <w:r w:rsidR="00732FB1" w:rsidRPr="002C0527">
        <w:rPr>
          <w:color w:val="000000" w:themeColor="text1"/>
          <w:lang w:val="ro-RO"/>
        </w:rPr>
        <w:t xml:space="preserve"> </w:t>
      </w:r>
      <w:r w:rsidRPr="002C0527">
        <w:rPr>
          <w:color w:val="000000" w:themeColor="text1"/>
          <w:lang w:val="ro-RO"/>
        </w:rPr>
        <w:t xml:space="preserve">de coordonare a măsurilor </w:t>
      </w:r>
      <w:r w:rsidR="009549DC">
        <w:rPr>
          <w:color w:val="000000" w:themeColor="text1"/>
          <w:lang w:val="ro-RO"/>
        </w:rPr>
        <w:t xml:space="preserve">de </w:t>
      </w:r>
      <w:r w:rsidR="00DA18C1" w:rsidRPr="00DA18C1">
        <w:rPr>
          <w:color w:val="000000" w:themeColor="text1"/>
          <w:lang w:val="ro-RO"/>
        </w:rPr>
        <w:t xml:space="preserve">pregătire pentru sezonul </w:t>
      </w:r>
      <w:r w:rsidR="00236DF8">
        <w:rPr>
          <w:color w:val="000000" w:themeColor="text1"/>
          <w:lang w:val="ro-RO"/>
        </w:rPr>
        <w:t>de încălzire</w:t>
      </w:r>
      <w:r w:rsidR="00DA18C1" w:rsidRPr="00DA18C1">
        <w:rPr>
          <w:color w:val="000000" w:themeColor="text1"/>
          <w:lang w:val="ro-RO"/>
        </w:rPr>
        <w:t xml:space="preserve"> 2023-2024</w:t>
      </w:r>
      <w:r w:rsidR="009549DC" w:rsidRPr="00DA18C1">
        <w:rPr>
          <w:color w:val="000000" w:themeColor="text1"/>
          <w:lang w:val="ro-RO"/>
        </w:rPr>
        <w:t xml:space="preserve"> și at</w:t>
      </w:r>
      <w:r w:rsidR="00595034" w:rsidRPr="00DA18C1">
        <w:rPr>
          <w:color w:val="000000" w:themeColor="text1"/>
          <w:lang w:val="ro-RO"/>
        </w:rPr>
        <w:t>enuare a</w:t>
      </w:r>
      <w:r w:rsidRPr="00DA18C1">
        <w:rPr>
          <w:color w:val="000000" w:themeColor="text1"/>
          <w:lang w:val="ro-RO"/>
        </w:rPr>
        <w:t xml:space="preserve"> impactului crizei energetice în caz de limitare a furnizării gazelor naturale </w:t>
      </w:r>
      <w:r w:rsidR="009D0FD1" w:rsidRPr="00405F11">
        <w:rPr>
          <w:color w:val="000000" w:themeColor="text1"/>
          <w:lang w:val="ro-RO"/>
        </w:rPr>
        <w:t>și</w:t>
      </w:r>
      <w:r w:rsidR="00956FF2" w:rsidRPr="00405F11">
        <w:rPr>
          <w:color w:val="000000" w:themeColor="text1"/>
          <w:lang w:val="ro-RO"/>
        </w:rPr>
        <w:t>/sau</w:t>
      </w:r>
      <w:r w:rsidR="002777F0">
        <w:rPr>
          <w:color w:val="000000" w:themeColor="text1"/>
          <w:lang w:val="ro-RO"/>
        </w:rPr>
        <w:t xml:space="preserve"> a energiei electrice</w:t>
      </w:r>
      <w:r w:rsidRPr="00DA18C1">
        <w:rPr>
          <w:color w:val="000000" w:themeColor="text1"/>
          <w:lang w:val="ro-RO"/>
        </w:rPr>
        <w:t xml:space="preserve">, </w:t>
      </w:r>
      <w:r w:rsidR="00732FB1" w:rsidRPr="00DA18C1">
        <w:rPr>
          <w:color w:val="000000" w:themeColor="text1"/>
          <w:lang w:val="ro-RO"/>
        </w:rPr>
        <w:t xml:space="preserve">în componența prevăzută la Anexa </w:t>
      </w:r>
      <w:r w:rsidRPr="00DA18C1">
        <w:rPr>
          <w:color w:val="000000" w:themeColor="text1"/>
          <w:lang w:val="ro-RO"/>
        </w:rPr>
        <w:t>nr. 1.</w:t>
      </w:r>
    </w:p>
    <w:p w14:paraId="197B80D7" w14:textId="2F5166D8" w:rsidR="00A42EBB" w:rsidRPr="00970EA0" w:rsidRDefault="00A42EBB">
      <w:pPr>
        <w:pStyle w:val="NormalWeb"/>
        <w:numPr>
          <w:ilvl w:val="0"/>
          <w:numId w:val="1"/>
        </w:numPr>
        <w:spacing w:before="0" w:after="0" w:line="276" w:lineRule="auto"/>
        <w:ind w:left="0" w:firstLine="450"/>
        <w:jc w:val="both"/>
        <w:rPr>
          <w:color w:val="000000" w:themeColor="text1"/>
          <w:lang w:val="ro-RO"/>
        </w:rPr>
      </w:pPr>
      <w:r w:rsidRPr="00970EA0">
        <w:rPr>
          <w:color w:val="000000" w:themeColor="text1"/>
          <w:lang w:val="ro-RO"/>
        </w:rPr>
        <w:t xml:space="preserve">Se aprobă Planul </w:t>
      </w:r>
      <w:r w:rsidR="00732FB1" w:rsidRPr="00970EA0">
        <w:rPr>
          <w:color w:val="000000" w:themeColor="text1"/>
          <w:lang w:val="ro-RO"/>
        </w:rPr>
        <w:t xml:space="preserve">de </w:t>
      </w:r>
      <w:r w:rsidRPr="00970EA0">
        <w:rPr>
          <w:color w:val="000000" w:themeColor="text1"/>
          <w:lang w:val="ro-RO"/>
        </w:rPr>
        <w:t xml:space="preserve">măsuri </w:t>
      </w:r>
      <w:r w:rsidR="00970EA0" w:rsidRPr="00970EA0">
        <w:rPr>
          <w:color w:val="000000" w:themeColor="text1"/>
          <w:lang w:val="ro-RO"/>
        </w:rPr>
        <w:t xml:space="preserve">pentru pregătirea </w:t>
      </w:r>
      <w:r w:rsidR="004E666B">
        <w:rPr>
          <w:color w:val="000000" w:themeColor="text1"/>
          <w:lang w:val="ro-RO"/>
        </w:rPr>
        <w:t>de</w:t>
      </w:r>
      <w:r w:rsidR="00970EA0" w:rsidRPr="00970EA0">
        <w:rPr>
          <w:color w:val="000000" w:themeColor="text1"/>
          <w:lang w:val="ro-RO"/>
        </w:rPr>
        <w:t xml:space="preserve"> sezonul </w:t>
      </w:r>
      <w:r w:rsidR="004E666B">
        <w:rPr>
          <w:color w:val="000000" w:themeColor="text1"/>
          <w:lang w:val="ro-RO"/>
        </w:rPr>
        <w:t>de încălzire</w:t>
      </w:r>
      <w:r w:rsidR="00970EA0" w:rsidRPr="00970EA0">
        <w:rPr>
          <w:color w:val="000000" w:themeColor="text1"/>
          <w:lang w:val="ro-RO"/>
        </w:rPr>
        <w:t xml:space="preserve"> 2023-2024 </w:t>
      </w:r>
      <w:r w:rsidR="00AA4095" w:rsidRPr="00970EA0">
        <w:rPr>
          <w:lang w:val="ro-RO"/>
        </w:rPr>
        <w:t>(în continuare – Plan de măsuri)</w:t>
      </w:r>
      <w:r w:rsidRPr="00970EA0">
        <w:rPr>
          <w:color w:val="000000" w:themeColor="text1"/>
          <w:lang w:val="ro-RO"/>
        </w:rPr>
        <w:t>, conform Anexei nr.</w:t>
      </w:r>
      <w:r w:rsidR="00970EA0">
        <w:rPr>
          <w:color w:val="000000" w:themeColor="text1"/>
          <w:lang w:val="ro-RO"/>
        </w:rPr>
        <w:t xml:space="preserve"> </w:t>
      </w:r>
      <w:r w:rsidRPr="00970EA0">
        <w:rPr>
          <w:color w:val="000000" w:themeColor="text1"/>
          <w:lang w:val="ro-RO"/>
        </w:rPr>
        <w:t>2.</w:t>
      </w:r>
    </w:p>
    <w:p w14:paraId="320A7ADE" w14:textId="74CC76FB" w:rsidR="00A42EBB" w:rsidRPr="002C0527" w:rsidRDefault="00A42EBB">
      <w:pPr>
        <w:pStyle w:val="NormalWeb"/>
        <w:numPr>
          <w:ilvl w:val="0"/>
          <w:numId w:val="1"/>
        </w:numPr>
        <w:suppressAutoHyphens w:val="0"/>
        <w:spacing w:before="0" w:after="0" w:line="276" w:lineRule="auto"/>
        <w:ind w:left="0" w:firstLine="450"/>
        <w:jc w:val="both"/>
        <w:rPr>
          <w:color w:val="000000" w:themeColor="text1"/>
          <w:lang w:val="ro-RO"/>
        </w:rPr>
      </w:pPr>
      <w:r w:rsidRPr="002C0527">
        <w:rPr>
          <w:color w:val="000000" w:themeColor="text1"/>
          <w:lang w:val="ro-RO"/>
        </w:rPr>
        <w:t xml:space="preserve"> Ministerele, autorități</w:t>
      </w:r>
      <w:r w:rsidR="00732FB1">
        <w:rPr>
          <w:color w:val="000000" w:themeColor="text1"/>
          <w:lang w:val="ro-RO"/>
        </w:rPr>
        <w:t>le</w:t>
      </w:r>
      <w:r w:rsidRPr="002C0527">
        <w:rPr>
          <w:color w:val="000000" w:themeColor="text1"/>
          <w:lang w:val="ro-RO"/>
        </w:rPr>
        <w:t xml:space="preserve"> și întreprinderi</w:t>
      </w:r>
      <w:r w:rsidR="00732FB1">
        <w:rPr>
          <w:color w:val="000000" w:themeColor="text1"/>
          <w:lang w:val="ro-RO"/>
        </w:rPr>
        <w:t>le nominalizate</w:t>
      </w:r>
      <w:r w:rsidR="0048740F">
        <w:rPr>
          <w:color w:val="000000" w:themeColor="text1"/>
          <w:lang w:val="ro-RO"/>
        </w:rPr>
        <w:t xml:space="preserve"> în Planul de măsuri</w:t>
      </w:r>
      <w:r w:rsidRPr="002C0527">
        <w:rPr>
          <w:color w:val="000000" w:themeColor="text1"/>
          <w:lang w:val="ro-RO"/>
        </w:rPr>
        <w:t>:</w:t>
      </w:r>
    </w:p>
    <w:p w14:paraId="57186A6B" w14:textId="2B6453EF" w:rsidR="00A42EBB" w:rsidRPr="002C0527" w:rsidRDefault="00A42EBB" w:rsidP="002861C1">
      <w:pPr>
        <w:spacing w:after="120" w:line="276" w:lineRule="auto"/>
        <w:ind w:firstLine="547"/>
        <w:jc w:val="both"/>
        <w:rPr>
          <w:rFonts w:ascii="Times New Roman" w:hAnsi="Times New Roman" w:cs="Times New Roman"/>
          <w:color w:val="000000" w:themeColor="text1"/>
          <w:sz w:val="24"/>
          <w:szCs w:val="24"/>
          <w:lang w:val="ro-RO"/>
        </w:rPr>
      </w:pPr>
      <w:r w:rsidRPr="002C0527">
        <w:rPr>
          <w:rFonts w:ascii="Times New Roman" w:hAnsi="Times New Roman" w:cs="Times New Roman"/>
          <w:color w:val="000000" w:themeColor="text1"/>
          <w:sz w:val="24"/>
          <w:szCs w:val="24"/>
          <w:lang w:val="ro-RO"/>
        </w:rPr>
        <w:t xml:space="preserve">a) vor </w:t>
      </w:r>
      <w:r w:rsidR="000F26DC" w:rsidRPr="002C0527">
        <w:rPr>
          <w:rFonts w:ascii="Times New Roman" w:hAnsi="Times New Roman" w:cs="Times New Roman"/>
          <w:color w:val="000000" w:themeColor="text1"/>
          <w:sz w:val="24"/>
          <w:szCs w:val="24"/>
          <w:lang w:val="ro-RO"/>
        </w:rPr>
        <w:t xml:space="preserve">elabora și aproba planuri interne în vederea </w:t>
      </w:r>
      <w:r w:rsidR="00732FB1">
        <w:rPr>
          <w:rFonts w:ascii="Times New Roman" w:hAnsi="Times New Roman" w:cs="Times New Roman"/>
          <w:color w:val="000000" w:themeColor="text1"/>
          <w:sz w:val="24"/>
          <w:szCs w:val="24"/>
          <w:lang w:val="ro-RO"/>
        </w:rPr>
        <w:t>realizării</w:t>
      </w:r>
      <w:r w:rsidR="00732FB1" w:rsidRPr="002C0527">
        <w:rPr>
          <w:rFonts w:ascii="Times New Roman" w:hAnsi="Times New Roman" w:cs="Times New Roman"/>
          <w:color w:val="000000" w:themeColor="text1"/>
          <w:sz w:val="24"/>
          <w:szCs w:val="24"/>
          <w:lang w:val="ro-RO"/>
        </w:rPr>
        <w:t xml:space="preserve"> </w:t>
      </w:r>
      <w:r w:rsidRPr="002C0527">
        <w:rPr>
          <w:rFonts w:ascii="Times New Roman" w:hAnsi="Times New Roman" w:cs="Times New Roman"/>
          <w:color w:val="000000" w:themeColor="text1"/>
          <w:sz w:val="24"/>
          <w:szCs w:val="24"/>
          <w:lang w:val="ro-RO"/>
        </w:rPr>
        <w:t>măsuril</w:t>
      </w:r>
      <w:r w:rsidR="000F26DC" w:rsidRPr="002C0527">
        <w:rPr>
          <w:rFonts w:ascii="Times New Roman" w:hAnsi="Times New Roman" w:cs="Times New Roman"/>
          <w:color w:val="000000" w:themeColor="text1"/>
          <w:sz w:val="24"/>
          <w:szCs w:val="24"/>
          <w:lang w:val="ro-RO"/>
        </w:rPr>
        <w:t>or</w:t>
      </w:r>
      <w:r w:rsidRPr="002C0527">
        <w:rPr>
          <w:rFonts w:ascii="Times New Roman" w:hAnsi="Times New Roman" w:cs="Times New Roman"/>
          <w:color w:val="000000" w:themeColor="text1"/>
          <w:sz w:val="24"/>
          <w:szCs w:val="24"/>
          <w:lang w:val="ro-RO"/>
        </w:rPr>
        <w:t xml:space="preserve"> necesare pentru executarea măsurilor prevăzute în </w:t>
      </w:r>
      <w:r w:rsidR="00B44C96">
        <w:rPr>
          <w:rFonts w:ascii="Times New Roman" w:hAnsi="Times New Roman" w:cs="Times New Roman"/>
          <w:color w:val="000000" w:themeColor="text1"/>
          <w:sz w:val="24"/>
          <w:szCs w:val="24"/>
          <w:lang w:val="ro-RO"/>
        </w:rPr>
        <w:t>Planul de măsuri</w:t>
      </w:r>
      <w:r w:rsidRPr="002C0527">
        <w:rPr>
          <w:rFonts w:ascii="Times New Roman" w:hAnsi="Times New Roman" w:cs="Times New Roman"/>
          <w:color w:val="000000" w:themeColor="text1"/>
          <w:sz w:val="24"/>
          <w:szCs w:val="24"/>
          <w:lang w:val="ro-RO"/>
        </w:rPr>
        <w:t>;</w:t>
      </w:r>
    </w:p>
    <w:p w14:paraId="5EB7678E" w14:textId="2C4C44DA" w:rsidR="00A42EBB" w:rsidRPr="002C0527" w:rsidRDefault="00A42EBB" w:rsidP="002861C1">
      <w:pPr>
        <w:spacing w:after="120" w:line="276" w:lineRule="auto"/>
        <w:ind w:firstLine="547"/>
        <w:jc w:val="both"/>
        <w:rPr>
          <w:rFonts w:ascii="Times New Roman" w:hAnsi="Times New Roman" w:cs="Times New Roman"/>
          <w:color w:val="000000" w:themeColor="text1"/>
          <w:sz w:val="24"/>
          <w:szCs w:val="24"/>
          <w:lang w:val="ro-RO"/>
        </w:rPr>
      </w:pPr>
      <w:r w:rsidRPr="002C0527">
        <w:rPr>
          <w:rFonts w:ascii="Times New Roman" w:hAnsi="Times New Roman" w:cs="Times New Roman"/>
          <w:color w:val="000000" w:themeColor="text1"/>
          <w:sz w:val="24"/>
          <w:szCs w:val="24"/>
          <w:lang w:val="ro-RO"/>
        </w:rPr>
        <w:t xml:space="preserve">b) vor prezenta Ministerului </w:t>
      </w:r>
      <w:r w:rsidR="000778B8">
        <w:rPr>
          <w:rFonts w:ascii="Times New Roman" w:hAnsi="Times New Roman" w:cs="Times New Roman"/>
          <w:color w:val="000000" w:themeColor="text1"/>
          <w:sz w:val="24"/>
          <w:szCs w:val="24"/>
          <w:lang w:val="ro-RO"/>
        </w:rPr>
        <w:t>Energiei</w:t>
      </w:r>
      <w:r w:rsidRPr="002C0527">
        <w:rPr>
          <w:rFonts w:ascii="Times New Roman" w:hAnsi="Times New Roman" w:cs="Times New Roman"/>
          <w:color w:val="000000" w:themeColor="text1"/>
          <w:sz w:val="24"/>
          <w:szCs w:val="24"/>
          <w:lang w:val="ro-RO"/>
        </w:rPr>
        <w:t xml:space="preserve">, până la data de </w:t>
      </w:r>
      <w:r w:rsidR="00E426A8" w:rsidRPr="002C0527">
        <w:rPr>
          <w:rFonts w:ascii="Times New Roman" w:hAnsi="Times New Roman" w:cs="Times New Roman"/>
          <w:color w:val="000000" w:themeColor="text1"/>
          <w:sz w:val="24"/>
          <w:szCs w:val="24"/>
          <w:lang w:val="ro-RO"/>
        </w:rPr>
        <w:t xml:space="preserve">15 </w:t>
      </w:r>
      <w:r w:rsidR="00E426A8">
        <w:rPr>
          <w:rFonts w:ascii="Times New Roman" w:hAnsi="Times New Roman" w:cs="Times New Roman"/>
          <w:color w:val="000000" w:themeColor="text1"/>
          <w:sz w:val="24"/>
          <w:szCs w:val="24"/>
          <w:lang w:val="ro-RO"/>
        </w:rPr>
        <w:t>august,</w:t>
      </w:r>
      <w:r w:rsidR="00E426A8" w:rsidRPr="002C0527">
        <w:rPr>
          <w:rFonts w:ascii="Times New Roman" w:hAnsi="Times New Roman" w:cs="Times New Roman"/>
          <w:color w:val="000000" w:themeColor="text1"/>
          <w:sz w:val="24"/>
          <w:szCs w:val="24"/>
          <w:lang w:val="ro-RO"/>
        </w:rPr>
        <w:t xml:space="preserve"> </w:t>
      </w:r>
      <w:r w:rsidRPr="002C0527">
        <w:rPr>
          <w:rFonts w:ascii="Times New Roman" w:hAnsi="Times New Roman" w:cs="Times New Roman"/>
          <w:color w:val="000000" w:themeColor="text1"/>
          <w:sz w:val="24"/>
          <w:szCs w:val="24"/>
          <w:lang w:val="ro-RO"/>
        </w:rPr>
        <w:t>15 septembrie, 15 octombrie și 15 noiembrie, informația despre executarea măsurilor prevăzute în Anexa nr. 2.</w:t>
      </w:r>
    </w:p>
    <w:p w14:paraId="37D5972E" w14:textId="58E57F70" w:rsidR="00B07ADC" w:rsidRPr="002777F0" w:rsidRDefault="00A42EBB" w:rsidP="002777F0">
      <w:pPr>
        <w:spacing w:line="276" w:lineRule="auto"/>
        <w:ind w:firstLine="540"/>
        <w:jc w:val="both"/>
        <w:rPr>
          <w:rFonts w:ascii="Times New Roman" w:hAnsi="Times New Roman" w:cs="Times New Roman"/>
          <w:sz w:val="24"/>
          <w:szCs w:val="24"/>
          <w:lang w:val="ro-RO"/>
        </w:rPr>
      </w:pPr>
      <w:r w:rsidRPr="002C0527">
        <w:rPr>
          <w:rFonts w:ascii="Times New Roman" w:hAnsi="Times New Roman" w:cs="Times New Roman"/>
          <w:color w:val="000000" w:themeColor="text1"/>
          <w:sz w:val="24"/>
          <w:szCs w:val="24"/>
          <w:lang w:val="ro-RO"/>
        </w:rPr>
        <w:t xml:space="preserve">c) Ministerul </w:t>
      </w:r>
      <w:r w:rsidR="00E426A8">
        <w:rPr>
          <w:rFonts w:ascii="Times New Roman" w:hAnsi="Times New Roman" w:cs="Times New Roman"/>
          <w:color w:val="000000" w:themeColor="text1"/>
          <w:sz w:val="24"/>
          <w:szCs w:val="24"/>
          <w:lang w:val="ro-RO"/>
        </w:rPr>
        <w:t>Energiei</w:t>
      </w:r>
      <w:r w:rsidRPr="002C0527">
        <w:rPr>
          <w:rFonts w:ascii="Times New Roman" w:hAnsi="Times New Roman" w:cs="Times New Roman"/>
          <w:color w:val="000000" w:themeColor="text1"/>
          <w:sz w:val="24"/>
          <w:szCs w:val="24"/>
          <w:lang w:val="ro-RO"/>
        </w:rPr>
        <w:t xml:space="preserve"> va prezenta Guvernului, </w:t>
      </w:r>
      <w:r w:rsidRPr="002C0527">
        <w:rPr>
          <w:rFonts w:ascii="Times New Roman" w:hAnsi="Times New Roman" w:cs="Times New Roman"/>
          <w:sz w:val="24"/>
          <w:szCs w:val="24"/>
          <w:lang w:val="ro-RO"/>
        </w:rPr>
        <w:t xml:space="preserve">până la data de 25 a lunii următoare perioadei de raportare, informația privind progresul în realizarea Planului </w:t>
      </w:r>
      <w:r w:rsidR="00C63CE6">
        <w:rPr>
          <w:rFonts w:ascii="Times New Roman" w:hAnsi="Times New Roman" w:cs="Times New Roman"/>
          <w:sz w:val="24"/>
          <w:szCs w:val="24"/>
          <w:lang w:val="ro-RO"/>
        </w:rPr>
        <w:t>de măsuri</w:t>
      </w:r>
      <w:r w:rsidR="00C63CE6" w:rsidRPr="002C0527">
        <w:rPr>
          <w:rFonts w:ascii="Times New Roman" w:hAnsi="Times New Roman" w:cs="Times New Roman"/>
          <w:sz w:val="24"/>
          <w:szCs w:val="24"/>
          <w:lang w:val="ro-RO"/>
        </w:rPr>
        <w:t xml:space="preserve"> </w:t>
      </w:r>
      <w:r w:rsidRPr="002C0527">
        <w:rPr>
          <w:rFonts w:ascii="Times New Roman" w:hAnsi="Times New Roman" w:cs="Times New Roman"/>
          <w:sz w:val="24"/>
          <w:szCs w:val="24"/>
          <w:lang w:val="ro-RO"/>
        </w:rPr>
        <w:t>pentru luna precedentă.</w:t>
      </w:r>
    </w:p>
    <w:p w14:paraId="296AB59F" w14:textId="59BF4D4F" w:rsidR="00A42EBB" w:rsidRPr="002C0527" w:rsidRDefault="00071BA6" w:rsidP="00A42EBB">
      <w:pPr>
        <w:shd w:val="clear" w:color="auto" w:fill="FFFFFF"/>
        <w:spacing w:line="276" w:lineRule="auto"/>
        <w:ind w:firstLine="540"/>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A42EBB" w:rsidRPr="002C0527">
        <w:rPr>
          <w:rFonts w:ascii="Times New Roman" w:hAnsi="Times New Roman" w:cs="Times New Roman"/>
          <w:sz w:val="24"/>
          <w:szCs w:val="24"/>
          <w:lang w:val="ro-RO"/>
        </w:rPr>
        <w:t xml:space="preserve">. Controlul asupra executării prezentei hotărâri se pune în sarcina Ministerului </w:t>
      </w:r>
      <w:r w:rsidR="000778B8">
        <w:rPr>
          <w:rFonts w:ascii="Times New Roman" w:hAnsi="Times New Roman" w:cs="Times New Roman"/>
          <w:sz w:val="24"/>
          <w:szCs w:val="24"/>
          <w:lang w:val="ro-RO"/>
        </w:rPr>
        <w:t>Energiei</w:t>
      </w:r>
      <w:r w:rsidR="00A42EBB" w:rsidRPr="002C0527">
        <w:rPr>
          <w:rFonts w:ascii="Times New Roman" w:hAnsi="Times New Roman" w:cs="Times New Roman"/>
          <w:sz w:val="24"/>
          <w:szCs w:val="24"/>
          <w:lang w:val="ro-RO"/>
        </w:rPr>
        <w:t>.</w:t>
      </w:r>
    </w:p>
    <w:p w14:paraId="7DC64ADB" w14:textId="43D3BF82" w:rsidR="00A42EBB" w:rsidRPr="002C0527" w:rsidRDefault="00071BA6" w:rsidP="00A42EBB">
      <w:pPr>
        <w:shd w:val="clear" w:color="auto" w:fill="FFFFFF"/>
        <w:spacing w:line="276" w:lineRule="auto"/>
        <w:ind w:firstLine="540"/>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A42EBB" w:rsidRPr="002C0527">
        <w:rPr>
          <w:rFonts w:ascii="Times New Roman" w:hAnsi="Times New Roman" w:cs="Times New Roman"/>
          <w:sz w:val="24"/>
          <w:szCs w:val="24"/>
          <w:lang w:val="ro-RO"/>
        </w:rPr>
        <w:t>. Prezenta hotărâre intră în vigoare la data publicării în Monitorul Oficial al Republicii Moldova.</w:t>
      </w:r>
    </w:p>
    <w:p w14:paraId="3B32B94E" w14:textId="77777777" w:rsidR="00A42EBB" w:rsidRPr="002C0527" w:rsidRDefault="00A42EBB" w:rsidP="00A42EBB">
      <w:pPr>
        <w:pStyle w:val="cb"/>
        <w:jc w:val="left"/>
        <w:rPr>
          <w:lang w:val="ro-RO"/>
        </w:rPr>
      </w:pPr>
    </w:p>
    <w:p w14:paraId="30492983" w14:textId="77777777" w:rsidR="008B35D6" w:rsidRPr="008B35D6" w:rsidRDefault="008B35D6" w:rsidP="008B35D6">
      <w:pPr>
        <w:spacing w:after="0" w:line="240" w:lineRule="auto"/>
        <w:ind w:firstLine="709"/>
        <w:jc w:val="both"/>
        <w:rPr>
          <w:rFonts w:ascii="Times New Roman" w:eastAsia="Times New Roman" w:hAnsi="Times New Roman" w:cs="Times New Roman"/>
          <w:sz w:val="24"/>
          <w:szCs w:val="24"/>
          <w:shd w:val="clear" w:color="auto" w:fill="FFFFFF"/>
          <w:lang w:val="ro-RO"/>
        </w:rPr>
      </w:pPr>
      <w:r w:rsidRPr="008B35D6">
        <w:rPr>
          <w:rFonts w:ascii="Times New Roman" w:eastAsia="Times New Roman" w:hAnsi="Times New Roman" w:cs="Times New Roman"/>
          <w:sz w:val="24"/>
          <w:szCs w:val="24"/>
          <w:shd w:val="clear" w:color="auto" w:fill="FFFFFF"/>
          <w:lang w:val="ro-RO"/>
        </w:rPr>
        <w:t> </w:t>
      </w:r>
    </w:p>
    <w:p w14:paraId="01CA4FA6" w14:textId="77777777" w:rsidR="008B35D6" w:rsidRPr="008B35D6" w:rsidRDefault="008B35D6" w:rsidP="008B35D6">
      <w:pPr>
        <w:spacing w:after="0" w:line="240" w:lineRule="auto"/>
        <w:ind w:firstLine="709"/>
        <w:jc w:val="both"/>
        <w:rPr>
          <w:rFonts w:ascii="Times New Roman" w:eastAsia="Times New Roman" w:hAnsi="Times New Roman" w:cs="Times New Roman"/>
          <w:sz w:val="24"/>
          <w:szCs w:val="24"/>
          <w:shd w:val="clear" w:color="auto" w:fill="FFFFFF"/>
          <w:lang w:val="ro-RO"/>
        </w:rPr>
      </w:pPr>
      <w:r w:rsidRPr="008B35D6">
        <w:rPr>
          <w:rFonts w:ascii="Times New Roman" w:eastAsia="Times New Roman" w:hAnsi="Times New Roman" w:cs="Times New Roman"/>
          <w:b/>
          <w:bCs/>
          <w:sz w:val="24"/>
          <w:szCs w:val="24"/>
          <w:shd w:val="clear" w:color="auto" w:fill="FFFFFF"/>
          <w:lang w:val="ro-RO"/>
        </w:rPr>
        <w:t>PRIM-MINISTRU</w:t>
      </w:r>
      <w:r w:rsidRPr="008B35D6">
        <w:rPr>
          <w:rFonts w:ascii="Times New Roman" w:eastAsia="Times New Roman" w:hAnsi="Times New Roman" w:cs="Times New Roman"/>
          <w:b/>
          <w:bCs/>
          <w:sz w:val="24"/>
          <w:szCs w:val="24"/>
          <w:shd w:val="clear" w:color="auto" w:fill="FFFFFF"/>
          <w:lang w:val="ro-RO"/>
        </w:rPr>
        <w:tab/>
      </w:r>
      <w:r w:rsidRPr="008B35D6">
        <w:rPr>
          <w:rFonts w:ascii="Times New Roman" w:eastAsia="Times New Roman" w:hAnsi="Times New Roman" w:cs="Times New Roman"/>
          <w:b/>
          <w:bCs/>
          <w:sz w:val="24"/>
          <w:szCs w:val="24"/>
          <w:shd w:val="clear" w:color="auto" w:fill="FFFFFF"/>
          <w:lang w:val="ro-RO"/>
        </w:rPr>
        <w:tab/>
      </w:r>
      <w:r w:rsidRPr="008B35D6">
        <w:rPr>
          <w:rFonts w:ascii="Times New Roman" w:eastAsia="Times New Roman" w:hAnsi="Times New Roman" w:cs="Times New Roman"/>
          <w:b/>
          <w:bCs/>
          <w:sz w:val="24"/>
          <w:szCs w:val="24"/>
          <w:shd w:val="clear" w:color="auto" w:fill="FFFFFF"/>
          <w:lang w:val="ro-RO"/>
        </w:rPr>
        <w:tab/>
      </w:r>
      <w:r w:rsidRPr="008B35D6">
        <w:rPr>
          <w:rFonts w:ascii="Times New Roman" w:eastAsia="Times New Roman" w:hAnsi="Times New Roman" w:cs="Times New Roman"/>
          <w:b/>
          <w:bCs/>
          <w:sz w:val="24"/>
          <w:szCs w:val="24"/>
          <w:shd w:val="clear" w:color="auto" w:fill="FFFFFF"/>
          <w:lang w:val="ro-RO"/>
        </w:rPr>
        <w:tab/>
      </w:r>
      <w:r w:rsidRPr="008B35D6">
        <w:rPr>
          <w:rFonts w:ascii="Times New Roman" w:eastAsia="Times New Roman" w:hAnsi="Times New Roman" w:cs="Times New Roman"/>
          <w:b/>
          <w:bCs/>
          <w:sz w:val="24"/>
          <w:szCs w:val="24"/>
          <w:shd w:val="clear" w:color="auto" w:fill="FFFFFF"/>
          <w:lang w:val="ro-RO"/>
        </w:rPr>
        <w:tab/>
        <w:t>Dorin RECEAN</w:t>
      </w:r>
    </w:p>
    <w:p w14:paraId="495E4A9A" w14:textId="77777777" w:rsidR="008B35D6" w:rsidRPr="008B35D6" w:rsidRDefault="008B35D6" w:rsidP="008B35D6">
      <w:pPr>
        <w:spacing w:after="0" w:line="240" w:lineRule="auto"/>
        <w:ind w:firstLine="709"/>
        <w:jc w:val="both"/>
        <w:rPr>
          <w:rFonts w:ascii="Times New Roman" w:eastAsia="Times New Roman" w:hAnsi="Times New Roman" w:cs="Times New Roman"/>
          <w:sz w:val="24"/>
          <w:szCs w:val="24"/>
          <w:shd w:val="clear" w:color="auto" w:fill="FFFFFF"/>
          <w:lang w:val="ro-RO"/>
        </w:rPr>
      </w:pPr>
      <w:r w:rsidRPr="008B35D6">
        <w:rPr>
          <w:rFonts w:ascii="Times New Roman" w:eastAsia="Times New Roman" w:hAnsi="Times New Roman" w:cs="Times New Roman"/>
          <w:sz w:val="24"/>
          <w:szCs w:val="24"/>
          <w:shd w:val="clear" w:color="auto" w:fill="FFFFFF"/>
          <w:lang w:val="ro-RO"/>
        </w:rPr>
        <w:t> </w:t>
      </w:r>
    </w:p>
    <w:p w14:paraId="4160D1BC" w14:textId="77777777" w:rsidR="008B35D6" w:rsidRPr="002861C1" w:rsidRDefault="008B35D6" w:rsidP="008B35D6">
      <w:pPr>
        <w:spacing w:after="0" w:line="240" w:lineRule="auto"/>
        <w:ind w:firstLine="709"/>
        <w:jc w:val="both"/>
        <w:rPr>
          <w:rFonts w:ascii="Times New Roman" w:eastAsia="Times New Roman" w:hAnsi="Times New Roman" w:cs="Times New Roman"/>
          <w:sz w:val="24"/>
          <w:szCs w:val="24"/>
          <w:shd w:val="clear" w:color="auto" w:fill="FFFFFF"/>
          <w:lang w:val="ro-RO"/>
        </w:rPr>
      </w:pPr>
      <w:r w:rsidRPr="002861C1">
        <w:rPr>
          <w:rFonts w:ascii="Times New Roman" w:eastAsia="Times New Roman" w:hAnsi="Times New Roman" w:cs="Times New Roman"/>
          <w:sz w:val="24"/>
          <w:szCs w:val="24"/>
          <w:shd w:val="clear" w:color="auto" w:fill="FFFFFF"/>
          <w:lang w:val="ro-RO"/>
        </w:rPr>
        <w:t>Contrasemnează:</w:t>
      </w:r>
    </w:p>
    <w:p w14:paraId="3A5AF755" w14:textId="77777777" w:rsidR="008B35D6" w:rsidRPr="008B35D6" w:rsidRDefault="008B35D6" w:rsidP="008B35D6">
      <w:pPr>
        <w:spacing w:after="0" w:line="240" w:lineRule="auto"/>
        <w:ind w:firstLine="709"/>
        <w:jc w:val="both"/>
        <w:rPr>
          <w:rFonts w:ascii="Times New Roman" w:eastAsia="Times New Roman" w:hAnsi="Times New Roman" w:cs="Times New Roman"/>
          <w:sz w:val="24"/>
          <w:szCs w:val="24"/>
          <w:shd w:val="clear" w:color="auto" w:fill="FFFFFF"/>
          <w:lang w:val="ro-RO"/>
        </w:rPr>
      </w:pPr>
    </w:p>
    <w:p w14:paraId="4ECF5025" w14:textId="77777777" w:rsidR="008B35D6" w:rsidRPr="008B35D6" w:rsidRDefault="008B35D6" w:rsidP="008B35D6">
      <w:pPr>
        <w:spacing w:after="0" w:line="240" w:lineRule="auto"/>
        <w:ind w:firstLine="709"/>
        <w:rPr>
          <w:rFonts w:ascii="Times New Roman" w:eastAsia="Times New Roman" w:hAnsi="Times New Roman" w:cs="Times New Roman"/>
          <w:b/>
          <w:sz w:val="24"/>
          <w:szCs w:val="24"/>
          <w:shd w:val="clear" w:color="auto" w:fill="FFFFFF"/>
          <w:lang w:val="ro-RO"/>
        </w:rPr>
      </w:pPr>
      <w:r w:rsidRPr="008B35D6">
        <w:rPr>
          <w:rFonts w:ascii="Times New Roman" w:eastAsia="Times New Roman" w:hAnsi="Times New Roman" w:cs="Times New Roman"/>
          <w:b/>
          <w:sz w:val="24"/>
          <w:szCs w:val="24"/>
          <w:shd w:val="clear" w:color="auto" w:fill="FFFFFF"/>
          <w:lang w:val="ro-RO"/>
        </w:rPr>
        <w:t>Ministrul Energiei</w:t>
      </w:r>
      <w:r w:rsidRPr="008B35D6">
        <w:rPr>
          <w:rFonts w:ascii="Times New Roman" w:eastAsia="Times New Roman" w:hAnsi="Times New Roman" w:cs="Times New Roman"/>
          <w:b/>
          <w:sz w:val="24"/>
          <w:szCs w:val="24"/>
          <w:shd w:val="clear" w:color="auto" w:fill="FFFFFF"/>
          <w:lang w:val="ro-RO"/>
        </w:rPr>
        <w:tab/>
      </w:r>
      <w:r w:rsidRPr="008B35D6">
        <w:rPr>
          <w:rFonts w:ascii="Times New Roman" w:eastAsia="Times New Roman" w:hAnsi="Times New Roman" w:cs="Times New Roman"/>
          <w:b/>
          <w:sz w:val="24"/>
          <w:szCs w:val="24"/>
          <w:shd w:val="clear" w:color="auto" w:fill="FFFFFF"/>
          <w:lang w:val="ro-RO"/>
        </w:rPr>
        <w:tab/>
      </w:r>
      <w:r w:rsidRPr="008B35D6">
        <w:rPr>
          <w:rFonts w:ascii="Times New Roman" w:eastAsia="Times New Roman" w:hAnsi="Times New Roman" w:cs="Times New Roman"/>
          <w:b/>
          <w:sz w:val="24"/>
          <w:szCs w:val="24"/>
          <w:shd w:val="clear" w:color="auto" w:fill="FFFFFF"/>
          <w:lang w:val="ro-RO"/>
        </w:rPr>
        <w:tab/>
      </w:r>
      <w:r w:rsidRPr="008B35D6">
        <w:rPr>
          <w:rFonts w:ascii="Times New Roman" w:eastAsia="Times New Roman" w:hAnsi="Times New Roman" w:cs="Times New Roman"/>
          <w:b/>
          <w:sz w:val="24"/>
          <w:szCs w:val="24"/>
          <w:shd w:val="clear" w:color="auto" w:fill="FFFFFF"/>
          <w:lang w:val="ro-RO"/>
        </w:rPr>
        <w:tab/>
      </w:r>
      <w:r w:rsidRPr="008B35D6">
        <w:rPr>
          <w:rFonts w:ascii="Times New Roman" w:eastAsia="Times New Roman" w:hAnsi="Times New Roman" w:cs="Times New Roman"/>
          <w:b/>
          <w:sz w:val="24"/>
          <w:szCs w:val="24"/>
          <w:shd w:val="clear" w:color="auto" w:fill="FFFFFF"/>
          <w:lang w:val="ro-RO"/>
        </w:rPr>
        <w:tab/>
        <w:t>Victor PARLICOV</w:t>
      </w:r>
    </w:p>
    <w:p w14:paraId="0242743C" w14:textId="77777777" w:rsidR="008B35D6" w:rsidRPr="008B35D6" w:rsidRDefault="008B35D6" w:rsidP="008B35D6">
      <w:pPr>
        <w:spacing w:after="0" w:line="240" w:lineRule="auto"/>
        <w:ind w:firstLine="709"/>
        <w:jc w:val="both"/>
        <w:rPr>
          <w:rFonts w:ascii="Times New Roman" w:eastAsia="Times New Roman" w:hAnsi="Times New Roman" w:cs="Times New Roman"/>
          <w:b/>
          <w:sz w:val="24"/>
          <w:szCs w:val="24"/>
          <w:shd w:val="clear" w:color="auto" w:fill="FFFFFF"/>
          <w:lang w:val="ro-RO"/>
        </w:rPr>
      </w:pPr>
    </w:p>
    <w:p w14:paraId="4A71DEA3" w14:textId="77777777" w:rsidR="008B35D6" w:rsidRPr="008B35D6" w:rsidRDefault="008B35D6" w:rsidP="008B35D6">
      <w:pPr>
        <w:spacing w:after="0" w:line="240" w:lineRule="auto"/>
        <w:ind w:firstLine="709"/>
        <w:jc w:val="both"/>
        <w:rPr>
          <w:rFonts w:ascii="Times New Roman" w:eastAsia="Times New Roman" w:hAnsi="Times New Roman" w:cs="Times New Roman"/>
          <w:sz w:val="24"/>
          <w:szCs w:val="24"/>
          <w:shd w:val="clear" w:color="auto" w:fill="FFFFFF"/>
          <w:lang w:val="ro-RO"/>
        </w:rPr>
      </w:pPr>
      <w:r w:rsidRPr="008B35D6">
        <w:rPr>
          <w:rFonts w:ascii="Times New Roman" w:eastAsia="Times New Roman" w:hAnsi="Times New Roman" w:cs="Times New Roman"/>
          <w:b/>
          <w:sz w:val="24"/>
          <w:szCs w:val="24"/>
          <w:shd w:val="clear" w:color="auto" w:fill="FFFFFF"/>
          <w:lang w:val="ro-RO"/>
        </w:rPr>
        <w:t>Ministrul Finanțelor</w:t>
      </w:r>
      <w:r w:rsidRPr="008B35D6">
        <w:rPr>
          <w:rFonts w:ascii="Times New Roman" w:eastAsia="Times New Roman" w:hAnsi="Times New Roman" w:cs="Times New Roman"/>
          <w:b/>
          <w:bCs/>
          <w:sz w:val="24"/>
          <w:szCs w:val="24"/>
          <w:shd w:val="clear" w:color="auto" w:fill="FFFFFF"/>
          <w:lang w:val="ro-RO"/>
        </w:rPr>
        <w:tab/>
      </w:r>
      <w:r w:rsidRPr="008B35D6">
        <w:rPr>
          <w:rFonts w:ascii="Times New Roman" w:eastAsia="Times New Roman" w:hAnsi="Times New Roman" w:cs="Times New Roman"/>
          <w:b/>
          <w:bCs/>
          <w:sz w:val="24"/>
          <w:szCs w:val="24"/>
          <w:shd w:val="clear" w:color="auto" w:fill="FFFFFF"/>
          <w:lang w:val="ro-RO"/>
        </w:rPr>
        <w:tab/>
      </w:r>
      <w:r w:rsidRPr="008B35D6">
        <w:rPr>
          <w:rFonts w:ascii="Times New Roman" w:eastAsia="Times New Roman" w:hAnsi="Times New Roman" w:cs="Times New Roman"/>
          <w:b/>
          <w:bCs/>
          <w:sz w:val="24"/>
          <w:szCs w:val="24"/>
          <w:shd w:val="clear" w:color="auto" w:fill="FFFFFF"/>
          <w:lang w:val="ro-RO"/>
        </w:rPr>
        <w:tab/>
      </w:r>
      <w:r w:rsidRPr="008B35D6">
        <w:rPr>
          <w:rFonts w:ascii="Times New Roman" w:eastAsia="Times New Roman" w:hAnsi="Times New Roman" w:cs="Times New Roman"/>
          <w:b/>
          <w:bCs/>
          <w:sz w:val="24"/>
          <w:szCs w:val="24"/>
          <w:shd w:val="clear" w:color="auto" w:fill="FFFFFF"/>
          <w:lang w:val="ro-RO"/>
        </w:rPr>
        <w:tab/>
      </w:r>
      <w:r w:rsidRPr="008B35D6">
        <w:rPr>
          <w:rFonts w:ascii="Times New Roman" w:eastAsia="Times New Roman" w:hAnsi="Times New Roman" w:cs="Times New Roman"/>
          <w:b/>
          <w:bCs/>
          <w:sz w:val="24"/>
          <w:szCs w:val="24"/>
          <w:shd w:val="clear" w:color="auto" w:fill="FFFFFF"/>
          <w:lang w:val="ro-RO"/>
        </w:rPr>
        <w:tab/>
        <w:t>Veronica SIREȚEANU</w:t>
      </w:r>
    </w:p>
    <w:p w14:paraId="23FBC805" w14:textId="77777777" w:rsidR="00A42EBB" w:rsidRPr="002C0527" w:rsidRDefault="00A42EBB" w:rsidP="008B35D6">
      <w:pPr>
        <w:pStyle w:val="cb"/>
        <w:jc w:val="left"/>
        <w:rPr>
          <w:lang w:val="ro-RO"/>
        </w:rPr>
      </w:pPr>
    </w:p>
    <w:p w14:paraId="0D3523C3" w14:textId="5BB3D1DC" w:rsidR="00A42EBB" w:rsidRPr="002C0527" w:rsidRDefault="00A42EBB" w:rsidP="008B35D6">
      <w:pPr>
        <w:pStyle w:val="cb"/>
        <w:jc w:val="left"/>
        <w:rPr>
          <w:lang w:val="ro-RO"/>
        </w:rPr>
      </w:pPr>
    </w:p>
    <w:p w14:paraId="1C86DC49" w14:textId="0CF1EF3A" w:rsidR="00CF1922" w:rsidRDefault="00CF1922" w:rsidP="00E426A8">
      <w:pPr>
        <w:pStyle w:val="cb"/>
        <w:jc w:val="left"/>
        <w:rPr>
          <w:lang w:val="ro-RO"/>
        </w:rPr>
      </w:pPr>
    </w:p>
    <w:p w14:paraId="51250076" w14:textId="77777777" w:rsidR="002861C1" w:rsidRDefault="002861C1" w:rsidP="00E426A8">
      <w:pPr>
        <w:pStyle w:val="cb"/>
        <w:jc w:val="left"/>
        <w:rPr>
          <w:lang w:val="ro-RO"/>
        </w:rPr>
      </w:pPr>
    </w:p>
    <w:p w14:paraId="02D2EC92" w14:textId="77777777" w:rsidR="002861C1" w:rsidRDefault="002861C1" w:rsidP="00E426A8">
      <w:pPr>
        <w:pStyle w:val="cb"/>
        <w:jc w:val="left"/>
        <w:rPr>
          <w:lang w:val="ro-RO"/>
        </w:rPr>
      </w:pPr>
    </w:p>
    <w:p w14:paraId="59EEDC6C" w14:textId="77777777" w:rsidR="00A42EBB" w:rsidRPr="002C0527" w:rsidRDefault="00A42EBB" w:rsidP="00A42EBB">
      <w:pPr>
        <w:pStyle w:val="cb"/>
        <w:ind w:left="708"/>
        <w:jc w:val="right"/>
        <w:rPr>
          <w:b w:val="0"/>
          <w:bCs w:val="0"/>
          <w:i/>
          <w:iCs/>
          <w:lang w:val="ro-RO"/>
        </w:rPr>
      </w:pPr>
      <w:r w:rsidRPr="002C0527">
        <w:rPr>
          <w:b w:val="0"/>
          <w:bCs w:val="0"/>
          <w:i/>
          <w:iCs/>
          <w:lang w:val="ro-RO"/>
        </w:rPr>
        <w:lastRenderedPageBreak/>
        <w:t>Anexă nr. 1</w:t>
      </w:r>
    </w:p>
    <w:p w14:paraId="3B8B12F8" w14:textId="77777777" w:rsidR="00A42EBB" w:rsidRPr="002C0527" w:rsidRDefault="00A42EBB" w:rsidP="00A42EBB">
      <w:pPr>
        <w:pStyle w:val="cb"/>
        <w:ind w:left="708"/>
        <w:jc w:val="right"/>
        <w:rPr>
          <w:b w:val="0"/>
          <w:bCs w:val="0"/>
          <w:i/>
          <w:iCs/>
          <w:lang w:val="ro-RO"/>
        </w:rPr>
      </w:pPr>
      <w:r w:rsidRPr="002C0527">
        <w:rPr>
          <w:b w:val="0"/>
          <w:bCs w:val="0"/>
          <w:i/>
          <w:iCs/>
          <w:lang w:val="ro-RO"/>
        </w:rPr>
        <w:t>la Hotărârea Guvernului nr.</w:t>
      </w:r>
      <w:r w:rsidRPr="002C0527">
        <w:rPr>
          <w:b w:val="0"/>
          <w:bCs w:val="0"/>
          <w:lang w:val="ro-RO"/>
        </w:rPr>
        <w:t xml:space="preserve"> </w:t>
      </w:r>
    </w:p>
    <w:p w14:paraId="616397F9" w14:textId="77777777" w:rsidR="00A42EBB" w:rsidRPr="002C0527" w:rsidRDefault="00A42EBB" w:rsidP="00E426A8">
      <w:pPr>
        <w:pStyle w:val="cb"/>
        <w:jc w:val="left"/>
        <w:rPr>
          <w:b w:val="0"/>
          <w:bCs w:val="0"/>
          <w:lang w:val="ro-RO"/>
        </w:rPr>
      </w:pPr>
    </w:p>
    <w:p w14:paraId="44CA0A2B" w14:textId="77777777" w:rsidR="00A42EBB" w:rsidRPr="002C0527" w:rsidRDefault="00A42EBB" w:rsidP="00A42EBB">
      <w:pPr>
        <w:pStyle w:val="cb"/>
        <w:rPr>
          <w:lang w:val="ro-RO"/>
        </w:rPr>
      </w:pPr>
      <w:r w:rsidRPr="002C0527">
        <w:rPr>
          <w:lang w:val="ro-RO"/>
        </w:rPr>
        <w:t>COMPONENȚA</w:t>
      </w:r>
    </w:p>
    <w:p w14:paraId="4C2A57F1" w14:textId="77777777" w:rsidR="002861C1" w:rsidRDefault="00A42EBB" w:rsidP="00A42EBB">
      <w:pPr>
        <w:pStyle w:val="cb"/>
        <w:rPr>
          <w:lang w:val="ro-RO"/>
        </w:rPr>
      </w:pPr>
      <w:r w:rsidRPr="002C0527">
        <w:rPr>
          <w:lang w:val="ro-RO"/>
        </w:rPr>
        <w:t xml:space="preserve">instituțională a Comisiei guvernamentale </w:t>
      </w:r>
      <w:r w:rsidR="007B2EB8" w:rsidRPr="007B2EB8">
        <w:rPr>
          <w:lang w:val="ro-RO"/>
        </w:rPr>
        <w:t xml:space="preserve">de coordonare a măsurilor de pregătire pentru sezonul </w:t>
      </w:r>
      <w:r w:rsidR="00236DF8">
        <w:rPr>
          <w:lang w:val="ro-RO"/>
        </w:rPr>
        <w:t>de încălzire</w:t>
      </w:r>
      <w:r w:rsidR="007B2EB8" w:rsidRPr="007B2EB8">
        <w:rPr>
          <w:lang w:val="ro-RO"/>
        </w:rPr>
        <w:t xml:space="preserve"> 2023-2024 și atenuare a impactului crizei energetice în caz de limitare </w:t>
      </w:r>
    </w:p>
    <w:p w14:paraId="15F4DDE1" w14:textId="3170B707" w:rsidR="00A42EBB" w:rsidRPr="002C0527" w:rsidRDefault="007B2EB8" w:rsidP="00A42EBB">
      <w:pPr>
        <w:pStyle w:val="cb"/>
        <w:rPr>
          <w:lang w:val="ro-RO"/>
        </w:rPr>
      </w:pPr>
      <w:r w:rsidRPr="007B2EB8">
        <w:rPr>
          <w:lang w:val="ro-RO"/>
        </w:rPr>
        <w:t xml:space="preserve">a furnizării gazelor naturale </w:t>
      </w:r>
      <w:r w:rsidRPr="00405F11">
        <w:rPr>
          <w:lang w:val="ro-RO"/>
        </w:rPr>
        <w:t>și/sau</w:t>
      </w:r>
      <w:r w:rsidRPr="007B2EB8">
        <w:rPr>
          <w:lang w:val="ro-RO"/>
        </w:rPr>
        <w:t xml:space="preserve"> a energiei electrice</w:t>
      </w:r>
    </w:p>
    <w:p w14:paraId="6DF0B470" w14:textId="77777777" w:rsidR="00A42EBB" w:rsidRPr="002C0527" w:rsidRDefault="00A42EBB" w:rsidP="009251A8">
      <w:pPr>
        <w:pStyle w:val="cb"/>
        <w:jc w:val="left"/>
        <w:rPr>
          <w:b w:val="0"/>
          <w:bCs w:val="0"/>
          <w:lang w:val="ro-RO"/>
        </w:rPr>
      </w:pPr>
    </w:p>
    <w:p w14:paraId="2F9B3F4E" w14:textId="3CA60276" w:rsidR="00600F69" w:rsidRPr="002C0527" w:rsidRDefault="00A42EBB" w:rsidP="00A42EBB">
      <w:pPr>
        <w:pStyle w:val="cb"/>
        <w:spacing w:line="276" w:lineRule="auto"/>
        <w:jc w:val="left"/>
        <w:rPr>
          <w:b w:val="0"/>
          <w:bCs w:val="0"/>
          <w:lang w:val="ro-RO"/>
        </w:rPr>
      </w:pPr>
      <w:r w:rsidRPr="002C0527">
        <w:rPr>
          <w:b w:val="0"/>
          <w:bCs w:val="0"/>
          <w:lang w:val="ro-RO"/>
        </w:rPr>
        <w:t>Prim-ministru, președinte al Comisiei</w:t>
      </w:r>
    </w:p>
    <w:p w14:paraId="48F492F9" w14:textId="388C3232" w:rsidR="007B2EB8" w:rsidRDefault="007B2EB8" w:rsidP="00A42EBB">
      <w:pPr>
        <w:pStyle w:val="cb"/>
        <w:spacing w:line="276" w:lineRule="auto"/>
        <w:jc w:val="left"/>
        <w:rPr>
          <w:b w:val="0"/>
          <w:bCs w:val="0"/>
          <w:lang w:val="ro-RO"/>
        </w:rPr>
      </w:pPr>
      <w:r>
        <w:rPr>
          <w:b w:val="0"/>
          <w:bCs w:val="0"/>
          <w:lang w:val="ro-RO"/>
        </w:rPr>
        <w:t xml:space="preserve">Ministru al </w:t>
      </w:r>
      <w:r w:rsidR="008A7EFA">
        <w:rPr>
          <w:b w:val="0"/>
          <w:bCs w:val="0"/>
          <w:lang w:val="ro-RO"/>
        </w:rPr>
        <w:t>E</w:t>
      </w:r>
      <w:r>
        <w:rPr>
          <w:b w:val="0"/>
          <w:bCs w:val="0"/>
          <w:lang w:val="ro-RO"/>
        </w:rPr>
        <w:t xml:space="preserve">nergiei, </w:t>
      </w:r>
      <w:r w:rsidRPr="002C0527">
        <w:rPr>
          <w:b w:val="0"/>
          <w:bCs w:val="0"/>
          <w:lang w:val="ro-RO"/>
        </w:rPr>
        <w:t>vicepreședinte al Comisiei</w:t>
      </w:r>
    </w:p>
    <w:p w14:paraId="6E628213" w14:textId="49C067C6" w:rsidR="007B2EB8" w:rsidRDefault="007B2EB8" w:rsidP="00A42EBB">
      <w:pPr>
        <w:pStyle w:val="cb"/>
        <w:spacing w:line="276" w:lineRule="auto"/>
        <w:jc w:val="left"/>
        <w:rPr>
          <w:b w:val="0"/>
          <w:bCs w:val="0"/>
          <w:lang w:val="ro-RO"/>
        </w:rPr>
      </w:pPr>
      <w:r w:rsidRPr="00D32420">
        <w:rPr>
          <w:b w:val="0"/>
          <w:bCs w:val="0"/>
          <w:lang w:val="ro-RO"/>
        </w:rPr>
        <w:t>Vice</w:t>
      </w:r>
      <w:r w:rsidR="00D32420" w:rsidRPr="00D32420">
        <w:rPr>
          <w:b w:val="0"/>
          <w:bCs w:val="0"/>
          <w:lang w:val="ro-RO"/>
        </w:rPr>
        <w:t>prim</w:t>
      </w:r>
      <w:r w:rsidRPr="00D32420">
        <w:rPr>
          <w:b w:val="0"/>
          <w:bCs w:val="0"/>
          <w:lang w:val="ro-RO"/>
        </w:rPr>
        <w:t>-</w:t>
      </w:r>
      <w:r w:rsidR="00D32420">
        <w:rPr>
          <w:b w:val="0"/>
          <w:bCs w:val="0"/>
          <w:lang w:val="ro-RO"/>
        </w:rPr>
        <w:t>ministru</w:t>
      </w:r>
      <w:r>
        <w:rPr>
          <w:b w:val="0"/>
          <w:bCs w:val="0"/>
          <w:lang w:val="ro-RO"/>
        </w:rPr>
        <w:t xml:space="preserve"> pentru </w:t>
      </w:r>
      <w:r w:rsidR="008A7EFA">
        <w:rPr>
          <w:b w:val="0"/>
          <w:bCs w:val="0"/>
          <w:lang w:val="ro-RO"/>
        </w:rPr>
        <w:t>R</w:t>
      </w:r>
      <w:r>
        <w:rPr>
          <w:b w:val="0"/>
          <w:bCs w:val="0"/>
          <w:lang w:val="ro-RO"/>
        </w:rPr>
        <w:t>eintegrare</w:t>
      </w:r>
      <w:r w:rsidRPr="002C0527">
        <w:rPr>
          <w:b w:val="0"/>
          <w:bCs w:val="0"/>
          <w:lang w:val="ro-RO"/>
        </w:rPr>
        <w:t xml:space="preserve"> </w:t>
      </w:r>
    </w:p>
    <w:p w14:paraId="3A5B5B0C" w14:textId="3EF898ED" w:rsidR="007B2EB8" w:rsidRDefault="00D32420" w:rsidP="00A42EBB">
      <w:pPr>
        <w:pStyle w:val="cb"/>
        <w:spacing w:line="276" w:lineRule="auto"/>
        <w:jc w:val="left"/>
        <w:rPr>
          <w:b w:val="0"/>
          <w:bCs w:val="0"/>
          <w:lang w:val="ro-RO"/>
        </w:rPr>
      </w:pPr>
      <w:r w:rsidRPr="00D32420">
        <w:rPr>
          <w:b w:val="0"/>
          <w:bCs w:val="0"/>
          <w:lang w:val="ro-RO"/>
        </w:rPr>
        <w:t>Viceprim-</w:t>
      </w:r>
      <w:r>
        <w:rPr>
          <w:b w:val="0"/>
          <w:bCs w:val="0"/>
          <w:lang w:val="ro-RO"/>
        </w:rPr>
        <w:t>ministru</w:t>
      </w:r>
      <w:r w:rsidR="007B2EB8" w:rsidRPr="007B2EB8">
        <w:rPr>
          <w:b w:val="0"/>
          <w:bCs w:val="0"/>
          <w:lang w:val="ro-RO"/>
        </w:rPr>
        <w:t>, ministru</w:t>
      </w:r>
      <w:r w:rsidR="000778B8">
        <w:rPr>
          <w:b w:val="0"/>
          <w:bCs w:val="0"/>
          <w:lang w:val="ro-RO"/>
        </w:rPr>
        <w:t xml:space="preserve"> a</w:t>
      </w:r>
      <w:r w:rsidR="007B2EB8">
        <w:rPr>
          <w:b w:val="0"/>
          <w:bCs w:val="0"/>
          <w:lang w:val="ro-RO"/>
        </w:rPr>
        <w:t>l</w:t>
      </w:r>
      <w:r w:rsidR="007B2EB8" w:rsidRPr="007B2EB8">
        <w:rPr>
          <w:b w:val="0"/>
          <w:bCs w:val="0"/>
          <w:lang w:val="ro-RO"/>
        </w:rPr>
        <w:t xml:space="preserve"> </w:t>
      </w:r>
      <w:r w:rsidR="008A7EFA">
        <w:rPr>
          <w:b w:val="0"/>
          <w:bCs w:val="0"/>
          <w:lang w:val="ro-RO"/>
        </w:rPr>
        <w:t>Dezvoltării Economice și Digitalizării</w:t>
      </w:r>
    </w:p>
    <w:p w14:paraId="29D92A46" w14:textId="3256C0F6" w:rsidR="000778B8" w:rsidRDefault="00D32420" w:rsidP="00A42EBB">
      <w:pPr>
        <w:pStyle w:val="cb"/>
        <w:spacing w:line="276" w:lineRule="auto"/>
        <w:jc w:val="left"/>
        <w:rPr>
          <w:b w:val="0"/>
          <w:bCs w:val="0"/>
          <w:lang w:val="ro-RO"/>
        </w:rPr>
      </w:pPr>
      <w:r w:rsidRPr="00D32420">
        <w:rPr>
          <w:b w:val="0"/>
          <w:bCs w:val="0"/>
          <w:lang w:val="ro-RO"/>
        </w:rPr>
        <w:t>Viceprim-</w:t>
      </w:r>
      <w:r>
        <w:rPr>
          <w:b w:val="0"/>
          <w:bCs w:val="0"/>
          <w:lang w:val="ro-RO"/>
        </w:rPr>
        <w:t>ministru</w:t>
      </w:r>
      <w:r w:rsidR="000778B8">
        <w:rPr>
          <w:b w:val="0"/>
          <w:bCs w:val="0"/>
          <w:lang w:val="ro-RO"/>
        </w:rPr>
        <w:t>,</w:t>
      </w:r>
      <w:r w:rsidR="000778B8" w:rsidRPr="002C0527">
        <w:rPr>
          <w:b w:val="0"/>
          <w:bCs w:val="0"/>
          <w:lang w:val="ro-RO"/>
        </w:rPr>
        <w:t xml:space="preserve"> </w:t>
      </w:r>
      <w:r w:rsidR="000778B8">
        <w:rPr>
          <w:b w:val="0"/>
          <w:bCs w:val="0"/>
          <w:lang w:val="ro-RO"/>
        </w:rPr>
        <w:t>m</w:t>
      </w:r>
      <w:r w:rsidR="000778B8" w:rsidRPr="002C0527">
        <w:rPr>
          <w:b w:val="0"/>
          <w:bCs w:val="0"/>
          <w:lang w:val="ro-RO"/>
        </w:rPr>
        <w:t>inis</w:t>
      </w:r>
      <w:r w:rsidR="000778B8">
        <w:rPr>
          <w:b w:val="0"/>
          <w:bCs w:val="0"/>
          <w:lang w:val="ro-RO"/>
        </w:rPr>
        <w:t>tru al</w:t>
      </w:r>
      <w:r w:rsidR="000778B8" w:rsidRPr="002C0527">
        <w:rPr>
          <w:b w:val="0"/>
          <w:bCs w:val="0"/>
          <w:lang w:val="ro-RO"/>
        </w:rPr>
        <w:t xml:space="preserve"> Agriculturii și Industriei Alimentare</w:t>
      </w:r>
    </w:p>
    <w:p w14:paraId="2FBAE4CE" w14:textId="54DD96D3" w:rsidR="00A42EBB" w:rsidRPr="002C0527" w:rsidRDefault="000778B8" w:rsidP="00A42EBB">
      <w:pPr>
        <w:pStyle w:val="cb"/>
        <w:spacing w:line="276" w:lineRule="auto"/>
        <w:jc w:val="left"/>
        <w:rPr>
          <w:b w:val="0"/>
          <w:bCs w:val="0"/>
          <w:lang w:val="ro-RO"/>
        </w:rPr>
      </w:pPr>
      <w:r>
        <w:rPr>
          <w:b w:val="0"/>
          <w:bCs w:val="0"/>
          <w:lang w:val="ro-RO"/>
        </w:rPr>
        <w:t>M</w:t>
      </w:r>
      <w:r w:rsidR="00F25992">
        <w:rPr>
          <w:b w:val="0"/>
          <w:bCs w:val="0"/>
          <w:lang w:val="ro-RO"/>
        </w:rPr>
        <w:t xml:space="preserve">inistru al </w:t>
      </w:r>
      <w:r w:rsidR="00A42EBB" w:rsidRPr="002C0527">
        <w:rPr>
          <w:b w:val="0"/>
          <w:bCs w:val="0"/>
          <w:lang w:val="ro-RO"/>
        </w:rPr>
        <w:t xml:space="preserve">Infrastructurii și Dezvoltării Regionale </w:t>
      </w:r>
    </w:p>
    <w:p w14:paraId="2FE88928" w14:textId="0BA51C5E" w:rsidR="00A42EBB" w:rsidRPr="002C0527" w:rsidRDefault="00A42EBB" w:rsidP="00A42EBB">
      <w:pPr>
        <w:pStyle w:val="cb"/>
        <w:spacing w:line="276" w:lineRule="auto"/>
        <w:jc w:val="left"/>
        <w:rPr>
          <w:b w:val="0"/>
          <w:bCs w:val="0"/>
          <w:lang w:val="ro-RO"/>
        </w:rPr>
      </w:pPr>
      <w:r w:rsidRPr="002C0527">
        <w:rPr>
          <w:b w:val="0"/>
          <w:bCs w:val="0"/>
          <w:lang w:val="ro-RO"/>
        </w:rPr>
        <w:t>Minis</w:t>
      </w:r>
      <w:r w:rsidR="0011634D">
        <w:rPr>
          <w:b w:val="0"/>
          <w:bCs w:val="0"/>
          <w:lang w:val="ro-RO"/>
        </w:rPr>
        <w:t>tru al</w:t>
      </w:r>
      <w:r w:rsidRPr="002C0527">
        <w:rPr>
          <w:b w:val="0"/>
          <w:bCs w:val="0"/>
          <w:lang w:val="ro-RO"/>
        </w:rPr>
        <w:t xml:space="preserve"> Finanțelor</w:t>
      </w:r>
    </w:p>
    <w:p w14:paraId="06E2809A" w14:textId="583DE7C3" w:rsidR="00A42EBB" w:rsidRPr="002C0527" w:rsidRDefault="0011634D" w:rsidP="00A42EBB">
      <w:pPr>
        <w:pStyle w:val="cb"/>
        <w:spacing w:line="276" w:lineRule="auto"/>
        <w:jc w:val="left"/>
        <w:rPr>
          <w:b w:val="0"/>
          <w:bCs w:val="0"/>
          <w:lang w:val="ro-RO"/>
        </w:rPr>
      </w:pPr>
      <w:r w:rsidRPr="002C0527">
        <w:rPr>
          <w:b w:val="0"/>
          <w:bCs w:val="0"/>
          <w:lang w:val="ro-RO"/>
        </w:rPr>
        <w:t>Minis</w:t>
      </w:r>
      <w:r>
        <w:rPr>
          <w:b w:val="0"/>
          <w:bCs w:val="0"/>
          <w:lang w:val="ro-RO"/>
        </w:rPr>
        <w:t>tru al</w:t>
      </w:r>
      <w:r w:rsidRPr="002C0527">
        <w:rPr>
          <w:b w:val="0"/>
          <w:bCs w:val="0"/>
          <w:lang w:val="ro-RO"/>
        </w:rPr>
        <w:t xml:space="preserve"> </w:t>
      </w:r>
      <w:r w:rsidR="00A42EBB" w:rsidRPr="002C0527">
        <w:rPr>
          <w:b w:val="0"/>
          <w:bCs w:val="0"/>
          <w:lang w:val="ro-RO"/>
        </w:rPr>
        <w:t>Muncii și Protecției Sociale</w:t>
      </w:r>
    </w:p>
    <w:p w14:paraId="3A6C48D8" w14:textId="59F104B9" w:rsidR="00A42EBB" w:rsidRPr="002C0527" w:rsidRDefault="0011634D" w:rsidP="00A42EBB">
      <w:pPr>
        <w:pStyle w:val="cb"/>
        <w:spacing w:line="276" w:lineRule="auto"/>
        <w:jc w:val="left"/>
        <w:rPr>
          <w:b w:val="0"/>
          <w:bCs w:val="0"/>
          <w:lang w:val="ro-RO"/>
        </w:rPr>
      </w:pPr>
      <w:r w:rsidRPr="002C0527">
        <w:rPr>
          <w:b w:val="0"/>
          <w:bCs w:val="0"/>
          <w:lang w:val="ro-RO"/>
        </w:rPr>
        <w:t>Minis</w:t>
      </w:r>
      <w:r>
        <w:rPr>
          <w:b w:val="0"/>
          <w:bCs w:val="0"/>
          <w:lang w:val="ro-RO"/>
        </w:rPr>
        <w:t>tru al</w:t>
      </w:r>
      <w:r w:rsidRPr="002C0527">
        <w:rPr>
          <w:b w:val="0"/>
          <w:bCs w:val="0"/>
          <w:lang w:val="ro-RO"/>
        </w:rPr>
        <w:t xml:space="preserve"> </w:t>
      </w:r>
      <w:r w:rsidR="00A42EBB" w:rsidRPr="002C0527">
        <w:rPr>
          <w:b w:val="0"/>
          <w:bCs w:val="0"/>
          <w:lang w:val="ro-RO"/>
        </w:rPr>
        <w:t>Afacerilor Interne</w:t>
      </w:r>
    </w:p>
    <w:p w14:paraId="67336972" w14:textId="0E4F01BB" w:rsidR="00A42EBB" w:rsidRPr="002C0527" w:rsidRDefault="0011634D" w:rsidP="00A42EBB">
      <w:pPr>
        <w:pStyle w:val="cb"/>
        <w:spacing w:line="276" w:lineRule="auto"/>
        <w:jc w:val="left"/>
        <w:rPr>
          <w:b w:val="0"/>
          <w:bCs w:val="0"/>
          <w:lang w:val="ro-RO"/>
        </w:rPr>
      </w:pPr>
      <w:r w:rsidRPr="002C0527">
        <w:rPr>
          <w:b w:val="0"/>
          <w:bCs w:val="0"/>
          <w:lang w:val="ro-RO"/>
        </w:rPr>
        <w:t>Minis</w:t>
      </w:r>
      <w:r>
        <w:rPr>
          <w:b w:val="0"/>
          <w:bCs w:val="0"/>
          <w:lang w:val="ro-RO"/>
        </w:rPr>
        <w:t>tru al</w:t>
      </w:r>
      <w:r w:rsidRPr="002C0527">
        <w:rPr>
          <w:b w:val="0"/>
          <w:bCs w:val="0"/>
          <w:lang w:val="ro-RO"/>
        </w:rPr>
        <w:t xml:space="preserve"> </w:t>
      </w:r>
      <w:r w:rsidR="00A42EBB" w:rsidRPr="002C0527">
        <w:rPr>
          <w:b w:val="0"/>
          <w:bCs w:val="0"/>
          <w:lang w:val="ro-RO"/>
        </w:rPr>
        <w:t>Mediului</w:t>
      </w:r>
    </w:p>
    <w:p w14:paraId="3A613898" w14:textId="08021238" w:rsidR="00A42EBB" w:rsidRPr="002C0527" w:rsidRDefault="0011634D" w:rsidP="00A42EBB">
      <w:pPr>
        <w:pStyle w:val="cb"/>
        <w:spacing w:line="276" w:lineRule="auto"/>
        <w:jc w:val="left"/>
        <w:rPr>
          <w:b w:val="0"/>
          <w:bCs w:val="0"/>
          <w:lang w:val="ro-RO"/>
        </w:rPr>
      </w:pPr>
      <w:r w:rsidRPr="002C0527">
        <w:rPr>
          <w:b w:val="0"/>
          <w:bCs w:val="0"/>
          <w:lang w:val="ro-RO"/>
        </w:rPr>
        <w:t>Minis</w:t>
      </w:r>
      <w:r>
        <w:rPr>
          <w:b w:val="0"/>
          <w:bCs w:val="0"/>
          <w:lang w:val="ro-RO"/>
        </w:rPr>
        <w:t>tru al</w:t>
      </w:r>
      <w:r w:rsidRPr="002C0527">
        <w:rPr>
          <w:b w:val="0"/>
          <w:bCs w:val="0"/>
          <w:lang w:val="ro-RO"/>
        </w:rPr>
        <w:t xml:space="preserve"> </w:t>
      </w:r>
      <w:r w:rsidR="00A42EBB" w:rsidRPr="002C0527">
        <w:rPr>
          <w:b w:val="0"/>
          <w:bCs w:val="0"/>
          <w:lang w:val="ro-RO"/>
        </w:rPr>
        <w:t>Educației și Cercetării</w:t>
      </w:r>
    </w:p>
    <w:p w14:paraId="2C051367" w14:textId="6E843954" w:rsidR="00503929" w:rsidRPr="002C0527" w:rsidRDefault="0011634D" w:rsidP="00A42EBB">
      <w:pPr>
        <w:pStyle w:val="cb"/>
        <w:spacing w:line="276" w:lineRule="auto"/>
        <w:jc w:val="left"/>
        <w:rPr>
          <w:b w:val="0"/>
          <w:bCs w:val="0"/>
          <w:lang w:val="ro-RO"/>
        </w:rPr>
      </w:pPr>
      <w:r w:rsidRPr="002C0527">
        <w:rPr>
          <w:b w:val="0"/>
          <w:bCs w:val="0"/>
          <w:lang w:val="ro-RO"/>
        </w:rPr>
        <w:t>Minis</w:t>
      </w:r>
      <w:r>
        <w:rPr>
          <w:b w:val="0"/>
          <w:bCs w:val="0"/>
          <w:lang w:val="ro-RO"/>
        </w:rPr>
        <w:t>tru al</w:t>
      </w:r>
      <w:r w:rsidRPr="002C0527">
        <w:rPr>
          <w:b w:val="0"/>
          <w:bCs w:val="0"/>
          <w:lang w:val="ro-RO"/>
        </w:rPr>
        <w:t xml:space="preserve"> </w:t>
      </w:r>
      <w:r w:rsidR="00503929">
        <w:rPr>
          <w:b w:val="0"/>
          <w:bCs w:val="0"/>
          <w:lang w:val="ro-RO"/>
        </w:rPr>
        <w:t>Sănătăți</w:t>
      </w:r>
      <w:r w:rsidR="000778B8">
        <w:rPr>
          <w:b w:val="0"/>
          <w:bCs w:val="0"/>
          <w:lang w:val="ro-RO"/>
        </w:rPr>
        <w:t>i</w:t>
      </w:r>
    </w:p>
    <w:p w14:paraId="655854A7" w14:textId="7A6A4430" w:rsidR="000778B8" w:rsidRDefault="000778B8" w:rsidP="000778B8">
      <w:pPr>
        <w:pStyle w:val="cb"/>
        <w:jc w:val="left"/>
        <w:rPr>
          <w:b w:val="0"/>
          <w:bCs w:val="0"/>
          <w:lang w:val="ro-RO"/>
        </w:rPr>
      </w:pPr>
      <w:r w:rsidRPr="005372AC">
        <w:rPr>
          <w:b w:val="0"/>
          <w:bCs w:val="0"/>
          <w:lang w:val="ro-RO"/>
        </w:rPr>
        <w:t>Guvernator (Bașcan) al Unității teritoriale autonome Găgăuzia (Gagauz-Yeri)</w:t>
      </w:r>
    </w:p>
    <w:p w14:paraId="4F0C5B36" w14:textId="3E47D8E3" w:rsidR="00A42EBB" w:rsidRPr="002C0527" w:rsidRDefault="0011634D" w:rsidP="00A42EBB">
      <w:pPr>
        <w:pStyle w:val="cb"/>
        <w:spacing w:line="276" w:lineRule="auto"/>
        <w:jc w:val="left"/>
        <w:rPr>
          <w:b w:val="0"/>
          <w:bCs w:val="0"/>
          <w:lang w:val="ro-RO"/>
        </w:rPr>
      </w:pPr>
      <w:r>
        <w:rPr>
          <w:b w:val="0"/>
          <w:bCs w:val="0"/>
          <w:lang w:val="ro-RO"/>
        </w:rPr>
        <w:t>Director</w:t>
      </w:r>
      <w:r w:rsidR="007670E6">
        <w:rPr>
          <w:b w:val="0"/>
          <w:bCs w:val="0"/>
          <w:lang w:val="ro-RO"/>
        </w:rPr>
        <w:t xml:space="preserve"> al </w:t>
      </w:r>
      <w:r w:rsidR="00A42EBB" w:rsidRPr="002C0527">
        <w:rPr>
          <w:b w:val="0"/>
          <w:bCs w:val="0"/>
          <w:lang w:val="ro-RO"/>
        </w:rPr>
        <w:t>Agenți</w:t>
      </w:r>
      <w:r w:rsidR="007670E6">
        <w:rPr>
          <w:b w:val="0"/>
          <w:bCs w:val="0"/>
          <w:lang w:val="ro-RO"/>
        </w:rPr>
        <w:t>ei</w:t>
      </w:r>
      <w:r w:rsidR="00A42EBB" w:rsidRPr="002C0527">
        <w:rPr>
          <w:b w:val="0"/>
          <w:bCs w:val="0"/>
          <w:lang w:val="ro-RO"/>
        </w:rPr>
        <w:t xml:space="preserve"> Proprietății Publice</w:t>
      </w:r>
    </w:p>
    <w:p w14:paraId="281404BB" w14:textId="6595B571" w:rsidR="00A42EBB" w:rsidRPr="002C0527" w:rsidRDefault="007670E6" w:rsidP="00A42EBB">
      <w:pPr>
        <w:pStyle w:val="cb"/>
        <w:spacing w:line="276" w:lineRule="auto"/>
        <w:jc w:val="left"/>
        <w:rPr>
          <w:b w:val="0"/>
          <w:bCs w:val="0"/>
          <w:lang w:val="ro-RO"/>
        </w:rPr>
      </w:pPr>
      <w:r>
        <w:rPr>
          <w:b w:val="0"/>
          <w:bCs w:val="0"/>
          <w:lang w:val="ro-RO"/>
        </w:rPr>
        <w:t xml:space="preserve">Director al </w:t>
      </w:r>
      <w:r w:rsidR="00A42EBB" w:rsidRPr="002C0527">
        <w:rPr>
          <w:b w:val="0"/>
          <w:bCs w:val="0"/>
          <w:lang w:val="ro-RO"/>
        </w:rPr>
        <w:t>Agenției Naționale pentru Reglementare în Energetică</w:t>
      </w:r>
    </w:p>
    <w:p w14:paraId="230632CE" w14:textId="5DBF2D73" w:rsidR="00A42EBB" w:rsidRPr="002C0527" w:rsidRDefault="007670E6" w:rsidP="00A42EBB">
      <w:pPr>
        <w:pStyle w:val="cb"/>
        <w:spacing w:line="276" w:lineRule="auto"/>
        <w:jc w:val="left"/>
        <w:rPr>
          <w:b w:val="0"/>
          <w:bCs w:val="0"/>
          <w:lang w:val="ro-RO"/>
        </w:rPr>
      </w:pPr>
      <w:r>
        <w:rPr>
          <w:b w:val="0"/>
          <w:bCs w:val="0"/>
          <w:lang w:val="ro-RO"/>
        </w:rPr>
        <w:t xml:space="preserve">Director al </w:t>
      </w:r>
      <w:r w:rsidR="00A42EBB" w:rsidRPr="002C0527">
        <w:rPr>
          <w:b w:val="0"/>
          <w:bCs w:val="0"/>
          <w:lang w:val="ro-RO"/>
        </w:rPr>
        <w:t>Agenți</w:t>
      </w:r>
      <w:r>
        <w:rPr>
          <w:b w:val="0"/>
          <w:bCs w:val="0"/>
          <w:lang w:val="ro-RO"/>
        </w:rPr>
        <w:t>ei</w:t>
      </w:r>
      <w:r w:rsidR="00A42EBB" w:rsidRPr="002C0527">
        <w:rPr>
          <w:b w:val="0"/>
          <w:bCs w:val="0"/>
          <w:lang w:val="ro-RO"/>
        </w:rPr>
        <w:t xml:space="preserve"> Rezerve Materiale</w:t>
      </w:r>
    </w:p>
    <w:p w14:paraId="3FD7DD81" w14:textId="0A3F7FDA" w:rsidR="00A42EBB" w:rsidRPr="002C0527" w:rsidRDefault="007670E6" w:rsidP="00A42EBB">
      <w:pPr>
        <w:pStyle w:val="cb"/>
        <w:spacing w:line="276" w:lineRule="auto"/>
        <w:jc w:val="left"/>
        <w:rPr>
          <w:b w:val="0"/>
          <w:bCs w:val="0"/>
          <w:lang w:val="ro-RO"/>
        </w:rPr>
      </w:pPr>
      <w:r>
        <w:rPr>
          <w:b w:val="0"/>
          <w:bCs w:val="0"/>
          <w:lang w:val="ro-RO"/>
        </w:rPr>
        <w:t xml:space="preserve">Director al </w:t>
      </w:r>
      <w:r w:rsidR="00A42EBB" w:rsidRPr="002C0527">
        <w:rPr>
          <w:b w:val="0"/>
          <w:bCs w:val="0"/>
          <w:lang w:val="ro-RO"/>
        </w:rPr>
        <w:t>Agenți</w:t>
      </w:r>
      <w:r>
        <w:rPr>
          <w:b w:val="0"/>
          <w:bCs w:val="0"/>
          <w:lang w:val="ro-RO"/>
        </w:rPr>
        <w:t>ei</w:t>
      </w:r>
      <w:r w:rsidR="00A42EBB" w:rsidRPr="002C0527">
        <w:rPr>
          <w:b w:val="0"/>
          <w:bCs w:val="0"/>
          <w:lang w:val="ro-RO"/>
        </w:rPr>
        <w:t xml:space="preserve"> „Moldsilva”</w:t>
      </w:r>
    </w:p>
    <w:p w14:paraId="57598171" w14:textId="41189753" w:rsidR="00A42EBB" w:rsidRPr="002C0527" w:rsidRDefault="007670E6" w:rsidP="00A42EBB">
      <w:pPr>
        <w:pStyle w:val="NormalWeb"/>
        <w:spacing w:before="0" w:after="0" w:line="276" w:lineRule="auto"/>
        <w:rPr>
          <w:b/>
          <w:bCs/>
          <w:lang w:val="ro-RO"/>
        </w:rPr>
      </w:pPr>
      <w:r w:rsidRPr="009251A8">
        <w:rPr>
          <w:lang w:val="ro-RO"/>
        </w:rPr>
        <w:t xml:space="preserve">Director al </w:t>
      </w:r>
      <w:r w:rsidR="00A42EBB" w:rsidRPr="002C0527">
        <w:rPr>
          <w:lang w:val="ro-RO"/>
        </w:rPr>
        <w:t>Agenți</w:t>
      </w:r>
      <w:r>
        <w:rPr>
          <w:lang w:val="ro-RO"/>
        </w:rPr>
        <w:t>ei</w:t>
      </w:r>
      <w:r w:rsidR="00A42EBB" w:rsidRPr="002C0527">
        <w:rPr>
          <w:lang w:val="ro-RO"/>
        </w:rPr>
        <w:t xml:space="preserve"> Achiziții Publice</w:t>
      </w:r>
      <w:r w:rsidR="00A42EBB" w:rsidRPr="002C0527">
        <w:rPr>
          <w:b/>
          <w:bCs/>
          <w:lang w:val="ro-RO"/>
        </w:rPr>
        <w:t xml:space="preserve"> </w:t>
      </w:r>
    </w:p>
    <w:p w14:paraId="1FC7B541" w14:textId="2A2D43FE" w:rsidR="00A42EBB" w:rsidRPr="002C0527" w:rsidRDefault="007670E6" w:rsidP="00A42EBB">
      <w:pPr>
        <w:pStyle w:val="NormalWeb"/>
        <w:spacing w:before="0" w:after="0" w:line="276" w:lineRule="auto"/>
        <w:rPr>
          <w:lang w:val="ro-RO"/>
        </w:rPr>
      </w:pPr>
      <w:r w:rsidRPr="00C2345A">
        <w:rPr>
          <w:lang w:val="ro-RO"/>
        </w:rPr>
        <w:t xml:space="preserve">Director al </w:t>
      </w:r>
      <w:r w:rsidR="00A42EBB" w:rsidRPr="002C0527">
        <w:rPr>
          <w:lang w:val="ro-RO"/>
        </w:rPr>
        <w:t>Agenți</w:t>
      </w:r>
      <w:r>
        <w:rPr>
          <w:lang w:val="ro-RO"/>
        </w:rPr>
        <w:t>ei</w:t>
      </w:r>
      <w:r w:rsidR="00A42EBB" w:rsidRPr="002C0527">
        <w:rPr>
          <w:lang w:val="ro-RO"/>
        </w:rPr>
        <w:t xml:space="preserve"> </w:t>
      </w:r>
      <w:r w:rsidR="000778B8">
        <w:rPr>
          <w:lang w:val="ro-RO"/>
        </w:rPr>
        <w:t xml:space="preserve">pentru </w:t>
      </w:r>
      <w:r w:rsidR="00A42EBB" w:rsidRPr="002C0527">
        <w:rPr>
          <w:lang w:val="ro-RO"/>
        </w:rPr>
        <w:t xml:space="preserve">Supraveghere Tehnică </w:t>
      </w:r>
    </w:p>
    <w:p w14:paraId="702BF383" w14:textId="594367CD" w:rsidR="00D32420" w:rsidRPr="002C0527" w:rsidRDefault="007670E6" w:rsidP="00A42EBB">
      <w:pPr>
        <w:pStyle w:val="NormalWeb"/>
        <w:spacing w:before="0" w:after="0" w:line="276" w:lineRule="auto"/>
        <w:rPr>
          <w:lang w:val="ro-RO"/>
        </w:rPr>
      </w:pPr>
      <w:r w:rsidRPr="00C2345A">
        <w:rPr>
          <w:lang w:val="ro-RO"/>
        </w:rPr>
        <w:t xml:space="preserve">Director al </w:t>
      </w:r>
      <w:r w:rsidR="00A42EBB" w:rsidRPr="002C0527">
        <w:rPr>
          <w:lang w:val="ro-RO"/>
        </w:rPr>
        <w:t>Agenți</w:t>
      </w:r>
      <w:r>
        <w:rPr>
          <w:lang w:val="ro-RO"/>
        </w:rPr>
        <w:t>ei</w:t>
      </w:r>
      <w:r w:rsidR="00A42EBB" w:rsidRPr="002C0527">
        <w:rPr>
          <w:lang w:val="ro-RO"/>
        </w:rPr>
        <w:t xml:space="preserve"> pentru Eficiență Energetică </w:t>
      </w:r>
    </w:p>
    <w:p w14:paraId="368DEC7A" w14:textId="6CB76FE6" w:rsidR="00A42EBB" w:rsidRPr="002C0527" w:rsidRDefault="007670E6" w:rsidP="00A42EBB">
      <w:pPr>
        <w:pStyle w:val="NormalWeb"/>
        <w:spacing w:before="0" w:after="0" w:line="276" w:lineRule="auto"/>
        <w:rPr>
          <w:lang w:val="ro-RO"/>
        </w:rPr>
      </w:pPr>
      <w:r w:rsidRPr="00C2345A">
        <w:rPr>
          <w:lang w:val="ro-RO"/>
        </w:rPr>
        <w:t xml:space="preserve">Director al </w:t>
      </w:r>
      <w:r w:rsidR="00A42EBB" w:rsidRPr="002C0527">
        <w:rPr>
          <w:lang w:val="ro-RO"/>
        </w:rPr>
        <w:t>Serviciul Vamal</w:t>
      </w:r>
    </w:p>
    <w:p w14:paraId="7DB5D29E" w14:textId="7FE3BF8D" w:rsidR="00A42EBB" w:rsidRDefault="007670E6" w:rsidP="00A42EBB">
      <w:pPr>
        <w:pStyle w:val="NormalWeb"/>
        <w:spacing w:before="0" w:after="0" w:line="276" w:lineRule="auto"/>
        <w:rPr>
          <w:lang w:val="ro-RO"/>
        </w:rPr>
      </w:pPr>
      <w:r w:rsidRPr="00C2345A">
        <w:rPr>
          <w:lang w:val="ro-RO"/>
        </w:rPr>
        <w:t xml:space="preserve">Director al </w:t>
      </w:r>
      <w:r w:rsidR="00A42EBB" w:rsidRPr="002C0527">
        <w:rPr>
          <w:lang w:val="ro-RO"/>
        </w:rPr>
        <w:t>Serviciul Fiscal de Stat</w:t>
      </w:r>
    </w:p>
    <w:p w14:paraId="4E89CA13" w14:textId="2A2C84D4" w:rsidR="002861C1" w:rsidRPr="002C0527" w:rsidRDefault="002861C1" w:rsidP="00A42EBB">
      <w:pPr>
        <w:pStyle w:val="NormalWeb"/>
        <w:spacing w:before="0" w:after="0" w:line="276" w:lineRule="auto"/>
        <w:rPr>
          <w:lang w:val="ro-RO"/>
        </w:rPr>
      </w:pPr>
      <w:r>
        <w:rPr>
          <w:lang w:val="ro-RO"/>
        </w:rPr>
        <w:t xml:space="preserve">Șef al </w:t>
      </w:r>
      <w:r w:rsidRPr="002861C1">
        <w:rPr>
          <w:lang w:val="ro-RO"/>
        </w:rPr>
        <w:t>Inspectoratului General pentru Situaţii de Urgență</w:t>
      </w:r>
    </w:p>
    <w:p w14:paraId="26CA3760" w14:textId="25962564" w:rsidR="00CF1922" w:rsidRDefault="00145771" w:rsidP="00A42EBB">
      <w:pPr>
        <w:pStyle w:val="NormalWeb"/>
        <w:spacing w:before="0" w:after="0" w:line="276" w:lineRule="auto"/>
        <w:rPr>
          <w:lang w:val="ro-RO"/>
        </w:rPr>
      </w:pPr>
      <w:r>
        <w:rPr>
          <w:lang w:val="ro-RO"/>
        </w:rPr>
        <w:t xml:space="preserve">Reprezentant al </w:t>
      </w:r>
      <w:r w:rsidR="00500E57" w:rsidRPr="002C0527">
        <w:rPr>
          <w:lang w:val="ro-RO"/>
        </w:rPr>
        <w:t>Congresul</w:t>
      </w:r>
      <w:r w:rsidR="000F42BD">
        <w:rPr>
          <w:lang w:val="ro-RO"/>
        </w:rPr>
        <w:t>ui</w:t>
      </w:r>
      <w:r w:rsidR="00500E57" w:rsidRPr="002C0527">
        <w:rPr>
          <w:lang w:val="ro-RO"/>
        </w:rPr>
        <w:t xml:space="preserve"> Autorităților Locale din Moldova </w:t>
      </w:r>
    </w:p>
    <w:p w14:paraId="24EE67F5" w14:textId="7A854448" w:rsidR="00D32420" w:rsidRDefault="00D32420" w:rsidP="00A42EBB">
      <w:pPr>
        <w:pStyle w:val="NormalWeb"/>
        <w:spacing w:before="0" w:after="0" w:line="276" w:lineRule="auto"/>
        <w:rPr>
          <w:lang w:val="ro-RO"/>
        </w:rPr>
      </w:pPr>
      <w:r>
        <w:rPr>
          <w:lang w:val="ro-RO"/>
        </w:rPr>
        <w:t>Director al ÎS „</w:t>
      </w:r>
      <w:r w:rsidRPr="00D32420">
        <w:rPr>
          <w:lang w:val="ro-RO"/>
        </w:rPr>
        <w:t>Administrația de Stat a Drumurilor</w:t>
      </w:r>
      <w:r w:rsidRPr="002C0527">
        <w:rPr>
          <w:lang w:val="ro-RO"/>
        </w:rPr>
        <w:t>”</w:t>
      </w:r>
    </w:p>
    <w:p w14:paraId="48493EF7" w14:textId="5276D7CF" w:rsidR="009D6AC2" w:rsidRPr="002C0527" w:rsidRDefault="009D6AC2" w:rsidP="00A42EBB">
      <w:pPr>
        <w:pStyle w:val="NormalWeb"/>
        <w:spacing w:before="0" w:after="0" w:line="276" w:lineRule="auto"/>
        <w:rPr>
          <w:lang w:val="ro-RO"/>
        </w:rPr>
      </w:pPr>
      <w:r w:rsidRPr="00C2345A">
        <w:rPr>
          <w:lang w:val="ro-RO"/>
        </w:rPr>
        <w:t xml:space="preserve">Director al </w:t>
      </w:r>
      <w:r>
        <w:rPr>
          <w:lang w:val="ro-RO"/>
        </w:rPr>
        <w:t>Î</w:t>
      </w:r>
      <w:r w:rsidRPr="002C0527">
        <w:rPr>
          <w:lang w:val="ro-RO"/>
        </w:rPr>
        <w:t xml:space="preserve">S </w:t>
      </w:r>
      <w:r>
        <w:rPr>
          <w:lang w:val="ro-RO"/>
        </w:rPr>
        <w:t>„Calea Ferată din Moldova</w:t>
      </w:r>
      <w:r w:rsidRPr="002C0527">
        <w:rPr>
          <w:lang w:val="ro-RO"/>
        </w:rPr>
        <w:t>”</w:t>
      </w:r>
    </w:p>
    <w:p w14:paraId="435DF07C" w14:textId="3FCC064F" w:rsidR="00A42EBB" w:rsidRPr="002C0527" w:rsidRDefault="00E01AC8" w:rsidP="00A42EBB">
      <w:pPr>
        <w:pStyle w:val="NormalWeb"/>
        <w:spacing w:before="0" w:after="0" w:line="276" w:lineRule="auto"/>
        <w:rPr>
          <w:lang w:val="ro-RO"/>
        </w:rPr>
      </w:pPr>
      <w:r w:rsidRPr="00C2345A">
        <w:rPr>
          <w:lang w:val="ro-RO"/>
        </w:rPr>
        <w:t xml:space="preserve">Director al </w:t>
      </w:r>
      <w:r w:rsidR="00A42EBB" w:rsidRPr="002C0527">
        <w:rPr>
          <w:lang w:val="ro-RO"/>
        </w:rPr>
        <w:t xml:space="preserve">SA </w:t>
      </w:r>
      <w:r w:rsidR="002379B9">
        <w:rPr>
          <w:lang w:val="ro-RO"/>
        </w:rPr>
        <w:t>„</w:t>
      </w:r>
      <w:r w:rsidR="00A42EBB" w:rsidRPr="002C0527">
        <w:rPr>
          <w:lang w:val="ro-RO"/>
        </w:rPr>
        <w:t>Moldovagaz</w:t>
      </w:r>
      <w:r w:rsidR="00D32420" w:rsidRPr="002C0527">
        <w:rPr>
          <w:lang w:val="ro-RO"/>
        </w:rPr>
        <w:t>”</w:t>
      </w:r>
      <w:r w:rsidR="00A42EBB" w:rsidRPr="002C0527">
        <w:rPr>
          <w:lang w:val="ro-RO"/>
        </w:rPr>
        <w:t xml:space="preserve"> </w:t>
      </w:r>
    </w:p>
    <w:p w14:paraId="05DF8CE8" w14:textId="65B30E82" w:rsidR="00A42EBB" w:rsidRPr="002C0527" w:rsidRDefault="00E01AC8" w:rsidP="00A42EBB">
      <w:pPr>
        <w:pStyle w:val="NormalWeb"/>
        <w:spacing w:before="0" w:after="0" w:line="276" w:lineRule="auto"/>
        <w:rPr>
          <w:lang w:val="ro-RO"/>
        </w:rPr>
      </w:pPr>
      <w:r w:rsidRPr="00C2345A">
        <w:rPr>
          <w:lang w:val="ro-RO"/>
        </w:rPr>
        <w:t xml:space="preserve">Director al </w:t>
      </w:r>
      <w:r w:rsidR="00A42EBB" w:rsidRPr="002C0527">
        <w:rPr>
          <w:lang w:val="ro-RO"/>
        </w:rPr>
        <w:t xml:space="preserve">SA </w:t>
      </w:r>
      <w:r w:rsidR="002379B9">
        <w:rPr>
          <w:lang w:val="ro-RO"/>
        </w:rPr>
        <w:t>„</w:t>
      </w:r>
      <w:r w:rsidR="00A42EBB" w:rsidRPr="002C0527">
        <w:rPr>
          <w:lang w:val="ro-RO"/>
        </w:rPr>
        <w:t>Energocom”</w:t>
      </w:r>
    </w:p>
    <w:p w14:paraId="6C2D5B2C" w14:textId="62EB4D88" w:rsidR="00A42EBB" w:rsidRPr="002C0527" w:rsidRDefault="00E01AC8" w:rsidP="00A42EBB">
      <w:pPr>
        <w:pStyle w:val="NormalWeb"/>
        <w:spacing w:before="0" w:after="0" w:line="276" w:lineRule="auto"/>
        <w:rPr>
          <w:lang w:val="ro-RO"/>
        </w:rPr>
      </w:pPr>
      <w:r w:rsidRPr="00C2345A">
        <w:rPr>
          <w:lang w:val="ro-RO"/>
        </w:rPr>
        <w:t xml:space="preserve">Director al </w:t>
      </w:r>
      <w:r w:rsidR="00A42EBB" w:rsidRPr="002C0527">
        <w:rPr>
          <w:lang w:val="ro-RO"/>
        </w:rPr>
        <w:t xml:space="preserve">SRL </w:t>
      </w:r>
      <w:r w:rsidR="002379B9">
        <w:rPr>
          <w:lang w:val="ro-RO"/>
        </w:rPr>
        <w:t>„</w:t>
      </w:r>
      <w:r w:rsidR="00A42EBB" w:rsidRPr="002C0527">
        <w:rPr>
          <w:lang w:val="ro-RO"/>
        </w:rPr>
        <w:t>Moldovatransgaz”</w:t>
      </w:r>
    </w:p>
    <w:p w14:paraId="230F9E59" w14:textId="55123B6E" w:rsidR="00A42EBB" w:rsidRPr="002C0527" w:rsidRDefault="00E01AC8" w:rsidP="00A42EBB">
      <w:pPr>
        <w:pStyle w:val="NormalWeb"/>
        <w:spacing w:before="0" w:after="0" w:line="276" w:lineRule="auto"/>
        <w:rPr>
          <w:lang w:val="ro-RO"/>
        </w:rPr>
      </w:pPr>
      <w:r w:rsidRPr="00C2345A">
        <w:rPr>
          <w:lang w:val="ro-RO"/>
        </w:rPr>
        <w:t xml:space="preserve">Director al </w:t>
      </w:r>
      <w:r w:rsidR="00A42EBB" w:rsidRPr="002C0527">
        <w:rPr>
          <w:lang w:val="ro-RO"/>
        </w:rPr>
        <w:t xml:space="preserve">SRL </w:t>
      </w:r>
      <w:r w:rsidR="002379B9">
        <w:rPr>
          <w:lang w:val="ro-RO"/>
        </w:rPr>
        <w:t>„</w:t>
      </w:r>
      <w:r w:rsidR="00A42EBB" w:rsidRPr="002C0527">
        <w:rPr>
          <w:lang w:val="ro-RO"/>
        </w:rPr>
        <w:t>Vestmoldtransgaz”</w:t>
      </w:r>
    </w:p>
    <w:p w14:paraId="293A7D72" w14:textId="247B8E33" w:rsidR="00A42EBB" w:rsidRPr="002C0527" w:rsidRDefault="00E01AC8" w:rsidP="00A42EBB">
      <w:pPr>
        <w:pStyle w:val="NormalWeb"/>
        <w:spacing w:before="0" w:after="0" w:line="276" w:lineRule="auto"/>
        <w:rPr>
          <w:lang w:val="ro-RO"/>
        </w:rPr>
      </w:pPr>
      <w:r w:rsidRPr="00C2345A">
        <w:rPr>
          <w:lang w:val="ro-RO"/>
        </w:rPr>
        <w:t xml:space="preserve">Director al </w:t>
      </w:r>
      <w:r w:rsidR="00A42EBB" w:rsidRPr="002C0527">
        <w:rPr>
          <w:lang w:val="ro-RO"/>
        </w:rPr>
        <w:t xml:space="preserve">SA </w:t>
      </w:r>
      <w:r w:rsidR="002379B9">
        <w:rPr>
          <w:lang w:val="ro-RO"/>
        </w:rPr>
        <w:t>„</w:t>
      </w:r>
      <w:r w:rsidR="00A42EBB" w:rsidRPr="002C0527">
        <w:rPr>
          <w:lang w:val="ro-RO"/>
        </w:rPr>
        <w:t>Termoelectrica”</w:t>
      </w:r>
    </w:p>
    <w:p w14:paraId="43EB5255" w14:textId="3B476832" w:rsidR="00A42EBB" w:rsidRPr="002C0527" w:rsidRDefault="00E01AC8" w:rsidP="00A42EBB">
      <w:pPr>
        <w:pStyle w:val="NormalWeb"/>
        <w:spacing w:before="0" w:after="0" w:line="276" w:lineRule="auto"/>
        <w:rPr>
          <w:lang w:val="ro-RO"/>
        </w:rPr>
      </w:pPr>
      <w:r w:rsidRPr="00C2345A">
        <w:rPr>
          <w:lang w:val="ro-RO"/>
        </w:rPr>
        <w:t xml:space="preserve">Director al </w:t>
      </w:r>
      <w:r w:rsidR="00A42EBB" w:rsidRPr="002C0527">
        <w:rPr>
          <w:lang w:val="ro-RO"/>
        </w:rPr>
        <w:t xml:space="preserve">SA </w:t>
      </w:r>
      <w:r w:rsidR="002379B9">
        <w:rPr>
          <w:lang w:val="ro-RO"/>
        </w:rPr>
        <w:t>„</w:t>
      </w:r>
      <w:r w:rsidR="00A42EBB" w:rsidRPr="002C0527">
        <w:rPr>
          <w:lang w:val="ro-RO"/>
        </w:rPr>
        <w:t>CET-Nord”</w:t>
      </w:r>
    </w:p>
    <w:p w14:paraId="35C27181" w14:textId="6AE0AE8F" w:rsidR="00A42EBB" w:rsidRPr="002C0527" w:rsidRDefault="00E01AC8" w:rsidP="00A42EBB">
      <w:pPr>
        <w:pStyle w:val="NormalWeb"/>
        <w:spacing w:before="0" w:after="0" w:line="276" w:lineRule="auto"/>
        <w:rPr>
          <w:lang w:val="ro-RO"/>
        </w:rPr>
      </w:pPr>
      <w:r w:rsidRPr="00C2345A">
        <w:rPr>
          <w:lang w:val="ro-RO"/>
        </w:rPr>
        <w:t xml:space="preserve">Director al </w:t>
      </w:r>
      <w:r>
        <w:rPr>
          <w:lang w:val="ro-RO"/>
        </w:rPr>
        <w:t>Î</w:t>
      </w:r>
      <w:r w:rsidR="00A42EBB" w:rsidRPr="002C0527">
        <w:rPr>
          <w:lang w:val="ro-RO"/>
        </w:rPr>
        <w:t xml:space="preserve">S </w:t>
      </w:r>
      <w:r w:rsidR="002379B9">
        <w:rPr>
          <w:lang w:val="ro-RO"/>
        </w:rPr>
        <w:t>„</w:t>
      </w:r>
      <w:r w:rsidR="00A42EBB" w:rsidRPr="002C0527">
        <w:rPr>
          <w:lang w:val="ro-RO"/>
        </w:rPr>
        <w:t>Moldelectrica”</w:t>
      </w:r>
    </w:p>
    <w:p w14:paraId="7F89278B" w14:textId="6F875999" w:rsidR="00A42EBB" w:rsidRPr="002C0527" w:rsidRDefault="00E01AC8" w:rsidP="00A42EBB">
      <w:pPr>
        <w:pStyle w:val="NormalWeb"/>
        <w:spacing w:before="0" w:after="0" w:line="276" w:lineRule="auto"/>
        <w:rPr>
          <w:lang w:val="ro-RO"/>
        </w:rPr>
      </w:pPr>
      <w:r w:rsidRPr="00C2345A">
        <w:rPr>
          <w:lang w:val="ro-RO"/>
        </w:rPr>
        <w:t xml:space="preserve">Director al </w:t>
      </w:r>
      <w:r w:rsidR="00A42EBB" w:rsidRPr="002C0527">
        <w:rPr>
          <w:lang w:val="ro-RO"/>
        </w:rPr>
        <w:t xml:space="preserve">SA </w:t>
      </w:r>
      <w:r w:rsidR="002379B9">
        <w:rPr>
          <w:lang w:val="ro-RO"/>
        </w:rPr>
        <w:t>„</w:t>
      </w:r>
      <w:r w:rsidR="00A42EBB" w:rsidRPr="002C0527">
        <w:rPr>
          <w:lang w:val="ro-RO"/>
        </w:rPr>
        <w:t>RED-Nord”</w:t>
      </w:r>
    </w:p>
    <w:p w14:paraId="4BBEFCDA" w14:textId="39C2F34D" w:rsidR="00A42EBB" w:rsidRPr="002C0527" w:rsidRDefault="00E01AC8" w:rsidP="00A42EBB">
      <w:pPr>
        <w:pStyle w:val="NormalWeb"/>
        <w:spacing w:before="0" w:after="0" w:line="276" w:lineRule="auto"/>
        <w:rPr>
          <w:lang w:val="ro-RO"/>
        </w:rPr>
      </w:pPr>
      <w:r w:rsidRPr="00C2345A">
        <w:rPr>
          <w:lang w:val="ro-RO"/>
        </w:rPr>
        <w:t xml:space="preserve">Director al </w:t>
      </w:r>
      <w:r w:rsidR="00A42EBB" w:rsidRPr="002C0527">
        <w:rPr>
          <w:lang w:val="ro-RO"/>
        </w:rPr>
        <w:t xml:space="preserve">ÎCS </w:t>
      </w:r>
      <w:r w:rsidR="002379B9">
        <w:rPr>
          <w:lang w:val="ro-RO"/>
        </w:rPr>
        <w:t>„</w:t>
      </w:r>
      <w:r w:rsidR="00A42EBB" w:rsidRPr="002C0527">
        <w:rPr>
          <w:lang w:val="ro-RO"/>
        </w:rPr>
        <w:t>Premier Energy Distribution” SA</w:t>
      </w:r>
    </w:p>
    <w:p w14:paraId="78F70CAF" w14:textId="06885773" w:rsidR="00A42EBB" w:rsidRPr="002C0527" w:rsidRDefault="00E01AC8" w:rsidP="00A42EBB">
      <w:pPr>
        <w:pStyle w:val="NormalWeb"/>
        <w:spacing w:before="0" w:after="0" w:line="276" w:lineRule="auto"/>
        <w:rPr>
          <w:lang w:val="ro-RO"/>
        </w:rPr>
      </w:pPr>
      <w:r w:rsidRPr="00C2345A">
        <w:rPr>
          <w:lang w:val="ro-RO"/>
        </w:rPr>
        <w:t xml:space="preserve">Director al </w:t>
      </w:r>
      <w:r w:rsidR="00A42EBB" w:rsidRPr="002C0527">
        <w:rPr>
          <w:lang w:val="ro-RO"/>
        </w:rPr>
        <w:t>ÎCS „Premier Energy” SRL</w:t>
      </w:r>
    </w:p>
    <w:p w14:paraId="38AE9F71" w14:textId="53ABC149" w:rsidR="00A42EBB" w:rsidRDefault="00E01AC8" w:rsidP="00A42EBB">
      <w:pPr>
        <w:pStyle w:val="NormalWeb"/>
        <w:spacing w:before="0" w:after="0" w:line="276" w:lineRule="auto"/>
        <w:rPr>
          <w:lang w:val="ro-RO"/>
        </w:rPr>
      </w:pPr>
      <w:r w:rsidRPr="00C2345A">
        <w:rPr>
          <w:lang w:val="ro-RO"/>
        </w:rPr>
        <w:t xml:space="preserve">Director al </w:t>
      </w:r>
      <w:r w:rsidR="00A42EBB" w:rsidRPr="002C0527">
        <w:rPr>
          <w:lang w:val="ro-RO"/>
        </w:rPr>
        <w:t xml:space="preserve">SA </w:t>
      </w:r>
      <w:r w:rsidR="002379B9">
        <w:rPr>
          <w:lang w:val="ro-RO"/>
        </w:rPr>
        <w:t>„</w:t>
      </w:r>
      <w:r w:rsidR="00A42EBB" w:rsidRPr="002C0527">
        <w:rPr>
          <w:lang w:val="ro-RO"/>
        </w:rPr>
        <w:t>FEE-Nord”</w:t>
      </w:r>
    </w:p>
    <w:p w14:paraId="1E279449" w14:textId="3441FB8A" w:rsidR="00A42EBB" w:rsidRPr="009D6AC2" w:rsidRDefault="00594C39" w:rsidP="009D6AC2">
      <w:pPr>
        <w:pStyle w:val="NormalWeb"/>
        <w:spacing w:before="0" w:after="0" w:line="276" w:lineRule="auto"/>
        <w:rPr>
          <w:lang w:val="ro-RO"/>
        </w:rPr>
      </w:pPr>
      <w:r>
        <w:rPr>
          <w:lang w:val="ro-RO"/>
        </w:rPr>
        <w:t>Reprezentanți ai societății civile</w:t>
      </w:r>
    </w:p>
    <w:p w14:paraId="0D7245ED" w14:textId="77777777" w:rsidR="006F6C95" w:rsidRPr="004A374F" w:rsidRDefault="006F6C95" w:rsidP="00A42EBB">
      <w:pPr>
        <w:pStyle w:val="cb"/>
        <w:ind w:left="708"/>
        <w:jc w:val="right"/>
        <w:rPr>
          <w:b w:val="0"/>
          <w:bCs w:val="0"/>
          <w:lang w:val="ro-RO"/>
        </w:rPr>
      </w:pPr>
    </w:p>
    <w:p w14:paraId="275291D0" w14:textId="77777777" w:rsidR="006F6C95" w:rsidRDefault="006F6C95" w:rsidP="00A42EBB">
      <w:pPr>
        <w:pStyle w:val="cb"/>
        <w:ind w:left="708"/>
        <w:jc w:val="right"/>
        <w:rPr>
          <w:b w:val="0"/>
          <w:bCs w:val="0"/>
          <w:i/>
          <w:iCs/>
          <w:lang w:val="ro-RO"/>
        </w:rPr>
      </w:pPr>
    </w:p>
    <w:p w14:paraId="1BD8F121" w14:textId="77777777" w:rsidR="002861C1" w:rsidRDefault="002861C1" w:rsidP="00A42EBB">
      <w:pPr>
        <w:pStyle w:val="cb"/>
        <w:ind w:left="708"/>
        <w:jc w:val="right"/>
        <w:rPr>
          <w:b w:val="0"/>
          <w:bCs w:val="0"/>
          <w:i/>
          <w:iCs/>
          <w:lang w:val="ro-RO"/>
        </w:rPr>
      </w:pPr>
    </w:p>
    <w:p w14:paraId="14C685C9" w14:textId="77777777" w:rsidR="00A42EBB" w:rsidRPr="002C0527" w:rsidRDefault="00A42EBB" w:rsidP="00A42EBB">
      <w:pPr>
        <w:pStyle w:val="cb"/>
        <w:ind w:left="708"/>
        <w:jc w:val="right"/>
        <w:rPr>
          <w:b w:val="0"/>
          <w:bCs w:val="0"/>
          <w:i/>
          <w:iCs/>
          <w:lang w:val="ro-RO"/>
        </w:rPr>
      </w:pPr>
      <w:r w:rsidRPr="002C0527">
        <w:rPr>
          <w:b w:val="0"/>
          <w:bCs w:val="0"/>
          <w:i/>
          <w:iCs/>
          <w:lang w:val="ro-RO"/>
        </w:rPr>
        <w:lastRenderedPageBreak/>
        <w:t xml:space="preserve">Anexă nr. 2 </w:t>
      </w:r>
    </w:p>
    <w:p w14:paraId="1F07206D" w14:textId="77777777" w:rsidR="00A42EBB" w:rsidRPr="002C0527" w:rsidRDefault="00A42EBB" w:rsidP="00A42EBB">
      <w:pPr>
        <w:pStyle w:val="cb"/>
        <w:ind w:left="708"/>
        <w:jc w:val="right"/>
        <w:rPr>
          <w:b w:val="0"/>
          <w:bCs w:val="0"/>
          <w:i/>
          <w:iCs/>
          <w:lang w:val="ro-RO"/>
        </w:rPr>
      </w:pPr>
      <w:r w:rsidRPr="002C0527">
        <w:rPr>
          <w:b w:val="0"/>
          <w:bCs w:val="0"/>
          <w:i/>
          <w:iCs/>
          <w:lang w:val="ro-RO"/>
        </w:rPr>
        <w:t>la Hotărârea Guvernului nr.</w:t>
      </w:r>
      <w:r w:rsidRPr="002C0527">
        <w:rPr>
          <w:b w:val="0"/>
          <w:bCs w:val="0"/>
          <w:lang w:val="ro-RO"/>
        </w:rPr>
        <w:t xml:space="preserve"> </w:t>
      </w:r>
    </w:p>
    <w:p w14:paraId="6F73B61C" w14:textId="77777777" w:rsidR="00A42EBB" w:rsidRPr="002C0527" w:rsidRDefault="00A42EBB" w:rsidP="00A42EBB">
      <w:pPr>
        <w:pStyle w:val="cb"/>
        <w:ind w:left="708"/>
        <w:jc w:val="right"/>
        <w:rPr>
          <w:lang w:val="ro-RO"/>
        </w:rPr>
      </w:pPr>
    </w:p>
    <w:p w14:paraId="4050D915" w14:textId="6D18CD18" w:rsidR="00970EA0" w:rsidRDefault="00970EA0" w:rsidP="00A42EBB">
      <w:pPr>
        <w:pStyle w:val="cb"/>
        <w:spacing w:before="240" w:after="240"/>
        <w:ind w:left="708"/>
        <w:rPr>
          <w:lang w:val="ro-RO"/>
        </w:rPr>
      </w:pPr>
      <w:r w:rsidRPr="00970EA0">
        <w:rPr>
          <w:lang w:val="ro-RO"/>
        </w:rPr>
        <w:t xml:space="preserve">Planul de măsuri pentru pregătirea </w:t>
      </w:r>
      <w:r w:rsidR="004E666B">
        <w:rPr>
          <w:lang w:val="ro-RO"/>
        </w:rPr>
        <w:t>de</w:t>
      </w:r>
      <w:r w:rsidRPr="00970EA0">
        <w:rPr>
          <w:lang w:val="ro-RO"/>
        </w:rPr>
        <w:t xml:space="preserve"> sezonul </w:t>
      </w:r>
      <w:r w:rsidR="004E666B">
        <w:rPr>
          <w:lang w:val="ro-RO"/>
        </w:rPr>
        <w:t>de încălzire</w:t>
      </w:r>
      <w:r w:rsidRPr="00970EA0">
        <w:rPr>
          <w:lang w:val="ro-RO"/>
        </w:rPr>
        <w:t xml:space="preserve"> 2023-2024 </w:t>
      </w:r>
    </w:p>
    <w:p w14:paraId="33804CC5" w14:textId="0C5F551C" w:rsidR="00A42EBB" w:rsidRPr="002C0527" w:rsidRDefault="00A42EBB" w:rsidP="00A42EBB">
      <w:pPr>
        <w:pStyle w:val="cb"/>
        <w:spacing w:before="240" w:after="240"/>
        <w:ind w:left="708"/>
        <w:rPr>
          <w:b w:val="0"/>
          <w:bCs w:val="0"/>
          <w:lang w:val="ro-RO"/>
        </w:rPr>
      </w:pPr>
      <w:r w:rsidRPr="002C0527">
        <w:rPr>
          <w:rStyle w:val="Strong"/>
          <w:b/>
          <w:bCs/>
          <w:shd w:val="clear" w:color="auto" w:fill="FFFFFF"/>
          <w:lang w:val="ro-RO"/>
        </w:rPr>
        <w:t>I. CONTEXT ȘI FUNDAMENTARE</w:t>
      </w:r>
    </w:p>
    <w:p w14:paraId="1138C649" w14:textId="465AEB9A" w:rsidR="00B41DD2" w:rsidRDefault="0012773E" w:rsidP="00B41DD2">
      <w:pPr>
        <w:spacing w:after="120"/>
        <w:ind w:firstLine="547"/>
        <w:jc w:val="both"/>
        <w:rPr>
          <w:rFonts w:ascii="Times New Roman" w:hAnsi="Times New Roman" w:cs="Times New Roman"/>
          <w:color w:val="000000"/>
          <w:lang w:val="ro-RO"/>
        </w:rPr>
      </w:pPr>
      <w:r w:rsidRPr="0012773E">
        <w:rPr>
          <w:rFonts w:ascii="Times New Roman" w:hAnsi="Times New Roman" w:cs="Times New Roman"/>
          <w:color w:val="000000"/>
          <w:lang w:val="ro-RO"/>
        </w:rPr>
        <w:t xml:space="preserve">Piața europeană și globală a gazelor </w:t>
      </w:r>
      <w:r>
        <w:rPr>
          <w:rFonts w:ascii="Times New Roman" w:hAnsi="Times New Roman" w:cs="Times New Roman"/>
          <w:color w:val="000000"/>
          <w:lang w:val="ro-RO"/>
        </w:rPr>
        <w:t xml:space="preserve">naturale </w:t>
      </w:r>
      <w:r w:rsidRPr="0012773E">
        <w:rPr>
          <w:rFonts w:ascii="Times New Roman" w:hAnsi="Times New Roman" w:cs="Times New Roman"/>
          <w:color w:val="000000"/>
          <w:lang w:val="ro-RO"/>
        </w:rPr>
        <w:t xml:space="preserve">a suferit un șoc major </w:t>
      </w:r>
      <w:r>
        <w:rPr>
          <w:rFonts w:ascii="Times New Roman" w:hAnsi="Times New Roman" w:cs="Times New Roman"/>
          <w:color w:val="000000"/>
          <w:lang w:val="ro-RO"/>
        </w:rPr>
        <w:t>de</w:t>
      </w:r>
      <w:r w:rsidRPr="0012773E">
        <w:rPr>
          <w:rFonts w:ascii="Times New Roman" w:hAnsi="Times New Roman" w:cs="Times New Roman"/>
          <w:color w:val="000000"/>
          <w:lang w:val="ro-RO"/>
        </w:rPr>
        <w:t xml:space="preserve"> aprovizionare în </w:t>
      </w:r>
      <w:r w:rsidR="000B2C77">
        <w:rPr>
          <w:rFonts w:ascii="Times New Roman" w:hAnsi="Times New Roman" w:cs="Times New Roman"/>
          <w:color w:val="000000"/>
          <w:lang w:val="ro-RO"/>
        </w:rPr>
        <w:t xml:space="preserve">anul </w:t>
      </w:r>
      <w:r w:rsidRPr="0012773E">
        <w:rPr>
          <w:rFonts w:ascii="Times New Roman" w:hAnsi="Times New Roman" w:cs="Times New Roman"/>
          <w:color w:val="000000"/>
          <w:lang w:val="ro-RO"/>
        </w:rPr>
        <w:t>2022: reducer</w:t>
      </w:r>
      <w:r>
        <w:rPr>
          <w:rFonts w:ascii="Times New Roman" w:hAnsi="Times New Roman" w:cs="Times New Roman"/>
          <w:color w:val="000000"/>
          <w:lang w:val="ro-RO"/>
        </w:rPr>
        <w:t>ea</w:t>
      </w:r>
      <w:r w:rsidRPr="0012773E">
        <w:rPr>
          <w:rFonts w:ascii="Times New Roman" w:hAnsi="Times New Roman" w:cs="Times New Roman"/>
          <w:color w:val="000000"/>
          <w:lang w:val="ro-RO"/>
        </w:rPr>
        <w:t xml:space="preserve"> </w:t>
      </w:r>
      <w:r>
        <w:rPr>
          <w:rFonts w:ascii="Times New Roman" w:hAnsi="Times New Roman" w:cs="Times New Roman"/>
          <w:color w:val="000000"/>
          <w:lang w:val="ro-RO"/>
        </w:rPr>
        <w:t>bruscă</w:t>
      </w:r>
      <w:r w:rsidRPr="0012773E">
        <w:rPr>
          <w:rFonts w:ascii="Times New Roman" w:hAnsi="Times New Roman" w:cs="Times New Roman"/>
          <w:color w:val="000000"/>
          <w:lang w:val="ro-RO"/>
        </w:rPr>
        <w:t xml:space="preserve"> </w:t>
      </w:r>
      <w:r w:rsidR="000B2C77">
        <w:rPr>
          <w:rFonts w:ascii="Times New Roman" w:hAnsi="Times New Roman" w:cs="Times New Roman"/>
          <w:color w:val="000000"/>
          <w:lang w:val="ro-RO"/>
        </w:rPr>
        <w:t xml:space="preserve">de către Federația </w:t>
      </w:r>
      <w:r w:rsidR="000B2C77" w:rsidRPr="0012773E">
        <w:rPr>
          <w:rFonts w:ascii="Times New Roman" w:hAnsi="Times New Roman" w:cs="Times New Roman"/>
          <w:color w:val="000000"/>
          <w:lang w:val="ro-RO"/>
        </w:rPr>
        <w:t>Rus</w:t>
      </w:r>
      <w:r w:rsidR="000B2C77">
        <w:rPr>
          <w:rFonts w:ascii="Times New Roman" w:hAnsi="Times New Roman" w:cs="Times New Roman"/>
          <w:color w:val="000000"/>
          <w:lang w:val="ro-RO"/>
        </w:rPr>
        <w:t>ă</w:t>
      </w:r>
      <w:r w:rsidR="000B2C77" w:rsidRPr="0012773E">
        <w:rPr>
          <w:rFonts w:ascii="Times New Roman" w:hAnsi="Times New Roman" w:cs="Times New Roman"/>
          <w:color w:val="000000"/>
          <w:lang w:val="ro-RO"/>
        </w:rPr>
        <w:t xml:space="preserve"> </w:t>
      </w:r>
      <w:r w:rsidRPr="0012773E">
        <w:rPr>
          <w:rFonts w:ascii="Times New Roman" w:hAnsi="Times New Roman" w:cs="Times New Roman"/>
          <w:color w:val="000000"/>
          <w:lang w:val="ro-RO"/>
        </w:rPr>
        <w:t xml:space="preserve">a </w:t>
      </w:r>
      <w:r w:rsidR="000B2C77">
        <w:rPr>
          <w:rFonts w:ascii="Times New Roman" w:hAnsi="Times New Roman" w:cs="Times New Roman"/>
          <w:color w:val="000000"/>
          <w:lang w:val="ro-RO"/>
        </w:rPr>
        <w:t>livrării</w:t>
      </w:r>
      <w:r w:rsidRPr="0012773E">
        <w:rPr>
          <w:rFonts w:ascii="Times New Roman" w:hAnsi="Times New Roman" w:cs="Times New Roman"/>
          <w:color w:val="000000"/>
          <w:lang w:val="ro-RO"/>
        </w:rPr>
        <w:t xml:space="preserve"> gaze</w:t>
      </w:r>
      <w:r w:rsidR="000B2C77">
        <w:rPr>
          <w:rFonts w:ascii="Times New Roman" w:hAnsi="Times New Roman" w:cs="Times New Roman"/>
          <w:color w:val="000000"/>
          <w:lang w:val="ro-RO"/>
        </w:rPr>
        <w:t>lor</w:t>
      </w:r>
      <w:r w:rsidRPr="0012773E">
        <w:rPr>
          <w:rFonts w:ascii="Times New Roman" w:hAnsi="Times New Roman" w:cs="Times New Roman"/>
          <w:color w:val="000000"/>
          <w:lang w:val="ro-RO"/>
        </w:rPr>
        <w:t xml:space="preserve"> </w:t>
      </w:r>
      <w:r w:rsidR="000B2C77">
        <w:rPr>
          <w:rFonts w:ascii="Times New Roman" w:hAnsi="Times New Roman" w:cs="Times New Roman"/>
          <w:color w:val="000000"/>
          <w:lang w:val="ro-RO"/>
        </w:rPr>
        <w:t xml:space="preserve">naturale </w:t>
      </w:r>
      <w:r w:rsidRPr="0012773E">
        <w:rPr>
          <w:rFonts w:ascii="Times New Roman" w:hAnsi="Times New Roman" w:cs="Times New Roman"/>
          <w:color w:val="000000"/>
          <w:lang w:val="ro-RO"/>
        </w:rPr>
        <w:t>către Uniunea Europeană</w:t>
      </w:r>
      <w:r w:rsidR="000B2C77">
        <w:rPr>
          <w:rFonts w:ascii="Times New Roman" w:hAnsi="Times New Roman" w:cs="Times New Roman"/>
          <w:color w:val="000000"/>
          <w:lang w:val="ro-RO"/>
        </w:rPr>
        <w:t xml:space="preserve"> (UE)</w:t>
      </w:r>
      <w:r w:rsidRPr="0012773E">
        <w:rPr>
          <w:rFonts w:ascii="Times New Roman" w:hAnsi="Times New Roman" w:cs="Times New Roman"/>
          <w:color w:val="000000"/>
          <w:lang w:val="ro-RO"/>
        </w:rPr>
        <w:t xml:space="preserve"> a pus o presiune fără precedent asupra pieței, declanșând o criză globală a gazelor naturale. În ciuda </w:t>
      </w:r>
      <w:r>
        <w:rPr>
          <w:rFonts w:ascii="Times New Roman" w:hAnsi="Times New Roman" w:cs="Times New Roman"/>
          <w:color w:val="000000"/>
          <w:lang w:val="ro-RO"/>
        </w:rPr>
        <w:t>acestor reduceri</w:t>
      </w:r>
      <w:r w:rsidRPr="0012773E">
        <w:rPr>
          <w:rFonts w:ascii="Times New Roman" w:hAnsi="Times New Roman" w:cs="Times New Roman"/>
          <w:color w:val="000000"/>
          <w:lang w:val="ro-RO"/>
        </w:rPr>
        <w:t xml:space="preserve"> </w:t>
      </w:r>
      <w:r>
        <w:rPr>
          <w:rFonts w:ascii="Times New Roman" w:hAnsi="Times New Roman" w:cs="Times New Roman"/>
          <w:color w:val="000000"/>
          <w:lang w:val="ro-RO"/>
        </w:rPr>
        <w:t>a gazelor naturale livrate de Federația Rusă</w:t>
      </w:r>
      <w:r w:rsidRPr="0012773E">
        <w:rPr>
          <w:rFonts w:ascii="Times New Roman" w:hAnsi="Times New Roman" w:cs="Times New Roman"/>
          <w:color w:val="000000"/>
          <w:lang w:val="ro-RO"/>
        </w:rPr>
        <w:t xml:space="preserve">, </w:t>
      </w:r>
      <w:r w:rsidR="000B2C77">
        <w:rPr>
          <w:rFonts w:ascii="Times New Roman" w:hAnsi="Times New Roman" w:cs="Times New Roman"/>
          <w:color w:val="000000"/>
          <w:lang w:val="ro-RO"/>
        </w:rPr>
        <w:t>UE</w:t>
      </w:r>
      <w:r w:rsidRPr="0012773E">
        <w:rPr>
          <w:rFonts w:ascii="Times New Roman" w:hAnsi="Times New Roman" w:cs="Times New Roman"/>
          <w:color w:val="000000"/>
          <w:lang w:val="ro-RO"/>
        </w:rPr>
        <w:t xml:space="preserve"> a reușit să-și umple </w:t>
      </w:r>
      <w:r w:rsidR="00F251D8">
        <w:rPr>
          <w:rFonts w:ascii="Times New Roman" w:hAnsi="Times New Roman" w:cs="Times New Roman"/>
          <w:color w:val="000000"/>
          <w:lang w:val="ro-RO"/>
        </w:rPr>
        <w:t>instalațiile</w:t>
      </w:r>
      <w:r w:rsidRPr="0012773E">
        <w:rPr>
          <w:rFonts w:ascii="Times New Roman" w:hAnsi="Times New Roman" w:cs="Times New Roman"/>
          <w:color w:val="000000"/>
          <w:lang w:val="ro-RO"/>
        </w:rPr>
        <w:t xml:space="preserve"> de stocare a gazelor </w:t>
      </w:r>
      <w:r w:rsidR="000B2C77">
        <w:rPr>
          <w:rFonts w:ascii="Times New Roman" w:hAnsi="Times New Roman" w:cs="Times New Roman"/>
          <w:color w:val="000000"/>
          <w:lang w:val="ro-RO"/>
        </w:rPr>
        <w:t xml:space="preserve">naturale </w:t>
      </w:r>
      <w:r w:rsidRPr="0012773E">
        <w:rPr>
          <w:rFonts w:ascii="Times New Roman" w:hAnsi="Times New Roman" w:cs="Times New Roman"/>
          <w:color w:val="000000"/>
          <w:lang w:val="ro-RO"/>
        </w:rPr>
        <w:t xml:space="preserve">cu mult peste mediile istorice. </w:t>
      </w:r>
      <w:r>
        <w:rPr>
          <w:rFonts w:ascii="Times New Roman" w:hAnsi="Times New Roman" w:cs="Times New Roman"/>
          <w:color w:val="000000"/>
          <w:lang w:val="ro-RO"/>
        </w:rPr>
        <w:t>Creșterea semnificativă a nivelului stocurilor de gaze naturale</w:t>
      </w:r>
      <w:r w:rsidRPr="0012773E">
        <w:rPr>
          <w:rFonts w:ascii="Times New Roman" w:hAnsi="Times New Roman" w:cs="Times New Roman"/>
          <w:color w:val="000000"/>
          <w:lang w:val="ro-RO"/>
        </w:rPr>
        <w:t xml:space="preserve"> a fost susținută de o combinație de măsuri de politică bine adaptate, un flux record de </w:t>
      </w:r>
      <w:r>
        <w:rPr>
          <w:rFonts w:ascii="Times New Roman" w:hAnsi="Times New Roman" w:cs="Times New Roman"/>
          <w:color w:val="000000"/>
          <w:lang w:val="ro-RO"/>
        </w:rPr>
        <w:t>gaze naturale lichefiate (LNG)</w:t>
      </w:r>
      <w:r w:rsidRPr="0012773E">
        <w:rPr>
          <w:rFonts w:ascii="Times New Roman" w:hAnsi="Times New Roman" w:cs="Times New Roman"/>
          <w:color w:val="000000"/>
          <w:lang w:val="ro-RO"/>
        </w:rPr>
        <w:t xml:space="preserve"> și o scădere </w:t>
      </w:r>
      <w:r>
        <w:rPr>
          <w:rFonts w:ascii="Times New Roman" w:hAnsi="Times New Roman" w:cs="Times New Roman"/>
          <w:color w:val="000000"/>
          <w:lang w:val="ro-RO"/>
        </w:rPr>
        <w:t>bruscă</w:t>
      </w:r>
      <w:r w:rsidRPr="0012773E">
        <w:rPr>
          <w:rFonts w:ascii="Times New Roman" w:hAnsi="Times New Roman" w:cs="Times New Roman"/>
          <w:color w:val="000000"/>
          <w:lang w:val="ro-RO"/>
        </w:rPr>
        <w:t xml:space="preserve"> a consumului de gaze naturale, în special în industriile mari consumatoare de gaz și energie. Criza actuală a gazelor naturale arată clar că tranzițiile la energie curată sunt urgente și vor contribui la creșterea stabilității pe piața globală a gazelor naturale.</w:t>
      </w:r>
    </w:p>
    <w:p w14:paraId="236491C7" w14:textId="79F34D89" w:rsidR="00B41DD2" w:rsidRDefault="0012773E" w:rsidP="00B41DD2">
      <w:pPr>
        <w:spacing w:after="120"/>
        <w:ind w:firstLine="547"/>
        <w:jc w:val="both"/>
        <w:rPr>
          <w:rFonts w:ascii="Times New Roman" w:hAnsi="Times New Roman" w:cs="Times New Roman"/>
          <w:color w:val="000000"/>
          <w:lang w:val="ro-RO"/>
        </w:rPr>
      </w:pPr>
      <w:r w:rsidRPr="0012773E">
        <w:rPr>
          <w:rFonts w:ascii="Times New Roman" w:hAnsi="Times New Roman" w:cs="Times New Roman"/>
          <w:color w:val="000000"/>
          <w:lang w:val="ro-RO"/>
        </w:rPr>
        <w:t xml:space="preserve">Aprovizionarea globală cu gaze </w:t>
      </w:r>
      <w:r>
        <w:rPr>
          <w:rFonts w:ascii="Times New Roman" w:hAnsi="Times New Roman" w:cs="Times New Roman"/>
          <w:color w:val="000000"/>
          <w:lang w:val="ro-RO"/>
        </w:rPr>
        <w:t xml:space="preserve">naturale </w:t>
      </w:r>
      <w:r w:rsidR="00655EBD">
        <w:rPr>
          <w:rFonts w:ascii="Times New Roman" w:hAnsi="Times New Roman" w:cs="Times New Roman"/>
          <w:color w:val="000000"/>
          <w:lang w:val="ro-RO"/>
        </w:rPr>
        <w:t>se estimează a</w:t>
      </w:r>
      <w:r w:rsidRPr="0012773E">
        <w:rPr>
          <w:rFonts w:ascii="Times New Roman" w:hAnsi="Times New Roman" w:cs="Times New Roman"/>
          <w:color w:val="000000"/>
          <w:lang w:val="ro-RO"/>
        </w:rPr>
        <w:t xml:space="preserve"> rămâne </w:t>
      </w:r>
      <w:r>
        <w:rPr>
          <w:rFonts w:ascii="Times New Roman" w:hAnsi="Times New Roman" w:cs="Times New Roman"/>
          <w:color w:val="000000"/>
          <w:lang w:val="ro-RO"/>
        </w:rPr>
        <w:t>limitată</w:t>
      </w:r>
      <w:r w:rsidRPr="0012773E">
        <w:rPr>
          <w:rFonts w:ascii="Times New Roman" w:hAnsi="Times New Roman" w:cs="Times New Roman"/>
          <w:color w:val="000000"/>
          <w:lang w:val="ro-RO"/>
        </w:rPr>
        <w:t xml:space="preserve"> în </w:t>
      </w:r>
      <w:r w:rsidR="000B2C77">
        <w:rPr>
          <w:rFonts w:ascii="Times New Roman" w:hAnsi="Times New Roman" w:cs="Times New Roman"/>
          <w:color w:val="000000"/>
          <w:lang w:val="ro-RO"/>
        </w:rPr>
        <w:t xml:space="preserve">anul </w:t>
      </w:r>
      <w:r w:rsidRPr="0012773E">
        <w:rPr>
          <w:rFonts w:ascii="Times New Roman" w:hAnsi="Times New Roman" w:cs="Times New Roman"/>
          <w:color w:val="000000"/>
          <w:lang w:val="ro-RO"/>
        </w:rPr>
        <w:t xml:space="preserve">2023, iar </w:t>
      </w:r>
      <w:r>
        <w:rPr>
          <w:rFonts w:ascii="Times New Roman" w:hAnsi="Times New Roman" w:cs="Times New Roman"/>
          <w:color w:val="000000"/>
          <w:lang w:val="ro-RO"/>
        </w:rPr>
        <w:t>balanța</w:t>
      </w:r>
      <w:r w:rsidRPr="0012773E">
        <w:rPr>
          <w:rFonts w:ascii="Times New Roman" w:hAnsi="Times New Roman" w:cs="Times New Roman"/>
          <w:color w:val="000000"/>
          <w:lang w:val="ro-RO"/>
        </w:rPr>
        <w:t xml:space="preserve"> global</w:t>
      </w:r>
      <w:r>
        <w:rPr>
          <w:rFonts w:ascii="Times New Roman" w:hAnsi="Times New Roman" w:cs="Times New Roman"/>
          <w:color w:val="000000"/>
          <w:lang w:val="ro-RO"/>
        </w:rPr>
        <w:t>ă</w:t>
      </w:r>
      <w:r w:rsidRPr="0012773E">
        <w:rPr>
          <w:rFonts w:ascii="Times New Roman" w:hAnsi="Times New Roman" w:cs="Times New Roman"/>
          <w:color w:val="000000"/>
          <w:lang w:val="ro-RO"/>
        </w:rPr>
        <w:t xml:space="preserve"> este supus</w:t>
      </w:r>
      <w:r>
        <w:rPr>
          <w:rFonts w:ascii="Times New Roman" w:hAnsi="Times New Roman" w:cs="Times New Roman"/>
          <w:color w:val="000000"/>
          <w:lang w:val="ro-RO"/>
        </w:rPr>
        <w:t>ă</w:t>
      </w:r>
      <w:r w:rsidRPr="0012773E">
        <w:rPr>
          <w:rFonts w:ascii="Times New Roman" w:hAnsi="Times New Roman" w:cs="Times New Roman"/>
          <w:color w:val="000000"/>
          <w:lang w:val="ro-RO"/>
        </w:rPr>
        <w:t xml:space="preserve"> unei game neobișnuit de largi de incertitudini și factori de risc exogeni. Aceasta include posibilitatea opririi complete a livrărilor de gaze rusești prin conducte către </w:t>
      </w:r>
      <w:r w:rsidR="000B2C77">
        <w:rPr>
          <w:rFonts w:ascii="Times New Roman" w:hAnsi="Times New Roman" w:cs="Times New Roman"/>
          <w:color w:val="000000"/>
          <w:lang w:val="ro-RO"/>
        </w:rPr>
        <w:t>UE</w:t>
      </w:r>
      <w:r w:rsidRPr="0012773E">
        <w:rPr>
          <w:rFonts w:ascii="Times New Roman" w:hAnsi="Times New Roman" w:cs="Times New Roman"/>
          <w:color w:val="000000"/>
          <w:lang w:val="ro-RO"/>
        </w:rPr>
        <w:t>, precum și o recuperare</w:t>
      </w:r>
      <w:r>
        <w:rPr>
          <w:rFonts w:ascii="Times New Roman" w:hAnsi="Times New Roman" w:cs="Times New Roman"/>
          <w:color w:val="000000"/>
          <w:lang w:val="ro-RO"/>
        </w:rPr>
        <w:t>/creștere</w:t>
      </w:r>
      <w:r w:rsidRPr="0012773E">
        <w:rPr>
          <w:rFonts w:ascii="Times New Roman" w:hAnsi="Times New Roman" w:cs="Times New Roman"/>
          <w:color w:val="000000"/>
          <w:lang w:val="ro-RO"/>
        </w:rPr>
        <w:t xml:space="preserve"> a importurilor de </w:t>
      </w:r>
      <w:r>
        <w:rPr>
          <w:rFonts w:ascii="Times New Roman" w:hAnsi="Times New Roman" w:cs="Times New Roman"/>
          <w:color w:val="000000"/>
          <w:lang w:val="ro-RO"/>
        </w:rPr>
        <w:t>LNG</w:t>
      </w:r>
      <w:r w:rsidRPr="0012773E">
        <w:rPr>
          <w:rFonts w:ascii="Times New Roman" w:hAnsi="Times New Roman" w:cs="Times New Roman"/>
          <w:color w:val="000000"/>
          <w:lang w:val="ro-RO"/>
        </w:rPr>
        <w:t xml:space="preserve"> ale Chinei, în conformitate cu contractele pe termen lung ale țării, și </w:t>
      </w:r>
      <w:r>
        <w:rPr>
          <w:rFonts w:ascii="Times New Roman" w:hAnsi="Times New Roman" w:cs="Times New Roman"/>
          <w:color w:val="000000"/>
          <w:lang w:val="ro-RO"/>
        </w:rPr>
        <w:t xml:space="preserve">respectiv </w:t>
      </w:r>
      <w:r w:rsidRPr="0012773E">
        <w:rPr>
          <w:rFonts w:ascii="Times New Roman" w:hAnsi="Times New Roman" w:cs="Times New Roman"/>
          <w:color w:val="000000"/>
          <w:lang w:val="ro-RO"/>
        </w:rPr>
        <w:t xml:space="preserve">o posibilă disponibilitate mai mică a aprovizionării </w:t>
      </w:r>
      <w:r w:rsidR="004E666B">
        <w:rPr>
          <w:rFonts w:ascii="Times New Roman" w:hAnsi="Times New Roman" w:cs="Times New Roman"/>
          <w:color w:val="000000"/>
          <w:lang w:val="ro-RO"/>
        </w:rPr>
        <w:t xml:space="preserve">UE </w:t>
      </w:r>
      <w:r w:rsidRPr="0012773E">
        <w:rPr>
          <w:rFonts w:ascii="Times New Roman" w:hAnsi="Times New Roman" w:cs="Times New Roman"/>
          <w:color w:val="000000"/>
          <w:lang w:val="ro-RO"/>
        </w:rPr>
        <w:t xml:space="preserve">cu </w:t>
      </w:r>
      <w:r>
        <w:rPr>
          <w:rFonts w:ascii="Times New Roman" w:hAnsi="Times New Roman" w:cs="Times New Roman"/>
          <w:color w:val="000000"/>
          <w:lang w:val="ro-RO"/>
        </w:rPr>
        <w:t>LNG</w:t>
      </w:r>
      <w:r w:rsidRPr="0012773E">
        <w:rPr>
          <w:rFonts w:ascii="Times New Roman" w:hAnsi="Times New Roman" w:cs="Times New Roman"/>
          <w:color w:val="000000"/>
          <w:lang w:val="ro-RO"/>
        </w:rPr>
        <w:t xml:space="preserve">. Luând în considerare o combinație a acestor riscuri și presupunând la momentul respectiv că instalațiile de stocare a gazelor </w:t>
      </w:r>
      <w:r w:rsidR="000B2C77">
        <w:rPr>
          <w:rFonts w:ascii="Times New Roman" w:hAnsi="Times New Roman" w:cs="Times New Roman"/>
          <w:color w:val="000000"/>
          <w:lang w:val="ro-RO"/>
        </w:rPr>
        <w:t xml:space="preserve">naturale </w:t>
      </w:r>
      <w:r w:rsidRPr="0012773E">
        <w:rPr>
          <w:rFonts w:ascii="Times New Roman" w:hAnsi="Times New Roman" w:cs="Times New Roman"/>
          <w:color w:val="000000"/>
          <w:lang w:val="ro-RO"/>
        </w:rPr>
        <w:t xml:space="preserve">din UE ar fi pline cu aproximativ o treime la începutul sezonului de umplere 2023, Raportul </w:t>
      </w:r>
      <w:r w:rsidR="00655EBD">
        <w:rPr>
          <w:rFonts w:ascii="Times New Roman" w:hAnsi="Times New Roman" w:cs="Times New Roman"/>
          <w:color w:val="000000"/>
          <w:lang w:val="ro-RO"/>
        </w:rPr>
        <w:t xml:space="preserve">Agenției Internaționale pentru Energie </w:t>
      </w:r>
      <w:r w:rsidRPr="0012773E">
        <w:rPr>
          <w:rFonts w:ascii="Times New Roman" w:hAnsi="Times New Roman" w:cs="Times New Roman"/>
          <w:color w:val="000000"/>
          <w:lang w:val="ro-RO"/>
        </w:rPr>
        <w:t xml:space="preserve">„Cum </w:t>
      </w:r>
      <w:r w:rsidR="00655EBD">
        <w:rPr>
          <w:rFonts w:ascii="Times New Roman" w:hAnsi="Times New Roman" w:cs="Times New Roman"/>
          <w:color w:val="000000"/>
          <w:lang w:val="ro-RO"/>
        </w:rPr>
        <w:t>de</w:t>
      </w:r>
      <w:r w:rsidRPr="0012773E">
        <w:rPr>
          <w:rFonts w:ascii="Times New Roman" w:hAnsi="Times New Roman" w:cs="Times New Roman"/>
          <w:color w:val="000000"/>
          <w:lang w:val="ro-RO"/>
        </w:rPr>
        <w:t xml:space="preserve"> evita</w:t>
      </w:r>
      <w:r w:rsidR="00655EBD">
        <w:rPr>
          <w:rFonts w:ascii="Times New Roman" w:hAnsi="Times New Roman" w:cs="Times New Roman"/>
          <w:color w:val="000000"/>
          <w:lang w:val="ro-RO"/>
        </w:rPr>
        <w:t>t</w:t>
      </w:r>
      <w:r w:rsidRPr="0012773E">
        <w:rPr>
          <w:rFonts w:ascii="Times New Roman" w:hAnsi="Times New Roman" w:cs="Times New Roman"/>
          <w:color w:val="000000"/>
          <w:lang w:val="ro-RO"/>
        </w:rPr>
        <w:t xml:space="preserve"> </w:t>
      </w:r>
      <w:r w:rsidR="00655EBD">
        <w:rPr>
          <w:rFonts w:ascii="Times New Roman" w:hAnsi="Times New Roman" w:cs="Times New Roman"/>
          <w:color w:val="000000"/>
          <w:lang w:val="ro-RO"/>
        </w:rPr>
        <w:t>deficitul</w:t>
      </w:r>
      <w:r w:rsidRPr="0012773E">
        <w:rPr>
          <w:rFonts w:ascii="Times New Roman" w:hAnsi="Times New Roman" w:cs="Times New Roman"/>
          <w:color w:val="000000"/>
          <w:lang w:val="ro-RO"/>
        </w:rPr>
        <w:t xml:space="preserve"> de gaze în Uniunea Europeană” din 2022 a identificat un potențial decalaj dintre cerere și ofertă de 57 de miliarde de metri cubi în </w:t>
      </w:r>
      <w:r w:rsidR="00655EBD">
        <w:rPr>
          <w:rFonts w:ascii="Times New Roman" w:hAnsi="Times New Roman" w:cs="Times New Roman"/>
          <w:color w:val="000000"/>
          <w:lang w:val="ro-RO"/>
        </w:rPr>
        <w:t>UE</w:t>
      </w:r>
      <w:r w:rsidRPr="0012773E">
        <w:rPr>
          <w:rFonts w:ascii="Times New Roman" w:hAnsi="Times New Roman" w:cs="Times New Roman"/>
          <w:color w:val="000000"/>
          <w:lang w:val="ro-RO"/>
        </w:rPr>
        <w:t xml:space="preserve"> în 2023</w:t>
      </w:r>
      <w:r w:rsidR="00B41DD2">
        <w:rPr>
          <w:rStyle w:val="FootnoteReference"/>
          <w:rFonts w:ascii="Times New Roman" w:hAnsi="Times New Roman" w:cs="Times New Roman"/>
          <w:color w:val="000000"/>
          <w:lang w:val="ro-RO"/>
        </w:rPr>
        <w:footnoteReference w:id="1"/>
      </w:r>
      <w:r w:rsidRPr="0012773E">
        <w:rPr>
          <w:rFonts w:ascii="Times New Roman" w:hAnsi="Times New Roman" w:cs="Times New Roman"/>
          <w:color w:val="000000"/>
          <w:lang w:val="ro-RO"/>
        </w:rPr>
        <w:t>.</w:t>
      </w:r>
    </w:p>
    <w:p w14:paraId="6D28EF75" w14:textId="0212ED1B" w:rsidR="00B41DD2" w:rsidRDefault="007020D1" w:rsidP="00B41DD2">
      <w:pPr>
        <w:spacing w:after="120"/>
        <w:ind w:firstLine="547"/>
        <w:jc w:val="both"/>
        <w:rPr>
          <w:rFonts w:ascii="Times New Roman" w:hAnsi="Times New Roman" w:cs="Times New Roman"/>
          <w:color w:val="000000"/>
          <w:lang w:val="ro-RO"/>
        </w:rPr>
      </w:pPr>
      <w:r w:rsidRPr="007020D1">
        <w:rPr>
          <w:rFonts w:ascii="Times New Roman" w:hAnsi="Times New Roman" w:cs="Times New Roman"/>
          <w:color w:val="000000"/>
          <w:lang w:val="ro-RO"/>
        </w:rPr>
        <w:t xml:space="preserve">Fără implementarea </w:t>
      </w:r>
      <w:r>
        <w:rPr>
          <w:rFonts w:ascii="Times New Roman" w:hAnsi="Times New Roman" w:cs="Times New Roman"/>
          <w:color w:val="000000"/>
          <w:lang w:val="ro-RO"/>
        </w:rPr>
        <w:t>unor</w:t>
      </w:r>
      <w:r w:rsidRPr="007020D1">
        <w:rPr>
          <w:rFonts w:ascii="Times New Roman" w:hAnsi="Times New Roman" w:cs="Times New Roman"/>
          <w:color w:val="000000"/>
          <w:lang w:val="ro-RO"/>
        </w:rPr>
        <w:t xml:space="preserve"> măsuri de politic</w:t>
      </w:r>
      <w:r>
        <w:rPr>
          <w:rFonts w:ascii="Times New Roman" w:hAnsi="Times New Roman" w:cs="Times New Roman"/>
          <w:color w:val="000000"/>
          <w:lang w:val="ro-RO"/>
        </w:rPr>
        <w:t>i de reducere a consumului de gaze naturale</w:t>
      </w:r>
      <w:r w:rsidRPr="007020D1">
        <w:rPr>
          <w:rFonts w:ascii="Times New Roman" w:hAnsi="Times New Roman" w:cs="Times New Roman"/>
          <w:color w:val="000000"/>
          <w:lang w:val="ro-RO"/>
        </w:rPr>
        <w:t xml:space="preserve">, piața europeană și globală de gaze s-ar putea confrunta cu o perioadă reînnoită de tensiuni între cerere și ofertă, cuplată cu o volatilitate crescută a prețurilor în 2023 și un risc crescut de lipsă de aprovizionare cu gaze în sezonul de </w:t>
      </w:r>
      <w:r w:rsidR="00655EBD">
        <w:rPr>
          <w:rFonts w:ascii="Times New Roman" w:hAnsi="Times New Roman" w:cs="Times New Roman"/>
          <w:color w:val="000000"/>
          <w:lang w:val="ro-RO"/>
        </w:rPr>
        <w:t xml:space="preserve">încălzire </w:t>
      </w:r>
      <w:r w:rsidRPr="007020D1">
        <w:rPr>
          <w:rFonts w:ascii="Times New Roman" w:hAnsi="Times New Roman" w:cs="Times New Roman"/>
          <w:color w:val="000000"/>
          <w:lang w:val="ro-RO"/>
        </w:rPr>
        <w:t>2023</w:t>
      </w:r>
      <w:r>
        <w:rPr>
          <w:rFonts w:ascii="Times New Roman" w:hAnsi="Times New Roman" w:cs="Times New Roman"/>
          <w:color w:val="000000"/>
          <w:lang w:val="ro-RO"/>
        </w:rPr>
        <w:t>-20</w:t>
      </w:r>
      <w:r w:rsidRPr="007020D1">
        <w:rPr>
          <w:rFonts w:ascii="Times New Roman" w:hAnsi="Times New Roman" w:cs="Times New Roman"/>
          <w:color w:val="000000"/>
          <w:lang w:val="ro-RO"/>
        </w:rPr>
        <w:t>24. Având în vedere globaliza</w:t>
      </w:r>
      <w:r w:rsidR="000B2C77">
        <w:rPr>
          <w:rFonts w:ascii="Times New Roman" w:hAnsi="Times New Roman" w:cs="Times New Roman"/>
          <w:color w:val="000000"/>
          <w:lang w:val="ro-RO"/>
        </w:rPr>
        <w:t>rea</w:t>
      </w:r>
      <w:r w:rsidRPr="007020D1">
        <w:rPr>
          <w:rFonts w:ascii="Times New Roman" w:hAnsi="Times New Roman" w:cs="Times New Roman"/>
          <w:color w:val="000000"/>
          <w:lang w:val="ro-RO"/>
        </w:rPr>
        <w:t xml:space="preserve"> pieței de gaze</w:t>
      </w:r>
      <w:r w:rsidR="000B2C77">
        <w:rPr>
          <w:rFonts w:ascii="Times New Roman" w:hAnsi="Times New Roman" w:cs="Times New Roman"/>
          <w:color w:val="000000"/>
          <w:lang w:val="ro-RO"/>
        </w:rPr>
        <w:t xml:space="preserve"> naturale</w:t>
      </w:r>
      <w:r w:rsidRPr="007020D1">
        <w:rPr>
          <w:rFonts w:ascii="Times New Roman" w:hAnsi="Times New Roman" w:cs="Times New Roman"/>
          <w:color w:val="000000"/>
          <w:lang w:val="ro-RO"/>
        </w:rPr>
        <w:t xml:space="preserve">, cererea crescută de gaze în </w:t>
      </w:r>
      <w:r>
        <w:rPr>
          <w:rFonts w:ascii="Times New Roman" w:hAnsi="Times New Roman" w:cs="Times New Roman"/>
          <w:color w:val="000000"/>
          <w:lang w:val="ro-RO"/>
        </w:rPr>
        <w:t>UE</w:t>
      </w:r>
      <w:r w:rsidRPr="007020D1">
        <w:rPr>
          <w:rFonts w:ascii="Times New Roman" w:hAnsi="Times New Roman" w:cs="Times New Roman"/>
          <w:color w:val="000000"/>
          <w:lang w:val="ro-RO"/>
        </w:rPr>
        <w:t xml:space="preserve"> sau în alte regiuni ale lumii ar putea submina securitatea aprovizionării cu gaze și energie electrică pe alte piețe, mai sensibile la prețuri. Acesta este motivul pentru care sunt necesare eforturi comune</w:t>
      </w:r>
      <w:r>
        <w:rPr>
          <w:rFonts w:ascii="Times New Roman" w:hAnsi="Times New Roman" w:cs="Times New Roman"/>
          <w:color w:val="000000"/>
          <w:lang w:val="ro-RO"/>
        </w:rPr>
        <w:t xml:space="preserve"> </w:t>
      </w:r>
      <w:r w:rsidRPr="007020D1">
        <w:rPr>
          <w:rFonts w:ascii="Times New Roman" w:hAnsi="Times New Roman" w:cs="Times New Roman"/>
          <w:color w:val="000000"/>
          <w:lang w:val="ro-RO"/>
        </w:rPr>
        <w:t xml:space="preserve">pentru a reduce </w:t>
      </w:r>
      <w:r w:rsidR="00B13B12">
        <w:rPr>
          <w:rFonts w:ascii="Times New Roman" w:hAnsi="Times New Roman" w:cs="Times New Roman"/>
          <w:color w:val="000000"/>
          <w:lang w:val="ro-RO"/>
        </w:rPr>
        <w:t>impactul volatilității ridicate a prețurilor pe</w:t>
      </w:r>
      <w:r w:rsidRPr="007020D1">
        <w:rPr>
          <w:rFonts w:ascii="Times New Roman" w:hAnsi="Times New Roman" w:cs="Times New Roman"/>
          <w:color w:val="000000"/>
          <w:lang w:val="ro-RO"/>
        </w:rPr>
        <w:t xml:space="preserve"> piețel</w:t>
      </w:r>
      <w:r w:rsidR="00B13B12">
        <w:rPr>
          <w:rFonts w:ascii="Times New Roman" w:hAnsi="Times New Roman" w:cs="Times New Roman"/>
          <w:color w:val="000000"/>
          <w:lang w:val="ro-RO"/>
        </w:rPr>
        <w:t>e</w:t>
      </w:r>
      <w:r w:rsidRPr="007020D1">
        <w:rPr>
          <w:rFonts w:ascii="Times New Roman" w:hAnsi="Times New Roman" w:cs="Times New Roman"/>
          <w:color w:val="000000"/>
          <w:lang w:val="ro-RO"/>
        </w:rPr>
        <w:t xml:space="preserve"> globale de gaze</w:t>
      </w:r>
      <w:r w:rsidR="00B13B12">
        <w:rPr>
          <w:rFonts w:ascii="Times New Roman" w:hAnsi="Times New Roman" w:cs="Times New Roman"/>
          <w:color w:val="000000"/>
          <w:lang w:val="ro-RO"/>
        </w:rPr>
        <w:t xml:space="preserve"> naturale</w:t>
      </w:r>
      <w:r w:rsidRPr="007020D1">
        <w:rPr>
          <w:rFonts w:ascii="Times New Roman" w:hAnsi="Times New Roman" w:cs="Times New Roman"/>
          <w:color w:val="000000"/>
          <w:lang w:val="ro-RO"/>
        </w:rPr>
        <w:t>.</w:t>
      </w:r>
    </w:p>
    <w:p w14:paraId="509DDAEC" w14:textId="77777777" w:rsidR="00B41DD2" w:rsidRDefault="00655EBD" w:rsidP="00B41DD2">
      <w:pPr>
        <w:spacing w:after="120"/>
        <w:ind w:firstLine="540"/>
        <w:jc w:val="both"/>
        <w:rPr>
          <w:rFonts w:ascii="Times New Roman" w:hAnsi="Times New Roman" w:cs="Times New Roman"/>
          <w:color w:val="000000"/>
          <w:lang w:val="ro-RO"/>
        </w:rPr>
      </w:pPr>
      <w:bookmarkStart w:id="2" w:name="_Hlk135658204"/>
      <w:r w:rsidRPr="00655EBD">
        <w:rPr>
          <w:rFonts w:ascii="Times New Roman" w:hAnsi="Times New Roman" w:cs="Times New Roman"/>
          <w:color w:val="000000"/>
          <w:lang w:val="ro-RO"/>
        </w:rPr>
        <w:t xml:space="preserve">Comisia </w:t>
      </w:r>
      <w:r>
        <w:rPr>
          <w:rFonts w:ascii="Times New Roman" w:hAnsi="Times New Roman" w:cs="Times New Roman"/>
          <w:color w:val="000000"/>
          <w:lang w:val="ro-RO"/>
        </w:rPr>
        <w:t xml:space="preserve">Europeană </w:t>
      </w:r>
      <w:r w:rsidRPr="00655EBD">
        <w:rPr>
          <w:rFonts w:ascii="Times New Roman" w:hAnsi="Times New Roman" w:cs="Times New Roman"/>
          <w:color w:val="000000"/>
          <w:lang w:val="ro-RO"/>
        </w:rPr>
        <w:t>a propus la 20 iulie 2022 un regulament al Consiliului privind</w:t>
      </w:r>
      <w:r>
        <w:rPr>
          <w:rFonts w:ascii="Times New Roman" w:hAnsi="Times New Roman" w:cs="Times New Roman"/>
          <w:color w:val="000000"/>
          <w:lang w:val="ro-RO"/>
        </w:rPr>
        <w:t xml:space="preserve"> </w:t>
      </w:r>
      <w:r w:rsidRPr="00655EBD">
        <w:rPr>
          <w:rFonts w:ascii="Times New Roman" w:hAnsi="Times New Roman" w:cs="Times New Roman"/>
          <w:color w:val="000000"/>
          <w:lang w:val="ro-RO"/>
        </w:rPr>
        <w:t>măsuri coordonate de reducere a cererii de gaze, care au fost adoptate de Consiliu</w:t>
      </w:r>
      <w:r>
        <w:rPr>
          <w:rFonts w:ascii="Times New Roman" w:hAnsi="Times New Roman" w:cs="Times New Roman"/>
          <w:color w:val="000000"/>
          <w:lang w:val="ro-RO"/>
        </w:rPr>
        <w:t>l Europei</w:t>
      </w:r>
      <w:r w:rsidRPr="00655EBD">
        <w:rPr>
          <w:rFonts w:ascii="Times New Roman" w:hAnsi="Times New Roman" w:cs="Times New Roman"/>
          <w:color w:val="000000"/>
          <w:lang w:val="ro-RO"/>
        </w:rPr>
        <w:t xml:space="preserve"> la 5 august 2022 </w:t>
      </w:r>
      <w:r>
        <w:rPr>
          <w:rFonts w:ascii="Times New Roman" w:hAnsi="Times New Roman" w:cs="Times New Roman"/>
          <w:color w:val="000000"/>
          <w:lang w:val="ro-RO"/>
        </w:rPr>
        <w:t>prin</w:t>
      </w:r>
      <w:r w:rsidRPr="00655EBD">
        <w:rPr>
          <w:rFonts w:ascii="Times New Roman" w:hAnsi="Times New Roman" w:cs="Times New Roman"/>
          <w:color w:val="000000"/>
          <w:lang w:val="ro-RO"/>
        </w:rPr>
        <w:t xml:space="preserve"> Regulamentul UE 2022/1369. </w:t>
      </w:r>
      <w:r>
        <w:rPr>
          <w:rFonts w:ascii="Times New Roman" w:hAnsi="Times New Roman" w:cs="Times New Roman"/>
          <w:color w:val="000000"/>
          <w:lang w:val="ro-RO"/>
        </w:rPr>
        <w:t>Astfel</w:t>
      </w:r>
      <w:r w:rsidRPr="00655EBD">
        <w:rPr>
          <w:rFonts w:ascii="Times New Roman" w:hAnsi="Times New Roman" w:cs="Times New Roman"/>
          <w:color w:val="000000"/>
          <w:lang w:val="ro-RO"/>
        </w:rPr>
        <w:t xml:space="preserve">, statele membre au adoptat măsuri menite să reducă cererea respectivă de gaze cu 15%, așa cum este prevăzut de </w:t>
      </w:r>
      <w:r>
        <w:rPr>
          <w:rFonts w:ascii="Times New Roman" w:hAnsi="Times New Roman" w:cs="Times New Roman"/>
          <w:color w:val="000000"/>
          <w:lang w:val="ro-RO"/>
        </w:rPr>
        <w:t>R</w:t>
      </w:r>
      <w:r w:rsidRPr="00655EBD">
        <w:rPr>
          <w:rFonts w:ascii="Times New Roman" w:hAnsi="Times New Roman" w:cs="Times New Roman"/>
          <w:color w:val="000000"/>
          <w:lang w:val="ro-RO"/>
        </w:rPr>
        <w:t>egulamentul UE 2022/1369. Acest lucru a dus la reduceri efective ale cererii de gaze în întreaga UE cu 19% între august 2022 și ianuarie 2023.</w:t>
      </w:r>
    </w:p>
    <w:bookmarkEnd w:id="2"/>
    <w:p w14:paraId="17CEBA6A" w14:textId="0AC4DD8E" w:rsidR="00B41DD2" w:rsidRDefault="003B2413" w:rsidP="00B41DD2">
      <w:pPr>
        <w:spacing w:after="120"/>
        <w:ind w:firstLine="540"/>
        <w:jc w:val="both"/>
        <w:rPr>
          <w:rFonts w:ascii="Times New Roman" w:hAnsi="Times New Roman" w:cs="Times New Roman"/>
          <w:color w:val="000000"/>
          <w:lang w:val="ro-RO"/>
        </w:rPr>
      </w:pPr>
      <w:r>
        <w:rPr>
          <w:rFonts w:ascii="Times New Roman" w:hAnsi="Times New Roman" w:cs="Times New Roman"/>
          <w:color w:val="000000"/>
          <w:lang w:val="ro-RO"/>
        </w:rPr>
        <w:t>Chiar și în cazul</w:t>
      </w:r>
      <w:r w:rsidRPr="003B2413">
        <w:rPr>
          <w:rFonts w:ascii="Times New Roman" w:hAnsi="Times New Roman" w:cs="Times New Roman"/>
          <w:color w:val="000000"/>
          <w:lang w:val="ro-RO"/>
        </w:rPr>
        <w:t xml:space="preserve"> reducerii cererii realizate și a diversificării ofertei, persistă dificultăți severe în aprovizionarea cu energie, care pot afecta competitivitatea UE și situația economică generală. Riscurile includ o posibilă revenire a cererii de </w:t>
      </w:r>
      <w:r>
        <w:rPr>
          <w:rFonts w:ascii="Times New Roman" w:hAnsi="Times New Roman" w:cs="Times New Roman"/>
          <w:color w:val="000000"/>
          <w:lang w:val="ro-RO"/>
        </w:rPr>
        <w:t>LNG</w:t>
      </w:r>
      <w:r w:rsidRPr="003B2413">
        <w:rPr>
          <w:rFonts w:ascii="Times New Roman" w:hAnsi="Times New Roman" w:cs="Times New Roman"/>
          <w:color w:val="000000"/>
          <w:lang w:val="ro-RO"/>
        </w:rPr>
        <w:t xml:space="preserve"> în Asia, care poate reduce disponibilitatea de gaze </w:t>
      </w:r>
      <w:r>
        <w:rPr>
          <w:rFonts w:ascii="Times New Roman" w:hAnsi="Times New Roman" w:cs="Times New Roman"/>
          <w:color w:val="000000"/>
          <w:lang w:val="ro-RO"/>
        </w:rPr>
        <w:t xml:space="preserve">naturale </w:t>
      </w:r>
      <w:r w:rsidRPr="003B2413">
        <w:rPr>
          <w:rFonts w:ascii="Times New Roman" w:hAnsi="Times New Roman" w:cs="Times New Roman"/>
          <w:color w:val="000000"/>
          <w:lang w:val="ro-RO"/>
        </w:rPr>
        <w:t xml:space="preserve">pe piața globală, condițiile meteorologice care pot afecta </w:t>
      </w:r>
      <w:r>
        <w:rPr>
          <w:rFonts w:ascii="Times New Roman" w:hAnsi="Times New Roman" w:cs="Times New Roman"/>
          <w:color w:val="000000"/>
          <w:lang w:val="ro-RO"/>
        </w:rPr>
        <w:t>funcționarea hidrocentralelor</w:t>
      </w:r>
      <w:r w:rsidRPr="003B2413">
        <w:rPr>
          <w:rFonts w:ascii="Times New Roman" w:hAnsi="Times New Roman" w:cs="Times New Roman"/>
          <w:color w:val="000000"/>
          <w:lang w:val="ro-RO"/>
        </w:rPr>
        <w:t xml:space="preserve"> și </w:t>
      </w:r>
      <w:r>
        <w:rPr>
          <w:rFonts w:ascii="Times New Roman" w:hAnsi="Times New Roman" w:cs="Times New Roman"/>
          <w:color w:val="000000"/>
          <w:lang w:val="ro-RO"/>
        </w:rPr>
        <w:t>a centralelor</w:t>
      </w:r>
      <w:r w:rsidRPr="003B2413">
        <w:rPr>
          <w:rFonts w:ascii="Times New Roman" w:hAnsi="Times New Roman" w:cs="Times New Roman"/>
          <w:color w:val="000000"/>
          <w:lang w:val="ro-RO"/>
        </w:rPr>
        <w:t xml:space="preserve"> nuclear</w:t>
      </w:r>
      <w:r>
        <w:rPr>
          <w:rFonts w:ascii="Times New Roman" w:hAnsi="Times New Roman" w:cs="Times New Roman"/>
          <w:color w:val="000000"/>
          <w:lang w:val="ro-RO"/>
        </w:rPr>
        <w:t>e din UE ceea ce ar</w:t>
      </w:r>
      <w:r w:rsidRPr="003B2413">
        <w:rPr>
          <w:rFonts w:ascii="Times New Roman" w:hAnsi="Times New Roman" w:cs="Times New Roman"/>
          <w:color w:val="000000"/>
          <w:lang w:val="ro-RO"/>
        </w:rPr>
        <w:t xml:space="preserve"> necesit</w:t>
      </w:r>
      <w:r>
        <w:rPr>
          <w:rFonts w:ascii="Times New Roman" w:hAnsi="Times New Roman" w:cs="Times New Roman"/>
          <w:color w:val="000000"/>
          <w:lang w:val="ro-RO"/>
        </w:rPr>
        <w:t>a</w:t>
      </w:r>
      <w:r w:rsidRPr="003B2413">
        <w:rPr>
          <w:rFonts w:ascii="Times New Roman" w:hAnsi="Times New Roman" w:cs="Times New Roman"/>
          <w:color w:val="000000"/>
          <w:lang w:val="ro-RO"/>
        </w:rPr>
        <w:t xml:space="preserve"> o recurgere mai mare la generarea de energie pe bază de gaz și </w:t>
      </w:r>
      <w:r>
        <w:rPr>
          <w:rFonts w:ascii="Times New Roman" w:hAnsi="Times New Roman" w:cs="Times New Roman"/>
          <w:color w:val="000000"/>
          <w:lang w:val="ro-RO"/>
        </w:rPr>
        <w:t xml:space="preserve">respectiv </w:t>
      </w:r>
      <w:r w:rsidRPr="003B2413">
        <w:rPr>
          <w:rFonts w:ascii="Times New Roman" w:hAnsi="Times New Roman" w:cs="Times New Roman"/>
          <w:color w:val="000000"/>
          <w:lang w:val="ro-RO"/>
        </w:rPr>
        <w:t xml:space="preserve">unele întreruperi suplimentare în aprovizionarea cu gaz, care poate afecta umplerea </w:t>
      </w:r>
      <w:r w:rsidR="00F251D8">
        <w:rPr>
          <w:rFonts w:ascii="Times New Roman" w:hAnsi="Times New Roman" w:cs="Times New Roman"/>
          <w:color w:val="000000"/>
          <w:lang w:val="ro-RO"/>
        </w:rPr>
        <w:t>depozitelor</w:t>
      </w:r>
      <w:r w:rsidRPr="003B2413">
        <w:rPr>
          <w:rFonts w:ascii="Times New Roman" w:hAnsi="Times New Roman" w:cs="Times New Roman"/>
          <w:color w:val="000000"/>
          <w:lang w:val="ro-RO"/>
        </w:rPr>
        <w:t xml:space="preserve"> de </w:t>
      </w:r>
      <w:r w:rsidR="00F251D8">
        <w:rPr>
          <w:rFonts w:ascii="Times New Roman" w:hAnsi="Times New Roman" w:cs="Times New Roman"/>
          <w:color w:val="000000"/>
          <w:lang w:val="ro-RO"/>
        </w:rPr>
        <w:t>stocare</w:t>
      </w:r>
      <w:r w:rsidRPr="003B2413">
        <w:rPr>
          <w:rFonts w:ascii="Times New Roman" w:hAnsi="Times New Roman" w:cs="Times New Roman"/>
          <w:color w:val="000000"/>
          <w:lang w:val="ro-RO"/>
        </w:rPr>
        <w:t xml:space="preserve"> a gazelor necesare pentru o iarnă mai sigură 2023-2024. În plus, spre deosebire de sezonul de umplere precedent, sezonul de umplere </w:t>
      </w:r>
      <w:r>
        <w:rPr>
          <w:rFonts w:ascii="Times New Roman" w:hAnsi="Times New Roman" w:cs="Times New Roman"/>
          <w:color w:val="000000"/>
          <w:lang w:val="ro-RO"/>
        </w:rPr>
        <w:t xml:space="preserve">a depozitelor de </w:t>
      </w:r>
      <w:r w:rsidRPr="003B2413">
        <w:rPr>
          <w:rFonts w:ascii="Times New Roman" w:hAnsi="Times New Roman" w:cs="Times New Roman"/>
          <w:color w:val="000000"/>
          <w:lang w:val="ro-RO"/>
        </w:rPr>
        <w:t>stocare din 2023 nu poate conta pe cei 60 de miliarde de metri cubi de gaz rusesc care au fost încă importați în UE în 2022.</w:t>
      </w:r>
    </w:p>
    <w:p w14:paraId="0BFC3106" w14:textId="119889FF" w:rsidR="00B41DD2" w:rsidRDefault="003B2413" w:rsidP="00B41DD2">
      <w:pPr>
        <w:spacing w:after="120"/>
        <w:ind w:firstLine="540"/>
        <w:jc w:val="both"/>
        <w:rPr>
          <w:rFonts w:ascii="Times New Roman" w:hAnsi="Times New Roman" w:cs="Times New Roman"/>
          <w:color w:val="000000"/>
          <w:lang w:val="ro-RO"/>
        </w:rPr>
      </w:pPr>
      <w:bookmarkStart w:id="3" w:name="_Hlk135658268"/>
      <w:r w:rsidRPr="003B2413">
        <w:rPr>
          <w:rFonts w:ascii="Times New Roman" w:hAnsi="Times New Roman" w:cs="Times New Roman"/>
          <w:color w:val="000000"/>
          <w:lang w:val="ro-RO"/>
        </w:rPr>
        <w:t xml:space="preserve">Prin urmare, având în vedere riscurile privind aprovizionarea </w:t>
      </w:r>
      <w:r w:rsidR="00D85E3C">
        <w:rPr>
          <w:rFonts w:ascii="Times New Roman" w:hAnsi="Times New Roman" w:cs="Times New Roman"/>
          <w:color w:val="000000"/>
          <w:lang w:val="ro-RO"/>
        </w:rPr>
        <w:t xml:space="preserve">cu gaze naturale din Federația </w:t>
      </w:r>
      <w:r w:rsidRPr="003B2413">
        <w:rPr>
          <w:rFonts w:ascii="Times New Roman" w:hAnsi="Times New Roman" w:cs="Times New Roman"/>
          <w:color w:val="000000"/>
          <w:lang w:val="ro-RO"/>
        </w:rPr>
        <w:t>Rus</w:t>
      </w:r>
      <w:r w:rsidR="00D85E3C">
        <w:rPr>
          <w:rFonts w:ascii="Times New Roman" w:hAnsi="Times New Roman" w:cs="Times New Roman"/>
          <w:color w:val="000000"/>
          <w:lang w:val="ro-RO"/>
        </w:rPr>
        <w:t>ă</w:t>
      </w:r>
      <w:r w:rsidRPr="003B2413">
        <w:rPr>
          <w:rFonts w:ascii="Times New Roman" w:hAnsi="Times New Roman" w:cs="Times New Roman"/>
          <w:color w:val="000000"/>
          <w:lang w:val="ro-RO"/>
        </w:rPr>
        <w:t xml:space="preserve">, condițiile meteorologice și evoluțiile pieței globale de gaze în anul 2023, </w:t>
      </w:r>
      <w:r w:rsidR="00481932">
        <w:rPr>
          <w:rFonts w:ascii="Times New Roman" w:hAnsi="Times New Roman" w:cs="Times New Roman"/>
          <w:color w:val="000000"/>
          <w:lang w:val="ro-RO"/>
        </w:rPr>
        <w:t xml:space="preserve">prin </w:t>
      </w:r>
      <w:r w:rsidR="00481932" w:rsidRPr="003B2413">
        <w:rPr>
          <w:rFonts w:ascii="Times New Roman" w:hAnsi="Times New Roman" w:cs="Times New Roman"/>
          <w:color w:val="000000"/>
          <w:lang w:val="ro-RO"/>
        </w:rPr>
        <w:t>Regulamentului (UE) 202</w:t>
      </w:r>
      <w:r w:rsidR="00481932">
        <w:rPr>
          <w:rFonts w:ascii="Times New Roman" w:hAnsi="Times New Roman" w:cs="Times New Roman"/>
          <w:color w:val="000000"/>
          <w:lang w:val="ro-RO"/>
        </w:rPr>
        <w:t>3</w:t>
      </w:r>
      <w:r w:rsidR="00481932" w:rsidRPr="003B2413">
        <w:rPr>
          <w:rFonts w:ascii="Times New Roman" w:hAnsi="Times New Roman" w:cs="Times New Roman"/>
          <w:color w:val="000000"/>
          <w:lang w:val="ro-RO"/>
        </w:rPr>
        <w:t>/</w:t>
      </w:r>
      <w:r w:rsidR="00481932">
        <w:rPr>
          <w:rFonts w:ascii="Times New Roman" w:hAnsi="Times New Roman" w:cs="Times New Roman"/>
          <w:color w:val="000000"/>
          <w:lang w:val="ro-RO"/>
        </w:rPr>
        <w:t xml:space="preserve">706 din 31 martie 2023 de modificare a </w:t>
      </w:r>
      <w:r w:rsidR="00481932" w:rsidRPr="003B2413">
        <w:rPr>
          <w:rFonts w:ascii="Times New Roman" w:hAnsi="Times New Roman" w:cs="Times New Roman"/>
          <w:color w:val="000000"/>
          <w:lang w:val="ro-RO"/>
        </w:rPr>
        <w:t>Regulamentului (UE) 2022/1369</w:t>
      </w:r>
      <w:r w:rsidR="00481932">
        <w:rPr>
          <w:rFonts w:ascii="Times New Roman" w:hAnsi="Times New Roman" w:cs="Times New Roman"/>
          <w:color w:val="000000"/>
          <w:lang w:val="ro-RO"/>
        </w:rPr>
        <w:t xml:space="preserve">, Consiliul European a prelungit </w:t>
      </w:r>
      <w:r w:rsidR="00481932" w:rsidRPr="00481932">
        <w:rPr>
          <w:rFonts w:ascii="Times New Roman" w:hAnsi="Times New Roman" w:cs="Times New Roman"/>
          <w:color w:val="000000"/>
          <w:lang w:val="ro-RO"/>
        </w:rPr>
        <w:t>perioad</w:t>
      </w:r>
      <w:r w:rsidR="00481932">
        <w:rPr>
          <w:rFonts w:ascii="Times New Roman" w:hAnsi="Times New Roman" w:cs="Times New Roman"/>
          <w:color w:val="000000"/>
          <w:lang w:val="ro-RO"/>
        </w:rPr>
        <w:t>a</w:t>
      </w:r>
      <w:r w:rsidR="00481932" w:rsidRPr="00481932">
        <w:rPr>
          <w:rFonts w:ascii="Times New Roman" w:hAnsi="Times New Roman" w:cs="Times New Roman"/>
          <w:color w:val="000000"/>
          <w:lang w:val="ro-RO"/>
        </w:rPr>
        <w:t xml:space="preserve"> de</w:t>
      </w:r>
      <w:r w:rsidR="00481932">
        <w:rPr>
          <w:rFonts w:ascii="Times New Roman" w:hAnsi="Times New Roman" w:cs="Times New Roman"/>
          <w:color w:val="000000"/>
          <w:lang w:val="ro-RO"/>
        </w:rPr>
        <w:t xml:space="preserve"> </w:t>
      </w:r>
      <w:r w:rsidR="00481932" w:rsidRPr="00481932">
        <w:rPr>
          <w:rFonts w:ascii="Times New Roman" w:hAnsi="Times New Roman" w:cs="Times New Roman"/>
          <w:color w:val="000000"/>
          <w:lang w:val="ro-RO"/>
        </w:rPr>
        <w:t>reducere a cererii pentru măsurile de reducere a cererii de gaze</w:t>
      </w:r>
      <w:r w:rsidR="00481932">
        <w:rPr>
          <w:rFonts w:ascii="Times New Roman" w:hAnsi="Times New Roman" w:cs="Times New Roman"/>
          <w:color w:val="000000"/>
          <w:lang w:val="ro-RO"/>
        </w:rPr>
        <w:t xml:space="preserve"> cu un an, fiind prevăzut că s</w:t>
      </w:r>
      <w:r w:rsidR="00481932" w:rsidRPr="00481932">
        <w:rPr>
          <w:rFonts w:ascii="Times New Roman" w:hAnsi="Times New Roman" w:cs="Times New Roman"/>
          <w:color w:val="000000"/>
          <w:lang w:val="ro-RO"/>
        </w:rPr>
        <w:t xml:space="preserve">tatele membre </w:t>
      </w:r>
      <w:r w:rsidR="00481932">
        <w:rPr>
          <w:rFonts w:ascii="Times New Roman" w:hAnsi="Times New Roman" w:cs="Times New Roman"/>
          <w:color w:val="000000"/>
          <w:lang w:val="ro-RO"/>
        </w:rPr>
        <w:t xml:space="preserve">UE vor </w:t>
      </w:r>
      <w:r w:rsidR="00481932" w:rsidRPr="00481932">
        <w:rPr>
          <w:rFonts w:ascii="Times New Roman" w:hAnsi="Times New Roman" w:cs="Times New Roman"/>
          <w:color w:val="000000"/>
          <w:lang w:val="ro-RO"/>
        </w:rPr>
        <w:t>depun</w:t>
      </w:r>
      <w:r w:rsidR="00481932">
        <w:rPr>
          <w:rFonts w:ascii="Times New Roman" w:hAnsi="Times New Roman" w:cs="Times New Roman"/>
          <w:color w:val="000000"/>
          <w:lang w:val="ro-RO"/>
        </w:rPr>
        <w:t>e</w:t>
      </w:r>
      <w:r w:rsidR="00481932" w:rsidRPr="00481932">
        <w:rPr>
          <w:rFonts w:ascii="Times New Roman" w:hAnsi="Times New Roman" w:cs="Times New Roman"/>
          <w:color w:val="000000"/>
          <w:lang w:val="ro-RO"/>
        </w:rPr>
        <w:t xml:space="preserve"> toate </w:t>
      </w:r>
      <w:r w:rsidR="00481932" w:rsidRPr="00481932">
        <w:rPr>
          <w:rFonts w:ascii="Times New Roman" w:hAnsi="Times New Roman" w:cs="Times New Roman"/>
          <w:color w:val="000000"/>
          <w:lang w:val="ro-RO"/>
        </w:rPr>
        <w:lastRenderedPageBreak/>
        <w:t>eforturile pentru a-și reduce consumul de gaze în perioada</w:t>
      </w:r>
      <w:r w:rsidR="00481932">
        <w:rPr>
          <w:rFonts w:ascii="Times New Roman" w:hAnsi="Times New Roman" w:cs="Times New Roman"/>
          <w:color w:val="000000"/>
          <w:lang w:val="ro-RO"/>
        </w:rPr>
        <w:t xml:space="preserve"> </w:t>
      </w:r>
      <w:r w:rsidR="00481932" w:rsidRPr="00481932">
        <w:rPr>
          <w:rFonts w:ascii="Times New Roman" w:hAnsi="Times New Roman" w:cs="Times New Roman"/>
          <w:color w:val="000000"/>
          <w:lang w:val="ro-RO"/>
        </w:rPr>
        <w:t>1 aprilie 2023-31 martie 2024</w:t>
      </w:r>
      <w:r w:rsidR="00481932">
        <w:rPr>
          <w:rFonts w:ascii="Times New Roman" w:hAnsi="Times New Roman" w:cs="Times New Roman"/>
          <w:color w:val="000000"/>
          <w:lang w:val="ro-RO"/>
        </w:rPr>
        <w:t xml:space="preserve"> </w:t>
      </w:r>
      <w:r w:rsidR="00481932" w:rsidRPr="00481932">
        <w:rPr>
          <w:rFonts w:ascii="Times New Roman" w:hAnsi="Times New Roman" w:cs="Times New Roman"/>
          <w:color w:val="000000"/>
          <w:lang w:val="ro-RO"/>
        </w:rPr>
        <w:t xml:space="preserve">cu cel puțin </w:t>
      </w:r>
      <w:r w:rsidR="00D85E3C">
        <w:rPr>
          <w:rFonts w:ascii="Times New Roman" w:hAnsi="Times New Roman" w:cs="Times New Roman"/>
          <w:color w:val="000000"/>
          <w:lang w:val="ro-RO"/>
        </w:rPr>
        <w:t xml:space="preserve">cu </w:t>
      </w:r>
      <w:r w:rsidR="00481932" w:rsidRPr="00481932">
        <w:rPr>
          <w:rFonts w:ascii="Times New Roman" w:hAnsi="Times New Roman" w:cs="Times New Roman"/>
          <w:color w:val="000000"/>
          <w:lang w:val="ro-RO"/>
        </w:rPr>
        <w:t>15% comparativ cu consumul lor mediu de gaze înregistrat în perioada 1 aprilie 2017-31 martie 2022</w:t>
      </w:r>
      <w:r w:rsidR="00481932">
        <w:rPr>
          <w:rFonts w:ascii="Times New Roman" w:hAnsi="Times New Roman" w:cs="Times New Roman"/>
          <w:color w:val="000000"/>
          <w:lang w:val="ro-RO"/>
        </w:rPr>
        <w:t>.</w:t>
      </w:r>
    </w:p>
    <w:bookmarkEnd w:id="3"/>
    <w:p w14:paraId="623AC90A" w14:textId="6DABF5F0" w:rsidR="00B41DD2" w:rsidRDefault="00481932" w:rsidP="00B41DD2">
      <w:pPr>
        <w:spacing w:after="120"/>
        <w:ind w:firstLine="540"/>
        <w:jc w:val="both"/>
        <w:rPr>
          <w:rFonts w:ascii="Times New Roman" w:hAnsi="Times New Roman" w:cs="Times New Roman"/>
          <w:color w:val="000000"/>
          <w:lang w:val="ro-RO"/>
        </w:rPr>
      </w:pPr>
      <w:r w:rsidRPr="00481932">
        <w:rPr>
          <w:rFonts w:ascii="Times New Roman" w:hAnsi="Times New Roman" w:cs="Times New Roman"/>
          <w:color w:val="000000"/>
          <w:lang w:val="ro-RO"/>
        </w:rPr>
        <w:t xml:space="preserve">Pe lângă asigurarea securității aprovizionării, reducerea cererii ar atenua dificultățile economice prin reducerea volatilității prețurilor și ar </w:t>
      </w:r>
      <w:r w:rsidR="00D85E3C">
        <w:rPr>
          <w:rFonts w:ascii="Times New Roman" w:hAnsi="Times New Roman" w:cs="Times New Roman"/>
          <w:color w:val="000000"/>
          <w:lang w:val="ro-RO"/>
        </w:rPr>
        <w:t xml:space="preserve">micșora </w:t>
      </w:r>
      <w:r w:rsidRPr="00481932">
        <w:rPr>
          <w:rFonts w:ascii="Times New Roman" w:hAnsi="Times New Roman" w:cs="Times New Roman"/>
          <w:color w:val="000000"/>
          <w:lang w:val="ro-RO"/>
        </w:rPr>
        <w:t xml:space="preserve">presiunea pe o piață de gaze </w:t>
      </w:r>
      <w:r w:rsidR="00D85E3C">
        <w:rPr>
          <w:rFonts w:ascii="Times New Roman" w:hAnsi="Times New Roman" w:cs="Times New Roman"/>
          <w:color w:val="000000"/>
          <w:lang w:val="ro-RO"/>
        </w:rPr>
        <w:t xml:space="preserve">naturale </w:t>
      </w:r>
      <w:r>
        <w:rPr>
          <w:rFonts w:ascii="Times New Roman" w:hAnsi="Times New Roman" w:cs="Times New Roman"/>
          <w:color w:val="000000"/>
          <w:lang w:val="ro-RO"/>
        </w:rPr>
        <w:t>limitată</w:t>
      </w:r>
      <w:r w:rsidRPr="00481932">
        <w:rPr>
          <w:rFonts w:ascii="Times New Roman" w:hAnsi="Times New Roman" w:cs="Times New Roman"/>
          <w:color w:val="000000"/>
          <w:lang w:val="ro-RO"/>
        </w:rPr>
        <w:t xml:space="preserve">. În timp ce cele mai grave impacturi economice au fost evitate până acum în 2022, piețele globale de gaze </w:t>
      </w:r>
      <w:r w:rsidR="00D85E3C">
        <w:rPr>
          <w:rFonts w:ascii="Times New Roman" w:hAnsi="Times New Roman" w:cs="Times New Roman"/>
          <w:color w:val="000000"/>
          <w:lang w:val="ro-RO"/>
        </w:rPr>
        <w:t xml:space="preserve">naturale </w:t>
      </w:r>
      <w:r w:rsidRPr="00481932">
        <w:rPr>
          <w:rFonts w:ascii="Times New Roman" w:hAnsi="Times New Roman" w:cs="Times New Roman"/>
          <w:color w:val="000000"/>
          <w:lang w:val="ro-RO"/>
        </w:rPr>
        <w:t xml:space="preserve">rămân foarte constrânse în </w:t>
      </w:r>
      <w:r>
        <w:rPr>
          <w:rFonts w:ascii="Times New Roman" w:hAnsi="Times New Roman" w:cs="Times New Roman"/>
          <w:color w:val="000000"/>
          <w:lang w:val="ro-RO"/>
        </w:rPr>
        <w:t xml:space="preserve">anul </w:t>
      </w:r>
      <w:r w:rsidRPr="00481932">
        <w:rPr>
          <w:rFonts w:ascii="Times New Roman" w:hAnsi="Times New Roman" w:cs="Times New Roman"/>
          <w:color w:val="000000"/>
          <w:lang w:val="ro-RO"/>
        </w:rPr>
        <w:t xml:space="preserve">2023. Prețurile gazelor </w:t>
      </w:r>
      <w:r>
        <w:rPr>
          <w:rFonts w:ascii="Times New Roman" w:hAnsi="Times New Roman" w:cs="Times New Roman"/>
          <w:color w:val="000000"/>
          <w:lang w:val="ro-RO"/>
        </w:rPr>
        <w:t xml:space="preserve">naturale </w:t>
      </w:r>
      <w:r w:rsidRPr="00481932">
        <w:rPr>
          <w:rFonts w:ascii="Times New Roman" w:hAnsi="Times New Roman" w:cs="Times New Roman"/>
          <w:color w:val="000000"/>
          <w:lang w:val="ro-RO"/>
        </w:rPr>
        <w:t xml:space="preserve">au atins maxime istorice în 2022, cu un preț maxim de peste 320 </w:t>
      </w:r>
      <w:r w:rsidR="00B41DD2" w:rsidRPr="00481932">
        <w:rPr>
          <w:rFonts w:ascii="Times New Roman" w:hAnsi="Times New Roman" w:cs="Times New Roman"/>
          <w:color w:val="000000"/>
          <w:lang w:val="ro-RO"/>
        </w:rPr>
        <w:t>€</w:t>
      </w:r>
      <w:r w:rsidRPr="00481932">
        <w:rPr>
          <w:rFonts w:ascii="Times New Roman" w:hAnsi="Times New Roman" w:cs="Times New Roman"/>
          <w:color w:val="000000"/>
          <w:lang w:val="ro-RO"/>
        </w:rPr>
        <w:t>/MWh</w:t>
      </w:r>
      <w:r>
        <w:rPr>
          <w:rFonts w:ascii="Times New Roman" w:hAnsi="Times New Roman" w:cs="Times New Roman"/>
          <w:color w:val="000000"/>
          <w:lang w:val="ro-RO"/>
        </w:rPr>
        <w:t xml:space="preserve"> sau </w:t>
      </w:r>
      <w:r w:rsidR="00D85E3C">
        <w:rPr>
          <w:rFonts w:ascii="Times New Roman" w:hAnsi="Times New Roman" w:cs="Times New Roman"/>
          <w:color w:val="000000"/>
          <w:lang w:val="ro-RO"/>
        </w:rPr>
        <w:br/>
      </w:r>
      <w:r>
        <w:rPr>
          <w:rFonts w:ascii="Times New Roman" w:hAnsi="Times New Roman" w:cs="Times New Roman"/>
          <w:color w:val="000000"/>
          <w:lang w:val="ro-RO"/>
        </w:rPr>
        <w:t xml:space="preserve">3390 </w:t>
      </w:r>
      <w:r w:rsidR="00B41DD2" w:rsidRPr="00481932">
        <w:rPr>
          <w:rFonts w:ascii="Times New Roman" w:hAnsi="Times New Roman" w:cs="Times New Roman"/>
          <w:color w:val="000000"/>
          <w:lang w:val="ro-RO"/>
        </w:rPr>
        <w:t>€</w:t>
      </w:r>
      <w:r>
        <w:rPr>
          <w:rFonts w:ascii="Times New Roman" w:hAnsi="Times New Roman" w:cs="Times New Roman"/>
          <w:color w:val="000000"/>
          <w:lang w:val="ro-RO"/>
        </w:rPr>
        <w:t>/1000 m</w:t>
      </w:r>
      <w:r>
        <w:rPr>
          <w:rFonts w:ascii="Times New Roman" w:hAnsi="Times New Roman" w:cs="Times New Roman"/>
          <w:color w:val="000000"/>
          <w:vertAlign w:val="superscript"/>
          <w:lang w:val="ro-RO"/>
        </w:rPr>
        <w:t>3</w:t>
      </w:r>
      <w:r w:rsidRPr="00481932">
        <w:rPr>
          <w:rFonts w:ascii="Times New Roman" w:hAnsi="Times New Roman" w:cs="Times New Roman"/>
          <w:color w:val="000000"/>
          <w:lang w:val="ro-RO"/>
        </w:rPr>
        <w:t xml:space="preserve"> la 26 august. Creșterea </w:t>
      </w:r>
      <w:r>
        <w:rPr>
          <w:rFonts w:ascii="Times New Roman" w:hAnsi="Times New Roman" w:cs="Times New Roman"/>
          <w:color w:val="000000"/>
          <w:lang w:val="ro-RO"/>
        </w:rPr>
        <w:t>semnificativă</w:t>
      </w:r>
      <w:r w:rsidRPr="00481932">
        <w:rPr>
          <w:rFonts w:ascii="Times New Roman" w:hAnsi="Times New Roman" w:cs="Times New Roman"/>
          <w:color w:val="000000"/>
          <w:lang w:val="ro-RO"/>
        </w:rPr>
        <w:t xml:space="preserve"> a prețurilor la gaze</w:t>
      </w:r>
      <w:r>
        <w:rPr>
          <w:rFonts w:ascii="Times New Roman" w:hAnsi="Times New Roman" w:cs="Times New Roman"/>
          <w:color w:val="000000"/>
          <w:lang w:val="ro-RO"/>
        </w:rPr>
        <w:t>le naturale</w:t>
      </w:r>
      <w:r w:rsidRPr="00481932">
        <w:rPr>
          <w:rFonts w:ascii="Times New Roman" w:hAnsi="Times New Roman" w:cs="Times New Roman"/>
          <w:color w:val="000000"/>
          <w:lang w:val="ro-RO"/>
        </w:rPr>
        <w:t xml:space="preserve"> a condus la prețuri record la energi</w:t>
      </w:r>
      <w:r>
        <w:rPr>
          <w:rFonts w:ascii="Times New Roman" w:hAnsi="Times New Roman" w:cs="Times New Roman"/>
          <w:color w:val="000000"/>
          <w:lang w:val="ro-RO"/>
        </w:rPr>
        <w:t>a</w:t>
      </w:r>
      <w:r w:rsidRPr="00481932">
        <w:rPr>
          <w:rFonts w:ascii="Times New Roman" w:hAnsi="Times New Roman" w:cs="Times New Roman"/>
          <w:color w:val="000000"/>
          <w:lang w:val="ro-RO"/>
        </w:rPr>
        <w:t xml:space="preserve"> electrică în întreaga Uniune Europeană. </w:t>
      </w:r>
      <w:r w:rsidR="00DA7038" w:rsidRPr="00DA7038">
        <w:rPr>
          <w:rFonts w:ascii="Times New Roman" w:hAnsi="Times New Roman" w:cs="Times New Roman"/>
          <w:color w:val="000000"/>
          <w:lang w:val="ro-RO"/>
        </w:rPr>
        <w:t>Prețurile gazelor naturale pe piața spot, la situația din aprilie 2023, sunt sub 40-45 €/MWh sau 424-477 €/1000 m</w:t>
      </w:r>
      <w:r w:rsidR="00DA7038" w:rsidRPr="00DA7038">
        <w:rPr>
          <w:rFonts w:ascii="Times New Roman" w:hAnsi="Times New Roman" w:cs="Times New Roman"/>
          <w:color w:val="000000"/>
          <w:vertAlign w:val="superscript"/>
          <w:lang w:val="ro-RO"/>
        </w:rPr>
        <w:t>3</w:t>
      </w:r>
      <w:r w:rsidRPr="00481932">
        <w:rPr>
          <w:rFonts w:ascii="Times New Roman" w:hAnsi="Times New Roman" w:cs="Times New Roman"/>
          <w:color w:val="000000"/>
          <w:lang w:val="ro-RO"/>
        </w:rPr>
        <w:t>. Cu toate acestea, prețurile la gaze</w:t>
      </w:r>
      <w:r w:rsidR="00B41DD2">
        <w:rPr>
          <w:rFonts w:ascii="Times New Roman" w:hAnsi="Times New Roman" w:cs="Times New Roman"/>
          <w:color w:val="000000"/>
          <w:lang w:val="ro-RO"/>
        </w:rPr>
        <w:t>le naturale</w:t>
      </w:r>
      <w:r w:rsidRPr="00481932">
        <w:rPr>
          <w:rFonts w:ascii="Times New Roman" w:hAnsi="Times New Roman" w:cs="Times New Roman"/>
          <w:color w:val="000000"/>
          <w:lang w:val="ro-RO"/>
        </w:rPr>
        <w:t xml:space="preserve"> sunt încă la un nivel de două ori mai mare decât </w:t>
      </w:r>
      <w:r w:rsidR="00B41DD2">
        <w:rPr>
          <w:rFonts w:ascii="Times New Roman" w:hAnsi="Times New Roman" w:cs="Times New Roman"/>
          <w:color w:val="000000"/>
          <w:lang w:val="ro-RO"/>
        </w:rPr>
        <w:t>nivelul</w:t>
      </w:r>
      <w:r w:rsidRPr="00481932">
        <w:rPr>
          <w:rFonts w:ascii="Times New Roman" w:hAnsi="Times New Roman" w:cs="Times New Roman"/>
          <w:color w:val="000000"/>
          <w:lang w:val="ro-RO"/>
        </w:rPr>
        <w:t xml:space="preserve"> istoric.</w:t>
      </w:r>
    </w:p>
    <w:p w14:paraId="2F569906" w14:textId="77777777" w:rsidR="00DC23BA" w:rsidRDefault="00B41DD2" w:rsidP="00DC23BA">
      <w:pPr>
        <w:spacing w:after="120"/>
        <w:ind w:firstLine="540"/>
        <w:jc w:val="both"/>
        <w:rPr>
          <w:rFonts w:ascii="Times New Roman" w:hAnsi="Times New Roman" w:cs="Times New Roman"/>
          <w:color w:val="000000"/>
          <w:lang w:val="ro-RO"/>
        </w:rPr>
      </w:pPr>
      <w:r>
        <w:rPr>
          <w:rFonts w:ascii="Times New Roman" w:hAnsi="Times New Roman" w:cs="Times New Roman"/>
          <w:color w:val="000000"/>
          <w:lang w:val="ro-RO"/>
        </w:rPr>
        <w:t>În contextul celor menționate mai sus, Guvernul Republicii Moldova la fel ca și statele membre UE își propune a realiza măsuri de reducere a consumului de gaze naturale în următorul sezon de încălzire 2023-2024.</w:t>
      </w:r>
    </w:p>
    <w:p w14:paraId="37F5BB0A" w14:textId="65C090C9" w:rsidR="00DC23BA" w:rsidRDefault="00002CD9" w:rsidP="00DC23BA">
      <w:pPr>
        <w:spacing w:after="120"/>
        <w:ind w:firstLine="540"/>
        <w:jc w:val="both"/>
        <w:rPr>
          <w:rFonts w:ascii="Times New Roman" w:hAnsi="Times New Roman" w:cs="Times New Roman"/>
          <w:color w:val="000000"/>
          <w:lang w:val="ro-RO"/>
        </w:rPr>
      </w:pPr>
      <w:bookmarkStart w:id="4" w:name="_Hlk135731311"/>
      <w:r w:rsidRPr="00002CD9">
        <w:rPr>
          <w:rFonts w:ascii="Times New Roman" w:hAnsi="Times New Roman" w:cs="Times New Roman"/>
          <w:color w:val="000000"/>
          <w:lang w:val="ro-RO"/>
        </w:rPr>
        <w:t xml:space="preserve">Republica Moldova se confruntă cu mai multe provocări critice în sectorul energetic, care au fost accentuate </w:t>
      </w:r>
      <w:bookmarkStart w:id="5" w:name="_Hlk133926064"/>
      <w:r w:rsidRPr="00002CD9">
        <w:rPr>
          <w:rFonts w:ascii="Times New Roman" w:hAnsi="Times New Roman" w:cs="Times New Roman"/>
          <w:color w:val="000000"/>
          <w:lang w:val="ro-RO"/>
        </w:rPr>
        <w:t>de agresiunea militară rusă în curs de desfășurare în țara vecină Ucraina</w:t>
      </w:r>
      <w:bookmarkEnd w:id="5"/>
      <w:r w:rsidRPr="00002CD9">
        <w:rPr>
          <w:rFonts w:ascii="Times New Roman" w:hAnsi="Times New Roman" w:cs="Times New Roman"/>
          <w:color w:val="000000"/>
          <w:lang w:val="ro-RO"/>
        </w:rPr>
        <w:t xml:space="preserve">. </w:t>
      </w:r>
      <w:bookmarkEnd w:id="4"/>
      <w:r w:rsidRPr="00002CD9">
        <w:rPr>
          <w:rFonts w:ascii="Times New Roman" w:hAnsi="Times New Roman" w:cs="Times New Roman"/>
          <w:color w:val="000000"/>
          <w:lang w:val="ro-RO"/>
        </w:rPr>
        <w:t>Creșterea economică a țării nu poate fi atinsă dacă aprovizionarea cu resurse energetice principale este supusă unor întreruperi</w:t>
      </w:r>
      <w:r w:rsidR="00391B9D">
        <w:rPr>
          <w:rFonts w:ascii="Times New Roman" w:hAnsi="Times New Roman" w:cs="Times New Roman"/>
          <w:color w:val="000000"/>
          <w:lang w:val="ro-RO"/>
        </w:rPr>
        <w:t>/limitări</w:t>
      </w:r>
      <w:r w:rsidRPr="00002CD9">
        <w:rPr>
          <w:rFonts w:ascii="Times New Roman" w:hAnsi="Times New Roman" w:cs="Times New Roman"/>
          <w:color w:val="000000"/>
          <w:lang w:val="ro-RO"/>
        </w:rPr>
        <w:t xml:space="preserve"> permanente și dacă prețurile energiei sunt instabile și inaccesibile. Contextul geopolitic actual, care implică războiul de la hotar din Ucraina și politizarea comerțului cu resurse energetice de către </w:t>
      </w:r>
      <w:r w:rsidR="00D85E3C" w:rsidRPr="002C0527">
        <w:rPr>
          <w:rFonts w:ascii="Times New Roman" w:hAnsi="Times New Roman" w:cs="Times New Roman"/>
          <w:color w:val="000000"/>
          <w:lang w:val="ro-RO"/>
        </w:rPr>
        <w:t>Federația Rusă</w:t>
      </w:r>
      <w:r w:rsidRPr="00002CD9">
        <w:rPr>
          <w:rFonts w:ascii="Times New Roman" w:hAnsi="Times New Roman" w:cs="Times New Roman"/>
          <w:color w:val="000000"/>
          <w:lang w:val="ro-RO"/>
        </w:rPr>
        <w:t xml:space="preserve">, a crescut exponențial riscurile de aprovizionare cu energie, toate economiile majore din UE confruntându-se cu o creștere a prețurilor pentru energia electrică și gaze naturale, iar nivelul de expunere a Republicii Moldova la șocuri externe este și mai mare decât media și va persista pe termen lung. </w:t>
      </w:r>
    </w:p>
    <w:p w14:paraId="3DC86D5D" w14:textId="77777777" w:rsidR="00DC23BA" w:rsidRDefault="00A42EBB" w:rsidP="00DC23BA">
      <w:pPr>
        <w:spacing w:after="120"/>
        <w:ind w:firstLine="540"/>
        <w:jc w:val="both"/>
        <w:rPr>
          <w:rFonts w:ascii="Times New Roman" w:hAnsi="Times New Roman" w:cs="Times New Roman"/>
          <w:color w:val="000000"/>
          <w:lang w:val="ro-RO"/>
        </w:rPr>
      </w:pPr>
      <w:r w:rsidRPr="002C0527">
        <w:rPr>
          <w:rFonts w:ascii="Times New Roman" w:hAnsi="Times New Roman" w:cs="Times New Roman"/>
          <w:color w:val="000000"/>
          <w:lang w:val="ro-RO"/>
        </w:rPr>
        <w:t>Prelungirea războiul</w:t>
      </w:r>
      <w:r w:rsidR="00DC23BA">
        <w:rPr>
          <w:rFonts w:ascii="Times New Roman" w:hAnsi="Times New Roman" w:cs="Times New Roman"/>
          <w:color w:val="000000"/>
          <w:lang w:val="ro-RO"/>
        </w:rPr>
        <w:t>ui</w:t>
      </w:r>
      <w:r w:rsidRPr="002C0527">
        <w:rPr>
          <w:rFonts w:ascii="Times New Roman" w:hAnsi="Times New Roman" w:cs="Times New Roman"/>
          <w:color w:val="000000"/>
          <w:lang w:val="ro-RO"/>
        </w:rPr>
        <w:t xml:space="preserve"> din Ucraina și incertitudinea privind evenimentele ce vor urma, </w:t>
      </w:r>
      <w:r w:rsidR="00C95C78">
        <w:rPr>
          <w:rFonts w:ascii="Times New Roman" w:hAnsi="Times New Roman" w:cs="Times New Roman"/>
          <w:color w:val="000000"/>
          <w:lang w:val="ro-RO"/>
        </w:rPr>
        <w:t>perpetuează</w:t>
      </w:r>
      <w:r w:rsidR="00C95C78" w:rsidRPr="002C0527">
        <w:rPr>
          <w:rFonts w:ascii="Times New Roman" w:hAnsi="Times New Roman" w:cs="Times New Roman"/>
          <w:color w:val="000000"/>
          <w:lang w:val="ro-RO"/>
        </w:rPr>
        <w:t xml:space="preserve"> </w:t>
      </w:r>
      <w:r w:rsidRPr="002C0527">
        <w:rPr>
          <w:rFonts w:ascii="Times New Roman" w:hAnsi="Times New Roman" w:cs="Times New Roman"/>
          <w:color w:val="000000"/>
          <w:lang w:val="ro-RO"/>
        </w:rPr>
        <w:t>situația de criză</w:t>
      </w:r>
      <w:r w:rsidR="00C95C78">
        <w:rPr>
          <w:rFonts w:ascii="Times New Roman" w:hAnsi="Times New Roman" w:cs="Times New Roman"/>
          <w:color w:val="000000"/>
          <w:lang w:val="ro-RO"/>
        </w:rPr>
        <w:t xml:space="preserve"> în Republica Moldova</w:t>
      </w:r>
      <w:r w:rsidRPr="002C0527">
        <w:rPr>
          <w:rFonts w:ascii="Times New Roman" w:hAnsi="Times New Roman" w:cs="Times New Roman"/>
          <w:color w:val="000000"/>
          <w:lang w:val="ro-RO"/>
        </w:rPr>
        <w:t xml:space="preserve">, inclusiv în domeniul energetic. Astfel, în contextul în care Federația Rusă deține o poziție importantă </w:t>
      </w:r>
      <w:r w:rsidRPr="002C0527">
        <w:rPr>
          <w:rFonts w:ascii="Times New Roman" w:hAnsi="Times New Roman" w:cs="Times New Roman"/>
          <w:i/>
          <w:color w:val="000000"/>
          <w:lang w:val="ro-RO"/>
        </w:rPr>
        <w:t>(dominantă)</w:t>
      </w:r>
      <w:r w:rsidRPr="002C0527">
        <w:rPr>
          <w:rFonts w:ascii="Times New Roman" w:hAnsi="Times New Roman" w:cs="Times New Roman"/>
          <w:color w:val="000000"/>
          <w:lang w:val="ro-RO"/>
        </w:rPr>
        <w:t xml:space="preserve"> pe piețele energetice, practic orice acțiune realizată de către aceasta legată de impunerea unor limitări în furnizarea resurselor energetice cât și sancțiunile aferente domeniului energetic aplicate de către alte state, se reflectă în mod direct asupra stabilității piețelor energetice și a </w:t>
      </w:r>
      <w:r w:rsidR="00C95C78">
        <w:rPr>
          <w:rFonts w:ascii="Times New Roman" w:hAnsi="Times New Roman" w:cs="Times New Roman"/>
          <w:color w:val="000000"/>
          <w:lang w:val="ro-RO"/>
        </w:rPr>
        <w:t xml:space="preserve">valorilor și </w:t>
      </w:r>
      <w:r w:rsidRPr="002C0527">
        <w:rPr>
          <w:rFonts w:ascii="Times New Roman" w:hAnsi="Times New Roman" w:cs="Times New Roman"/>
          <w:color w:val="000000"/>
          <w:lang w:val="ro-RO"/>
        </w:rPr>
        <w:t xml:space="preserve">predictibilității prețurilor la aceste resurse. Cele mai vulnerabile în acest plan fiind statele în curs de dezvoltare și care sunt dependente de importurile de resurse energetice. </w:t>
      </w:r>
    </w:p>
    <w:p w14:paraId="76ADEC2F" w14:textId="66598F41" w:rsidR="00DC23BA" w:rsidRDefault="00A42EBB" w:rsidP="00DC23BA">
      <w:pPr>
        <w:spacing w:after="120"/>
        <w:ind w:firstLine="540"/>
        <w:jc w:val="both"/>
        <w:rPr>
          <w:rFonts w:ascii="Times New Roman" w:hAnsi="Times New Roman" w:cs="Times New Roman"/>
          <w:color w:val="000000"/>
          <w:lang w:val="ro-RO"/>
        </w:rPr>
      </w:pPr>
      <w:r w:rsidRPr="002C0527">
        <w:rPr>
          <w:rFonts w:ascii="Times New Roman" w:hAnsi="Times New Roman" w:cs="Times New Roman"/>
          <w:color w:val="000000"/>
          <w:lang w:val="ro-RO"/>
        </w:rPr>
        <w:t xml:space="preserve">Republica Moldova este dependentă </w:t>
      </w:r>
      <w:r w:rsidR="00DC23BA" w:rsidRPr="002C0527">
        <w:rPr>
          <w:rFonts w:ascii="Times New Roman" w:hAnsi="Times New Roman" w:cs="Times New Roman"/>
          <w:color w:val="000000"/>
          <w:lang w:val="ro-RO"/>
        </w:rPr>
        <w:t xml:space="preserve">practic 100% </w:t>
      </w:r>
      <w:r w:rsidRPr="002C0527">
        <w:rPr>
          <w:rFonts w:ascii="Times New Roman" w:hAnsi="Times New Roman" w:cs="Times New Roman"/>
          <w:color w:val="000000"/>
          <w:lang w:val="ro-RO"/>
        </w:rPr>
        <w:t>de importurile de gaze</w:t>
      </w:r>
      <w:r w:rsidR="0009473A" w:rsidRPr="002C0527">
        <w:rPr>
          <w:rFonts w:ascii="Times New Roman" w:hAnsi="Times New Roman" w:cs="Times New Roman"/>
          <w:color w:val="000000"/>
          <w:lang w:val="ro-RO"/>
        </w:rPr>
        <w:t xml:space="preserve"> naturale</w:t>
      </w:r>
      <w:r w:rsidRPr="002C0527">
        <w:rPr>
          <w:rFonts w:ascii="Times New Roman" w:hAnsi="Times New Roman" w:cs="Times New Roman"/>
          <w:color w:val="000000"/>
          <w:lang w:val="ro-RO"/>
        </w:rPr>
        <w:t xml:space="preserve">. În același timp, Republica Moldova nu dispune de </w:t>
      </w:r>
      <w:r w:rsidR="00244A15">
        <w:rPr>
          <w:rFonts w:ascii="Times New Roman" w:hAnsi="Times New Roman" w:cs="Times New Roman"/>
          <w:color w:val="000000"/>
          <w:lang w:val="ro-RO"/>
        </w:rPr>
        <w:t>capacități</w:t>
      </w:r>
      <w:r w:rsidR="00244A15" w:rsidRPr="002C0527">
        <w:rPr>
          <w:rFonts w:ascii="Times New Roman" w:hAnsi="Times New Roman" w:cs="Times New Roman"/>
          <w:color w:val="000000"/>
          <w:lang w:val="ro-RO"/>
        </w:rPr>
        <w:t xml:space="preserve"> </w:t>
      </w:r>
      <w:r w:rsidRPr="002C0527">
        <w:rPr>
          <w:rFonts w:ascii="Times New Roman" w:hAnsi="Times New Roman" w:cs="Times New Roman"/>
          <w:color w:val="000000"/>
          <w:lang w:val="ro-RO"/>
        </w:rPr>
        <w:t xml:space="preserve">de stocare a gazelor naturale, </w:t>
      </w:r>
      <w:r w:rsidR="00D85E3C">
        <w:rPr>
          <w:rFonts w:ascii="Times New Roman" w:hAnsi="Times New Roman" w:cs="Times New Roman"/>
          <w:color w:val="000000"/>
          <w:lang w:val="ro-RO"/>
        </w:rPr>
        <w:t>acestea</w:t>
      </w:r>
      <w:r w:rsidRPr="002C0527">
        <w:rPr>
          <w:rFonts w:ascii="Times New Roman" w:hAnsi="Times New Roman" w:cs="Times New Roman"/>
          <w:color w:val="000000"/>
          <w:lang w:val="ro-RO"/>
        </w:rPr>
        <w:t xml:space="preserve"> </w:t>
      </w:r>
      <w:r w:rsidR="0009473A" w:rsidRPr="002C0527">
        <w:rPr>
          <w:rFonts w:ascii="Times New Roman" w:hAnsi="Times New Roman" w:cs="Times New Roman"/>
          <w:color w:val="000000"/>
          <w:lang w:val="ro-RO"/>
        </w:rPr>
        <w:t>fiind posibil a fi</w:t>
      </w:r>
      <w:r w:rsidRPr="002C0527">
        <w:rPr>
          <w:rFonts w:ascii="Times New Roman" w:hAnsi="Times New Roman" w:cs="Times New Roman"/>
          <w:color w:val="000000"/>
          <w:lang w:val="ro-RO"/>
        </w:rPr>
        <w:t xml:space="preserve"> stocate în statele vecine</w:t>
      </w:r>
      <w:r w:rsidR="0009473A" w:rsidRPr="002C0527">
        <w:rPr>
          <w:rFonts w:ascii="Times New Roman" w:hAnsi="Times New Roman" w:cs="Times New Roman"/>
          <w:color w:val="000000"/>
          <w:lang w:val="ro-RO"/>
        </w:rPr>
        <w:t xml:space="preserve"> sau în alte țări ce dispun de </w:t>
      </w:r>
      <w:r w:rsidR="00DC23BA">
        <w:rPr>
          <w:rFonts w:ascii="Times New Roman" w:hAnsi="Times New Roman" w:cs="Times New Roman"/>
          <w:color w:val="000000"/>
          <w:lang w:val="ro-RO"/>
        </w:rPr>
        <w:t>instalații</w:t>
      </w:r>
      <w:r w:rsidR="0009473A" w:rsidRPr="002C0527">
        <w:rPr>
          <w:rFonts w:ascii="Times New Roman" w:hAnsi="Times New Roman" w:cs="Times New Roman"/>
          <w:color w:val="000000"/>
          <w:lang w:val="ro-RO"/>
        </w:rPr>
        <w:t xml:space="preserve"> de stocare</w:t>
      </w:r>
      <w:r w:rsidRPr="002C0527">
        <w:rPr>
          <w:rFonts w:ascii="Times New Roman" w:hAnsi="Times New Roman" w:cs="Times New Roman"/>
          <w:color w:val="000000"/>
          <w:lang w:val="ro-RO"/>
        </w:rPr>
        <w:t xml:space="preserve">. Aprovizionarea și infrastructura de gaze naturale din regiunea transnistreană nu se află sub controlul Guvernului Republicii Moldova. Gazele naturale sunt principala resursă utilizată pentru producerea energiei electrice și termice - ceea ce </w:t>
      </w:r>
      <w:r w:rsidR="00A94AB7">
        <w:rPr>
          <w:rFonts w:ascii="Times New Roman" w:hAnsi="Times New Roman" w:cs="Times New Roman"/>
          <w:color w:val="000000"/>
          <w:lang w:val="ro-RO"/>
        </w:rPr>
        <w:t>amplifică</w:t>
      </w:r>
      <w:r w:rsidRPr="002C0527">
        <w:rPr>
          <w:rFonts w:ascii="Times New Roman" w:hAnsi="Times New Roman" w:cs="Times New Roman"/>
          <w:color w:val="000000"/>
          <w:lang w:val="ro-RO"/>
        </w:rPr>
        <w:t xml:space="preserve"> </w:t>
      </w:r>
      <w:r w:rsidR="00A94AB7" w:rsidRPr="002C0527">
        <w:rPr>
          <w:rFonts w:ascii="Times New Roman" w:hAnsi="Times New Roman" w:cs="Times New Roman"/>
          <w:color w:val="000000"/>
          <w:lang w:val="ro-RO"/>
        </w:rPr>
        <w:t>fluctuați</w:t>
      </w:r>
      <w:r w:rsidR="00A94AB7">
        <w:rPr>
          <w:rFonts w:ascii="Times New Roman" w:hAnsi="Times New Roman" w:cs="Times New Roman"/>
          <w:color w:val="000000"/>
          <w:lang w:val="ro-RO"/>
        </w:rPr>
        <w:t>a</w:t>
      </w:r>
      <w:r w:rsidR="00A94AB7" w:rsidRPr="002C0527">
        <w:rPr>
          <w:rFonts w:ascii="Times New Roman" w:hAnsi="Times New Roman" w:cs="Times New Roman"/>
          <w:color w:val="000000"/>
          <w:lang w:val="ro-RO"/>
        </w:rPr>
        <w:t xml:space="preserve"> </w:t>
      </w:r>
      <w:r w:rsidRPr="002C0527">
        <w:rPr>
          <w:rFonts w:ascii="Times New Roman" w:hAnsi="Times New Roman" w:cs="Times New Roman"/>
          <w:color w:val="000000"/>
          <w:lang w:val="ro-RO"/>
        </w:rPr>
        <w:t>sezonieră a cererii la nivel de țară.</w:t>
      </w:r>
      <w:bookmarkStart w:id="6" w:name="_Hlk108708477"/>
    </w:p>
    <w:p w14:paraId="3C5957CE" w14:textId="2E4AA9B7" w:rsidR="00DC23BA" w:rsidRDefault="00A42EBB" w:rsidP="00DC23BA">
      <w:pPr>
        <w:spacing w:after="120"/>
        <w:ind w:firstLine="540"/>
        <w:jc w:val="both"/>
        <w:rPr>
          <w:rFonts w:ascii="Times New Roman" w:hAnsi="Times New Roman" w:cs="Times New Roman"/>
          <w:color w:val="000000"/>
          <w:lang w:val="ro-RO"/>
        </w:rPr>
      </w:pPr>
      <w:r w:rsidRPr="002C0527">
        <w:rPr>
          <w:rFonts w:ascii="Times New Roman" w:hAnsi="Times New Roman" w:cs="Times New Roman"/>
          <w:lang w:val="ro-RO"/>
        </w:rPr>
        <w:t xml:space="preserve">Deși, există în prezent un contract de furnizare a gazelor naturale pe un termen de cinci ani între </w:t>
      </w:r>
      <w:bookmarkStart w:id="7" w:name="_Hlk132656733"/>
      <w:r w:rsidRPr="002C0527">
        <w:rPr>
          <w:rFonts w:ascii="Times New Roman" w:hAnsi="Times New Roman" w:cs="Times New Roman"/>
          <w:lang w:val="ro-RO"/>
        </w:rPr>
        <w:t xml:space="preserve">SA „Moldovagaz” </w:t>
      </w:r>
      <w:bookmarkEnd w:id="7"/>
      <w:r w:rsidRPr="002C0527">
        <w:rPr>
          <w:rFonts w:ascii="Times New Roman" w:hAnsi="Times New Roman" w:cs="Times New Roman"/>
          <w:lang w:val="ro-RO"/>
        </w:rPr>
        <w:t xml:space="preserve">și SAP „Gazprom”, în continuare persistă riscul privind </w:t>
      </w:r>
      <w:r w:rsidR="009C25B4">
        <w:rPr>
          <w:rFonts w:ascii="Times New Roman" w:hAnsi="Times New Roman" w:cs="Times New Roman"/>
          <w:lang w:val="ro-RO"/>
        </w:rPr>
        <w:t>rezoluțiun</w:t>
      </w:r>
      <w:r w:rsidR="001E122B">
        <w:rPr>
          <w:rFonts w:ascii="Times New Roman" w:hAnsi="Times New Roman" w:cs="Times New Roman"/>
          <w:lang w:val="ro-RO"/>
        </w:rPr>
        <w:t>ea</w:t>
      </w:r>
      <w:r w:rsidR="009C25B4" w:rsidRPr="002C0527">
        <w:rPr>
          <w:rFonts w:ascii="Times New Roman" w:hAnsi="Times New Roman" w:cs="Times New Roman"/>
          <w:lang w:val="ro-RO"/>
        </w:rPr>
        <w:t xml:space="preserve"> </w:t>
      </w:r>
      <w:r w:rsidRPr="002C0527">
        <w:rPr>
          <w:rFonts w:ascii="Times New Roman" w:hAnsi="Times New Roman" w:cs="Times New Roman"/>
          <w:lang w:val="ro-RO"/>
        </w:rPr>
        <w:t xml:space="preserve">unilaterală a Contractului </w:t>
      </w:r>
      <w:r w:rsidR="00002CD9">
        <w:rPr>
          <w:rFonts w:ascii="Times New Roman" w:hAnsi="Times New Roman" w:cs="Times New Roman"/>
          <w:lang w:val="ro-RO"/>
        </w:rPr>
        <w:t xml:space="preserve">de către </w:t>
      </w:r>
      <w:r w:rsidR="00002CD9" w:rsidRPr="002C0527">
        <w:rPr>
          <w:rFonts w:ascii="Times New Roman" w:hAnsi="Times New Roman" w:cs="Times New Roman"/>
          <w:lang w:val="ro-RO"/>
        </w:rPr>
        <w:t>SAP „Gazprom”</w:t>
      </w:r>
      <w:r w:rsidR="00002CD9">
        <w:rPr>
          <w:rFonts w:ascii="Times New Roman" w:hAnsi="Times New Roman" w:cs="Times New Roman"/>
          <w:lang w:val="ro-RO"/>
        </w:rPr>
        <w:t xml:space="preserve">, </w:t>
      </w:r>
      <w:r w:rsidRPr="002C0527">
        <w:rPr>
          <w:rFonts w:ascii="Times New Roman" w:hAnsi="Times New Roman" w:cs="Times New Roman"/>
          <w:lang w:val="ro-RO"/>
        </w:rPr>
        <w:t>astfel exist</w:t>
      </w:r>
      <w:r w:rsidR="007228B0" w:rsidRPr="002C0527">
        <w:rPr>
          <w:rFonts w:ascii="Times New Roman" w:hAnsi="Times New Roman" w:cs="Times New Roman"/>
          <w:lang w:val="ro-RO"/>
        </w:rPr>
        <w:t>â</w:t>
      </w:r>
      <w:r w:rsidRPr="002C0527">
        <w:rPr>
          <w:rFonts w:ascii="Times New Roman" w:hAnsi="Times New Roman" w:cs="Times New Roman"/>
          <w:lang w:val="ro-RO"/>
        </w:rPr>
        <w:t>nd riscul ca în orice moment livrările de gaze naturale să fie limitate sau sistate.</w:t>
      </w:r>
      <w:r w:rsidRPr="002C0527">
        <w:rPr>
          <w:rFonts w:ascii="Times New Roman" w:hAnsi="Times New Roman" w:cs="Times New Roman"/>
          <w:color w:val="000000"/>
          <w:lang w:val="ro-RO"/>
        </w:rPr>
        <w:t xml:space="preserve"> </w:t>
      </w:r>
      <w:bookmarkEnd w:id="6"/>
      <w:r w:rsidRPr="002C0527">
        <w:rPr>
          <w:rFonts w:ascii="Times New Roman" w:hAnsi="Times New Roman" w:cs="Times New Roman"/>
          <w:color w:val="000000"/>
          <w:lang w:val="ro-RO"/>
        </w:rPr>
        <w:t>Totodată, există r</w:t>
      </w:r>
      <w:r w:rsidRPr="002C0527">
        <w:rPr>
          <w:rFonts w:ascii="Times New Roman" w:hAnsi="Times New Roman" w:cs="Times New Roman"/>
          <w:lang w:val="ro-RO"/>
        </w:rPr>
        <w:t>iscul lipsei unor surse (</w:t>
      </w:r>
      <w:r w:rsidRPr="002C0527">
        <w:rPr>
          <w:rFonts w:ascii="Times New Roman" w:hAnsi="Times New Roman" w:cs="Times New Roman"/>
          <w:i/>
          <w:lang w:val="ro-RO"/>
        </w:rPr>
        <w:t>alternative</w:t>
      </w:r>
      <w:r w:rsidRPr="002C0527">
        <w:rPr>
          <w:rFonts w:ascii="Times New Roman" w:hAnsi="Times New Roman" w:cs="Times New Roman"/>
          <w:lang w:val="ro-RO"/>
        </w:rPr>
        <w:t>) sigure și competitive de import a gazelor naturale</w:t>
      </w:r>
      <w:r w:rsidR="006F5F10">
        <w:rPr>
          <w:rFonts w:ascii="Times New Roman" w:hAnsi="Times New Roman" w:cs="Times New Roman"/>
          <w:lang w:val="ro-RO"/>
        </w:rPr>
        <w:t xml:space="preserve"> și energiei electrice</w:t>
      </w:r>
      <w:r w:rsidRPr="002C0527">
        <w:rPr>
          <w:rFonts w:ascii="Times New Roman" w:hAnsi="Times New Roman" w:cs="Times New Roman"/>
          <w:lang w:val="ro-RO"/>
        </w:rPr>
        <w:t>, în sensul achiziționării acestora la prețuri rezonabile și transportul lor către Republica Moldova.</w:t>
      </w:r>
      <w:r w:rsidR="006F5F10">
        <w:rPr>
          <w:rFonts w:ascii="Times New Roman" w:hAnsi="Times New Roman" w:cs="Times New Roman"/>
          <w:lang w:val="ro-RO"/>
        </w:rPr>
        <w:t xml:space="preserve"> V</w:t>
      </w:r>
      <w:r w:rsidR="006F5F10" w:rsidRPr="006F5F10">
        <w:rPr>
          <w:rFonts w:ascii="Times New Roman" w:hAnsi="Times New Roman" w:cs="Times New Roman"/>
          <w:lang w:val="ro-RO"/>
        </w:rPr>
        <w:t xml:space="preserve">ulnerabilitate </w:t>
      </w:r>
      <w:r w:rsidR="006F5F10">
        <w:rPr>
          <w:rFonts w:ascii="Times New Roman" w:hAnsi="Times New Roman" w:cs="Times New Roman"/>
          <w:lang w:val="ro-RO"/>
        </w:rPr>
        <w:t>principală în următorul sezon de încălzire 2023-2024 se estimează a fi</w:t>
      </w:r>
      <w:r w:rsidR="006F5F10" w:rsidRPr="006F5F10">
        <w:rPr>
          <w:rFonts w:ascii="Times New Roman" w:hAnsi="Times New Roman" w:cs="Times New Roman"/>
          <w:lang w:val="ro-RO"/>
        </w:rPr>
        <w:t xml:space="preserve"> capacitatea limitată a consumatorilor de energie din Moldova de a plăti prețuri mari la energie, prețuri de piață în caz de </w:t>
      </w:r>
      <w:r w:rsidR="009902D4">
        <w:rPr>
          <w:rFonts w:ascii="Times New Roman" w:hAnsi="Times New Roman" w:cs="Times New Roman"/>
          <w:lang w:val="ro-RO"/>
        </w:rPr>
        <w:t xml:space="preserve">o </w:t>
      </w:r>
      <w:r w:rsidR="006F5F10" w:rsidRPr="006F5F10">
        <w:rPr>
          <w:rFonts w:ascii="Times New Roman" w:hAnsi="Times New Roman" w:cs="Times New Roman"/>
          <w:lang w:val="ro-RO"/>
        </w:rPr>
        <w:t>criză energetică.</w:t>
      </w:r>
    </w:p>
    <w:p w14:paraId="1BD0DA1A" w14:textId="7EDAC578" w:rsidR="00DC23BA" w:rsidRDefault="00A42EBB" w:rsidP="00627EDE">
      <w:pPr>
        <w:ind w:firstLine="567"/>
        <w:jc w:val="both"/>
        <w:rPr>
          <w:rFonts w:ascii="Times New Roman" w:hAnsi="Times New Roman" w:cs="Times New Roman"/>
          <w:lang w:val="ro-RO"/>
        </w:rPr>
      </w:pPr>
      <w:bookmarkStart w:id="8" w:name="_Hlk108708435"/>
      <w:r w:rsidRPr="002C0527">
        <w:rPr>
          <w:rFonts w:ascii="Times New Roman" w:hAnsi="Times New Roman" w:cs="Times New Roman"/>
          <w:color w:val="000000"/>
          <w:lang w:val="ro-RO"/>
        </w:rPr>
        <w:t>Considerând riscurile existente în privința securității aprovizionării Republicii Moldova cu energie electrică și gaze naturale, Guvernul prin prezenta hotărâre vine cu mai multe măsuri de prevenire și atenuare a impactului asupra prețurilor și securității aprovizionării cu resurse energetice a Republicii Moldova în caz de limitare a furnizării gaze</w:t>
      </w:r>
      <w:r w:rsidR="0009473A" w:rsidRPr="002C0527">
        <w:rPr>
          <w:rFonts w:ascii="Times New Roman" w:hAnsi="Times New Roman" w:cs="Times New Roman"/>
          <w:color w:val="000000"/>
          <w:lang w:val="ro-RO"/>
        </w:rPr>
        <w:t>lor</w:t>
      </w:r>
      <w:r w:rsidRPr="002C0527">
        <w:rPr>
          <w:rFonts w:ascii="Times New Roman" w:hAnsi="Times New Roman" w:cs="Times New Roman"/>
          <w:color w:val="000000"/>
          <w:lang w:val="ro-RO"/>
        </w:rPr>
        <w:t xml:space="preserve"> naturale</w:t>
      </w:r>
      <w:r w:rsidR="00DC23BA">
        <w:rPr>
          <w:rFonts w:ascii="Times New Roman" w:hAnsi="Times New Roman" w:cs="Times New Roman"/>
          <w:color w:val="000000"/>
          <w:lang w:val="ro-RO"/>
        </w:rPr>
        <w:t xml:space="preserve"> și/sau energiei electrice</w:t>
      </w:r>
      <w:r w:rsidRPr="002C0527">
        <w:rPr>
          <w:rFonts w:ascii="Times New Roman" w:hAnsi="Times New Roman" w:cs="Times New Roman"/>
          <w:lang w:val="ro-RO"/>
        </w:rPr>
        <w:t>.</w:t>
      </w:r>
      <w:bookmarkEnd w:id="8"/>
    </w:p>
    <w:p w14:paraId="78D60407" w14:textId="4976F3EB" w:rsidR="00050D35" w:rsidRDefault="001F76FE" w:rsidP="00050D35">
      <w:pPr>
        <w:ind w:firstLine="567"/>
        <w:jc w:val="both"/>
        <w:rPr>
          <w:rFonts w:ascii="Times New Roman" w:hAnsi="Times New Roman" w:cs="Times New Roman"/>
          <w:lang w:val="ro-RO"/>
        </w:rPr>
      </w:pPr>
      <w:r>
        <w:rPr>
          <w:rFonts w:ascii="Times New Roman" w:hAnsi="Times New Roman" w:cs="Times New Roman"/>
          <w:lang w:val="ro-RO"/>
        </w:rPr>
        <w:t>E</w:t>
      </w:r>
      <w:r w:rsidR="00C232AE">
        <w:rPr>
          <w:rFonts w:ascii="Times New Roman" w:hAnsi="Times New Roman" w:cs="Times New Roman"/>
          <w:lang w:val="ro-RO"/>
        </w:rPr>
        <w:t>ste de remarcat că</w:t>
      </w:r>
      <w:r w:rsidR="00050D35">
        <w:rPr>
          <w:rFonts w:ascii="Times New Roman" w:hAnsi="Times New Roman" w:cs="Times New Roman"/>
          <w:lang w:val="ro-RO"/>
        </w:rPr>
        <w:t>, î</w:t>
      </w:r>
      <w:r w:rsidR="00050D35" w:rsidRPr="00050D35">
        <w:rPr>
          <w:rFonts w:ascii="Times New Roman" w:hAnsi="Times New Roman" w:cs="Times New Roman"/>
          <w:lang w:val="ro-RO"/>
        </w:rPr>
        <w:t xml:space="preserve">ntru atenuarea impactului crizei energetice și pregătirea pentru sezonul de încălzire </w:t>
      </w:r>
      <w:r w:rsidR="004E666B">
        <w:rPr>
          <w:rFonts w:ascii="Times New Roman" w:hAnsi="Times New Roman" w:cs="Times New Roman"/>
          <w:lang w:val="ro-RO"/>
        </w:rPr>
        <w:br/>
      </w:r>
      <w:r w:rsidR="00050D35" w:rsidRPr="00050D35">
        <w:rPr>
          <w:rFonts w:ascii="Times New Roman" w:hAnsi="Times New Roman" w:cs="Times New Roman"/>
          <w:lang w:val="ro-RO"/>
        </w:rPr>
        <w:t>2022-2023, Guvernul Republicii Moldova a asigurat monitorizarea și implementarea mai multor măsuri de reducere a consumului de energie, stabilite în Hotărârea Guvernului nr. 606/2022.</w:t>
      </w:r>
      <w:r w:rsidR="00050D35">
        <w:rPr>
          <w:rFonts w:ascii="Times New Roman" w:hAnsi="Times New Roman" w:cs="Times New Roman"/>
          <w:lang w:val="ro-RO"/>
        </w:rPr>
        <w:t xml:space="preserve"> </w:t>
      </w:r>
      <w:r w:rsidR="00050D35" w:rsidRPr="00050D35">
        <w:rPr>
          <w:rFonts w:ascii="Times New Roman" w:hAnsi="Times New Roman" w:cs="Times New Roman"/>
          <w:lang w:val="ro-RO"/>
        </w:rPr>
        <w:t xml:space="preserve">Astfel, Guvernul a stabilit 33 de măsuri preventive și 27 de măsuri de reducere și atenuare a impactului limitării furnizării gazelor naturale, care </w:t>
      </w:r>
      <w:r w:rsidR="00EB0AD7">
        <w:rPr>
          <w:rFonts w:ascii="Times New Roman" w:hAnsi="Times New Roman" w:cs="Times New Roman"/>
          <w:lang w:val="ro-RO"/>
        </w:rPr>
        <w:t>au fost</w:t>
      </w:r>
      <w:r w:rsidR="00050D35" w:rsidRPr="00050D35">
        <w:rPr>
          <w:rFonts w:ascii="Times New Roman" w:hAnsi="Times New Roman" w:cs="Times New Roman"/>
          <w:lang w:val="ro-RO"/>
        </w:rPr>
        <w:t xml:space="preserve"> planificate a fi puse în aplicare în diferite scenarii, </w:t>
      </w:r>
      <w:r w:rsidR="00EB0AD7">
        <w:rPr>
          <w:rFonts w:ascii="Times New Roman" w:hAnsi="Times New Roman" w:cs="Times New Roman"/>
          <w:lang w:val="ro-RO"/>
        </w:rPr>
        <w:t>și</w:t>
      </w:r>
      <w:r w:rsidR="00050D35" w:rsidRPr="00050D35">
        <w:rPr>
          <w:rFonts w:ascii="Times New Roman" w:hAnsi="Times New Roman" w:cs="Times New Roman"/>
          <w:lang w:val="ro-RO"/>
        </w:rPr>
        <w:t xml:space="preserve"> s-a</w:t>
      </w:r>
      <w:r w:rsidR="00EB0AD7">
        <w:rPr>
          <w:rFonts w:ascii="Times New Roman" w:hAnsi="Times New Roman" w:cs="Times New Roman"/>
          <w:lang w:val="ro-RO"/>
        </w:rPr>
        <w:t>u</w:t>
      </w:r>
      <w:r w:rsidR="00050D35" w:rsidRPr="00050D35">
        <w:rPr>
          <w:rFonts w:ascii="Times New Roman" w:hAnsi="Times New Roman" w:cs="Times New Roman"/>
          <w:lang w:val="ro-RO"/>
        </w:rPr>
        <w:t xml:space="preserve"> dovedit a avea ca rezultat economii semnificative a consumului de energie electrică și gaze naturale. Astfel, </w:t>
      </w:r>
      <w:bookmarkStart w:id="9" w:name="_Hlk135658644"/>
      <w:r w:rsidR="00050D35" w:rsidRPr="00050D35">
        <w:rPr>
          <w:rFonts w:ascii="Times New Roman" w:hAnsi="Times New Roman" w:cs="Times New Roman"/>
          <w:lang w:val="ro-RO"/>
        </w:rPr>
        <w:t xml:space="preserve">în sezonul de încălzire 2022-2023 (octombrie 2022 – martie 2023) comparativ cu sezonul de încălzire 2021-2022 (octombrie 2021 – martie 2022), datorită măsurilor întreprinse </w:t>
      </w:r>
      <w:r w:rsidR="00050D35" w:rsidRPr="00050D35">
        <w:rPr>
          <w:rFonts w:ascii="Times New Roman" w:hAnsi="Times New Roman" w:cs="Times New Roman"/>
          <w:lang w:val="ro-RO"/>
        </w:rPr>
        <w:lastRenderedPageBreak/>
        <w:t>precum și a temperaturilor mai ridicate comparativ cu anii precedenți, consumul de gaze naturale</w:t>
      </w:r>
      <w:r w:rsidR="00C813D2">
        <w:rPr>
          <w:rFonts w:ascii="Times New Roman" w:hAnsi="Times New Roman" w:cs="Times New Roman"/>
          <w:lang w:val="ro-RO"/>
        </w:rPr>
        <w:t xml:space="preserve"> </w:t>
      </w:r>
      <w:r w:rsidR="00050D35" w:rsidRPr="00050D35">
        <w:rPr>
          <w:rFonts w:ascii="Times New Roman" w:hAnsi="Times New Roman" w:cs="Times New Roman"/>
          <w:lang w:val="ro-RO"/>
        </w:rPr>
        <w:t xml:space="preserve">a fost redus cu aproximativ circa </w:t>
      </w:r>
      <w:r w:rsidR="00050D35">
        <w:rPr>
          <w:rFonts w:ascii="Times New Roman" w:hAnsi="Times New Roman" w:cs="Times New Roman"/>
          <w:lang w:val="ro-RO"/>
        </w:rPr>
        <w:t>4</w:t>
      </w:r>
      <w:r w:rsidR="00606473">
        <w:rPr>
          <w:rFonts w:ascii="Times New Roman" w:hAnsi="Times New Roman" w:cs="Times New Roman"/>
          <w:lang w:val="ro-RO"/>
        </w:rPr>
        <w:t>7</w:t>
      </w:r>
      <w:r w:rsidR="00050D35" w:rsidRPr="00050D35">
        <w:rPr>
          <w:rFonts w:ascii="Times New Roman" w:hAnsi="Times New Roman" w:cs="Times New Roman"/>
          <w:lang w:val="ro-RO"/>
        </w:rPr>
        <w:t xml:space="preserve">% (de </w:t>
      </w:r>
      <w:r w:rsidR="00EB0AD7">
        <w:rPr>
          <w:rFonts w:ascii="Times New Roman" w:hAnsi="Times New Roman" w:cs="Times New Roman"/>
          <w:lang w:val="ro-RO"/>
        </w:rPr>
        <w:t xml:space="preserve">la </w:t>
      </w:r>
      <w:r w:rsidR="00050D35" w:rsidRPr="00050D35">
        <w:rPr>
          <w:rFonts w:ascii="Times New Roman" w:hAnsi="Times New Roman" w:cs="Times New Roman"/>
          <w:lang w:val="ro-RO"/>
        </w:rPr>
        <w:t>8</w:t>
      </w:r>
      <w:r w:rsidR="00606473">
        <w:rPr>
          <w:rFonts w:ascii="Times New Roman" w:hAnsi="Times New Roman" w:cs="Times New Roman"/>
          <w:lang w:val="ro-RO"/>
        </w:rPr>
        <w:t>82</w:t>
      </w:r>
      <w:r w:rsidR="00050D35" w:rsidRPr="00050D35">
        <w:rPr>
          <w:rFonts w:ascii="Times New Roman" w:hAnsi="Times New Roman" w:cs="Times New Roman"/>
          <w:lang w:val="ro-RO"/>
        </w:rPr>
        <w:t xml:space="preserve"> la 4</w:t>
      </w:r>
      <w:r w:rsidR="00606473">
        <w:rPr>
          <w:rFonts w:ascii="Times New Roman" w:hAnsi="Times New Roman" w:cs="Times New Roman"/>
          <w:lang w:val="ro-RO"/>
        </w:rPr>
        <w:t>70</w:t>
      </w:r>
      <w:r w:rsidR="00050D35" w:rsidRPr="00050D35">
        <w:rPr>
          <w:rFonts w:ascii="Times New Roman" w:hAnsi="Times New Roman" w:cs="Times New Roman"/>
          <w:lang w:val="ro-RO"/>
        </w:rPr>
        <w:t xml:space="preserve"> mil. m</w:t>
      </w:r>
      <w:r w:rsidR="00050D35" w:rsidRPr="00050D35">
        <w:rPr>
          <w:rFonts w:ascii="Times New Roman" w:hAnsi="Times New Roman" w:cs="Times New Roman"/>
          <w:vertAlign w:val="superscript"/>
          <w:lang w:val="ro-RO"/>
        </w:rPr>
        <w:t>3</w:t>
      </w:r>
      <w:r w:rsidR="00050D35" w:rsidRPr="00050D35">
        <w:rPr>
          <w:rFonts w:ascii="Times New Roman" w:hAnsi="Times New Roman" w:cs="Times New Roman"/>
          <w:lang w:val="ro-RO"/>
        </w:rPr>
        <w:t xml:space="preserve">), iar consumul de energie electrică a fost redus cu aproximativ 10% (de la 2,17 mlrd. kWh la </w:t>
      </w:r>
      <w:r w:rsidR="00050D35">
        <w:rPr>
          <w:rFonts w:ascii="Times New Roman" w:hAnsi="Times New Roman" w:cs="Times New Roman"/>
          <w:lang w:val="ro-RO"/>
        </w:rPr>
        <w:t>1,95</w:t>
      </w:r>
      <w:r w:rsidR="00050D35" w:rsidRPr="00050D35">
        <w:rPr>
          <w:rFonts w:ascii="Times New Roman" w:hAnsi="Times New Roman" w:cs="Times New Roman"/>
          <w:lang w:val="ro-RO"/>
        </w:rPr>
        <w:t xml:space="preserve"> mlrd. kWh)</w:t>
      </w:r>
      <w:r w:rsidR="00050D35">
        <w:rPr>
          <w:rFonts w:ascii="Times New Roman" w:hAnsi="Times New Roman" w:cs="Times New Roman"/>
          <w:lang w:val="ro-RO"/>
        </w:rPr>
        <w:t>.</w:t>
      </w:r>
      <w:r w:rsidR="001062A3">
        <w:rPr>
          <w:rFonts w:ascii="Times New Roman" w:hAnsi="Times New Roman" w:cs="Times New Roman"/>
          <w:lang w:val="ro-RO"/>
        </w:rPr>
        <w:t xml:space="preserve"> Doar datorită funcționării SA </w:t>
      </w:r>
      <w:r w:rsidR="001062A3" w:rsidRPr="002C0527">
        <w:rPr>
          <w:rFonts w:ascii="Times New Roman" w:hAnsi="Times New Roman" w:cs="Times New Roman"/>
          <w:lang w:val="ro-RO"/>
        </w:rPr>
        <w:t>„</w:t>
      </w:r>
      <w:r w:rsidR="001062A3">
        <w:rPr>
          <w:rFonts w:ascii="Times New Roman" w:hAnsi="Times New Roman" w:cs="Times New Roman"/>
          <w:lang w:val="ro-RO"/>
        </w:rPr>
        <w:t>Termoelectrica</w:t>
      </w:r>
      <w:r w:rsidR="001062A3" w:rsidRPr="002C0527">
        <w:rPr>
          <w:rFonts w:ascii="Times New Roman" w:hAnsi="Times New Roman" w:cs="Times New Roman"/>
          <w:lang w:val="ro-RO"/>
        </w:rPr>
        <w:t>”</w:t>
      </w:r>
      <w:r w:rsidR="001062A3">
        <w:rPr>
          <w:rFonts w:ascii="Times New Roman" w:hAnsi="Times New Roman" w:cs="Times New Roman"/>
          <w:lang w:val="ro-RO"/>
        </w:rPr>
        <w:t xml:space="preserve"> pe bază de păcură în </w:t>
      </w:r>
      <w:r w:rsidR="001062A3" w:rsidRPr="00050D35">
        <w:rPr>
          <w:rFonts w:ascii="Times New Roman" w:hAnsi="Times New Roman" w:cs="Times New Roman"/>
          <w:lang w:val="ro-RO"/>
        </w:rPr>
        <w:t>sezonul de încălzire 2022-2023</w:t>
      </w:r>
      <w:r w:rsidR="001062A3">
        <w:rPr>
          <w:rFonts w:ascii="Times New Roman" w:hAnsi="Times New Roman" w:cs="Times New Roman"/>
          <w:lang w:val="ro-RO"/>
        </w:rPr>
        <w:t>,</w:t>
      </w:r>
      <w:r w:rsidR="001062A3" w:rsidRPr="00050D35">
        <w:rPr>
          <w:rFonts w:ascii="Times New Roman" w:hAnsi="Times New Roman" w:cs="Times New Roman"/>
          <w:lang w:val="ro-RO"/>
        </w:rPr>
        <w:t xml:space="preserve"> </w:t>
      </w:r>
      <w:r w:rsidR="001062A3">
        <w:rPr>
          <w:rFonts w:ascii="Times New Roman" w:hAnsi="Times New Roman" w:cs="Times New Roman"/>
          <w:lang w:val="ro-RO"/>
        </w:rPr>
        <w:t>consumul de gaze naturale a fost redus cu circa aproximativ 150 mil. m</w:t>
      </w:r>
      <w:r w:rsidR="001062A3">
        <w:rPr>
          <w:rFonts w:ascii="Times New Roman" w:hAnsi="Times New Roman" w:cs="Times New Roman"/>
          <w:vertAlign w:val="superscript"/>
          <w:lang w:val="ro-RO"/>
        </w:rPr>
        <w:t>3</w:t>
      </w:r>
      <w:r w:rsidR="001062A3">
        <w:rPr>
          <w:rFonts w:ascii="Times New Roman" w:hAnsi="Times New Roman" w:cs="Times New Roman"/>
          <w:lang w:val="ro-RO"/>
        </w:rPr>
        <w:t>.</w:t>
      </w:r>
      <w:bookmarkEnd w:id="9"/>
    </w:p>
    <w:p w14:paraId="4D0AA4D0" w14:textId="6C05F9ED" w:rsidR="00C813D2" w:rsidRDefault="009C0396" w:rsidP="00571D9F">
      <w:pPr>
        <w:spacing w:after="0"/>
        <w:jc w:val="center"/>
        <w:rPr>
          <w:rFonts w:ascii="Times New Roman" w:hAnsi="Times New Roman" w:cs="Times New Roman"/>
          <w:lang w:val="ro-RO"/>
        </w:rPr>
      </w:pPr>
      <w:r>
        <w:rPr>
          <w:noProof/>
        </w:rPr>
        <w:drawing>
          <wp:inline distT="0" distB="0" distL="0" distR="0" wp14:anchorId="3C51DB8E" wp14:editId="713A3571">
            <wp:extent cx="5510294" cy="3278336"/>
            <wp:effectExtent l="0" t="0" r="14605"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D5D484" w14:textId="5A9FDD27" w:rsidR="00C813D2" w:rsidRPr="009C0396" w:rsidRDefault="00C813D2" w:rsidP="009C0396">
      <w:pPr>
        <w:spacing w:after="0"/>
        <w:ind w:left="1890" w:hanging="1260"/>
        <w:jc w:val="center"/>
        <w:rPr>
          <w:rFonts w:ascii="Times New Roman" w:hAnsi="Times New Roman" w:cs="Times New Roman"/>
          <w:lang w:val="ro-RO"/>
        </w:rPr>
      </w:pPr>
      <w:r w:rsidRPr="00405F11">
        <w:rPr>
          <w:rFonts w:ascii="Times New Roman" w:hAnsi="Times New Roman" w:cs="Times New Roman"/>
          <w:b/>
          <w:bCs/>
          <w:sz w:val="24"/>
          <w:szCs w:val="24"/>
          <w:lang w:val="ro-RO"/>
        </w:rPr>
        <w:t>Figura 1.</w:t>
      </w:r>
      <w:r>
        <w:rPr>
          <w:rFonts w:ascii="Times New Roman" w:hAnsi="Times New Roman" w:cs="Times New Roman"/>
          <w:lang w:val="ro-RO"/>
        </w:rPr>
        <w:t xml:space="preserve"> Consumul lunar de gaze naturale de facto în perioada octombrie-martie 2019-2023, mil. m</w:t>
      </w:r>
      <w:r>
        <w:rPr>
          <w:rFonts w:ascii="Times New Roman" w:hAnsi="Times New Roman" w:cs="Times New Roman"/>
          <w:vertAlign w:val="superscript"/>
          <w:lang w:val="ro-RO"/>
        </w:rPr>
        <w:t>3</w:t>
      </w:r>
    </w:p>
    <w:p w14:paraId="33990FDA" w14:textId="0EBEA92D" w:rsidR="00C813D2" w:rsidRPr="00414B41" w:rsidRDefault="00C813D2" w:rsidP="00C813D2">
      <w:pPr>
        <w:ind w:firstLine="567"/>
        <w:jc w:val="center"/>
        <w:rPr>
          <w:rFonts w:ascii="Times New Roman" w:hAnsi="Times New Roman" w:cs="Times New Roman"/>
          <w:i/>
          <w:iCs/>
          <w:sz w:val="20"/>
          <w:szCs w:val="20"/>
          <w:lang w:val="ro-RO"/>
        </w:rPr>
      </w:pPr>
      <w:r w:rsidRPr="00414B41">
        <w:rPr>
          <w:rFonts w:ascii="Times New Roman" w:hAnsi="Times New Roman" w:cs="Times New Roman"/>
          <w:i/>
          <w:iCs/>
          <w:sz w:val="20"/>
          <w:szCs w:val="20"/>
          <w:lang w:val="ro-RO"/>
        </w:rPr>
        <w:t>Sursa: SA „Moldovagaz”</w:t>
      </w:r>
    </w:p>
    <w:p w14:paraId="5AAAC171" w14:textId="4E6B3110" w:rsidR="00C813D2" w:rsidRDefault="009C0396" w:rsidP="00571D9F">
      <w:pPr>
        <w:spacing w:after="0"/>
        <w:jc w:val="center"/>
        <w:rPr>
          <w:rFonts w:ascii="Times New Roman" w:hAnsi="Times New Roman" w:cs="Times New Roman"/>
          <w:lang w:val="ro-RO"/>
        </w:rPr>
      </w:pPr>
      <w:r>
        <w:rPr>
          <w:noProof/>
        </w:rPr>
        <w:drawing>
          <wp:inline distT="0" distB="0" distL="0" distR="0" wp14:anchorId="0146180B" wp14:editId="58FF21BF">
            <wp:extent cx="5499100" cy="3130550"/>
            <wp:effectExtent l="0" t="0" r="635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030C76" w14:textId="5D57ACD1" w:rsidR="00C813D2" w:rsidRPr="004F6886" w:rsidRDefault="00C813D2" w:rsidP="00414B41">
      <w:pPr>
        <w:spacing w:after="0"/>
        <w:ind w:left="1890" w:hanging="1530"/>
        <w:jc w:val="center"/>
        <w:rPr>
          <w:rFonts w:ascii="Times New Roman" w:hAnsi="Times New Roman" w:cs="Times New Roman"/>
          <w:lang w:val="ro-RO"/>
        </w:rPr>
      </w:pPr>
      <w:r w:rsidRPr="00C813D2">
        <w:rPr>
          <w:rFonts w:ascii="Times New Roman" w:hAnsi="Times New Roman" w:cs="Times New Roman"/>
          <w:b/>
          <w:bCs/>
          <w:lang w:val="ro-RO"/>
        </w:rPr>
        <w:t xml:space="preserve">Figura. </w:t>
      </w:r>
      <w:r w:rsidR="00EB0AD7">
        <w:rPr>
          <w:rFonts w:ascii="Times New Roman" w:hAnsi="Times New Roman" w:cs="Times New Roman"/>
          <w:b/>
          <w:bCs/>
          <w:lang w:val="ro-RO"/>
        </w:rPr>
        <w:t>2</w:t>
      </w:r>
      <w:r w:rsidRPr="00C813D2">
        <w:rPr>
          <w:rFonts w:ascii="Times New Roman" w:hAnsi="Times New Roman" w:cs="Times New Roman"/>
          <w:b/>
          <w:bCs/>
          <w:lang w:val="ro-RO"/>
        </w:rPr>
        <w:t>.</w:t>
      </w:r>
      <w:r>
        <w:rPr>
          <w:rFonts w:ascii="Times New Roman" w:hAnsi="Times New Roman" w:cs="Times New Roman"/>
          <w:lang w:val="ro-RO"/>
        </w:rPr>
        <w:t xml:space="preserve"> Consumul lunar de </w:t>
      </w:r>
      <w:r w:rsidR="00090C10">
        <w:rPr>
          <w:rFonts w:ascii="Times New Roman" w:hAnsi="Times New Roman" w:cs="Times New Roman"/>
          <w:lang w:val="ro-RO"/>
        </w:rPr>
        <w:t>energie electrică</w:t>
      </w:r>
      <w:r>
        <w:rPr>
          <w:rFonts w:ascii="Times New Roman" w:hAnsi="Times New Roman" w:cs="Times New Roman"/>
          <w:lang w:val="ro-RO"/>
        </w:rPr>
        <w:t xml:space="preserve"> de facto în perioada octombrie-martie 2019-2023</w:t>
      </w:r>
      <w:r w:rsidRPr="004F6886">
        <w:rPr>
          <w:rFonts w:ascii="Times New Roman" w:hAnsi="Times New Roman" w:cs="Times New Roman"/>
          <w:lang w:val="ro-RO"/>
        </w:rPr>
        <w:t xml:space="preserve">, mil. </w:t>
      </w:r>
      <w:r w:rsidR="00090C10" w:rsidRPr="004F6886">
        <w:rPr>
          <w:rFonts w:ascii="Times New Roman" w:hAnsi="Times New Roman" w:cs="Times New Roman"/>
          <w:lang w:val="ro-RO"/>
        </w:rPr>
        <w:t>kWh</w:t>
      </w:r>
    </w:p>
    <w:p w14:paraId="22E01802" w14:textId="14D9A9ED" w:rsidR="00050D35" w:rsidRPr="00D85E3C" w:rsidRDefault="00C813D2" w:rsidP="00D85E3C">
      <w:pPr>
        <w:ind w:firstLine="567"/>
        <w:jc w:val="center"/>
        <w:rPr>
          <w:rFonts w:ascii="Times New Roman" w:hAnsi="Times New Roman" w:cs="Times New Roman"/>
          <w:i/>
          <w:iCs/>
          <w:sz w:val="20"/>
          <w:szCs w:val="20"/>
          <w:lang w:val="ro-RO"/>
        </w:rPr>
      </w:pPr>
      <w:r w:rsidRPr="00414B41">
        <w:rPr>
          <w:rFonts w:ascii="Times New Roman" w:hAnsi="Times New Roman" w:cs="Times New Roman"/>
          <w:i/>
          <w:iCs/>
          <w:sz w:val="20"/>
          <w:szCs w:val="20"/>
          <w:lang w:val="ro-RO"/>
        </w:rPr>
        <w:t>Sursa: SA „FEE-Nord” și ÎCS „Premier Energy” SRL</w:t>
      </w:r>
    </w:p>
    <w:p w14:paraId="62FCBA5B" w14:textId="321C564F" w:rsidR="00C232AE" w:rsidRDefault="00C232AE" w:rsidP="006F5F10">
      <w:pPr>
        <w:ind w:firstLine="540"/>
        <w:jc w:val="both"/>
        <w:rPr>
          <w:rFonts w:ascii="Times New Roman" w:hAnsi="Times New Roman" w:cs="Times New Roman"/>
          <w:color w:val="000000"/>
          <w:lang w:val="ro-RO"/>
        </w:rPr>
      </w:pPr>
      <w:r>
        <w:rPr>
          <w:rFonts w:ascii="Times New Roman" w:hAnsi="Times New Roman" w:cs="Times New Roman"/>
          <w:lang w:val="ro-RO"/>
        </w:rPr>
        <w:t>În baza datelor disponibile pe platforma AGSI (Aggregated Gas Storage Inventory)</w:t>
      </w:r>
      <w:r w:rsidR="00666343">
        <w:rPr>
          <w:rFonts w:ascii="Times New Roman" w:hAnsi="Times New Roman" w:cs="Times New Roman"/>
          <w:lang w:val="ro-RO"/>
        </w:rPr>
        <w:t>, în</w:t>
      </w:r>
      <w:r>
        <w:rPr>
          <w:rFonts w:ascii="Times New Roman" w:hAnsi="Times New Roman" w:cs="Times New Roman"/>
          <w:lang w:val="ro-RO"/>
        </w:rPr>
        <w:t xml:space="preserve"> diagramele de mai jos este prezentat </w:t>
      </w:r>
      <w:r w:rsidR="00666343">
        <w:rPr>
          <w:rFonts w:ascii="Times New Roman" w:hAnsi="Times New Roman" w:cs="Times New Roman"/>
          <w:lang w:val="ro-RO"/>
        </w:rPr>
        <w:t xml:space="preserve">nivelul </w:t>
      </w:r>
      <w:r w:rsidR="00666343">
        <w:rPr>
          <w:rFonts w:ascii="Times New Roman" w:hAnsi="Times New Roman" w:cs="Times New Roman"/>
          <w:color w:val="000000"/>
          <w:lang w:val="ro-RO"/>
        </w:rPr>
        <w:t>stocurilor de gaze naturale în UE în diferite perioade pe parcursul anilor 2018-2023.</w:t>
      </w:r>
    </w:p>
    <w:p w14:paraId="5663E741" w14:textId="26D0838A" w:rsidR="00571D9F" w:rsidRPr="00627EDE" w:rsidRDefault="00A53BA5" w:rsidP="00571D9F">
      <w:pPr>
        <w:spacing w:after="0"/>
        <w:jc w:val="center"/>
        <w:rPr>
          <w:rFonts w:ascii="Times New Roman" w:hAnsi="Times New Roman" w:cs="Times New Roman"/>
          <w:lang w:val="ro-RO"/>
        </w:rPr>
      </w:pPr>
      <w:r>
        <w:rPr>
          <w:noProof/>
        </w:rPr>
        <w:lastRenderedPageBreak/>
        <w:drawing>
          <wp:inline distT="0" distB="0" distL="0" distR="0" wp14:anchorId="28530845" wp14:editId="5FFCB701">
            <wp:extent cx="5600700" cy="2603500"/>
            <wp:effectExtent l="0" t="0" r="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EDF828" w14:textId="68C99F2F" w:rsidR="00571D9F" w:rsidRDefault="00090C10" w:rsidP="00405F11">
      <w:pPr>
        <w:spacing w:after="0" w:line="240" w:lineRule="auto"/>
        <w:ind w:firstLine="720"/>
        <w:jc w:val="center"/>
        <w:rPr>
          <w:rFonts w:ascii="Times New Roman" w:hAnsi="Times New Roman" w:cs="Times New Roman"/>
          <w:color w:val="000000"/>
          <w:lang w:val="ro-RO"/>
        </w:rPr>
      </w:pPr>
      <w:r w:rsidRPr="00405F11">
        <w:rPr>
          <w:rFonts w:ascii="Times New Roman" w:hAnsi="Times New Roman" w:cs="Times New Roman"/>
          <w:b/>
          <w:bCs/>
          <w:color w:val="000000"/>
          <w:sz w:val="24"/>
          <w:szCs w:val="24"/>
          <w:lang w:val="ro-RO"/>
        </w:rPr>
        <w:t xml:space="preserve">Figura </w:t>
      </w:r>
      <w:r w:rsidR="00666343" w:rsidRPr="00405F11">
        <w:rPr>
          <w:rFonts w:ascii="Times New Roman" w:hAnsi="Times New Roman" w:cs="Times New Roman"/>
          <w:b/>
          <w:bCs/>
          <w:color w:val="000000"/>
          <w:sz w:val="24"/>
          <w:szCs w:val="24"/>
          <w:lang w:val="ro-RO"/>
        </w:rPr>
        <w:t>3</w:t>
      </w:r>
      <w:r w:rsidRPr="00405F11">
        <w:rPr>
          <w:rFonts w:ascii="Times New Roman" w:hAnsi="Times New Roman" w:cs="Times New Roman"/>
          <w:b/>
          <w:bCs/>
          <w:color w:val="000000"/>
          <w:sz w:val="24"/>
          <w:szCs w:val="24"/>
          <w:lang w:val="ro-RO"/>
        </w:rPr>
        <w:t>.</w:t>
      </w:r>
      <w:r>
        <w:rPr>
          <w:rFonts w:ascii="Times New Roman" w:hAnsi="Times New Roman" w:cs="Times New Roman"/>
          <w:color w:val="000000"/>
          <w:lang w:val="ro-RO"/>
        </w:rPr>
        <w:t xml:space="preserve"> </w:t>
      </w:r>
      <w:r w:rsidRPr="00090C10">
        <w:rPr>
          <w:rFonts w:ascii="Times New Roman" w:hAnsi="Times New Roman" w:cs="Times New Roman"/>
          <w:color w:val="000000"/>
          <w:lang w:val="ro-RO"/>
        </w:rPr>
        <w:t>Nivelul stocurilor de gaze naturale în UE</w:t>
      </w:r>
      <w:r>
        <w:rPr>
          <w:rFonts w:ascii="Times New Roman" w:hAnsi="Times New Roman" w:cs="Times New Roman"/>
          <w:color w:val="000000"/>
          <w:lang w:val="ro-RO"/>
        </w:rPr>
        <w:t xml:space="preserve"> </w:t>
      </w:r>
      <w:r w:rsidR="00EB0AD7">
        <w:rPr>
          <w:rFonts w:ascii="Times New Roman" w:hAnsi="Times New Roman" w:cs="Times New Roman"/>
          <w:color w:val="000000"/>
          <w:lang w:val="ro-RO"/>
        </w:rPr>
        <w:t xml:space="preserve">(%) </w:t>
      </w:r>
      <w:r w:rsidRPr="00090C10">
        <w:rPr>
          <w:rFonts w:ascii="Times New Roman" w:hAnsi="Times New Roman" w:cs="Times New Roman"/>
          <w:color w:val="000000"/>
          <w:lang w:val="ro-RO"/>
        </w:rPr>
        <w:t xml:space="preserve">și evoluția prețurilor </w:t>
      </w:r>
    </w:p>
    <w:p w14:paraId="74BC13C3" w14:textId="7F3EB0B3" w:rsidR="00090C10" w:rsidRDefault="00090C10" w:rsidP="00405F11">
      <w:pPr>
        <w:spacing w:after="0" w:line="240" w:lineRule="auto"/>
        <w:ind w:firstLine="720"/>
        <w:jc w:val="center"/>
        <w:rPr>
          <w:rFonts w:ascii="Times New Roman" w:hAnsi="Times New Roman" w:cs="Times New Roman"/>
          <w:color w:val="000000"/>
          <w:lang w:val="ro-RO"/>
        </w:rPr>
      </w:pPr>
      <w:r w:rsidRPr="00090C10">
        <w:rPr>
          <w:rFonts w:ascii="Times New Roman" w:hAnsi="Times New Roman" w:cs="Times New Roman"/>
          <w:color w:val="000000"/>
          <w:lang w:val="ro-RO"/>
        </w:rPr>
        <w:t>gazelor naturale TTF Futures</w:t>
      </w:r>
      <w:r w:rsidR="00EB0AD7">
        <w:rPr>
          <w:rFonts w:ascii="Times New Roman" w:hAnsi="Times New Roman" w:cs="Times New Roman"/>
          <w:color w:val="000000"/>
          <w:lang w:val="ro-RO"/>
        </w:rPr>
        <w:t xml:space="preserve"> (Euro/</w:t>
      </w:r>
      <w:r w:rsidR="009C0396">
        <w:rPr>
          <w:rFonts w:ascii="Times New Roman" w:hAnsi="Times New Roman" w:cs="Times New Roman"/>
          <w:color w:val="000000"/>
          <w:lang w:val="ro-RO"/>
        </w:rPr>
        <w:t>MWh</w:t>
      </w:r>
      <w:r w:rsidR="00EB0AD7">
        <w:rPr>
          <w:rFonts w:ascii="Times New Roman" w:hAnsi="Times New Roman" w:cs="Times New Roman"/>
          <w:color w:val="000000"/>
          <w:lang w:val="ro-RO"/>
        </w:rPr>
        <w:t>)</w:t>
      </w:r>
    </w:p>
    <w:p w14:paraId="25135096" w14:textId="710755A5" w:rsidR="00EB0AD7" w:rsidRDefault="00C232AE" w:rsidP="00EB0AD7">
      <w:pPr>
        <w:spacing w:after="120"/>
        <w:ind w:firstLine="720"/>
        <w:jc w:val="center"/>
        <w:rPr>
          <w:rStyle w:val="Hyperlink"/>
          <w:rFonts w:ascii="Times New Roman" w:hAnsi="Times New Roman" w:cs="Times New Roman"/>
          <w:lang w:val="ro-RO"/>
        </w:rPr>
      </w:pPr>
      <w:r>
        <w:rPr>
          <w:rFonts w:ascii="Times New Roman" w:hAnsi="Times New Roman" w:cs="Times New Roman"/>
          <w:color w:val="000000"/>
          <w:lang w:val="ro-RO"/>
        </w:rPr>
        <w:t xml:space="preserve">Sursa: </w:t>
      </w:r>
      <w:hyperlink r:id="rId11" w:history="1">
        <w:r w:rsidRPr="001418FF">
          <w:rPr>
            <w:rStyle w:val="Hyperlink"/>
            <w:rFonts w:ascii="Times New Roman" w:hAnsi="Times New Roman" w:cs="Times New Roman"/>
            <w:lang w:val="ro-RO"/>
          </w:rPr>
          <w:t>https://agsi.gie.eu/</w:t>
        </w:r>
      </w:hyperlink>
    </w:p>
    <w:p w14:paraId="0D0B259D" w14:textId="4F6CDF55" w:rsidR="00666343" w:rsidRPr="004E666B" w:rsidRDefault="009C0396" w:rsidP="00571D9F">
      <w:pPr>
        <w:spacing w:after="0"/>
        <w:jc w:val="center"/>
        <w:rPr>
          <w:rFonts w:ascii="Times New Roman" w:hAnsi="Times New Roman" w:cs="Times New Roman"/>
          <w:color w:val="000000"/>
        </w:rPr>
      </w:pPr>
      <w:r>
        <w:rPr>
          <w:noProof/>
        </w:rPr>
        <w:drawing>
          <wp:inline distT="0" distB="0" distL="0" distR="0" wp14:anchorId="1EC09CFB" wp14:editId="60B38EE6">
            <wp:extent cx="5594350" cy="2587625"/>
            <wp:effectExtent l="0" t="0" r="6350"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AEACEE" w14:textId="44599DB7" w:rsidR="00666343" w:rsidRPr="00D84B3F" w:rsidRDefault="00666343" w:rsidP="00666343">
      <w:pPr>
        <w:spacing w:after="0"/>
        <w:ind w:firstLine="720"/>
        <w:jc w:val="center"/>
        <w:rPr>
          <w:rFonts w:ascii="Times New Roman" w:hAnsi="Times New Roman" w:cs="Times New Roman"/>
          <w:color w:val="000000"/>
          <w:lang w:val="ro-RO"/>
        </w:rPr>
      </w:pPr>
      <w:r w:rsidRPr="00405F11">
        <w:rPr>
          <w:rFonts w:ascii="Times New Roman" w:hAnsi="Times New Roman" w:cs="Times New Roman"/>
          <w:b/>
          <w:bCs/>
          <w:color w:val="000000"/>
          <w:sz w:val="24"/>
          <w:szCs w:val="24"/>
          <w:lang w:val="ro-RO"/>
        </w:rPr>
        <w:t>Figura 4.</w:t>
      </w:r>
      <w:r>
        <w:rPr>
          <w:rFonts w:ascii="Times New Roman" w:hAnsi="Times New Roman" w:cs="Times New Roman"/>
          <w:color w:val="000000"/>
          <w:lang w:val="ro-RO"/>
        </w:rPr>
        <w:t xml:space="preserve"> Nivelul stocurilor de gaze naturale în UE la situația din 1 Aprilie 2018-2023, </w:t>
      </w:r>
      <w:r w:rsidRPr="00571D9F">
        <w:rPr>
          <w:rFonts w:ascii="Times New Roman" w:hAnsi="Times New Roman" w:cs="Times New Roman"/>
          <w:color w:val="000000"/>
          <w:lang w:val="ro-RO"/>
        </w:rPr>
        <w:t>%/mlrd. m</w:t>
      </w:r>
      <w:r w:rsidRPr="00571D9F">
        <w:rPr>
          <w:rFonts w:ascii="Times New Roman" w:hAnsi="Times New Roman" w:cs="Times New Roman"/>
          <w:color w:val="000000"/>
          <w:vertAlign w:val="superscript"/>
          <w:lang w:val="ro-RO"/>
        </w:rPr>
        <w:t>3</w:t>
      </w:r>
      <w:r w:rsidR="00D84B3F">
        <w:rPr>
          <w:rFonts w:ascii="Times New Roman" w:hAnsi="Times New Roman" w:cs="Times New Roman"/>
          <w:color w:val="000000"/>
          <w:lang w:val="ro-RO"/>
        </w:rPr>
        <w:t xml:space="preserve"> </w:t>
      </w:r>
    </w:p>
    <w:p w14:paraId="6B2D2FCD" w14:textId="77777777" w:rsidR="00666343" w:rsidRDefault="00666343" w:rsidP="007E41F9">
      <w:pPr>
        <w:spacing w:after="60"/>
        <w:ind w:firstLine="720"/>
        <w:jc w:val="center"/>
        <w:rPr>
          <w:rFonts w:ascii="Times New Roman" w:hAnsi="Times New Roman" w:cs="Times New Roman"/>
          <w:color w:val="000000"/>
          <w:lang w:val="ro-RO"/>
        </w:rPr>
      </w:pPr>
      <w:r>
        <w:rPr>
          <w:rFonts w:ascii="Times New Roman" w:hAnsi="Times New Roman" w:cs="Times New Roman"/>
          <w:color w:val="000000"/>
          <w:lang w:val="ro-RO"/>
        </w:rPr>
        <w:t xml:space="preserve">Sursa: </w:t>
      </w:r>
      <w:hyperlink r:id="rId13" w:history="1">
        <w:r w:rsidRPr="001418FF">
          <w:rPr>
            <w:rStyle w:val="Hyperlink"/>
            <w:rFonts w:ascii="Times New Roman" w:hAnsi="Times New Roman" w:cs="Times New Roman"/>
            <w:lang w:val="ro-RO"/>
          </w:rPr>
          <w:t>https://agsi.gie.eu/</w:t>
        </w:r>
      </w:hyperlink>
    </w:p>
    <w:p w14:paraId="2BE50C07" w14:textId="53AC22E9" w:rsidR="00666343" w:rsidRDefault="00666343" w:rsidP="007E41F9">
      <w:pPr>
        <w:spacing w:after="60"/>
        <w:ind w:firstLine="540"/>
        <w:jc w:val="both"/>
        <w:rPr>
          <w:rFonts w:ascii="Times New Roman" w:hAnsi="Times New Roman" w:cs="Times New Roman"/>
          <w:color w:val="000000"/>
          <w:lang w:val="ro-RO"/>
        </w:rPr>
      </w:pPr>
      <w:r>
        <w:rPr>
          <w:rFonts w:ascii="Times New Roman" w:hAnsi="Times New Roman" w:cs="Times New Roman"/>
          <w:color w:val="000000"/>
          <w:lang w:val="ro-RO"/>
        </w:rPr>
        <w:t xml:space="preserve">Din diagrama prezentată în Figura 4 se poate observa că </w:t>
      </w:r>
      <w:bookmarkStart w:id="10" w:name="_Hlk135658389"/>
      <w:r>
        <w:rPr>
          <w:rFonts w:ascii="Times New Roman" w:hAnsi="Times New Roman" w:cs="Times New Roman"/>
          <w:color w:val="000000"/>
          <w:lang w:val="ro-RO"/>
        </w:rPr>
        <w:t xml:space="preserve">în pofida crizei energetice din sezonul </w:t>
      </w:r>
      <w:r w:rsidR="00236DF8">
        <w:rPr>
          <w:rFonts w:ascii="Times New Roman" w:hAnsi="Times New Roman" w:cs="Times New Roman"/>
          <w:color w:val="000000"/>
          <w:lang w:val="ro-RO"/>
        </w:rPr>
        <w:t xml:space="preserve">de încălzire </w:t>
      </w:r>
      <w:r>
        <w:rPr>
          <w:rFonts w:ascii="Times New Roman" w:hAnsi="Times New Roman" w:cs="Times New Roman"/>
          <w:color w:val="000000"/>
          <w:lang w:val="ro-RO"/>
        </w:rPr>
        <w:t xml:space="preserve">2022-2023, datorită măsurilor de umplere a </w:t>
      </w:r>
      <w:r w:rsidR="00D85E3C">
        <w:rPr>
          <w:rFonts w:ascii="Times New Roman" w:hAnsi="Times New Roman" w:cs="Times New Roman"/>
          <w:color w:val="000000"/>
          <w:lang w:val="ro-RO"/>
        </w:rPr>
        <w:t>instalațiilor</w:t>
      </w:r>
      <w:r>
        <w:rPr>
          <w:rFonts w:ascii="Times New Roman" w:hAnsi="Times New Roman" w:cs="Times New Roman"/>
          <w:color w:val="000000"/>
          <w:lang w:val="ro-RO"/>
        </w:rPr>
        <w:t xml:space="preserve"> de stocare gaze naturale aplicate de statele membre UE în conformitate cu prevederile Regulamentului UE nr. 2022/1032, a măsurilor de reducere a consumului de gaze naturale realizate în conformitate cu R</w:t>
      </w:r>
      <w:r w:rsidRPr="00655EBD">
        <w:rPr>
          <w:rFonts w:ascii="Times New Roman" w:hAnsi="Times New Roman" w:cs="Times New Roman"/>
          <w:color w:val="000000"/>
          <w:lang w:val="ro-RO"/>
        </w:rPr>
        <w:t>egulamentul UE 2022/1369</w:t>
      </w:r>
      <w:r>
        <w:rPr>
          <w:rFonts w:ascii="Times New Roman" w:hAnsi="Times New Roman" w:cs="Times New Roman"/>
          <w:color w:val="000000"/>
          <w:lang w:val="ro-RO"/>
        </w:rPr>
        <w:t>, dar și a temperaturilor mai ridicate înregistrate în această perioada, la situația din 1 aprilie 202</w:t>
      </w:r>
      <w:r w:rsidR="007B0FCB">
        <w:rPr>
          <w:rFonts w:ascii="Times New Roman" w:hAnsi="Times New Roman" w:cs="Times New Roman"/>
          <w:color w:val="000000"/>
          <w:lang w:val="ro-RO"/>
        </w:rPr>
        <w:t>3</w:t>
      </w:r>
      <w:r>
        <w:rPr>
          <w:rFonts w:ascii="Times New Roman" w:hAnsi="Times New Roman" w:cs="Times New Roman"/>
          <w:color w:val="000000"/>
          <w:lang w:val="ro-RO"/>
        </w:rPr>
        <w:t xml:space="preserve">, stocurilor de gaze naturale în UE sunt la cel mai ridicat nivel înregistrat în această perioadă în ultimii 5 ani, ceea ce a </w:t>
      </w:r>
      <w:r w:rsidR="0026385D">
        <w:rPr>
          <w:rFonts w:ascii="Times New Roman" w:hAnsi="Times New Roman" w:cs="Times New Roman"/>
          <w:color w:val="000000"/>
          <w:lang w:val="ro-RO"/>
        </w:rPr>
        <w:t>jucat</w:t>
      </w:r>
      <w:r>
        <w:rPr>
          <w:rFonts w:ascii="Times New Roman" w:hAnsi="Times New Roman" w:cs="Times New Roman"/>
          <w:color w:val="000000"/>
          <w:lang w:val="ro-RO"/>
        </w:rPr>
        <w:t xml:space="preserve"> un rol important în diminuarea prețurilor de comercializare pe piața </w:t>
      </w:r>
      <w:r w:rsidR="0026385D">
        <w:rPr>
          <w:rFonts w:ascii="Times New Roman" w:hAnsi="Times New Roman" w:cs="Times New Roman"/>
          <w:color w:val="000000"/>
          <w:lang w:val="ro-RO"/>
        </w:rPr>
        <w:t xml:space="preserve">spot a gazelor naturale la sfârșitul sezonului </w:t>
      </w:r>
      <w:r w:rsidR="00236DF8">
        <w:rPr>
          <w:rFonts w:ascii="Times New Roman" w:hAnsi="Times New Roman" w:cs="Times New Roman"/>
          <w:color w:val="000000"/>
          <w:lang w:val="ro-RO"/>
        </w:rPr>
        <w:t>de încălzire</w:t>
      </w:r>
      <w:r w:rsidR="0026385D">
        <w:rPr>
          <w:rFonts w:ascii="Times New Roman" w:hAnsi="Times New Roman" w:cs="Times New Roman"/>
          <w:color w:val="000000"/>
          <w:lang w:val="ro-RO"/>
        </w:rPr>
        <w:t xml:space="preserve"> 2022-2023.</w:t>
      </w:r>
    </w:p>
    <w:bookmarkEnd w:id="10"/>
    <w:p w14:paraId="71C84A89" w14:textId="11755C23" w:rsidR="00A42EBB" w:rsidRDefault="00A42EBB" w:rsidP="007E41F9">
      <w:pPr>
        <w:spacing w:after="60"/>
        <w:ind w:firstLine="540"/>
        <w:jc w:val="both"/>
        <w:rPr>
          <w:rFonts w:ascii="Times New Roman" w:hAnsi="Times New Roman" w:cs="Times New Roman"/>
          <w:lang w:val="ro-RO"/>
        </w:rPr>
      </w:pPr>
      <w:r w:rsidRPr="002C0527">
        <w:rPr>
          <w:rFonts w:ascii="Times New Roman" w:hAnsi="Times New Roman" w:cs="Times New Roman"/>
          <w:color w:val="000000"/>
          <w:lang w:val="ro-RO"/>
        </w:rPr>
        <w:t xml:space="preserve">În tabelele 1 și 2 sunt prezentate estimări </w:t>
      </w:r>
      <w:r w:rsidRPr="00596C7F">
        <w:rPr>
          <w:rFonts w:ascii="Times New Roman" w:hAnsi="Times New Roman" w:cs="Times New Roman"/>
          <w:color w:val="000000"/>
          <w:lang w:val="ro-RO"/>
        </w:rPr>
        <w:t>privind consumul lunar de gaze naturale al consumatorilor casnici și non-casnici din Republica Moldova (malul drept</w:t>
      </w:r>
      <w:r w:rsidR="00596C7F" w:rsidRPr="00596C7F">
        <w:rPr>
          <w:rFonts w:ascii="Times New Roman" w:hAnsi="Times New Roman" w:cs="Times New Roman"/>
          <w:color w:val="000000"/>
          <w:lang w:val="ro-RO"/>
        </w:rPr>
        <w:t xml:space="preserve"> a</w:t>
      </w:r>
      <w:r w:rsidR="00596C7F" w:rsidRPr="003D699F">
        <w:rPr>
          <w:rFonts w:ascii="Times New Roman" w:hAnsi="Times New Roman" w:cs="Times New Roman"/>
          <w:color w:val="000000"/>
          <w:lang w:val="ro-RO"/>
        </w:rPr>
        <w:t>l râului Nistru</w:t>
      </w:r>
      <w:r w:rsidRPr="00596C7F">
        <w:rPr>
          <w:rFonts w:ascii="Times New Roman" w:hAnsi="Times New Roman" w:cs="Times New Roman"/>
          <w:color w:val="000000"/>
          <w:lang w:val="ro-RO"/>
        </w:rPr>
        <w:t xml:space="preserve">), precum și </w:t>
      </w:r>
      <w:r w:rsidR="00664462" w:rsidRPr="002C0527">
        <w:rPr>
          <w:rFonts w:ascii="Times New Roman" w:hAnsi="Times New Roman" w:cs="Times New Roman"/>
          <w:lang w:val="ro-RO"/>
        </w:rPr>
        <w:t xml:space="preserve">consumul </w:t>
      </w:r>
      <w:r w:rsidR="00664462">
        <w:rPr>
          <w:rFonts w:ascii="Times New Roman" w:hAnsi="Times New Roman" w:cs="Times New Roman"/>
          <w:lang w:val="ro-RO"/>
        </w:rPr>
        <w:t xml:space="preserve">lunar </w:t>
      </w:r>
      <w:r w:rsidR="00664462" w:rsidRPr="002C0527">
        <w:rPr>
          <w:rFonts w:ascii="Times New Roman" w:hAnsi="Times New Roman" w:cs="Times New Roman"/>
          <w:lang w:val="ro-RO"/>
        </w:rPr>
        <w:t>estimat de gaze naturale pe categorii de consumatori (protejați și întreruptibili)</w:t>
      </w:r>
      <w:r w:rsidRPr="00596C7F">
        <w:rPr>
          <w:rFonts w:ascii="Times New Roman" w:hAnsi="Times New Roman" w:cs="Times New Roman"/>
          <w:color w:val="000000"/>
          <w:lang w:val="ro-RO"/>
        </w:rPr>
        <w:t xml:space="preserve">. </w:t>
      </w:r>
      <w:r w:rsidR="000F26DC" w:rsidRPr="00596C7F">
        <w:rPr>
          <w:rFonts w:ascii="Times New Roman" w:hAnsi="Times New Roman" w:cs="Times New Roman"/>
          <w:lang w:val="ro-RO"/>
        </w:rPr>
        <w:t>Tabelul 3 indică</w:t>
      </w:r>
      <w:r w:rsidR="00664462">
        <w:rPr>
          <w:rFonts w:ascii="Times New Roman" w:hAnsi="Times New Roman" w:cs="Times New Roman"/>
          <w:lang w:val="ro-RO"/>
        </w:rPr>
        <w:t xml:space="preserve"> </w:t>
      </w:r>
      <w:r w:rsidR="00664462" w:rsidRPr="00596C7F">
        <w:rPr>
          <w:rFonts w:ascii="Times New Roman" w:hAnsi="Times New Roman" w:cs="Times New Roman"/>
          <w:color w:val="000000"/>
          <w:lang w:val="ro-RO"/>
        </w:rPr>
        <w:t xml:space="preserve">consumul lunar (octombrie-aprilie) estimat de păcură și gaze naturale în cazul funcționării SA </w:t>
      </w:r>
      <w:r w:rsidR="00664462">
        <w:rPr>
          <w:rFonts w:ascii="Times New Roman" w:hAnsi="Times New Roman" w:cs="Times New Roman"/>
          <w:color w:val="000000"/>
          <w:lang w:val="ro-RO"/>
        </w:rPr>
        <w:t>„</w:t>
      </w:r>
      <w:r w:rsidR="00664462" w:rsidRPr="00596C7F">
        <w:rPr>
          <w:rFonts w:ascii="Times New Roman" w:hAnsi="Times New Roman" w:cs="Times New Roman"/>
          <w:color w:val="000000"/>
          <w:lang w:val="ro-RO"/>
        </w:rPr>
        <w:t>Termoelectrica” în bază de păcură în sezonul de încălzire 202</w:t>
      </w:r>
      <w:r w:rsidR="00664462">
        <w:rPr>
          <w:rFonts w:ascii="Times New Roman" w:hAnsi="Times New Roman" w:cs="Times New Roman"/>
          <w:color w:val="000000"/>
          <w:lang w:val="ro-RO"/>
        </w:rPr>
        <w:t>3</w:t>
      </w:r>
      <w:r w:rsidR="00664462" w:rsidRPr="00596C7F">
        <w:rPr>
          <w:rFonts w:ascii="Times New Roman" w:hAnsi="Times New Roman" w:cs="Times New Roman"/>
          <w:color w:val="000000"/>
          <w:lang w:val="ro-RO"/>
        </w:rPr>
        <w:t>-202</w:t>
      </w:r>
      <w:r w:rsidR="00664462">
        <w:rPr>
          <w:rFonts w:ascii="Times New Roman" w:hAnsi="Times New Roman" w:cs="Times New Roman"/>
          <w:color w:val="000000"/>
          <w:lang w:val="ro-RO"/>
        </w:rPr>
        <w:t xml:space="preserve">4. </w:t>
      </w:r>
      <w:r w:rsidR="00664462">
        <w:rPr>
          <w:rFonts w:ascii="Times New Roman" w:hAnsi="Times New Roman" w:cs="Times New Roman"/>
          <w:lang w:val="ro-RO"/>
        </w:rPr>
        <w:t xml:space="preserve">În tabelul 4 este prezentată cantitatea de energie electrică </w:t>
      </w:r>
      <w:r w:rsidR="00563E6E">
        <w:rPr>
          <w:rFonts w:ascii="Times New Roman" w:hAnsi="Times New Roman" w:cs="Times New Roman"/>
          <w:lang w:val="ro-RO"/>
        </w:rPr>
        <w:t xml:space="preserve">estimată a fi </w:t>
      </w:r>
      <w:r w:rsidR="00664462">
        <w:rPr>
          <w:rFonts w:ascii="Times New Roman" w:hAnsi="Times New Roman" w:cs="Times New Roman"/>
          <w:lang w:val="ro-RO"/>
        </w:rPr>
        <w:t xml:space="preserve">necesară </w:t>
      </w:r>
      <w:r w:rsidR="00563E6E">
        <w:rPr>
          <w:rFonts w:ascii="Times New Roman" w:hAnsi="Times New Roman" w:cs="Times New Roman"/>
          <w:lang w:val="ro-RO"/>
        </w:rPr>
        <w:t xml:space="preserve">pentru acoperirea consumului </w:t>
      </w:r>
      <w:r w:rsidR="00664462">
        <w:rPr>
          <w:rFonts w:ascii="Times New Roman" w:hAnsi="Times New Roman" w:cs="Times New Roman"/>
          <w:lang w:val="ro-RO"/>
        </w:rPr>
        <w:t>malului drept</w:t>
      </w:r>
      <w:r w:rsidR="00563E6E">
        <w:rPr>
          <w:rFonts w:ascii="Times New Roman" w:hAnsi="Times New Roman" w:cs="Times New Roman"/>
          <w:lang w:val="ro-RO"/>
        </w:rPr>
        <w:t xml:space="preserve"> în perioada octombrie 2023-aprilie 2024</w:t>
      </w:r>
      <w:r w:rsidR="00664462">
        <w:rPr>
          <w:rFonts w:ascii="Times New Roman" w:hAnsi="Times New Roman" w:cs="Times New Roman"/>
          <w:lang w:val="ro-RO"/>
        </w:rPr>
        <w:t>, divizată</w:t>
      </w:r>
      <w:r w:rsidR="00170A20">
        <w:rPr>
          <w:rFonts w:ascii="Times New Roman" w:hAnsi="Times New Roman" w:cs="Times New Roman"/>
          <w:lang w:val="ro-RO"/>
        </w:rPr>
        <w:t xml:space="preserve"> pe energia electrică produsă local și cea necesar a fi importată din alte surse</w:t>
      </w:r>
      <w:r w:rsidR="00563E6E">
        <w:rPr>
          <w:rFonts w:ascii="Times New Roman" w:hAnsi="Times New Roman" w:cs="Times New Roman"/>
          <w:lang w:val="ro-RO"/>
        </w:rPr>
        <w:t>, reieșind din datele înregistrate de facto în anul 2021</w:t>
      </w:r>
      <w:r w:rsidR="00170A20">
        <w:rPr>
          <w:rFonts w:ascii="Times New Roman" w:hAnsi="Times New Roman" w:cs="Times New Roman"/>
          <w:lang w:val="ro-RO"/>
        </w:rPr>
        <w:t>.</w:t>
      </w:r>
    </w:p>
    <w:p w14:paraId="42001F03" w14:textId="08973B0D" w:rsidR="00523F9F" w:rsidRPr="00523F9F" w:rsidRDefault="007E41F9" w:rsidP="007E41F9">
      <w:pPr>
        <w:spacing w:after="0"/>
        <w:ind w:firstLine="547"/>
        <w:jc w:val="both"/>
        <w:rPr>
          <w:rFonts w:ascii="Times New Roman" w:hAnsi="Times New Roman" w:cs="Times New Roman"/>
          <w:lang w:val="ro-RO"/>
        </w:rPr>
      </w:pPr>
      <w:r>
        <w:rPr>
          <w:rFonts w:ascii="Times New Roman" w:hAnsi="Times New Roman" w:cs="Times New Roman"/>
          <w:lang w:val="ro-RO"/>
        </w:rPr>
        <w:t>R</w:t>
      </w:r>
      <w:r w:rsidR="00523F9F" w:rsidRPr="00523F9F">
        <w:rPr>
          <w:rFonts w:ascii="Times New Roman" w:hAnsi="Times New Roman" w:cs="Times New Roman"/>
          <w:lang w:val="ro-RO"/>
        </w:rPr>
        <w:t>egimul de funcționare a cazanelor energetice doar prin arderea păcurii 100% nu este considerat unul fiabil, deoarece regimul respectiv duce la deteriorarea utilajului termoenergetic cât și a utilajului auxiliar. Astfel, la funcționarea a 100%</w:t>
      </w:r>
      <w:r>
        <w:rPr>
          <w:rFonts w:ascii="Times New Roman" w:hAnsi="Times New Roman" w:cs="Times New Roman"/>
          <w:lang w:val="ro-RO"/>
        </w:rPr>
        <w:t xml:space="preserve"> în baza</w:t>
      </w:r>
      <w:r w:rsidR="00523F9F" w:rsidRPr="00523F9F">
        <w:rPr>
          <w:rFonts w:ascii="Times New Roman" w:hAnsi="Times New Roman" w:cs="Times New Roman"/>
          <w:lang w:val="ro-RO"/>
        </w:rPr>
        <w:t xml:space="preserve"> păcur</w:t>
      </w:r>
      <w:r>
        <w:rPr>
          <w:rFonts w:ascii="Times New Roman" w:hAnsi="Times New Roman" w:cs="Times New Roman"/>
          <w:lang w:val="ro-RO"/>
        </w:rPr>
        <w:t>ii</w:t>
      </w:r>
      <w:r w:rsidR="00523F9F" w:rsidRPr="00523F9F">
        <w:rPr>
          <w:rFonts w:ascii="Times New Roman" w:hAnsi="Times New Roman" w:cs="Times New Roman"/>
          <w:lang w:val="ro-RO"/>
        </w:rPr>
        <w:t>, la cazanele energetice în perioada sezonului de încălzire 2022</w:t>
      </w:r>
      <w:r w:rsidR="005914F1">
        <w:rPr>
          <w:rFonts w:ascii="Times New Roman" w:hAnsi="Times New Roman" w:cs="Times New Roman"/>
          <w:lang w:val="ro-RO"/>
        </w:rPr>
        <w:t>-</w:t>
      </w:r>
      <w:r w:rsidR="00523F9F" w:rsidRPr="00523F9F">
        <w:rPr>
          <w:rFonts w:ascii="Times New Roman" w:hAnsi="Times New Roman" w:cs="Times New Roman"/>
          <w:lang w:val="ro-RO"/>
        </w:rPr>
        <w:t>2023 au fost înregistrate următoarele</w:t>
      </w:r>
      <w:r w:rsidR="005914F1">
        <w:rPr>
          <w:rFonts w:ascii="Times New Roman" w:hAnsi="Times New Roman" w:cs="Times New Roman"/>
          <w:lang w:val="ro-RO"/>
        </w:rPr>
        <w:t xml:space="preserve"> efecte negative</w:t>
      </w:r>
      <w:r w:rsidR="00523F9F" w:rsidRPr="00523F9F">
        <w:rPr>
          <w:rFonts w:ascii="Times New Roman" w:hAnsi="Times New Roman" w:cs="Times New Roman"/>
          <w:lang w:val="ro-RO"/>
        </w:rPr>
        <w:t>:</w:t>
      </w:r>
    </w:p>
    <w:p w14:paraId="08F7F42D" w14:textId="77777777" w:rsidR="005914F1" w:rsidRDefault="00523F9F" w:rsidP="005914F1">
      <w:pPr>
        <w:spacing w:after="0"/>
        <w:ind w:firstLine="547"/>
        <w:jc w:val="both"/>
        <w:rPr>
          <w:rFonts w:ascii="Times New Roman" w:hAnsi="Times New Roman" w:cs="Times New Roman"/>
          <w:lang w:val="ro-RO"/>
        </w:rPr>
      </w:pPr>
      <w:r w:rsidRPr="00523F9F">
        <w:rPr>
          <w:rFonts w:ascii="Times New Roman" w:hAnsi="Times New Roman" w:cs="Times New Roman"/>
          <w:lang w:val="ro-RO"/>
        </w:rPr>
        <w:lastRenderedPageBreak/>
        <w:t>-</w:t>
      </w:r>
      <w:r w:rsidRPr="00523F9F">
        <w:rPr>
          <w:rFonts w:ascii="Times New Roman" w:hAnsi="Times New Roman" w:cs="Times New Roman"/>
          <w:lang w:val="ro-RO"/>
        </w:rPr>
        <w:tab/>
        <w:t>depunerea intensivă a particulelor solide (funingine) pe suprafețele de încălzire din partea convectivă a cazanului, ca urmare - scăderea intensității schimbului de transfer de căldură și creșterea temperaturii la suprafața metalului;</w:t>
      </w:r>
    </w:p>
    <w:p w14:paraId="71A7765F" w14:textId="22E76821" w:rsidR="00523F9F" w:rsidRPr="00523F9F" w:rsidRDefault="00523F9F" w:rsidP="005914F1">
      <w:pPr>
        <w:spacing w:after="0"/>
        <w:ind w:firstLine="547"/>
        <w:jc w:val="both"/>
        <w:rPr>
          <w:rFonts w:ascii="Times New Roman" w:hAnsi="Times New Roman" w:cs="Times New Roman"/>
          <w:lang w:val="ro-RO"/>
        </w:rPr>
      </w:pPr>
      <w:r w:rsidRPr="00523F9F">
        <w:rPr>
          <w:rFonts w:ascii="Times New Roman" w:hAnsi="Times New Roman" w:cs="Times New Roman"/>
          <w:lang w:val="ro-RO"/>
        </w:rPr>
        <w:t>-</w:t>
      </w:r>
      <w:r w:rsidRPr="00523F9F">
        <w:rPr>
          <w:rFonts w:ascii="Times New Roman" w:hAnsi="Times New Roman" w:cs="Times New Roman"/>
          <w:lang w:val="ro-RO"/>
        </w:rPr>
        <w:tab/>
        <w:t>depunerea de impurități pe suprafețele de încălzire interioare a preîncălzitorului regenerativ de aer a cazanelor energetice, creșterea rezistenței aerodinamice a acestora;</w:t>
      </w:r>
    </w:p>
    <w:p w14:paraId="40751ADD" w14:textId="77777777" w:rsidR="00523F9F" w:rsidRPr="00523F9F" w:rsidRDefault="00523F9F" w:rsidP="005914F1">
      <w:pPr>
        <w:spacing w:after="60"/>
        <w:ind w:firstLine="547"/>
        <w:jc w:val="both"/>
        <w:rPr>
          <w:rFonts w:ascii="Times New Roman" w:hAnsi="Times New Roman" w:cs="Times New Roman"/>
          <w:lang w:val="ro-RO"/>
        </w:rPr>
      </w:pPr>
      <w:r w:rsidRPr="00523F9F">
        <w:rPr>
          <w:rFonts w:ascii="Times New Roman" w:hAnsi="Times New Roman" w:cs="Times New Roman"/>
          <w:lang w:val="ro-RO"/>
        </w:rPr>
        <w:t>-</w:t>
      </w:r>
      <w:r w:rsidRPr="00523F9F">
        <w:rPr>
          <w:rFonts w:ascii="Times New Roman" w:hAnsi="Times New Roman" w:cs="Times New Roman"/>
          <w:lang w:val="ro-RO"/>
        </w:rPr>
        <w:tab/>
        <w:t>purjarea zilnică a duzelor, care necesită trecerea la arderea gazului natural cu micșorarea simultană a sarcinii la blocul energetic, ca urmare - o scădere a fiabilității;</w:t>
      </w:r>
    </w:p>
    <w:p w14:paraId="305E2BBF" w14:textId="58B5B025" w:rsidR="00F251D8" w:rsidRPr="00627EDE" w:rsidRDefault="005914F1" w:rsidP="005914F1">
      <w:pPr>
        <w:spacing w:after="120"/>
        <w:ind w:firstLine="547"/>
        <w:jc w:val="both"/>
        <w:rPr>
          <w:rFonts w:ascii="Times New Roman" w:hAnsi="Times New Roman" w:cs="Times New Roman"/>
          <w:lang w:val="ro-RO"/>
        </w:rPr>
      </w:pPr>
      <w:r>
        <w:rPr>
          <w:rFonts w:ascii="Times New Roman" w:hAnsi="Times New Roman" w:cs="Times New Roman"/>
          <w:lang w:val="ro-RO"/>
        </w:rPr>
        <w:t xml:space="preserve">Astfel, reieșind din experiența </w:t>
      </w:r>
      <w:r w:rsidRPr="005914F1">
        <w:rPr>
          <w:rFonts w:ascii="Times New Roman" w:hAnsi="Times New Roman" w:cs="Times New Roman"/>
          <w:lang w:val="ro-RO"/>
        </w:rPr>
        <w:t>SA „Termoelectrica”</w:t>
      </w:r>
      <w:r>
        <w:rPr>
          <w:rFonts w:ascii="Times New Roman" w:hAnsi="Times New Roman" w:cs="Times New Roman"/>
          <w:lang w:val="ro-RO"/>
        </w:rPr>
        <w:t xml:space="preserve"> </w:t>
      </w:r>
      <w:r w:rsidRPr="00523F9F">
        <w:rPr>
          <w:rFonts w:ascii="Times New Roman" w:hAnsi="Times New Roman" w:cs="Times New Roman"/>
          <w:lang w:val="ro-RO"/>
        </w:rPr>
        <w:t xml:space="preserve">în </w:t>
      </w:r>
      <w:r>
        <w:rPr>
          <w:rFonts w:ascii="Times New Roman" w:hAnsi="Times New Roman" w:cs="Times New Roman"/>
          <w:lang w:val="ro-RO"/>
        </w:rPr>
        <w:t>sezonul</w:t>
      </w:r>
      <w:r w:rsidRPr="00523F9F">
        <w:rPr>
          <w:rFonts w:ascii="Times New Roman" w:hAnsi="Times New Roman" w:cs="Times New Roman"/>
          <w:lang w:val="ro-RO"/>
        </w:rPr>
        <w:t xml:space="preserve"> de încălzire 2022</w:t>
      </w:r>
      <w:r>
        <w:rPr>
          <w:rFonts w:ascii="Times New Roman" w:hAnsi="Times New Roman" w:cs="Times New Roman"/>
          <w:lang w:val="ro-RO"/>
        </w:rPr>
        <w:t>-</w:t>
      </w:r>
      <w:r w:rsidRPr="00523F9F">
        <w:rPr>
          <w:rFonts w:ascii="Times New Roman" w:hAnsi="Times New Roman" w:cs="Times New Roman"/>
          <w:lang w:val="ro-RO"/>
        </w:rPr>
        <w:t>2023</w:t>
      </w:r>
      <w:r w:rsidR="007E41F9">
        <w:rPr>
          <w:rFonts w:ascii="Times New Roman" w:hAnsi="Times New Roman" w:cs="Times New Roman"/>
          <w:lang w:val="ro-RO"/>
        </w:rPr>
        <w:t>,</w:t>
      </w:r>
      <w:r w:rsidRPr="00523F9F">
        <w:rPr>
          <w:rFonts w:ascii="Times New Roman" w:hAnsi="Times New Roman" w:cs="Times New Roman"/>
          <w:lang w:val="ro-RO"/>
        </w:rPr>
        <w:t xml:space="preserve"> </w:t>
      </w:r>
      <w:r>
        <w:rPr>
          <w:rFonts w:ascii="Times New Roman" w:hAnsi="Times New Roman" w:cs="Times New Roman"/>
          <w:lang w:val="ro-RO"/>
        </w:rPr>
        <w:t>s-a demonstrat că f</w:t>
      </w:r>
      <w:r w:rsidR="00523F9F" w:rsidRPr="00523F9F">
        <w:rPr>
          <w:rFonts w:ascii="Times New Roman" w:hAnsi="Times New Roman" w:cs="Times New Roman"/>
          <w:lang w:val="ro-RO"/>
        </w:rPr>
        <w:t>uncționarea CET Surs</w:t>
      </w:r>
      <w:r>
        <w:rPr>
          <w:rFonts w:ascii="Times New Roman" w:hAnsi="Times New Roman" w:cs="Times New Roman"/>
          <w:lang w:val="ro-RO"/>
        </w:rPr>
        <w:t>a</w:t>
      </w:r>
      <w:r w:rsidR="00523F9F" w:rsidRPr="00523F9F">
        <w:rPr>
          <w:rFonts w:ascii="Times New Roman" w:hAnsi="Times New Roman" w:cs="Times New Roman"/>
          <w:lang w:val="ro-RO"/>
        </w:rPr>
        <w:t xml:space="preserve"> 1 cu utilizarea combinată a combustibilului (gaz</w:t>
      </w:r>
      <w:r>
        <w:rPr>
          <w:rFonts w:ascii="Times New Roman" w:hAnsi="Times New Roman" w:cs="Times New Roman"/>
          <w:lang w:val="ro-RO"/>
        </w:rPr>
        <w:t>e</w:t>
      </w:r>
      <w:r w:rsidR="00523F9F" w:rsidRPr="00523F9F">
        <w:rPr>
          <w:rFonts w:ascii="Times New Roman" w:hAnsi="Times New Roman" w:cs="Times New Roman"/>
          <w:lang w:val="ro-RO"/>
        </w:rPr>
        <w:t xml:space="preserve"> natural</w:t>
      </w:r>
      <w:r>
        <w:rPr>
          <w:rFonts w:ascii="Times New Roman" w:hAnsi="Times New Roman" w:cs="Times New Roman"/>
          <w:lang w:val="ro-RO"/>
        </w:rPr>
        <w:t>e</w:t>
      </w:r>
      <w:r w:rsidR="00523F9F" w:rsidRPr="00523F9F">
        <w:rPr>
          <w:rFonts w:ascii="Times New Roman" w:hAnsi="Times New Roman" w:cs="Times New Roman"/>
          <w:lang w:val="ro-RO"/>
        </w:rPr>
        <w:t xml:space="preserve"> – 50% și păcură – 50%) este cel mai fiabil regim, ceea ce reduce la minim </w:t>
      </w:r>
      <w:r>
        <w:rPr>
          <w:rFonts w:ascii="Times New Roman" w:hAnsi="Times New Roman" w:cs="Times New Roman"/>
          <w:lang w:val="ro-RO"/>
        </w:rPr>
        <w:t>eventualele</w:t>
      </w:r>
      <w:r w:rsidR="00523F9F" w:rsidRPr="00523F9F">
        <w:rPr>
          <w:rFonts w:ascii="Times New Roman" w:hAnsi="Times New Roman" w:cs="Times New Roman"/>
          <w:lang w:val="ro-RO"/>
        </w:rPr>
        <w:t xml:space="preserve"> efecte negative.</w:t>
      </w:r>
    </w:p>
    <w:p w14:paraId="2BE0519F" w14:textId="4280EEF4" w:rsidR="00A42EBB" w:rsidRPr="002C0527" w:rsidRDefault="00A42EBB" w:rsidP="00A42EBB">
      <w:pPr>
        <w:pStyle w:val="cb"/>
        <w:ind w:left="1080" w:hanging="1080"/>
        <w:jc w:val="both"/>
        <w:rPr>
          <w:b w:val="0"/>
          <w:bCs w:val="0"/>
          <w:color w:val="000000"/>
          <w:lang w:val="ro-RO"/>
        </w:rPr>
      </w:pPr>
      <w:r w:rsidRPr="002C0527">
        <w:rPr>
          <w:lang w:val="ro-RO"/>
        </w:rPr>
        <w:t xml:space="preserve">Tabelul 1. </w:t>
      </w:r>
      <w:r w:rsidRPr="002C0527">
        <w:rPr>
          <w:b w:val="0"/>
          <w:bCs w:val="0"/>
          <w:sz w:val="22"/>
          <w:szCs w:val="22"/>
          <w:lang w:val="ro-RO"/>
        </w:rPr>
        <w:t>C</w:t>
      </w:r>
      <w:r w:rsidRPr="002C0527">
        <w:rPr>
          <w:b w:val="0"/>
          <w:bCs w:val="0"/>
          <w:color w:val="000000"/>
          <w:sz w:val="22"/>
          <w:szCs w:val="22"/>
          <w:lang w:val="ro-RO"/>
        </w:rPr>
        <w:t xml:space="preserve">onsumul lunar de gaze naturale </w:t>
      </w:r>
      <w:r w:rsidR="00161BFA">
        <w:rPr>
          <w:b w:val="0"/>
          <w:bCs w:val="0"/>
          <w:color w:val="000000"/>
          <w:sz w:val="22"/>
          <w:szCs w:val="22"/>
          <w:lang w:val="ro-RO"/>
        </w:rPr>
        <w:t xml:space="preserve">estimat </w:t>
      </w:r>
      <w:r w:rsidRPr="002C0527">
        <w:rPr>
          <w:b w:val="0"/>
          <w:bCs w:val="0"/>
          <w:color w:val="000000"/>
          <w:sz w:val="22"/>
          <w:szCs w:val="22"/>
          <w:lang w:val="ro-RO"/>
        </w:rPr>
        <w:t>al consumatorilor casnici și non-casnici din Republica Moldova (malul drept</w:t>
      </w:r>
      <w:r w:rsidR="0027764E" w:rsidRPr="002C0527">
        <w:rPr>
          <w:b w:val="0"/>
          <w:bCs w:val="0"/>
          <w:color w:val="000000"/>
          <w:sz w:val="22"/>
          <w:szCs w:val="22"/>
          <w:lang w:val="ro-RO"/>
        </w:rPr>
        <w:t xml:space="preserve"> al râului Nistru</w:t>
      </w:r>
      <w:r w:rsidRPr="002C0527">
        <w:rPr>
          <w:b w:val="0"/>
          <w:bCs w:val="0"/>
          <w:color w:val="000000"/>
          <w:sz w:val="22"/>
          <w:szCs w:val="22"/>
          <w:lang w:val="ro-RO"/>
        </w:rPr>
        <w:t>), mil. m</w:t>
      </w:r>
      <w:r w:rsidRPr="002C0527">
        <w:rPr>
          <w:b w:val="0"/>
          <w:bCs w:val="0"/>
          <w:color w:val="000000"/>
          <w:sz w:val="22"/>
          <w:szCs w:val="22"/>
          <w:vertAlign w:val="superscript"/>
          <w:lang w:val="ro-RO"/>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704"/>
        <w:gridCol w:w="805"/>
        <w:gridCol w:w="781"/>
        <w:gridCol w:w="779"/>
        <w:gridCol w:w="779"/>
        <w:gridCol w:w="779"/>
        <w:gridCol w:w="730"/>
        <w:gridCol w:w="746"/>
      </w:tblGrid>
      <w:tr w:rsidR="00590EBE" w:rsidRPr="00FA3E89" w14:paraId="6D353776" w14:textId="22C21F96" w:rsidTr="005914F1">
        <w:trPr>
          <w:trHeight w:val="238"/>
          <w:jc w:val="center"/>
        </w:trPr>
        <w:tc>
          <w:tcPr>
            <w:tcW w:w="1999" w:type="pct"/>
            <w:vMerge w:val="restart"/>
            <w:shd w:val="clear" w:color="auto" w:fill="E2EFD9" w:themeFill="accent6" w:themeFillTint="33"/>
            <w:noWrap/>
            <w:vAlign w:val="center"/>
          </w:tcPr>
          <w:p w14:paraId="57A8114F" w14:textId="77777777" w:rsidR="00590EBE" w:rsidRPr="0026385D" w:rsidRDefault="00590EBE" w:rsidP="00A42EBB">
            <w:pPr>
              <w:spacing w:after="0"/>
              <w:rPr>
                <w:rFonts w:ascii="Times New Roman" w:hAnsi="Times New Roman" w:cs="Times New Roman"/>
                <w:b/>
                <w:bCs/>
                <w:color w:val="000000"/>
                <w:sz w:val="20"/>
                <w:szCs w:val="20"/>
                <w:lang w:val="ro-RO"/>
              </w:rPr>
            </w:pPr>
            <w:r w:rsidRPr="0026385D">
              <w:rPr>
                <w:rFonts w:ascii="Times New Roman" w:hAnsi="Times New Roman" w:cs="Times New Roman"/>
                <w:b/>
                <w:bCs/>
                <w:color w:val="000000"/>
                <w:sz w:val="20"/>
                <w:szCs w:val="20"/>
                <w:lang w:val="ro-RO"/>
              </w:rPr>
              <w:t>Volume estimate</w:t>
            </w:r>
          </w:p>
        </w:tc>
        <w:tc>
          <w:tcPr>
            <w:tcW w:w="1126" w:type="pct"/>
            <w:gridSpan w:val="3"/>
            <w:shd w:val="clear" w:color="auto" w:fill="E2EFD9" w:themeFill="accent6" w:themeFillTint="33"/>
            <w:vAlign w:val="center"/>
          </w:tcPr>
          <w:p w14:paraId="65ACE7A7" w14:textId="57A3FE85" w:rsidR="00590EBE" w:rsidRPr="0026385D" w:rsidRDefault="00590EBE" w:rsidP="00A42EBB">
            <w:pPr>
              <w:spacing w:after="0"/>
              <w:jc w:val="center"/>
              <w:rPr>
                <w:rFonts w:ascii="Times New Roman" w:hAnsi="Times New Roman" w:cs="Times New Roman"/>
                <w:b/>
                <w:bCs/>
                <w:color w:val="000000"/>
                <w:sz w:val="20"/>
                <w:szCs w:val="20"/>
                <w:lang w:val="ro-RO"/>
              </w:rPr>
            </w:pPr>
            <w:r w:rsidRPr="0026385D">
              <w:rPr>
                <w:rFonts w:ascii="Times New Roman" w:hAnsi="Times New Roman" w:cs="Times New Roman"/>
                <w:b/>
                <w:bCs/>
                <w:color w:val="000000"/>
                <w:sz w:val="20"/>
                <w:szCs w:val="20"/>
                <w:lang w:val="ro-RO"/>
              </w:rPr>
              <w:t>2023</w:t>
            </w:r>
          </w:p>
        </w:tc>
        <w:tc>
          <w:tcPr>
            <w:tcW w:w="1508" w:type="pct"/>
            <w:gridSpan w:val="4"/>
            <w:shd w:val="clear" w:color="auto" w:fill="E2EFD9" w:themeFill="accent6" w:themeFillTint="33"/>
            <w:noWrap/>
            <w:vAlign w:val="center"/>
          </w:tcPr>
          <w:p w14:paraId="4FF28D69" w14:textId="3BAB5B66" w:rsidR="00590EBE" w:rsidRPr="0026385D" w:rsidRDefault="00590EBE" w:rsidP="00A42EBB">
            <w:pPr>
              <w:spacing w:after="0"/>
              <w:jc w:val="center"/>
              <w:rPr>
                <w:rFonts w:ascii="Times New Roman" w:hAnsi="Times New Roman" w:cs="Times New Roman"/>
                <w:b/>
                <w:bCs/>
                <w:color w:val="000000"/>
                <w:sz w:val="20"/>
                <w:szCs w:val="20"/>
                <w:lang w:val="ro-RO"/>
              </w:rPr>
            </w:pPr>
            <w:r w:rsidRPr="0026385D">
              <w:rPr>
                <w:rFonts w:ascii="Times New Roman" w:hAnsi="Times New Roman" w:cs="Times New Roman"/>
                <w:b/>
                <w:bCs/>
                <w:color w:val="000000"/>
                <w:sz w:val="20"/>
                <w:szCs w:val="20"/>
                <w:lang w:val="ro-RO"/>
              </w:rPr>
              <w:t>2024</w:t>
            </w:r>
          </w:p>
        </w:tc>
        <w:tc>
          <w:tcPr>
            <w:tcW w:w="367" w:type="pct"/>
            <w:vMerge w:val="restart"/>
            <w:shd w:val="clear" w:color="auto" w:fill="E2EFD9" w:themeFill="accent6" w:themeFillTint="33"/>
            <w:vAlign w:val="center"/>
          </w:tcPr>
          <w:p w14:paraId="0C428E1E" w14:textId="029A6FB2" w:rsidR="00590EBE" w:rsidRPr="00590EBE" w:rsidRDefault="00590EBE" w:rsidP="00A42EBB">
            <w:pPr>
              <w:spacing w:after="0"/>
              <w:jc w:val="center"/>
              <w:rPr>
                <w:rFonts w:ascii="Times New Roman" w:hAnsi="Times New Roman" w:cs="Times New Roman"/>
                <w:b/>
                <w:bCs/>
                <w:color w:val="000000"/>
                <w:sz w:val="20"/>
                <w:szCs w:val="20"/>
                <w:lang w:val="ro-RO"/>
              </w:rPr>
            </w:pPr>
            <w:r w:rsidRPr="00590EBE">
              <w:rPr>
                <w:rFonts w:ascii="Times New Roman" w:hAnsi="Times New Roman" w:cs="Times New Roman"/>
                <w:b/>
                <w:bCs/>
                <w:color w:val="000000"/>
                <w:sz w:val="20"/>
                <w:szCs w:val="20"/>
                <w:lang w:val="ro-RO"/>
              </w:rPr>
              <w:t>Total</w:t>
            </w:r>
          </w:p>
        </w:tc>
      </w:tr>
      <w:tr w:rsidR="00590EBE" w:rsidRPr="00FA3E89" w14:paraId="2310D620" w14:textId="7052D975" w:rsidTr="005914F1">
        <w:trPr>
          <w:trHeight w:val="67"/>
          <w:jc w:val="center"/>
        </w:trPr>
        <w:tc>
          <w:tcPr>
            <w:tcW w:w="1999" w:type="pct"/>
            <w:vMerge/>
            <w:shd w:val="clear" w:color="auto" w:fill="E2EFD9" w:themeFill="accent6" w:themeFillTint="33"/>
            <w:noWrap/>
            <w:vAlign w:val="center"/>
          </w:tcPr>
          <w:p w14:paraId="2D9DAAAC" w14:textId="77777777" w:rsidR="00590EBE" w:rsidRPr="0026385D" w:rsidRDefault="00590EBE" w:rsidP="00A42EBB">
            <w:pPr>
              <w:spacing w:after="0"/>
              <w:rPr>
                <w:rFonts w:ascii="Times New Roman" w:hAnsi="Times New Roman" w:cs="Times New Roman"/>
                <w:b/>
                <w:bCs/>
                <w:color w:val="000000"/>
                <w:sz w:val="20"/>
                <w:szCs w:val="20"/>
                <w:lang w:val="ro-RO"/>
              </w:rPr>
            </w:pPr>
          </w:p>
        </w:tc>
        <w:tc>
          <w:tcPr>
            <w:tcW w:w="346" w:type="pct"/>
            <w:tcBorders>
              <w:bottom w:val="single" w:sz="4" w:space="0" w:color="auto"/>
            </w:tcBorders>
            <w:shd w:val="clear" w:color="auto" w:fill="E2EFD9" w:themeFill="accent6" w:themeFillTint="33"/>
            <w:noWrap/>
            <w:vAlign w:val="center"/>
          </w:tcPr>
          <w:p w14:paraId="7DECE1E2" w14:textId="77777777" w:rsidR="00590EBE" w:rsidRPr="0026385D" w:rsidRDefault="00590EBE" w:rsidP="00A42EBB">
            <w:pPr>
              <w:spacing w:after="0"/>
              <w:jc w:val="center"/>
              <w:rPr>
                <w:rFonts w:ascii="Times New Roman" w:hAnsi="Times New Roman" w:cs="Times New Roman"/>
                <w:b/>
                <w:bCs/>
                <w:color w:val="000000"/>
                <w:sz w:val="20"/>
                <w:szCs w:val="20"/>
                <w:lang w:val="ro-RO"/>
              </w:rPr>
            </w:pPr>
            <w:r w:rsidRPr="0026385D">
              <w:rPr>
                <w:rFonts w:ascii="Times New Roman" w:hAnsi="Times New Roman" w:cs="Times New Roman"/>
                <w:b/>
                <w:bCs/>
                <w:color w:val="000000"/>
                <w:sz w:val="20"/>
                <w:szCs w:val="20"/>
                <w:lang w:val="ro-RO"/>
              </w:rPr>
              <w:t>Oct</w:t>
            </w:r>
          </w:p>
        </w:tc>
        <w:tc>
          <w:tcPr>
            <w:tcW w:w="396" w:type="pct"/>
            <w:tcBorders>
              <w:bottom w:val="single" w:sz="4" w:space="0" w:color="auto"/>
            </w:tcBorders>
            <w:shd w:val="clear" w:color="auto" w:fill="E2EFD9" w:themeFill="accent6" w:themeFillTint="33"/>
            <w:noWrap/>
            <w:vAlign w:val="center"/>
          </w:tcPr>
          <w:p w14:paraId="03A29144" w14:textId="17F99D59" w:rsidR="00590EBE" w:rsidRPr="0026385D" w:rsidRDefault="00590EBE" w:rsidP="009439AC">
            <w:pPr>
              <w:spacing w:after="0"/>
              <w:jc w:val="center"/>
              <w:rPr>
                <w:rFonts w:ascii="Times New Roman" w:hAnsi="Times New Roman" w:cs="Times New Roman"/>
                <w:b/>
                <w:bCs/>
                <w:color w:val="000000"/>
                <w:sz w:val="20"/>
                <w:szCs w:val="20"/>
                <w:lang w:val="ro-RO"/>
              </w:rPr>
            </w:pPr>
            <w:r w:rsidRPr="0026385D">
              <w:rPr>
                <w:rFonts w:ascii="Times New Roman" w:hAnsi="Times New Roman" w:cs="Times New Roman"/>
                <w:b/>
                <w:bCs/>
                <w:color w:val="000000"/>
                <w:sz w:val="20"/>
                <w:szCs w:val="20"/>
                <w:lang w:val="ro-RO"/>
              </w:rPr>
              <w:t>Nov</w:t>
            </w:r>
          </w:p>
        </w:tc>
        <w:tc>
          <w:tcPr>
            <w:tcW w:w="384" w:type="pct"/>
            <w:tcBorders>
              <w:bottom w:val="single" w:sz="4" w:space="0" w:color="auto"/>
            </w:tcBorders>
            <w:shd w:val="clear" w:color="auto" w:fill="E2EFD9" w:themeFill="accent6" w:themeFillTint="33"/>
            <w:noWrap/>
            <w:vAlign w:val="center"/>
          </w:tcPr>
          <w:p w14:paraId="0EABA26A" w14:textId="77777777" w:rsidR="00590EBE" w:rsidRPr="0026385D" w:rsidRDefault="00590EBE" w:rsidP="00A42EBB">
            <w:pPr>
              <w:spacing w:after="0"/>
              <w:jc w:val="center"/>
              <w:rPr>
                <w:rFonts w:ascii="Times New Roman" w:hAnsi="Times New Roman" w:cs="Times New Roman"/>
                <w:b/>
                <w:bCs/>
                <w:color w:val="000000"/>
                <w:sz w:val="20"/>
                <w:szCs w:val="20"/>
                <w:lang w:val="ro-RO"/>
              </w:rPr>
            </w:pPr>
            <w:r w:rsidRPr="0026385D">
              <w:rPr>
                <w:rFonts w:ascii="Times New Roman" w:hAnsi="Times New Roman" w:cs="Times New Roman"/>
                <w:b/>
                <w:bCs/>
                <w:color w:val="000000"/>
                <w:sz w:val="20"/>
                <w:szCs w:val="20"/>
                <w:lang w:val="ro-RO"/>
              </w:rPr>
              <w:t>Dec</w:t>
            </w:r>
          </w:p>
        </w:tc>
        <w:tc>
          <w:tcPr>
            <w:tcW w:w="383" w:type="pct"/>
            <w:tcBorders>
              <w:bottom w:val="single" w:sz="4" w:space="0" w:color="auto"/>
            </w:tcBorders>
            <w:shd w:val="clear" w:color="auto" w:fill="E2EFD9" w:themeFill="accent6" w:themeFillTint="33"/>
            <w:noWrap/>
            <w:vAlign w:val="center"/>
          </w:tcPr>
          <w:p w14:paraId="698285A3" w14:textId="77777777" w:rsidR="00590EBE" w:rsidRPr="0026385D" w:rsidRDefault="00590EBE" w:rsidP="00A42EBB">
            <w:pPr>
              <w:spacing w:after="0"/>
              <w:jc w:val="center"/>
              <w:rPr>
                <w:rFonts w:ascii="Times New Roman" w:hAnsi="Times New Roman" w:cs="Times New Roman"/>
                <w:b/>
                <w:bCs/>
                <w:color w:val="000000"/>
                <w:sz w:val="20"/>
                <w:szCs w:val="20"/>
                <w:lang w:val="ro-RO"/>
              </w:rPr>
            </w:pPr>
            <w:r w:rsidRPr="0026385D">
              <w:rPr>
                <w:rFonts w:ascii="Times New Roman" w:hAnsi="Times New Roman" w:cs="Times New Roman"/>
                <w:b/>
                <w:bCs/>
                <w:color w:val="000000"/>
                <w:sz w:val="20"/>
                <w:szCs w:val="20"/>
                <w:lang w:val="ro-RO"/>
              </w:rPr>
              <w:t>Ian</w:t>
            </w:r>
          </w:p>
        </w:tc>
        <w:tc>
          <w:tcPr>
            <w:tcW w:w="383" w:type="pct"/>
            <w:tcBorders>
              <w:bottom w:val="single" w:sz="4" w:space="0" w:color="auto"/>
            </w:tcBorders>
            <w:shd w:val="clear" w:color="auto" w:fill="E2EFD9" w:themeFill="accent6" w:themeFillTint="33"/>
            <w:noWrap/>
            <w:vAlign w:val="center"/>
          </w:tcPr>
          <w:p w14:paraId="4F4DA2D8" w14:textId="77777777" w:rsidR="00590EBE" w:rsidRPr="0026385D" w:rsidRDefault="00590EBE" w:rsidP="00A42EBB">
            <w:pPr>
              <w:spacing w:after="0"/>
              <w:jc w:val="center"/>
              <w:rPr>
                <w:rFonts w:ascii="Times New Roman" w:hAnsi="Times New Roman" w:cs="Times New Roman"/>
                <w:b/>
                <w:bCs/>
                <w:color w:val="000000"/>
                <w:sz w:val="20"/>
                <w:szCs w:val="20"/>
                <w:lang w:val="ro-RO"/>
              </w:rPr>
            </w:pPr>
            <w:r w:rsidRPr="0026385D">
              <w:rPr>
                <w:rFonts w:ascii="Times New Roman" w:hAnsi="Times New Roman" w:cs="Times New Roman"/>
                <w:b/>
                <w:bCs/>
                <w:color w:val="000000"/>
                <w:sz w:val="20"/>
                <w:szCs w:val="20"/>
                <w:lang w:val="ro-RO"/>
              </w:rPr>
              <w:t>Feb</w:t>
            </w:r>
          </w:p>
        </w:tc>
        <w:tc>
          <w:tcPr>
            <w:tcW w:w="383" w:type="pct"/>
            <w:tcBorders>
              <w:bottom w:val="single" w:sz="4" w:space="0" w:color="auto"/>
            </w:tcBorders>
            <w:shd w:val="clear" w:color="auto" w:fill="E2EFD9" w:themeFill="accent6" w:themeFillTint="33"/>
            <w:noWrap/>
            <w:vAlign w:val="center"/>
          </w:tcPr>
          <w:p w14:paraId="706D1022" w14:textId="77777777" w:rsidR="00590EBE" w:rsidRPr="0026385D" w:rsidRDefault="00590EBE" w:rsidP="00A42EBB">
            <w:pPr>
              <w:spacing w:after="0"/>
              <w:jc w:val="center"/>
              <w:rPr>
                <w:rFonts w:ascii="Times New Roman" w:hAnsi="Times New Roman" w:cs="Times New Roman"/>
                <w:b/>
                <w:bCs/>
                <w:color w:val="000000"/>
                <w:sz w:val="20"/>
                <w:szCs w:val="20"/>
                <w:lang w:val="ro-RO"/>
              </w:rPr>
            </w:pPr>
            <w:r w:rsidRPr="0026385D">
              <w:rPr>
                <w:rFonts w:ascii="Times New Roman" w:hAnsi="Times New Roman" w:cs="Times New Roman"/>
                <w:b/>
                <w:bCs/>
                <w:color w:val="000000"/>
                <w:sz w:val="20"/>
                <w:szCs w:val="20"/>
                <w:lang w:val="ro-RO"/>
              </w:rPr>
              <w:t>Mar</w:t>
            </w:r>
          </w:p>
        </w:tc>
        <w:tc>
          <w:tcPr>
            <w:tcW w:w="359" w:type="pct"/>
            <w:tcBorders>
              <w:bottom w:val="single" w:sz="4" w:space="0" w:color="auto"/>
            </w:tcBorders>
            <w:shd w:val="clear" w:color="auto" w:fill="E2EFD9" w:themeFill="accent6" w:themeFillTint="33"/>
          </w:tcPr>
          <w:p w14:paraId="3C481636" w14:textId="213C2318" w:rsidR="00590EBE" w:rsidRPr="0026385D" w:rsidRDefault="00590EBE" w:rsidP="00A42EBB">
            <w:pPr>
              <w:spacing w:after="0"/>
              <w:jc w:val="center"/>
              <w:rPr>
                <w:rFonts w:ascii="Times New Roman" w:hAnsi="Times New Roman" w:cs="Times New Roman"/>
                <w:b/>
                <w:bCs/>
                <w:color w:val="000000"/>
                <w:sz w:val="20"/>
                <w:szCs w:val="20"/>
                <w:lang w:val="ro-RO"/>
              </w:rPr>
            </w:pPr>
            <w:r w:rsidRPr="0026385D">
              <w:rPr>
                <w:rFonts w:ascii="Times New Roman" w:hAnsi="Times New Roman" w:cs="Times New Roman"/>
                <w:b/>
                <w:bCs/>
                <w:color w:val="000000"/>
                <w:sz w:val="20"/>
                <w:szCs w:val="20"/>
                <w:lang w:val="ro-RO"/>
              </w:rPr>
              <w:t>Apr</w:t>
            </w:r>
          </w:p>
        </w:tc>
        <w:tc>
          <w:tcPr>
            <w:tcW w:w="367" w:type="pct"/>
            <w:vMerge/>
            <w:tcBorders>
              <w:bottom w:val="single" w:sz="4" w:space="0" w:color="auto"/>
            </w:tcBorders>
            <w:shd w:val="clear" w:color="auto" w:fill="E2EFD9" w:themeFill="accent6" w:themeFillTint="33"/>
          </w:tcPr>
          <w:p w14:paraId="356D3F10" w14:textId="77777777" w:rsidR="00590EBE" w:rsidRPr="00590EBE" w:rsidRDefault="00590EBE" w:rsidP="00A42EBB">
            <w:pPr>
              <w:spacing w:after="0"/>
              <w:jc w:val="center"/>
              <w:rPr>
                <w:rFonts w:ascii="Times New Roman" w:hAnsi="Times New Roman" w:cs="Times New Roman"/>
                <w:b/>
                <w:bCs/>
                <w:color w:val="000000"/>
                <w:sz w:val="20"/>
                <w:szCs w:val="20"/>
                <w:lang w:val="ro-RO"/>
              </w:rPr>
            </w:pPr>
          </w:p>
        </w:tc>
      </w:tr>
      <w:tr w:rsidR="00590EBE" w:rsidRPr="00FA3E89" w14:paraId="4A2E181B" w14:textId="3B190F78" w:rsidTr="000904E2">
        <w:trPr>
          <w:trHeight w:val="229"/>
          <w:jc w:val="center"/>
        </w:trPr>
        <w:tc>
          <w:tcPr>
            <w:tcW w:w="1999" w:type="pct"/>
            <w:shd w:val="clear" w:color="auto" w:fill="E2EFD9" w:themeFill="accent6" w:themeFillTint="33"/>
            <w:noWrap/>
            <w:vAlign w:val="center"/>
            <w:hideMark/>
          </w:tcPr>
          <w:p w14:paraId="57F34125" w14:textId="77777777" w:rsidR="00590EBE" w:rsidRPr="00FA3E89" w:rsidRDefault="00590EBE" w:rsidP="00590EBE">
            <w:pPr>
              <w:spacing w:after="0"/>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lang w:val="ro-RO"/>
              </w:rPr>
              <w:t>Consumatori casnici</w:t>
            </w:r>
          </w:p>
        </w:tc>
        <w:tc>
          <w:tcPr>
            <w:tcW w:w="346" w:type="pct"/>
            <w:tcBorders>
              <w:top w:val="single" w:sz="4" w:space="0" w:color="auto"/>
              <w:left w:val="nil"/>
              <w:bottom w:val="single" w:sz="4" w:space="0" w:color="auto"/>
              <w:right w:val="single" w:sz="4" w:space="0" w:color="auto"/>
            </w:tcBorders>
            <w:shd w:val="clear" w:color="auto" w:fill="auto"/>
            <w:noWrap/>
            <w:vAlign w:val="bottom"/>
          </w:tcPr>
          <w:p w14:paraId="2D0DB063" w14:textId="09637F16"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rPr>
              <w:t>23.5</w:t>
            </w: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49ADD" w14:textId="490F1E92"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rPr>
              <w:t>41.3</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5BC0B" w14:textId="6414ADFD"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rPr>
              <w:t>58.8</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ABCED5" w14:textId="0863B2C8"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rPr>
              <w:t>62.7</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2AA8B4" w14:textId="73CE5D66"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rPr>
              <w:t>47.0</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6EDD0" w14:textId="4EE1FB7A"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rPr>
              <w:t>46.7</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14:paraId="0506854A" w14:textId="4E79670A" w:rsidR="00590EBE" w:rsidRPr="00590EBE" w:rsidRDefault="00590EBE" w:rsidP="00590EBE">
            <w:pPr>
              <w:spacing w:after="0"/>
              <w:jc w:val="center"/>
              <w:rPr>
                <w:rFonts w:ascii="Times New Roman" w:hAnsi="Times New Roman" w:cs="Times New Roman"/>
                <w:color w:val="000000"/>
                <w:sz w:val="20"/>
                <w:szCs w:val="20"/>
                <w:lang w:val="ro-RO"/>
              </w:rPr>
            </w:pPr>
            <w:r w:rsidRPr="00590EBE">
              <w:rPr>
                <w:rFonts w:ascii="Times New Roman" w:hAnsi="Times New Roman" w:cs="Times New Roman"/>
                <w:color w:val="000000"/>
                <w:sz w:val="20"/>
                <w:szCs w:val="20"/>
              </w:rPr>
              <w:t>20.2</w:t>
            </w:r>
          </w:p>
        </w:tc>
        <w:tc>
          <w:tcPr>
            <w:tcW w:w="367" w:type="pct"/>
            <w:tcBorders>
              <w:top w:val="single" w:sz="4" w:space="0" w:color="auto"/>
              <w:left w:val="nil"/>
              <w:bottom w:val="single" w:sz="4" w:space="0" w:color="auto"/>
              <w:right w:val="single" w:sz="4" w:space="0" w:color="auto"/>
            </w:tcBorders>
            <w:shd w:val="clear" w:color="auto" w:fill="auto"/>
            <w:vAlign w:val="bottom"/>
          </w:tcPr>
          <w:p w14:paraId="4B735372" w14:textId="6C7207F6" w:rsidR="00590EBE" w:rsidRPr="00590EBE" w:rsidRDefault="00590EBE" w:rsidP="00590EBE">
            <w:pPr>
              <w:spacing w:after="0"/>
              <w:jc w:val="center"/>
              <w:rPr>
                <w:rFonts w:ascii="Times New Roman" w:hAnsi="Times New Roman" w:cs="Times New Roman"/>
                <w:b/>
                <w:bCs/>
                <w:color w:val="000000"/>
                <w:sz w:val="20"/>
                <w:szCs w:val="20"/>
              </w:rPr>
            </w:pPr>
            <w:r w:rsidRPr="00590EBE">
              <w:rPr>
                <w:rFonts w:ascii="Times New Roman" w:hAnsi="Times New Roman" w:cs="Times New Roman"/>
                <w:b/>
                <w:bCs/>
                <w:color w:val="000000"/>
                <w:sz w:val="20"/>
                <w:szCs w:val="20"/>
              </w:rPr>
              <w:t>300.2</w:t>
            </w:r>
          </w:p>
        </w:tc>
      </w:tr>
      <w:tr w:rsidR="00590EBE" w:rsidRPr="00FA3E89" w14:paraId="2474EA90" w14:textId="225528FD" w:rsidTr="000904E2">
        <w:trPr>
          <w:trHeight w:val="328"/>
          <w:jc w:val="center"/>
        </w:trPr>
        <w:tc>
          <w:tcPr>
            <w:tcW w:w="1999" w:type="pct"/>
            <w:shd w:val="clear" w:color="auto" w:fill="E2EFD9" w:themeFill="accent6" w:themeFillTint="33"/>
            <w:vAlign w:val="center"/>
            <w:hideMark/>
          </w:tcPr>
          <w:p w14:paraId="655FB1F4" w14:textId="726F1611" w:rsidR="00590EBE" w:rsidRPr="00FA3E89" w:rsidRDefault="00590EBE" w:rsidP="00590EBE">
            <w:pPr>
              <w:spacing w:after="0"/>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lang w:val="ro-RO"/>
              </w:rPr>
              <w:t>Centralele electrice cu termoficare (CET) și centrale termice (CT), inclusiv:</w:t>
            </w:r>
          </w:p>
        </w:tc>
        <w:tc>
          <w:tcPr>
            <w:tcW w:w="346" w:type="pct"/>
            <w:tcBorders>
              <w:top w:val="single" w:sz="4" w:space="0" w:color="auto"/>
              <w:left w:val="nil"/>
              <w:bottom w:val="single" w:sz="4" w:space="0" w:color="auto"/>
              <w:right w:val="single" w:sz="4" w:space="0" w:color="auto"/>
            </w:tcBorders>
            <w:shd w:val="clear" w:color="auto" w:fill="auto"/>
            <w:noWrap/>
            <w:vAlign w:val="bottom"/>
          </w:tcPr>
          <w:p w14:paraId="0B09440F" w14:textId="2272BDCE"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rPr>
              <w:t>16.8</w:t>
            </w: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4A6EC" w14:textId="26E85324"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rPr>
              <w:t>53.9</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4A3C4" w14:textId="39CA549C"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rPr>
              <w:t>66.9</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0B961A" w14:textId="221CB7EB"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rPr>
              <w:t>73.9</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A65F9" w14:textId="42C884A4"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rPr>
              <w:t>66.3</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6C51E" w14:textId="2195725A"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rPr>
              <w:t>58.4</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14:paraId="7A8B6D40" w14:textId="7D50BA50" w:rsidR="00590EBE" w:rsidRPr="00590EBE" w:rsidRDefault="00590EBE" w:rsidP="00590EBE">
            <w:pPr>
              <w:spacing w:after="0"/>
              <w:jc w:val="center"/>
              <w:rPr>
                <w:rFonts w:ascii="Times New Roman" w:hAnsi="Times New Roman" w:cs="Times New Roman"/>
                <w:color w:val="000000"/>
                <w:sz w:val="20"/>
                <w:szCs w:val="20"/>
                <w:lang w:val="ro-RO"/>
              </w:rPr>
            </w:pPr>
            <w:r w:rsidRPr="00590EBE">
              <w:rPr>
                <w:rFonts w:ascii="Times New Roman" w:hAnsi="Times New Roman" w:cs="Times New Roman"/>
                <w:color w:val="000000"/>
                <w:sz w:val="20"/>
                <w:szCs w:val="20"/>
              </w:rPr>
              <w:t>22.9</w:t>
            </w:r>
          </w:p>
        </w:tc>
        <w:tc>
          <w:tcPr>
            <w:tcW w:w="367" w:type="pct"/>
            <w:tcBorders>
              <w:top w:val="single" w:sz="4" w:space="0" w:color="auto"/>
              <w:left w:val="nil"/>
              <w:bottom w:val="single" w:sz="4" w:space="0" w:color="auto"/>
              <w:right w:val="single" w:sz="4" w:space="0" w:color="auto"/>
            </w:tcBorders>
            <w:shd w:val="clear" w:color="auto" w:fill="auto"/>
            <w:vAlign w:val="bottom"/>
          </w:tcPr>
          <w:p w14:paraId="38122CF4" w14:textId="6DA8651F" w:rsidR="00590EBE" w:rsidRPr="00590EBE" w:rsidRDefault="00590EBE" w:rsidP="00590EBE">
            <w:pPr>
              <w:spacing w:after="0"/>
              <w:jc w:val="center"/>
              <w:rPr>
                <w:rFonts w:ascii="Times New Roman" w:hAnsi="Times New Roman" w:cs="Times New Roman"/>
                <w:b/>
                <w:bCs/>
                <w:color w:val="000000"/>
                <w:sz w:val="20"/>
                <w:szCs w:val="20"/>
              </w:rPr>
            </w:pPr>
            <w:r w:rsidRPr="00590EBE">
              <w:rPr>
                <w:rFonts w:ascii="Times New Roman" w:hAnsi="Times New Roman" w:cs="Times New Roman"/>
                <w:b/>
                <w:bCs/>
                <w:color w:val="000000"/>
                <w:sz w:val="20"/>
                <w:szCs w:val="20"/>
              </w:rPr>
              <w:t>359.1</w:t>
            </w:r>
          </w:p>
        </w:tc>
      </w:tr>
      <w:tr w:rsidR="00590EBE" w:rsidRPr="00FA3E89" w14:paraId="1BFC7509" w14:textId="2C536B94" w:rsidTr="000904E2">
        <w:trPr>
          <w:trHeight w:val="85"/>
          <w:jc w:val="center"/>
        </w:trPr>
        <w:tc>
          <w:tcPr>
            <w:tcW w:w="1999" w:type="pct"/>
            <w:shd w:val="clear" w:color="auto" w:fill="E2EFD9" w:themeFill="accent6" w:themeFillTint="33"/>
            <w:vAlign w:val="center"/>
          </w:tcPr>
          <w:p w14:paraId="13B5E7CB" w14:textId="76AD2896" w:rsidR="00590EBE" w:rsidRPr="00FA3E89" w:rsidRDefault="00590EBE" w:rsidP="00586A38">
            <w:pPr>
              <w:spacing w:after="0"/>
              <w:ind w:firstLine="340"/>
              <w:rPr>
                <w:rFonts w:ascii="Times New Roman" w:hAnsi="Times New Roman" w:cs="Times New Roman"/>
                <w:color w:val="000000"/>
                <w:sz w:val="20"/>
                <w:szCs w:val="20"/>
                <w:lang w:val="ro-RO"/>
              </w:rPr>
            </w:pPr>
            <w:r w:rsidRPr="00161BFA">
              <w:rPr>
                <w:rFonts w:ascii="Times New Roman" w:eastAsia="Times New Roman" w:hAnsi="Times New Roman" w:cs="Times New Roman"/>
                <w:i/>
                <w:iCs/>
                <w:color w:val="000000"/>
                <w:sz w:val="20"/>
                <w:szCs w:val="20"/>
              </w:rPr>
              <w:t>SA „Termoelectrica”</w:t>
            </w:r>
          </w:p>
        </w:tc>
        <w:tc>
          <w:tcPr>
            <w:tcW w:w="346" w:type="pct"/>
            <w:tcBorders>
              <w:top w:val="single" w:sz="4" w:space="0" w:color="auto"/>
              <w:left w:val="nil"/>
              <w:bottom w:val="single" w:sz="4" w:space="0" w:color="auto"/>
              <w:right w:val="single" w:sz="4" w:space="0" w:color="auto"/>
            </w:tcBorders>
            <w:shd w:val="clear" w:color="auto" w:fill="auto"/>
            <w:noWrap/>
            <w:vAlign w:val="bottom"/>
          </w:tcPr>
          <w:p w14:paraId="448A20ED" w14:textId="1D08842E"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15.1</w:t>
            </w: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DF732" w14:textId="6AC38896"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46.4</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A0FD7F" w14:textId="6A5BE551"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57.5</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9E428" w14:textId="627933CF"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64.0</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22960B" w14:textId="5EC56ECE"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57.8</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2F0B9" w14:textId="5738B02C"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50.5</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14:paraId="2D39C30C" w14:textId="34CB71EF" w:rsidR="00590EBE" w:rsidRPr="00590EBE" w:rsidRDefault="00590EBE" w:rsidP="00590EBE">
            <w:pPr>
              <w:spacing w:after="0"/>
              <w:jc w:val="center"/>
              <w:rPr>
                <w:rFonts w:ascii="Times New Roman" w:hAnsi="Times New Roman" w:cs="Times New Roman"/>
                <w:color w:val="000000"/>
                <w:sz w:val="20"/>
                <w:szCs w:val="20"/>
                <w:lang w:val="ro-RO"/>
              </w:rPr>
            </w:pPr>
            <w:r w:rsidRPr="00590EBE">
              <w:rPr>
                <w:rFonts w:ascii="Times New Roman" w:hAnsi="Times New Roman" w:cs="Times New Roman"/>
                <w:i/>
                <w:iCs/>
                <w:color w:val="000000"/>
                <w:sz w:val="20"/>
                <w:szCs w:val="20"/>
              </w:rPr>
              <w:t>21.1</w:t>
            </w:r>
          </w:p>
        </w:tc>
        <w:tc>
          <w:tcPr>
            <w:tcW w:w="367" w:type="pct"/>
            <w:tcBorders>
              <w:top w:val="single" w:sz="4" w:space="0" w:color="auto"/>
              <w:left w:val="nil"/>
              <w:bottom w:val="single" w:sz="4" w:space="0" w:color="auto"/>
              <w:right w:val="single" w:sz="4" w:space="0" w:color="auto"/>
            </w:tcBorders>
            <w:shd w:val="clear" w:color="auto" w:fill="auto"/>
            <w:vAlign w:val="bottom"/>
          </w:tcPr>
          <w:p w14:paraId="1752C590" w14:textId="703C40BB" w:rsidR="00590EBE" w:rsidRPr="00590EBE" w:rsidRDefault="00590EBE" w:rsidP="00590EBE">
            <w:pPr>
              <w:spacing w:after="0"/>
              <w:jc w:val="center"/>
              <w:rPr>
                <w:rFonts w:ascii="Times New Roman" w:hAnsi="Times New Roman" w:cs="Times New Roman"/>
                <w:i/>
                <w:iCs/>
                <w:color w:val="000000"/>
                <w:sz w:val="20"/>
                <w:szCs w:val="20"/>
              </w:rPr>
            </w:pPr>
            <w:r w:rsidRPr="00590EBE">
              <w:rPr>
                <w:rFonts w:ascii="Times New Roman" w:hAnsi="Times New Roman" w:cs="Times New Roman"/>
                <w:color w:val="000000"/>
                <w:sz w:val="20"/>
                <w:szCs w:val="20"/>
              </w:rPr>
              <w:t>312.4</w:t>
            </w:r>
          </w:p>
        </w:tc>
      </w:tr>
      <w:tr w:rsidR="00590EBE" w:rsidRPr="00FA3E89" w14:paraId="37116674" w14:textId="5D71F303" w:rsidTr="000904E2">
        <w:trPr>
          <w:trHeight w:val="184"/>
          <w:jc w:val="center"/>
        </w:trPr>
        <w:tc>
          <w:tcPr>
            <w:tcW w:w="1999" w:type="pct"/>
            <w:shd w:val="clear" w:color="auto" w:fill="E2EFD9" w:themeFill="accent6" w:themeFillTint="33"/>
            <w:vAlign w:val="center"/>
          </w:tcPr>
          <w:p w14:paraId="2098AEC3" w14:textId="77BF565A" w:rsidR="00590EBE" w:rsidRPr="00FA3E89" w:rsidRDefault="00590EBE" w:rsidP="00586A38">
            <w:pPr>
              <w:spacing w:after="0"/>
              <w:ind w:firstLine="340"/>
              <w:rPr>
                <w:rFonts w:ascii="Times New Roman" w:hAnsi="Times New Roman" w:cs="Times New Roman"/>
                <w:color w:val="000000"/>
                <w:sz w:val="20"/>
                <w:szCs w:val="20"/>
                <w:lang w:val="ro-RO"/>
              </w:rPr>
            </w:pPr>
            <w:r w:rsidRPr="00161BFA">
              <w:rPr>
                <w:rFonts w:ascii="Times New Roman" w:eastAsia="Times New Roman" w:hAnsi="Times New Roman" w:cs="Times New Roman"/>
                <w:i/>
                <w:iCs/>
                <w:color w:val="000000"/>
                <w:sz w:val="20"/>
                <w:szCs w:val="20"/>
              </w:rPr>
              <w:t>SA „CET-Nord”</w:t>
            </w:r>
          </w:p>
        </w:tc>
        <w:tc>
          <w:tcPr>
            <w:tcW w:w="346" w:type="pct"/>
            <w:tcBorders>
              <w:top w:val="single" w:sz="4" w:space="0" w:color="auto"/>
              <w:left w:val="nil"/>
              <w:bottom w:val="single" w:sz="4" w:space="0" w:color="auto"/>
              <w:right w:val="single" w:sz="4" w:space="0" w:color="auto"/>
            </w:tcBorders>
            <w:shd w:val="clear" w:color="auto" w:fill="auto"/>
            <w:noWrap/>
            <w:vAlign w:val="bottom"/>
          </w:tcPr>
          <w:p w14:paraId="1C752816" w14:textId="7BDEB184"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1.5</w:t>
            </w: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FA523" w14:textId="294D1109"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6.2</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BF250E" w14:textId="0C935852"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7.9</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D4ECB" w14:textId="0BAFF14C"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8.5</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4B13F" w14:textId="77C8AA3A"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7.1</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06CDD" w14:textId="6837670F"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6.7</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14:paraId="07ED5638" w14:textId="30798B2F" w:rsidR="00590EBE" w:rsidRPr="00590EBE" w:rsidRDefault="00590EBE" w:rsidP="00590EBE">
            <w:pPr>
              <w:spacing w:after="0"/>
              <w:jc w:val="center"/>
              <w:rPr>
                <w:rFonts w:ascii="Times New Roman" w:hAnsi="Times New Roman" w:cs="Times New Roman"/>
                <w:color w:val="000000"/>
                <w:sz w:val="20"/>
                <w:szCs w:val="20"/>
                <w:lang w:val="ro-RO"/>
              </w:rPr>
            </w:pPr>
            <w:r w:rsidRPr="00590EBE">
              <w:rPr>
                <w:rFonts w:ascii="Times New Roman" w:hAnsi="Times New Roman" w:cs="Times New Roman"/>
                <w:i/>
                <w:iCs/>
                <w:color w:val="000000"/>
                <w:sz w:val="20"/>
                <w:szCs w:val="20"/>
              </w:rPr>
              <w:t>1.6</w:t>
            </w:r>
          </w:p>
        </w:tc>
        <w:tc>
          <w:tcPr>
            <w:tcW w:w="367" w:type="pct"/>
            <w:tcBorders>
              <w:top w:val="single" w:sz="4" w:space="0" w:color="auto"/>
              <w:left w:val="nil"/>
              <w:bottom w:val="single" w:sz="4" w:space="0" w:color="auto"/>
              <w:right w:val="single" w:sz="4" w:space="0" w:color="auto"/>
            </w:tcBorders>
            <w:shd w:val="clear" w:color="auto" w:fill="auto"/>
            <w:vAlign w:val="bottom"/>
          </w:tcPr>
          <w:p w14:paraId="7784A1CA" w14:textId="528C4A7B" w:rsidR="00590EBE" w:rsidRPr="00590EBE" w:rsidRDefault="00590EBE" w:rsidP="00590EBE">
            <w:pPr>
              <w:spacing w:after="0"/>
              <w:jc w:val="center"/>
              <w:rPr>
                <w:rFonts w:ascii="Times New Roman" w:hAnsi="Times New Roman" w:cs="Times New Roman"/>
                <w:i/>
                <w:iCs/>
                <w:color w:val="000000"/>
                <w:sz w:val="20"/>
                <w:szCs w:val="20"/>
              </w:rPr>
            </w:pPr>
            <w:r w:rsidRPr="00590EBE">
              <w:rPr>
                <w:rFonts w:ascii="Times New Roman" w:hAnsi="Times New Roman" w:cs="Times New Roman"/>
                <w:color w:val="000000"/>
                <w:sz w:val="20"/>
                <w:szCs w:val="20"/>
              </w:rPr>
              <w:t>39.5</w:t>
            </w:r>
          </w:p>
        </w:tc>
      </w:tr>
      <w:tr w:rsidR="00590EBE" w:rsidRPr="00FA3E89" w14:paraId="2E99CCF5" w14:textId="363FAB35" w:rsidTr="000904E2">
        <w:trPr>
          <w:trHeight w:val="50"/>
          <w:jc w:val="center"/>
        </w:trPr>
        <w:tc>
          <w:tcPr>
            <w:tcW w:w="1999" w:type="pct"/>
            <w:shd w:val="clear" w:color="auto" w:fill="E2EFD9" w:themeFill="accent6" w:themeFillTint="33"/>
            <w:vAlign w:val="center"/>
          </w:tcPr>
          <w:p w14:paraId="481DB60E" w14:textId="4BE1ECB2" w:rsidR="00590EBE" w:rsidRPr="00FA3E89" w:rsidRDefault="00590EBE" w:rsidP="00586A38">
            <w:pPr>
              <w:spacing w:after="0"/>
              <w:ind w:firstLine="340"/>
              <w:rPr>
                <w:rFonts w:ascii="Times New Roman" w:hAnsi="Times New Roman" w:cs="Times New Roman"/>
                <w:color w:val="000000"/>
                <w:sz w:val="20"/>
                <w:szCs w:val="20"/>
                <w:lang w:val="ro-RO"/>
              </w:rPr>
            </w:pPr>
            <w:r w:rsidRPr="00161BFA">
              <w:rPr>
                <w:rFonts w:ascii="Times New Roman" w:eastAsia="Times New Roman" w:hAnsi="Times New Roman" w:cs="Times New Roman"/>
                <w:i/>
                <w:iCs/>
                <w:color w:val="000000"/>
                <w:sz w:val="20"/>
                <w:szCs w:val="20"/>
              </w:rPr>
              <w:t>Centrale termice regionale</w:t>
            </w:r>
          </w:p>
        </w:tc>
        <w:tc>
          <w:tcPr>
            <w:tcW w:w="346" w:type="pct"/>
            <w:tcBorders>
              <w:top w:val="single" w:sz="4" w:space="0" w:color="auto"/>
              <w:left w:val="nil"/>
              <w:bottom w:val="single" w:sz="4" w:space="0" w:color="auto"/>
              <w:right w:val="single" w:sz="4" w:space="0" w:color="auto"/>
            </w:tcBorders>
            <w:shd w:val="clear" w:color="auto" w:fill="auto"/>
            <w:noWrap/>
            <w:vAlign w:val="bottom"/>
          </w:tcPr>
          <w:p w14:paraId="36DDFFC4" w14:textId="41DD50A8"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0.2</w:t>
            </w: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A9E362" w14:textId="626C1AEA"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1.3</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8516FE" w14:textId="685173B3"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1.5</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FF9CD" w14:textId="17D07B10"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1.4</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ED3C3" w14:textId="340DD0E8"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1.4</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EB2B7" w14:textId="111421AF"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1.2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14:paraId="711ADCE9" w14:textId="4C5D0267" w:rsidR="00590EBE" w:rsidRPr="00590EBE" w:rsidRDefault="00590EBE" w:rsidP="00590EBE">
            <w:pPr>
              <w:spacing w:after="0"/>
              <w:jc w:val="center"/>
              <w:rPr>
                <w:rFonts w:ascii="Times New Roman" w:hAnsi="Times New Roman" w:cs="Times New Roman"/>
                <w:color w:val="000000"/>
                <w:sz w:val="20"/>
                <w:szCs w:val="20"/>
                <w:lang w:val="ro-RO"/>
              </w:rPr>
            </w:pPr>
            <w:r w:rsidRPr="00590EBE">
              <w:rPr>
                <w:rFonts w:ascii="Times New Roman" w:hAnsi="Times New Roman" w:cs="Times New Roman"/>
                <w:i/>
                <w:iCs/>
                <w:color w:val="000000"/>
                <w:sz w:val="20"/>
                <w:szCs w:val="20"/>
              </w:rPr>
              <w:t>0.2</w:t>
            </w:r>
          </w:p>
        </w:tc>
        <w:tc>
          <w:tcPr>
            <w:tcW w:w="367" w:type="pct"/>
            <w:tcBorders>
              <w:top w:val="single" w:sz="4" w:space="0" w:color="auto"/>
              <w:left w:val="nil"/>
              <w:bottom w:val="single" w:sz="4" w:space="0" w:color="auto"/>
              <w:right w:val="single" w:sz="4" w:space="0" w:color="auto"/>
            </w:tcBorders>
            <w:shd w:val="clear" w:color="auto" w:fill="auto"/>
            <w:vAlign w:val="bottom"/>
          </w:tcPr>
          <w:p w14:paraId="4397EE97" w14:textId="6B1236F5" w:rsidR="00590EBE" w:rsidRPr="00590EBE" w:rsidRDefault="00590EBE" w:rsidP="00590EBE">
            <w:pPr>
              <w:spacing w:after="0"/>
              <w:jc w:val="center"/>
              <w:rPr>
                <w:rFonts w:ascii="Times New Roman" w:hAnsi="Times New Roman" w:cs="Times New Roman"/>
                <w:i/>
                <w:iCs/>
                <w:color w:val="000000"/>
                <w:sz w:val="20"/>
                <w:szCs w:val="20"/>
              </w:rPr>
            </w:pPr>
            <w:r w:rsidRPr="00590EBE">
              <w:rPr>
                <w:rFonts w:ascii="Times New Roman" w:hAnsi="Times New Roman" w:cs="Times New Roman"/>
                <w:color w:val="000000"/>
                <w:sz w:val="20"/>
                <w:szCs w:val="20"/>
              </w:rPr>
              <w:t>7.2</w:t>
            </w:r>
          </w:p>
        </w:tc>
      </w:tr>
      <w:tr w:rsidR="00590EBE" w:rsidRPr="00FA3E89" w14:paraId="1B72EB95" w14:textId="36A8E4A2" w:rsidTr="000904E2">
        <w:trPr>
          <w:trHeight w:val="220"/>
          <w:jc w:val="center"/>
        </w:trPr>
        <w:tc>
          <w:tcPr>
            <w:tcW w:w="1999" w:type="pct"/>
            <w:shd w:val="clear" w:color="auto" w:fill="E2EFD9" w:themeFill="accent6" w:themeFillTint="33"/>
            <w:noWrap/>
            <w:vAlign w:val="center"/>
            <w:hideMark/>
          </w:tcPr>
          <w:p w14:paraId="2F75F49D" w14:textId="77777777" w:rsidR="00590EBE" w:rsidRPr="00FA3E89" w:rsidRDefault="00590EBE" w:rsidP="00590EBE">
            <w:pPr>
              <w:spacing w:after="0"/>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lang w:val="ro-RO"/>
              </w:rPr>
              <w:t>Instituții bugetare</w:t>
            </w:r>
          </w:p>
        </w:tc>
        <w:tc>
          <w:tcPr>
            <w:tcW w:w="346" w:type="pct"/>
            <w:tcBorders>
              <w:top w:val="single" w:sz="4" w:space="0" w:color="auto"/>
              <w:left w:val="nil"/>
              <w:bottom w:val="single" w:sz="4" w:space="0" w:color="auto"/>
              <w:right w:val="single" w:sz="4" w:space="0" w:color="auto"/>
            </w:tcBorders>
            <w:shd w:val="clear" w:color="auto" w:fill="auto"/>
            <w:noWrap/>
            <w:vAlign w:val="bottom"/>
          </w:tcPr>
          <w:p w14:paraId="3B23F438" w14:textId="2731FC5E"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1.7</w:t>
            </w: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CE8B3" w14:textId="43AB588C"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6.4</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580B7F" w14:textId="1F70C7C1"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8.5</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BDD356" w14:textId="44AC093C"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8.8</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618007" w14:textId="16EB1FA3"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7.8</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797B10" w14:textId="552965B6"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6.3</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14:paraId="46DF819D" w14:textId="302FEB7B" w:rsidR="00590EBE" w:rsidRPr="00590EBE" w:rsidRDefault="00590EBE" w:rsidP="00590EBE">
            <w:pPr>
              <w:spacing w:after="0"/>
              <w:jc w:val="center"/>
              <w:rPr>
                <w:rFonts w:ascii="Times New Roman" w:hAnsi="Times New Roman" w:cs="Times New Roman"/>
                <w:color w:val="000000"/>
                <w:sz w:val="20"/>
                <w:szCs w:val="20"/>
                <w:lang w:val="ro-RO"/>
              </w:rPr>
            </w:pPr>
            <w:r w:rsidRPr="00590EBE">
              <w:rPr>
                <w:rFonts w:ascii="Times New Roman" w:hAnsi="Times New Roman" w:cs="Times New Roman"/>
                <w:i/>
                <w:iCs/>
                <w:color w:val="000000"/>
                <w:sz w:val="20"/>
                <w:szCs w:val="20"/>
              </w:rPr>
              <w:t>2.5</w:t>
            </w:r>
          </w:p>
        </w:tc>
        <w:tc>
          <w:tcPr>
            <w:tcW w:w="367" w:type="pct"/>
            <w:tcBorders>
              <w:top w:val="single" w:sz="4" w:space="0" w:color="auto"/>
              <w:left w:val="nil"/>
              <w:bottom w:val="single" w:sz="4" w:space="0" w:color="auto"/>
              <w:right w:val="single" w:sz="4" w:space="0" w:color="auto"/>
            </w:tcBorders>
            <w:shd w:val="clear" w:color="auto" w:fill="auto"/>
            <w:vAlign w:val="bottom"/>
          </w:tcPr>
          <w:p w14:paraId="0857E329" w14:textId="34D352E2" w:rsidR="00590EBE" w:rsidRPr="00590EBE" w:rsidRDefault="00590EBE" w:rsidP="00590EBE">
            <w:pPr>
              <w:spacing w:after="0"/>
              <w:jc w:val="center"/>
              <w:rPr>
                <w:rFonts w:ascii="Times New Roman" w:hAnsi="Times New Roman" w:cs="Times New Roman"/>
                <w:b/>
                <w:bCs/>
                <w:i/>
                <w:iCs/>
                <w:color w:val="000000"/>
                <w:sz w:val="20"/>
                <w:szCs w:val="20"/>
              </w:rPr>
            </w:pPr>
            <w:r w:rsidRPr="00590EBE">
              <w:rPr>
                <w:rFonts w:ascii="Times New Roman" w:hAnsi="Times New Roman" w:cs="Times New Roman"/>
                <w:b/>
                <w:bCs/>
                <w:color w:val="000000"/>
                <w:sz w:val="20"/>
                <w:szCs w:val="20"/>
              </w:rPr>
              <w:t>42</w:t>
            </w:r>
          </w:p>
        </w:tc>
      </w:tr>
      <w:tr w:rsidR="00590EBE" w:rsidRPr="00FA3E89" w14:paraId="6B020C30" w14:textId="2EB25A3C" w:rsidTr="000904E2">
        <w:trPr>
          <w:trHeight w:val="50"/>
          <w:jc w:val="center"/>
        </w:trPr>
        <w:tc>
          <w:tcPr>
            <w:tcW w:w="1999" w:type="pct"/>
            <w:shd w:val="clear" w:color="auto" w:fill="E2EFD9" w:themeFill="accent6" w:themeFillTint="33"/>
            <w:noWrap/>
            <w:vAlign w:val="center"/>
            <w:hideMark/>
          </w:tcPr>
          <w:p w14:paraId="22C473A5" w14:textId="77777777" w:rsidR="00590EBE" w:rsidRPr="00FA3E89" w:rsidRDefault="00590EBE" w:rsidP="00590EBE">
            <w:pPr>
              <w:spacing w:after="0"/>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lang w:val="ro-RO"/>
              </w:rPr>
              <w:t>Industrie</w:t>
            </w:r>
          </w:p>
        </w:tc>
        <w:tc>
          <w:tcPr>
            <w:tcW w:w="346" w:type="pct"/>
            <w:tcBorders>
              <w:top w:val="single" w:sz="4" w:space="0" w:color="auto"/>
              <w:left w:val="nil"/>
              <w:bottom w:val="single" w:sz="4" w:space="0" w:color="auto"/>
              <w:right w:val="single" w:sz="4" w:space="0" w:color="auto"/>
            </w:tcBorders>
            <w:shd w:val="clear" w:color="auto" w:fill="auto"/>
            <w:noWrap/>
            <w:vAlign w:val="bottom"/>
          </w:tcPr>
          <w:p w14:paraId="74DDF5BD" w14:textId="3969AAE5"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9.7</w:t>
            </w: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944BB" w14:textId="25CDEB89"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13.8</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E7129" w14:textId="67D1A02A"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10.9</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87E05A" w14:textId="6FFA4A57"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7.4</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6BED7" w14:textId="7002D8B3"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7.5</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42D12" w14:textId="384036DA"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6.7</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14:paraId="454D2150" w14:textId="12850B5C" w:rsidR="00590EBE" w:rsidRPr="00590EBE" w:rsidRDefault="00590EBE" w:rsidP="00590EBE">
            <w:pPr>
              <w:spacing w:after="0"/>
              <w:jc w:val="center"/>
              <w:rPr>
                <w:rFonts w:ascii="Times New Roman" w:hAnsi="Times New Roman" w:cs="Times New Roman"/>
                <w:color w:val="000000"/>
                <w:sz w:val="20"/>
                <w:szCs w:val="20"/>
                <w:lang w:val="ro-RO"/>
              </w:rPr>
            </w:pPr>
            <w:r w:rsidRPr="00590EBE">
              <w:rPr>
                <w:rFonts w:ascii="Times New Roman" w:hAnsi="Times New Roman" w:cs="Times New Roman"/>
                <w:i/>
                <w:iCs/>
                <w:color w:val="000000"/>
                <w:sz w:val="20"/>
                <w:szCs w:val="20"/>
              </w:rPr>
              <w:t>6.2</w:t>
            </w:r>
          </w:p>
        </w:tc>
        <w:tc>
          <w:tcPr>
            <w:tcW w:w="367" w:type="pct"/>
            <w:tcBorders>
              <w:top w:val="single" w:sz="4" w:space="0" w:color="auto"/>
              <w:left w:val="nil"/>
              <w:bottom w:val="single" w:sz="4" w:space="0" w:color="auto"/>
              <w:right w:val="single" w:sz="4" w:space="0" w:color="auto"/>
            </w:tcBorders>
            <w:shd w:val="clear" w:color="auto" w:fill="auto"/>
            <w:vAlign w:val="bottom"/>
          </w:tcPr>
          <w:p w14:paraId="0B3C8E6F" w14:textId="2A1F87F0" w:rsidR="00590EBE" w:rsidRPr="00590EBE" w:rsidRDefault="00590EBE" w:rsidP="00590EBE">
            <w:pPr>
              <w:spacing w:after="0"/>
              <w:jc w:val="center"/>
              <w:rPr>
                <w:rFonts w:ascii="Times New Roman" w:hAnsi="Times New Roman" w:cs="Times New Roman"/>
                <w:b/>
                <w:bCs/>
                <w:i/>
                <w:iCs/>
                <w:color w:val="000000"/>
                <w:sz w:val="20"/>
                <w:szCs w:val="20"/>
              </w:rPr>
            </w:pPr>
            <w:r w:rsidRPr="00590EBE">
              <w:rPr>
                <w:rFonts w:ascii="Times New Roman" w:hAnsi="Times New Roman" w:cs="Times New Roman"/>
                <w:b/>
                <w:bCs/>
                <w:color w:val="000000"/>
                <w:sz w:val="20"/>
                <w:szCs w:val="20"/>
              </w:rPr>
              <w:t>62.2</w:t>
            </w:r>
          </w:p>
        </w:tc>
      </w:tr>
      <w:tr w:rsidR="00590EBE" w:rsidRPr="00FA3E89" w14:paraId="07289EDF" w14:textId="2D30FB9C" w:rsidTr="000904E2">
        <w:trPr>
          <w:trHeight w:val="58"/>
          <w:jc w:val="center"/>
        </w:trPr>
        <w:tc>
          <w:tcPr>
            <w:tcW w:w="1999" w:type="pct"/>
            <w:shd w:val="clear" w:color="auto" w:fill="E2EFD9" w:themeFill="accent6" w:themeFillTint="33"/>
            <w:noWrap/>
            <w:vAlign w:val="center"/>
            <w:hideMark/>
          </w:tcPr>
          <w:p w14:paraId="489A88FE" w14:textId="77777777" w:rsidR="00590EBE" w:rsidRPr="00FA3E89" w:rsidRDefault="00590EBE" w:rsidP="00590EBE">
            <w:pPr>
              <w:spacing w:after="0"/>
              <w:rPr>
                <w:rFonts w:ascii="Times New Roman" w:hAnsi="Times New Roman" w:cs="Times New Roman"/>
                <w:color w:val="000000"/>
                <w:sz w:val="20"/>
                <w:szCs w:val="20"/>
                <w:lang w:val="ro-RO"/>
              </w:rPr>
            </w:pPr>
            <w:r w:rsidRPr="00FA3E89">
              <w:rPr>
                <w:rFonts w:ascii="Times New Roman" w:hAnsi="Times New Roman" w:cs="Times New Roman"/>
                <w:color w:val="000000"/>
                <w:sz w:val="20"/>
                <w:szCs w:val="20"/>
                <w:lang w:val="ro-RO"/>
              </w:rPr>
              <w:t>Alte sectoare</w:t>
            </w:r>
          </w:p>
        </w:tc>
        <w:tc>
          <w:tcPr>
            <w:tcW w:w="346" w:type="pct"/>
            <w:tcBorders>
              <w:top w:val="single" w:sz="4" w:space="0" w:color="auto"/>
              <w:left w:val="nil"/>
              <w:bottom w:val="single" w:sz="4" w:space="0" w:color="auto"/>
              <w:right w:val="single" w:sz="4" w:space="0" w:color="auto"/>
            </w:tcBorders>
            <w:shd w:val="clear" w:color="auto" w:fill="auto"/>
            <w:noWrap/>
            <w:vAlign w:val="bottom"/>
          </w:tcPr>
          <w:p w14:paraId="639C46C7" w14:textId="15118AD0"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20.6</w:t>
            </w: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43E05" w14:textId="5D06FE7D"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19.0</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C3E14" w14:textId="705DF2B3"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26.8</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464D45" w14:textId="5F34AF71"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31.2</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F3F42" w14:textId="033B69FB"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23.7</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FAB619" w14:textId="195D7330"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i/>
                <w:iCs/>
                <w:color w:val="000000"/>
                <w:sz w:val="20"/>
                <w:szCs w:val="20"/>
              </w:rPr>
              <w:t>22.9</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14:paraId="1D4F71CF" w14:textId="3118CA56" w:rsidR="00590EBE" w:rsidRPr="00590EBE" w:rsidRDefault="00590EBE" w:rsidP="00590EBE">
            <w:pPr>
              <w:spacing w:after="0"/>
              <w:jc w:val="center"/>
              <w:rPr>
                <w:rFonts w:ascii="Times New Roman" w:hAnsi="Times New Roman" w:cs="Times New Roman"/>
                <w:color w:val="000000"/>
                <w:sz w:val="20"/>
                <w:szCs w:val="20"/>
                <w:lang w:val="ro-RO"/>
              </w:rPr>
            </w:pPr>
            <w:r w:rsidRPr="00590EBE">
              <w:rPr>
                <w:rFonts w:ascii="Times New Roman" w:hAnsi="Times New Roman" w:cs="Times New Roman"/>
                <w:i/>
                <w:iCs/>
                <w:color w:val="000000"/>
                <w:sz w:val="20"/>
                <w:szCs w:val="20"/>
              </w:rPr>
              <w:t>12.5</w:t>
            </w:r>
          </w:p>
        </w:tc>
        <w:tc>
          <w:tcPr>
            <w:tcW w:w="367" w:type="pct"/>
            <w:tcBorders>
              <w:top w:val="single" w:sz="4" w:space="0" w:color="auto"/>
              <w:left w:val="nil"/>
              <w:bottom w:val="single" w:sz="4" w:space="0" w:color="auto"/>
              <w:right w:val="single" w:sz="4" w:space="0" w:color="auto"/>
            </w:tcBorders>
            <w:shd w:val="clear" w:color="auto" w:fill="auto"/>
            <w:vAlign w:val="bottom"/>
          </w:tcPr>
          <w:p w14:paraId="4B316DDB" w14:textId="16AEC1E1" w:rsidR="00590EBE" w:rsidRPr="00590EBE" w:rsidRDefault="00590EBE" w:rsidP="00590EBE">
            <w:pPr>
              <w:spacing w:after="0"/>
              <w:jc w:val="center"/>
              <w:rPr>
                <w:rFonts w:ascii="Times New Roman" w:hAnsi="Times New Roman" w:cs="Times New Roman"/>
                <w:b/>
                <w:bCs/>
                <w:i/>
                <w:iCs/>
                <w:color w:val="000000"/>
                <w:sz w:val="20"/>
                <w:szCs w:val="20"/>
              </w:rPr>
            </w:pPr>
            <w:r w:rsidRPr="00590EBE">
              <w:rPr>
                <w:rFonts w:ascii="Times New Roman" w:hAnsi="Times New Roman" w:cs="Times New Roman"/>
                <w:b/>
                <w:bCs/>
                <w:color w:val="000000"/>
                <w:sz w:val="20"/>
                <w:szCs w:val="20"/>
              </w:rPr>
              <w:t>156.7</w:t>
            </w:r>
          </w:p>
        </w:tc>
      </w:tr>
      <w:tr w:rsidR="00590EBE" w:rsidRPr="00FA3E89" w14:paraId="4947BD05" w14:textId="425050C3" w:rsidTr="000904E2">
        <w:trPr>
          <w:trHeight w:val="50"/>
          <w:jc w:val="center"/>
        </w:trPr>
        <w:tc>
          <w:tcPr>
            <w:tcW w:w="1999" w:type="pct"/>
            <w:shd w:val="clear" w:color="auto" w:fill="E2EFD9" w:themeFill="accent6" w:themeFillTint="33"/>
            <w:noWrap/>
            <w:vAlign w:val="bottom"/>
          </w:tcPr>
          <w:p w14:paraId="3C6396EC" w14:textId="77777777" w:rsidR="00590EBE" w:rsidRPr="00FA3E89" w:rsidRDefault="00590EBE" w:rsidP="00590EBE">
            <w:pPr>
              <w:spacing w:after="0"/>
              <w:rPr>
                <w:rFonts w:ascii="Times New Roman" w:hAnsi="Times New Roman" w:cs="Times New Roman"/>
                <w:color w:val="000000"/>
                <w:sz w:val="20"/>
                <w:szCs w:val="20"/>
                <w:lang w:val="ro-RO"/>
              </w:rPr>
            </w:pPr>
            <w:r w:rsidRPr="00FA3E89">
              <w:rPr>
                <w:rFonts w:ascii="Times New Roman" w:hAnsi="Times New Roman" w:cs="Times New Roman"/>
                <w:b/>
                <w:bCs/>
                <w:color w:val="000000"/>
                <w:sz w:val="20"/>
                <w:szCs w:val="20"/>
                <w:lang w:val="ro-RO"/>
              </w:rPr>
              <w:t>Total</w:t>
            </w:r>
          </w:p>
        </w:tc>
        <w:tc>
          <w:tcPr>
            <w:tcW w:w="346" w:type="pct"/>
            <w:tcBorders>
              <w:top w:val="single" w:sz="4" w:space="0" w:color="auto"/>
              <w:left w:val="nil"/>
              <w:bottom w:val="single" w:sz="4" w:space="0" w:color="auto"/>
              <w:right w:val="single" w:sz="4" w:space="0" w:color="auto"/>
            </w:tcBorders>
            <w:shd w:val="clear" w:color="auto" w:fill="E2EFD9" w:themeFill="accent6" w:themeFillTint="33"/>
            <w:noWrap/>
            <w:vAlign w:val="bottom"/>
          </w:tcPr>
          <w:p w14:paraId="5D6BD40A" w14:textId="2AA5BD4C"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b/>
                <w:bCs/>
                <w:color w:val="000000"/>
                <w:sz w:val="20"/>
                <w:szCs w:val="20"/>
              </w:rPr>
              <w:t>72.3</w:t>
            </w:r>
          </w:p>
        </w:tc>
        <w:tc>
          <w:tcPr>
            <w:tcW w:w="39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0CB26040" w14:textId="335BCB2D"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b/>
                <w:bCs/>
                <w:color w:val="000000"/>
                <w:sz w:val="20"/>
                <w:szCs w:val="20"/>
              </w:rPr>
              <w:t>134.4</w:t>
            </w:r>
          </w:p>
        </w:tc>
        <w:tc>
          <w:tcPr>
            <w:tcW w:w="384"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3223234F" w14:textId="638E4A86"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b/>
                <w:bCs/>
                <w:color w:val="000000"/>
                <w:sz w:val="20"/>
                <w:szCs w:val="20"/>
              </w:rPr>
              <w:t>171.9</w:t>
            </w:r>
          </w:p>
        </w:tc>
        <w:tc>
          <w:tcPr>
            <w:tcW w:w="38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090E600D" w14:textId="64CDD3F7"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b/>
                <w:bCs/>
                <w:color w:val="000000"/>
                <w:sz w:val="20"/>
                <w:szCs w:val="20"/>
              </w:rPr>
              <w:t>184.0</w:t>
            </w:r>
          </w:p>
        </w:tc>
        <w:tc>
          <w:tcPr>
            <w:tcW w:w="38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078777BE" w14:textId="47498A0A"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b/>
                <w:bCs/>
                <w:color w:val="000000"/>
                <w:sz w:val="20"/>
                <w:szCs w:val="20"/>
              </w:rPr>
              <w:t>152.3</w:t>
            </w:r>
          </w:p>
        </w:tc>
        <w:tc>
          <w:tcPr>
            <w:tcW w:w="38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14:paraId="73095D28" w14:textId="6B417D45" w:rsidR="00590EBE" w:rsidRPr="00FA3E89" w:rsidRDefault="00590EBE" w:rsidP="00590EBE">
            <w:pPr>
              <w:spacing w:after="0"/>
              <w:jc w:val="center"/>
              <w:rPr>
                <w:rFonts w:ascii="Times New Roman" w:hAnsi="Times New Roman" w:cs="Times New Roman"/>
                <w:color w:val="000000"/>
                <w:sz w:val="20"/>
                <w:szCs w:val="20"/>
                <w:lang w:val="ro-RO"/>
              </w:rPr>
            </w:pPr>
            <w:r w:rsidRPr="00FA3E89">
              <w:rPr>
                <w:rFonts w:ascii="Times New Roman" w:hAnsi="Times New Roman" w:cs="Times New Roman"/>
                <w:b/>
                <w:bCs/>
                <w:color w:val="000000"/>
                <w:sz w:val="20"/>
                <w:szCs w:val="20"/>
              </w:rPr>
              <w:t>141.0</w:t>
            </w:r>
          </w:p>
        </w:tc>
        <w:tc>
          <w:tcPr>
            <w:tcW w:w="3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70396E9D" w14:textId="4A6F9F86" w:rsidR="00590EBE" w:rsidRPr="00590EBE" w:rsidRDefault="00590EBE" w:rsidP="00590EBE">
            <w:pPr>
              <w:spacing w:after="0"/>
              <w:jc w:val="center"/>
              <w:rPr>
                <w:rFonts w:ascii="Times New Roman" w:hAnsi="Times New Roman" w:cs="Times New Roman"/>
                <w:b/>
                <w:bCs/>
                <w:color w:val="000000"/>
                <w:sz w:val="20"/>
                <w:szCs w:val="20"/>
                <w:lang w:val="ro-RO"/>
              </w:rPr>
            </w:pPr>
            <w:r w:rsidRPr="00590EBE">
              <w:rPr>
                <w:rFonts w:ascii="Times New Roman" w:hAnsi="Times New Roman" w:cs="Times New Roman"/>
                <w:b/>
                <w:bCs/>
                <w:color w:val="000000"/>
                <w:sz w:val="20"/>
                <w:szCs w:val="20"/>
              </w:rPr>
              <w:t>64.3</w:t>
            </w:r>
          </w:p>
        </w:tc>
        <w:tc>
          <w:tcPr>
            <w:tcW w:w="367" w:type="pct"/>
            <w:tcBorders>
              <w:top w:val="single" w:sz="4" w:space="0" w:color="auto"/>
              <w:left w:val="nil"/>
              <w:bottom w:val="single" w:sz="4" w:space="0" w:color="auto"/>
              <w:right w:val="single" w:sz="4" w:space="0" w:color="auto"/>
            </w:tcBorders>
            <w:shd w:val="clear" w:color="auto" w:fill="E2EFD9" w:themeFill="accent6" w:themeFillTint="33"/>
            <w:vAlign w:val="bottom"/>
          </w:tcPr>
          <w:p w14:paraId="1E371964" w14:textId="49509759" w:rsidR="00590EBE" w:rsidRPr="00590EBE" w:rsidRDefault="00590EBE" w:rsidP="00590EBE">
            <w:pPr>
              <w:spacing w:after="0"/>
              <w:jc w:val="center"/>
              <w:rPr>
                <w:rFonts w:ascii="Times New Roman" w:hAnsi="Times New Roman" w:cs="Times New Roman"/>
                <w:b/>
                <w:bCs/>
                <w:color w:val="000000"/>
                <w:sz w:val="20"/>
                <w:szCs w:val="20"/>
              </w:rPr>
            </w:pPr>
            <w:r w:rsidRPr="00590EBE">
              <w:rPr>
                <w:rFonts w:ascii="Times New Roman" w:hAnsi="Times New Roman" w:cs="Times New Roman"/>
                <w:b/>
                <w:bCs/>
                <w:color w:val="000000"/>
                <w:sz w:val="20"/>
                <w:szCs w:val="20"/>
              </w:rPr>
              <w:t>920.2</w:t>
            </w:r>
          </w:p>
        </w:tc>
      </w:tr>
    </w:tbl>
    <w:p w14:paraId="0C92011F" w14:textId="10B53581" w:rsidR="00590EBE" w:rsidRDefault="00161BFA" w:rsidP="00DC23BA">
      <w:pPr>
        <w:pStyle w:val="cb"/>
        <w:rPr>
          <w:b w:val="0"/>
          <w:bCs w:val="0"/>
          <w:sz w:val="20"/>
          <w:szCs w:val="20"/>
          <w:lang w:val="ro-RO"/>
        </w:rPr>
      </w:pPr>
      <w:r w:rsidRPr="00E426A8">
        <w:rPr>
          <w:sz w:val="20"/>
          <w:szCs w:val="20"/>
          <w:lang w:val="ro-RO"/>
        </w:rPr>
        <w:t xml:space="preserve">Sursa: </w:t>
      </w:r>
      <w:r w:rsidR="00FA3E89" w:rsidRPr="00FA3E89">
        <w:rPr>
          <w:b w:val="0"/>
          <w:bCs w:val="0"/>
          <w:sz w:val="20"/>
          <w:szCs w:val="20"/>
          <w:lang w:val="ro-RO"/>
        </w:rPr>
        <w:t>SA „Moldovagaz”</w:t>
      </w:r>
    </w:p>
    <w:p w14:paraId="15857A57" w14:textId="5C96C190" w:rsidR="00664462" w:rsidRDefault="00664462" w:rsidP="007E41F9">
      <w:pPr>
        <w:pStyle w:val="NormalWeb"/>
        <w:spacing w:before="120" w:after="0"/>
        <w:ind w:left="1080" w:hanging="1080"/>
        <w:rPr>
          <w:lang w:val="ro-RO"/>
        </w:rPr>
      </w:pPr>
      <w:r w:rsidRPr="002C0527">
        <w:rPr>
          <w:b/>
          <w:bCs/>
          <w:lang w:val="ro-RO"/>
        </w:rPr>
        <w:t xml:space="preserve">Tabelul </w:t>
      </w:r>
      <w:r>
        <w:rPr>
          <w:b/>
          <w:bCs/>
          <w:lang w:val="ro-RO"/>
        </w:rPr>
        <w:t>2</w:t>
      </w:r>
      <w:r w:rsidRPr="002C0527">
        <w:rPr>
          <w:b/>
          <w:bCs/>
          <w:lang w:val="ro-RO"/>
        </w:rPr>
        <w:t>.</w:t>
      </w:r>
      <w:r w:rsidRPr="002C0527">
        <w:rPr>
          <w:lang w:val="ro-RO"/>
        </w:rPr>
        <w:t xml:space="preserve"> </w:t>
      </w:r>
      <w:r w:rsidRPr="007E41F9">
        <w:rPr>
          <w:sz w:val="22"/>
          <w:szCs w:val="22"/>
          <w:lang w:val="ro-RO"/>
        </w:rPr>
        <w:t>Consumul de gaze naturale pe categorii de consumatori: protejați și întreruptibili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666"/>
        <w:gridCol w:w="668"/>
        <w:gridCol w:w="675"/>
        <w:gridCol w:w="584"/>
        <w:gridCol w:w="584"/>
        <w:gridCol w:w="584"/>
        <w:gridCol w:w="584"/>
        <w:gridCol w:w="639"/>
        <w:gridCol w:w="639"/>
        <w:gridCol w:w="584"/>
        <w:gridCol w:w="666"/>
        <w:gridCol w:w="707"/>
        <w:gridCol w:w="776"/>
        <w:gridCol w:w="575"/>
      </w:tblGrid>
      <w:tr w:rsidR="000904E2" w:rsidRPr="005914F1" w14:paraId="273F519C" w14:textId="77777777" w:rsidTr="005914F1">
        <w:trPr>
          <w:trHeight w:val="139"/>
        </w:trPr>
        <w:tc>
          <w:tcPr>
            <w:tcW w:w="589" w:type="pct"/>
            <w:vMerge w:val="restart"/>
            <w:shd w:val="clear" w:color="000000" w:fill="DAEEF3"/>
            <w:vAlign w:val="center"/>
            <w:hideMark/>
          </w:tcPr>
          <w:p w14:paraId="24623C09" w14:textId="77777777" w:rsidR="000904E2" w:rsidRPr="005914F1" w:rsidRDefault="000904E2"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Categoria consumator</w:t>
            </w:r>
          </w:p>
        </w:tc>
        <w:tc>
          <w:tcPr>
            <w:tcW w:w="3763" w:type="pct"/>
            <w:gridSpan w:val="12"/>
            <w:shd w:val="clear" w:color="000000" w:fill="DAEEF3"/>
            <w:vAlign w:val="center"/>
            <w:hideMark/>
          </w:tcPr>
          <w:p w14:paraId="67A5DD04" w14:textId="77777777" w:rsidR="000904E2" w:rsidRPr="005914F1" w:rsidRDefault="000904E2"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Consumul lunar, mil. m</w:t>
            </w:r>
            <w:r w:rsidRPr="005914F1">
              <w:rPr>
                <w:rFonts w:ascii="Times New Roman" w:eastAsia="Times New Roman" w:hAnsi="Times New Roman" w:cs="Times New Roman"/>
                <w:b/>
                <w:bCs/>
                <w:color w:val="000000"/>
                <w:sz w:val="20"/>
                <w:szCs w:val="20"/>
                <w:vertAlign w:val="superscript"/>
                <w:lang w:val="ro-RO"/>
              </w:rPr>
              <w:t>3</w:t>
            </w:r>
          </w:p>
        </w:tc>
        <w:tc>
          <w:tcPr>
            <w:tcW w:w="648" w:type="pct"/>
            <w:gridSpan w:val="2"/>
            <w:shd w:val="clear" w:color="000000" w:fill="DAEEF3"/>
            <w:vAlign w:val="center"/>
            <w:hideMark/>
          </w:tcPr>
          <w:p w14:paraId="611CC1AF" w14:textId="77777777" w:rsidR="000904E2" w:rsidRPr="005914F1" w:rsidRDefault="000904E2" w:rsidP="00A5677A">
            <w:pPr>
              <w:spacing w:after="0" w:line="240" w:lineRule="auto"/>
              <w:jc w:val="center"/>
              <w:rPr>
                <w:rFonts w:ascii="Times New Roman" w:eastAsia="Times New Roman" w:hAnsi="Times New Roman" w:cs="Times New Roman"/>
                <w:b/>
                <w:bCs/>
                <w:color w:val="000000"/>
                <w:sz w:val="20"/>
                <w:szCs w:val="20"/>
              </w:rPr>
            </w:pPr>
            <w:r w:rsidRPr="005914F1">
              <w:rPr>
                <w:rFonts w:ascii="Times New Roman" w:eastAsia="Times New Roman" w:hAnsi="Times New Roman" w:cs="Times New Roman"/>
                <w:b/>
                <w:bCs/>
                <w:color w:val="000000"/>
                <w:sz w:val="20"/>
                <w:szCs w:val="20"/>
              </w:rPr>
              <w:t>Total</w:t>
            </w:r>
          </w:p>
        </w:tc>
      </w:tr>
      <w:tr w:rsidR="009C0396" w:rsidRPr="005914F1" w14:paraId="79574803" w14:textId="77777777" w:rsidTr="005914F1">
        <w:trPr>
          <w:trHeight w:val="76"/>
        </w:trPr>
        <w:tc>
          <w:tcPr>
            <w:tcW w:w="589" w:type="pct"/>
            <w:vMerge/>
            <w:vAlign w:val="center"/>
            <w:hideMark/>
          </w:tcPr>
          <w:p w14:paraId="432A8AE3" w14:textId="77777777" w:rsidR="009C0396" w:rsidRPr="005914F1" w:rsidRDefault="009C0396" w:rsidP="00A5677A">
            <w:pPr>
              <w:spacing w:after="0" w:line="240" w:lineRule="auto"/>
              <w:rPr>
                <w:rFonts w:ascii="Times New Roman" w:eastAsia="Times New Roman" w:hAnsi="Times New Roman" w:cs="Times New Roman"/>
                <w:b/>
                <w:bCs/>
                <w:color w:val="000000"/>
                <w:sz w:val="20"/>
                <w:szCs w:val="20"/>
                <w:lang w:val="ro-RO"/>
              </w:rPr>
            </w:pPr>
          </w:p>
        </w:tc>
        <w:tc>
          <w:tcPr>
            <w:tcW w:w="328" w:type="pct"/>
            <w:shd w:val="clear" w:color="000000" w:fill="DAEEF3"/>
            <w:vAlign w:val="center"/>
            <w:hideMark/>
          </w:tcPr>
          <w:p w14:paraId="521F0FAA" w14:textId="5B8028C5" w:rsidR="009C0396" w:rsidRPr="005914F1" w:rsidRDefault="009C0396"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Ian</w:t>
            </w:r>
          </w:p>
        </w:tc>
        <w:tc>
          <w:tcPr>
            <w:tcW w:w="336" w:type="pct"/>
            <w:shd w:val="clear" w:color="000000" w:fill="DAEEF3"/>
            <w:vAlign w:val="center"/>
            <w:hideMark/>
          </w:tcPr>
          <w:p w14:paraId="0CA8C780" w14:textId="167094F7" w:rsidR="009C0396" w:rsidRPr="005914F1" w:rsidRDefault="009C0396"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Feb</w:t>
            </w:r>
          </w:p>
        </w:tc>
        <w:tc>
          <w:tcPr>
            <w:tcW w:w="336" w:type="pct"/>
            <w:shd w:val="clear" w:color="000000" w:fill="DAEEF3"/>
            <w:vAlign w:val="center"/>
            <w:hideMark/>
          </w:tcPr>
          <w:p w14:paraId="41FA2BB4" w14:textId="44740C8C" w:rsidR="009C0396" w:rsidRPr="005914F1" w:rsidRDefault="009C0396"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Mar</w:t>
            </w:r>
          </w:p>
        </w:tc>
        <w:tc>
          <w:tcPr>
            <w:tcW w:w="291" w:type="pct"/>
            <w:shd w:val="clear" w:color="000000" w:fill="DAEEF3"/>
            <w:vAlign w:val="center"/>
            <w:hideMark/>
          </w:tcPr>
          <w:p w14:paraId="356B66B1" w14:textId="036AE6A8" w:rsidR="009C0396" w:rsidRPr="005914F1" w:rsidRDefault="009C0396"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Apr</w:t>
            </w:r>
          </w:p>
        </w:tc>
        <w:tc>
          <w:tcPr>
            <w:tcW w:w="291" w:type="pct"/>
            <w:shd w:val="clear" w:color="000000" w:fill="DAEEF3"/>
            <w:vAlign w:val="center"/>
            <w:hideMark/>
          </w:tcPr>
          <w:p w14:paraId="744F6705" w14:textId="42295565" w:rsidR="009C0396" w:rsidRPr="005914F1" w:rsidRDefault="009C0396"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Mai</w:t>
            </w:r>
          </w:p>
        </w:tc>
        <w:tc>
          <w:tcPr>
            <w:tcW w:w="291" w:type="pct"/>
            <w:shd w:val="clear" w:color="000000" w:fill="DAEEF3"/>
            <w:vAlign w:val="center"/>
            <w:hideMark/>
          </w:tcPr>
          <w:p w14:paraId="2530190A" w14:textId="3BA92389" w:rsidR="009C0396" w:rsidRPr="005914F1" w:rsidRDefault="009C0396"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Iun</w:t>
            </w:r>
          </w:p>
        </w:tc>
        <w:tc>
          <w:tcPr>
            <w:tcW w:w="291" w:type="pct"/>
            <w:shd w:val="clear" w:color="000000" w:fill="DAEEF3"/>
            <w:vAlign w:val="center"/>
            <w:hideMark/>
          </w:tcPr>
          <w:p w14:paraId="413D4F9A" w14:textId="7F9391BD" w:rsidR="009C0396" w:rsidRPr="005914F1" w:rsidRDefault="009C0396"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Iul</w:t>
            </w:r>
          </w:p>
        </w:tc>
        <w:tc>
          <w:tcPr>
            <w:tcW w:w="318" w:type="pct"/>
            <w:shd w:val="clear" w:color="000000" w:fill="DAEEF3"/>
            <w:vAlign w:val="center"/>
            <w:hideMark/>
          </w:tcPr>
          <w:p w14:paraId="68239EE9" w14:textId="21D4D017" w:rsidR="009C0396" w:rsidRPr="005914F1" w:rsidRDefault="009C0396"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Aug</w:t>
            </w:r>
          </w:p>
        </w:tc>
        <w:tc>
          <w:tcPr>
            <w:tcW w:w="318" w:type="pct"/>
            <w:shd w:val="clear" w:color="000000" w:fill="DAEEF3"/>
            <w:vAlign w:val="center"/>
            <w:hideMark/>
          </w:tcPr>
          <w:p w14:paraId="399433ED" w14:textId="09F516C5" w:rsidR="009C0396" w:rsidRPr="005914F1" w:rsidRDefault="009C0396"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Sept</w:t>
            </w:r>
          </w:p>
        </w:tc>
        <w:tc>
          <w:tcPr>
            <w:tcW w:w="291" w:type="pct"/>
            <w:shd w:val="clear" w:color="000000" w:fill="DAEEF3"/>
            <w:vAlign w:val="center"/>
            <w:hideMark/>
          </w:tcPr>
          <w:p w14:paraId="0598D86D" w14:textId="4AFD316B" w:rsidR="009C0396" w:rsidRPr="005914F1" w:rsidRDefault="009C0396"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Oct</w:t>
            </w:r>
          </w:p>
        </w:tc>
        <w:tc>
          <w:tcPr>
            <w:tcW w:w="321" w:type="pct"/>
            <w:shd w:val="clear" w:color="000000" w:fill="DAEEF3"/>
            <w:vAlign w:val="center"/>
            <w:hideMark/>
          </w:tcPr>
          <w:p w14:paraId="53B39275" w14:textId="603AF7D4" w:rsidR="009C0396" w:rsidRPr="005914F1" w:rsidRDefault="009C0396"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Nov</w:t>
            </w:r>
          </w:p>
        </w:tc>
        <w:tc>
          <w:tcPr>
            <w:tcW w:w="351" w:type="pct"/>
            <w:shd w:val="clear" w:color="000000" w:fill="DAEEF3"/>
            <w:vAlign w:val="center"/>
            <w:hideMark/>
          </w:tcPr>
          <w:p w14:paraId="2B066992" w14:textId="26F46C8D" w:rsidR="009C0396" w:rsidRPr="005914F1" w:rsidRDefault="009C0396"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Dec</w:t>
            </w:r>
          </w:p>
        </w:tc>
        <w:tc>
          <w:tcPr>
            <w:tcW w:w="362" w:type="pct"/>
            <w:shd w:val="clear" w:color="000000" w:fill="DAEEF3"/>
            <w:vAlign w:val="center"/>
            <w:hideMark/>
          </w:tcPr>
          <w:p w14:paraId="18879E96" w14:textId="47F0BCF4" w:rsidR="009C0396" w:rsidRPr="005914F1" w:rsidRDefault="009C0396" w:rsidP="00A5677A">
            <w:pPr>
              <w:spacing w:after="0" w:line="240" w:lineRule="auto"/>
              <w:rPr>
                <w:rFonts w:ascii="Times New Roman" w:eastAsia="Times New Roman" w:hAnsi="Times New Roman" w:cs="Times New Roman"/>
                <w:b/>
                <w:bCs/>
                <w:color w:val="000000"/>
                <w:sz w:val="20"/>
                <w:szCs w:val="20"/>
              </w:rPr>
            </w:pPr>
            <w:r w:rsidRPr="005914F1">
              <w:rPr>
                <w:rFonts w:ascii="Times New Roman" w:eastAsia="Times New Roman" w:hAnsi="Times New Roman" w:cs="Times New Roman"/>
                <w:b/>
                <w:bCs/>
                <w:color w:val="000000"/>
                <w:sz w:val="20"/>
                <w:szCs w:val="20"/>
                <w:lang w:val="ro-RO"/>
              </w:rPr>
              <w:t>mil.m</w:t>
            </w:r>
            <w:r w:rsidRPr="005914F1">
              <w:rPr>
                <w:rFonts w:ascii="Times New Roman" w:eastAsia="Times New Roman" w:hAnsi="Times New Roman" w:cs="Times New Roman"/>
                <w:b/>
                <w:bCs/>
                <w:color w:val="000000"/>
                <w:sz w:val="20"/>
                <w:szCs w:val="20"/>
                <w:vertAlign w:val="superscript"/>
                <w:lang w:val="ro-RO"/>
              </w:rPr>
              <w:t>3</w:t>
            </w:r>
          </w:p>
        </w:tc>
        <w:tc>
          <w:tcPr>
            <w:tcW w:w="286" w:type="pct"/>
            <w:shd w:val="clear" w:color="000000" w:fill="DAEEF3"/>
            <w:vAlign w:val="center"/>
          </w:tcPr>
          <w:p w14:paraId="300CE26D" w14:textId="54EFFF4B" w:rsidR="009C0396" w:rsidRPr="005914F1" w:rsidRDefault="009C0396" w:rsidP="009C0396">
            <w:pPr>
              <w:spacing w:after="0" w:line="240" w:lineRule="auto"/>
              <w:jc w:val="center"/>
              <w:rPr>
                <w:rFonts w:ascii="Times New Roman" w:eastAsia="Times New Roman" w:hAnsi="Times New Roman" w:cs="Times New Roman"/>
                <w:b/>
                <w:bCs/>
                <w:color w:val="000000"/>
                <w:sz w:val="20"/>
                <w:szCs w:val="20"/>
              </w:rPr>
            </w:pPr>
            <w:r w:rsidRPr="005914F1">
              <w:rPr>
                <w:rFonts w:ascii="Times New Roman" w:eastAsia="Times New Roman" w:hAnsi="Times New Roman" w:cs="Times New Roman"/>
                <w:b/>
                <w:bCs/>
                <w:color w:val="000000"/>
                <w:sz w:val="20"/>
                <w:szCs w:val="20"/>
              </w:rPr>
              <w:t>%</w:t>
            </w:r>
          </w:p>
        </w:tc>
      </w:tr>
      <w:tr w:rsidR="00E54305" w:rsidRPr="005914F1" w14:paraId="57EB09F6" w14:textId="77777777" w:rsidTr="005914F1">
        <w:trPr>
          <w:trHeight w:val="139"/>
        </w:trPr>
        <w:tc>
          <w:tcPr>
            <w:tcW w:w="5000" w:type="pct"/>
            <w:gridSpan w:val="15"/>
            <w:shd w:val="clear" w:color="auto" w:fill="FFF2CC" w:themeFill="accent4" w:themeFillTint="33"/>
            <w:noWrap/>
            <w:vAlign w:val="center"/>
            <w:hideMark/>
          </w:tcPr>
          <w:p w14:paraId="247281D2" w14:textId="77777777" w:rsidR="00571D9F" w:rsidRPr="005914F1" w:rsidRDefault="00571D9F" w:rsidP="00A5677A">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2021</w:t>
            </w:r>
          </w:p>
        </w:tc>
      </w:tr>
      <w:tr w:rsidR="00E54305" w:rsidRPr="005914F1" w14:paraId="17FCA944" w14:textId="77777777" w:rsidTr="005914F1">
        <w:trPr>
          <w:trHeight w:val="50"/>
        </w:trPr>
        <w:tc>
          <w:tcPr>
            <w:tcW w:w="589" w:type="pct"/>
            <w:shd w:val="clear" w:color="auto" w:fill="auto"/>
            <w:noWrap/>
            <w:vAlign w:val="center"/>
            <w:hideMark/>
          </w:tcPr>
          <w:p w14:paraId="6EEA16CE" w14:textId="77777777"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eastAsia="Times New Roman" w:hAnsi="Times New Roman" w:cs="Times New Roman"/>
                <w:color w:val="000000"/>
                <w:sz w:val="20"/>
                <w:szCs w:val="20"/>
                <w:lang w:val="ro-RO"/>
              </w:rPr>
              <w:t xml:space="preserve">Protejați </w:t>
            </w:r>
          </w:p>
        </w:tc>
        <w:tc>
          <w:tcPr>
            <w:tcW w:w="328" w:type="pct"/>
            <w:shd w:val="clear" w:color="auto" w:fill="auto"/>
            <w:noWrap/>
            <w:vAlign w:val="center"/>
          </w:tcPr>
          <w:p w14:paraId="2579C104" w14:textId="22556413"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119.3</w:t>
            </w:r>
          </w:p>
        </w:tc>
        <w:tc>
          <w:tcPr>
            <w:tcW w:w="336" w:type="pct"/>
            <w:shd w:val="clear" w:color="auto" w:fill="auto"/>
            <w:noWrap/>
            <w:vAlign w:val="center"/>
          </w:tcPr>
          <w:p w14:paraId="4AEE8ABF" w14:textId="40ECFA4E"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120.1</w:t>
            </w:r>
          </w:p>
        </w:tc>
        <w:tc>
          <w:tcPr>
            <w:tcW w:w="336" w:type="pct"/>
            <w:shd w:val="clear" w:color="auto" w:fill="auto"/>
            <w:noWrap/>
            <w:vAlign w:val="center"/>
          </w:tcPr>
          <w:p w14:paraId="3C4DA87D" w14:textId="5E4B4E29"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102.9</w:t>
            </w:r>
          </w:p>
        </w:tc>
        <w:tc>
          <w:tcPr>
            <w:tcW w:w="291" w:type="pct"/>
            <w:shd w:val="clear" w:color="auto" w:fill="auto"/>
            <w:noWrap/>
            <w:vAlign w:val="center"/>
          </w:tcPr>
          <w:p w14:paraId="0A459ADB" w14:textId="0A027435"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61.5</w:t>
            </w:r>
          </w:p>
        </w:tc>
        <w:tc>
          <w:tcPr>
            <w:tcW w:w="291" w:type="pct"/>
            <w:shd w:val="clear" w:color="auto" w:fill="auto"/>
            <w:noWrap/>
            <w:vAlign w:val="center"/>
          </w:tcPr>
          <w:p w14:paraId="2B527610" w14:textId="1B30CBA8"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19.8</w:t>
            </w:r>
          </w:p>
        </w:tc>
        <w:tc>
          <w:tcPr>
            <w:tcW w:w="291" w:type="pct"/>
            <w:shd w:val="clear" w:color="auto" w:fill="auto"/>
            <w:noWrap/>
            <w:vAlign w:val="center"/>
          </w:tcPr>
          <w:p w14:paraId="158807A0" w14:textId="3A019A90"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14.0</w:t>
            </w:r>
          </w:p>
        </w:tc>
        <w:tc>
          <w:tcPr>
            <w:tcW w:w="291" w:type="pct"/>
            <w:shd w:val="clear" w:color="auto" w:fill="auto"/>
            <w:noWrap/>
            <w:vAlign w:val="center"/>
          </w:tcPr>
          <w:p w14:paraId="1E99475D" w14:textId="6A93586E"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11.5</w:t>
            </w:r>
          </w:p>
        </w:tc>
        <w:tc>
          <w:tcPr>
            <w:tcW w:w="318" w:type="pct"/>
            <w:shd w:val="clear" w:color="auto" w:fill="auto"/>
            <w:noWrap/>
            <w:vAlign w:val="center"/>
          </w:tcPr>
          <w:p w14:paraId="79538423" w14:textId="31B47729"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12.5</w:t>
            </w:r>
          </w:p>
        </w:tc>
        <w:tc>
          <w:tcPr>
            <w:tcW w:w="318" w:type="pct"/>
            <w:shd w:val="clear" w:color="auto" w:fill="auto"/>
            <w:noWrap/>
            <w:vAlign w:val="center"/>
          </w:tcPr>
          <w:p w14:paraId="14012C40" w14:textId="734C3BC1"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20.1</w:t>
            </w:r>
          </w:p>
        </w:tc>
        <w:tc>
          <w:tcPr>
            <w:tcW w:w="291" w:type="pct"/>
            <w:shd w:val="clear" w:color="auto" w:fill="auto"/>
            <w:noWrap/>
            <w:vAlign w:val="center"/>
          </w:tcPr>
          <w:p w14:paraId="0C0B5EB5" w14:textId="4E9D4F7A"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47.0</w:t>
            </w:r>
          </w:p>
        </w:tc>
        <w:tc>
          <w:tcPr>
            <w:tcW w:w="321" w:type="pct"/>
            <w:shd w:val="clear" w:color="auto" w:fill="auto"/>
            <w:noWrap/>
            <w:vAlign w:val="center"/>
          </w:tcPr>
          <w:p w14:paraId="2B3CF5DC" w14:textId="03FED89C"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74.4</w:t>
            </w:r>
          </w:p>
        </w:tc>
        <w:tc>
          <w:tcPr>
            <w:tcW w:w="351" w:type="pct"/>
            <w:shd w:val="clear" w:color="auto" w:fill="auto"/>
            <w:noWrap/>
            <w:vAlign w:val="center"/>
          </w:tcPr>
          <w:p w14:paraId="5CB0C3EC" w14:textId="62C8919E"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111.8</w:t>
            </w:r>
          </w:p>
        </w:tc>
        <w:tc>
          <w:tcPr>
            <w:tcW w:w="362" w:type="pct"/>
            <w:shd w:val="clear" w:color="auto" w:fill="auto"/>
            <w:noWrap/>
            <w:vAlign w:val="center"/>
          </w:tcPr>
          <w:p w14:paraId="04592E1F" w14:textId="43873609" w:rsidR="00E54305" w:rsidRPr="005914F1" w:rsidRDefault="00E54305" w:rsidP="00E54305">
            <w:pPr>
              <w:spacing w:after="0" w:line="240" w:lineRule="auto"/>
              <w:jc w:val="center"/>
              <w:rPr>
                <w:rFonts w:ascii="Times New Roman" w:eastAsia="Times New Roman" w:hAnsi="Times New Roman" w:cs="Times New Roman"/>
                <w:color w:val="000000"/>
                <w:sz w:val="20"/>
                <w:szCs w:val="20"/>
              </w:rPr>
            </w:pPr>
            <w:r w:rsidRPr="005914F1">
              <w:rPr>
                <w:rFonts w:ascii="Times New Roman" w:hAnsi="Times New Roman" w:cs="Times New Roman"/>
                <w:color w:val="000000"/>
                <w:sz w:val="20"/>
                <w:szCs w:val="20"/>
              </w:rPr>
              <w:t>714.9</w:t>
            </w:r>
          </w:p>
        </w:tc>
        <w:tc>
          <w:tcPr>
            <w:tcW w:w="286" w:type="pct"/>
            <w:shd w:val="clear" w:color="auto" w:fill="auto"/>
            <w:noWrap/>
            <w:vAlign w:val="center"/>
          </w:tcPr>
          <w:p w14:paraId="6C4B18A0" w14:textId="3530D6BB" w:rsidR="00E54305" w:rsidRPr="005914F1" w:rsidRDefault="00E54305" w:rsidP="00E54305">
            <w:pPr>
              <w:spacing w:after="0" w:line="240" w:lineRule="auto"/>
              <w:jc w:val="center"/>
              <w:rPr>
                <w:rFonts w:ascii="Times New Roman" w:eastAsia="Times New Roman" w:hAnsi="Times New Roman" w:cs="Times New Roman"/>
                <w:color w:val="000000"/>
                <w:sz w:val="20"/>
                <w:szCs w:val="20"/>
              </w:rPr>
            </w:pPr>
            <w:r w:rsidRPr="005914F1">
              <w:rPr>
                <w:rFonts w:ascii="Times New Roman" w:hAnsi="Times New Roman" w:cs="Times New Roman"/>
                <w:color w:val="000000"/>
                <w:sz w:val="20"/>
                <w:szCs w:val="20"/>
              </w:rPr>
              <w:t>60.0</w:t>
            </w:r>
          </w:p>
        </w:tc>
      </w:tr>
      <w:tr w:rsidR="00E54305" w:rsidRPr="005914F1" w14:paraId="2FDA3D46" w14:textId="77777777" w:rsidTr="005914F1">
        <w:trPr>
          <w:trHeight w:val="50"/>
        </w:trPr>
        <w:tc>
          <w:tcPr>
            <w:tcW w:w="589" w:type="pct"/>
            <w:shd w:val="clear" w:color="auto" w:fill="auto"/>
            <w:vAlign w:val="center"/>
            <w:hideMark/>
          </w:tcPr>
          <w:p w14:paraId="52F641FC" w14:textId="77777777"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eastAsia="Times New Roman" w:hAnsi="Times New Roman" w:cs="Times New Roman"/>
                <w:color w:val="000000"/>
                <w:sz w:val="20"/>
                <w:szCs w:val="20"/>
                <w:lang w:val="ro-RO"/>
              </w:rPr>
              <w:t>Întreruptibili</w:t>
            </w:r>
          </w:p>
        </w:tc>
        <w:tc>
          <w:tcPr>
            <w:tcW w:w="328" w:type="pct"/>
            <w:shd w:val="clear" w:color="auto" w:fill="auto"/>
            <w:vAlign w:val="center"/>
          </w:tcPr>
          <w:p w14:paraId="4C4E47CC" w14:textId="2DAA8725"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70.4</w:t>
            </w:r>
          </w:p>
        </w:tc>
        <w:tc>
          <w:tcPr>
            <w:tcW w:w="336" w:type="pct"/>
            <w:shd w:val="clear" w:color="auto" w:fill="auto"/>
            <w:vAlign w:val="center"/>
          </w:tcPr>
          <w:p w14:paraId="7225427C" w14:textId="020F6DA9"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64.1</w:t>
            </w:r>
          </w:p>
        </w:tc>
        <w:tc>
          <w:tcPr>
            <w:tcW w:w="336" w:type="pct"/>
            <w:shd w:val="clear" w:color="auto" w:fill="auto"/>
            <w:vAlign w:val="center"/>
          </w:tcPr>
          <w:p w14:paraId="1A748609" w14:textId="24EEB05B"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60.1</w:t>
            </w:r>
          </w:p>
        </w:tc>
        <w:tc>
          <w:tcPr>
            <w:tcW w:w="291" w:type="pct"/>
            <w:shd w:val="clear" w:color="auto" w:fill="auto"/>
            <w:vAlign w:val="center"/>
          </w:tcPr>
          <w:p w14:paraId="0346CBD5" w14:textId="73F0633B"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36.0</w:t>
            </w:r>
          </w:p>
        </w:tc>
        <w:tc>
          <w:tcPr>
            <w:tcW w:w="291" w:type="pct"/>
            <w:shd w:val="clear" w:color="auto" w:fill="auto"/>
            <w:vAlign w:val="center"/>
          </w:tcPr>
          <w:p w14:paraId="4E066592" w14:textId="681BCCE9"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22.3</w:t>
            </w:r>
          </w:p>
        </w:tc>
        <w:tc>
          <w:tcPr>
            <w:tcW w:w="291" w:type="pct"/>
            <w:shd w:val="clear" w:color="auto" w:fill="auto"/>
            <w:vAlign w:val="center"/>
          </w:tcPr>
          <w:p w14:paraId="66737EE9" w14:textId="0D90F7DD"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18.5</w:t>
            </w:r>
          </w:p>
        </w:tc>
        <w:tc>
          <w:tcPr>
            <w:tcW w:w="291" w:type="pct"/>
            <w:shd w:val="clear" w:color="auto" w:fill="auto"/>
            <w:vAlign w:val="center"/>
          </w:tcPr>
          <w:p w14:paraId="77D89E90" w14:textId="0D819E5F"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16.4</w:t>
            </w:r>
          </w:p>
        </w:tc>
        <w:tc>
          <w:tcPr>
            <w:tcW w:w="318" w:type="pct"/>
            <w:shd w:val="clear" w:color="auto" w:fill="auto"/>
            <w:vAlign w:val="center"/>
          </w:tcPr>
          <w:p w14:paraId="4C47E60F" w14:textId="40A5681F"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16.8</w:t>
            </w:r>
          </w:p>
        </w:tc>
        <w:tc>
          <w:tcPr>
            <w:tcW w:w="318" w:type="pct"/>
            <w:shd w:val="clear" w:color="auto" w:fill="auto"/>
            <w:vAlign w:val="center"/>
          </w:tcPr>
          <w:p w14:paraId="7D51AF14" w14:textId="24983D4A"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22.6</w:t>
            </w:r>
          </w:p>
        </w:tc>
        <w:tc>
          <w:tcPr>
            <w:tcW w:w="291" w:type="pct"/>
            <w:shd w:val="clear" w:color="auto" w:fill="auto"/>
            <w:vAlign w:val="center"/>
          </w:tcPr>
          <w:p w14:paraId="41B6861B" w14:textId="7F73F30E"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20.0</w:t>
            </w:r>
          </w:p>
        </w:tc>
        <w:tc>
          <w:tcPr>
            <w:tcW w:w="321" w:type="pct"/>
            <w:shd w:val="clear" w:color="auto" w:fill="auto"/>
            <w:vAlign w:val="center"/>
          </w:tcPr>
          <w:p w14:paraId="12438CC2" w14:textId="1E40629D"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66.1</w:t>
            </w:r>
          </w:p>
        </w:tc>
        <w:tc>
          <w:tcPr>
            <w:tcW w:w="351" w:type="pct"/>
            <w:shd w:val="clear" w:color="auto" w:fill="auto"/>
            <w:vAlign w:val="center"/>
          </w:tcPr>
          <w:p w14:paraId="447BA4E0" w14:textId="2713E4B2"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63.2</w:t>
            </w:r>
          </w:p>
        </w:tc>
        <w:tc>
          <w:tcPr>
            <w:tcW w:w="362" w:type="pct"/>
            <w:shd w:val="clear" w:color="auto" w:fill="auto"/>
            <w:noWrap/>
            <w:vAlign w:val="center"/>
          </w:tcPr>
          <w:p w14:paraId="5670FA45" w14:textId="41395B54" w:rsidR="00E54305" w:rsidRPr="005914F1" w:rsidRDefault="00E54305" w:rsidP="00E54305">
            <w:pPr>
              <w:spacing w:after="0" w:line="240" w:lineRule="auto"/>
              <w:jc w:val="center"/>
              <w:rPr>
                <w:rFonts w:ascii="Times New Roman" w:eastAsia="Times New Roman" w:hAnsi="Times New Roman" w:cs="Times New Roman"/>
                <w:color w:val="000000"/>
                <w:sz w:val="20"/>
                <w:szCs w:val="20"/>
              </w:rPr>
            </w:pPr>
            <w:r w:rsidRPr="005914F1">
              <w:rPr>
                <w:rFonts w:ascii="Times New Roman" w:hAnsi="Times New Roman" w:cs="Times New Roman"/>
                <w:color w:val="000000"/>
                <w:sz w:val="20"/>
                <w:szCs w:val="20"/>
              </w:rPr>
              <w:t>476.5</w:t>
            </w:r>
          </w:p>
        </w:tc>
        <w:tc>
          <w:tcPr>
            <w:tcW w:w="286" w:type="pct"/>
            <w:shd w:val="clear" w:color="auto" w:fill="auto"/>
            <w:noWrap/>
            <w:vAlign w:val="center"/>
          </w:tcPr>
          <w:p w14:paraId="473DFB30" w14:textId="5071771D" w:rsidR="00E54305" w:rsidRPr="005914F1" w:rsidRDefault="00E54305" w:rsidP="00E54305">
            <w:pPr>
              <w:spacing w:after="0" w:line="240" w:lineRule="auto"/>
              <w:jc w:val="center"/>
              <w:rPr>
                <w:rFonts w:ascii="Times New Roman" w:eastAsia="Times New Roman" w:hAnsi="Times New Roman" w:cs="Times New Roman"/>
                <w:color w:val="000000"/>
                <w:sz w:val="20"/>
                <w:szCs w:val="20"/>
              </w:rPr>
            </w:pPr>
            <w:r w:rsidRPr="005914F1">
              <w:rPr>
                <w:rFonts w:ascii="Times New Roman" w:hAnsi="Times New Roman" w:cs="Times New Roman"/>
                <w:color w:val="000000"/>
                <w:sz w:val="20"/>
                <w:szCs w:val="20"/>
              </w:rPr>
              <w:t>40.0</w:t>
            </w:r>
          </w:p>
        </w:tc>
      </w:tr>
      <w:tr w:rsidR="00E54305" w:rsidRPr="005914F1" w14:paraId="5EBC81F1" w14:textId="77777777" w:rsidTr="009C0396">
        <w:trPr>
          <w:trHeight w:val="290"/>
        </w:trPr>
        <w:tc>
          <w:tcPr>
            <w:tcW w:w="589" w:type="pct"/>
            <w:shd w:val="clear" w:color="auto" w:fill="E2EFD9" w:themeFill="accent6" w:themeFillTint="33"/>
            <w:vAlign w:val="center"/>
            <w:hideMark/>
          </w:tcPr>
          <w:p w14:paraId="626D824A" w14:textId="77777777"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Total</w:t>
            </w:r>
          </w:p>
        </w:tc>
        <w:tc>
          <w:tcPr>
            <w:tcW w:w="328" w:type="pct"/>
            <w:shd w:val="clear" w:color="auto" w:fill="E2EFD9" w:themeFill="accent6" w:themeFillTint="33"/>
            <w:vAlign w:val="center"/>
          </w:tcPr>
          <w:p w14:paraId="1E2C4540" w14:textId="2BF365F5"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189.7</w:t>
            </w:r>
          </w:p>
        </w:tc>
        <w:tc>
          <w:tcPr>
            <w:tcW w:w="336" w:type="pct"/>
            <w:shd w:val="clear" w:color="auto" w:fill="E2EFD9" w:themeFill="accent6" w:themeFillTint="33"/>
            <w:vAlign w:val="center"/>
          </w:tcPr>
          <w:p w14:paraId="23695F19" w14:textId="339B3A5A"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184.2</w:t>
            </w:r>
          </w:p>
        </w:tc>
        <w:tc>
          <w:tcPr>
            <w:tcW w:w="336" w:type="pct"/>
            <w:shd w:val="clear" w:color="auto" w:fill="E2EFD9" w:themeFill="accent6" w:themeFillTint="33"/>
            <w:vAlign w:val="center"/>
          </w:tcPr>
          <w:p w14:paraId="1C721A6D" w14:textId="651A5A12"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163.0</w:t>
            </w:r>
          </w:p>
        </w:tc>
        <w:tc>
          <w:tcPr>
            <w:tcW w:w="291" w:type="pct"/>
            <w:shd w:val="clear" w:color="auto" w:fill="E2EFD9" w:themeFill="accent6" w:themeFillTint="33"/>
            <w:vAlign w:val="center"/>
          </w:tcPr>
          <w:p w14:paraId="606C80FE" w14:textId="3EFE5A67"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97.5</w:t>
            </w:r>
          </w:p>
        </w:tc>
        <w:tc>
          <w:tcPr>
            <w:tcW w:w="291" w:type="pct"/>
            <w:shd w:val="clear" w:color="auto" w:fill="E2EFD9" w:themeFill="accent6" w:themeFillTint="33"/>
            <w:vAlign w:val="center"/>
          </w:tcPr>
          <w:p w14:paraId="3D9D6F5C" w14:textId="3EDEF08B"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42.1</w:t>
            </w:r>
          </w:p>
        </w:tc>
        <w:tc>
          <w:tcPr>
            <w:tcW w:w="291" w:type="pct"/>
            <w:shd w:val="clear" w:color="auto" w:fill="E2EFD9" w:themeFill="accent6" w:themeFillTint="33"/>
            <w:vAlign w:val="center"/>
          </w:tcPr>
          <w:p w14:paraId="5BC5E327" w14:textId="09BED725"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32.5</w:t>
            </w:r>
          </w:p>
        </w:tc>
        <w:tc>
          <w:tcPr>
            <w:tcW w:w="291" w:type="pct"/>
            <w:shd w:val="clear" w:color="auto" w:fill="E2EFD9" w:themeFill="accent6" w:themeFillTint="33"/>
            <w:vAlign w:val="center"/>
          </w:tcPr>
          <w:p w14:paraId="51A83AFD" w14:textId="79506753"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27.9</w:t>
            </w:r>
          </w:p>
        </w:tc>
        <w:tc>
          <w:tcPr>
            <w:tcW w:w="318" w:type="pct"/>
            <w:shd w:val="clear" w:color="auto" w:fill="E2EFD9" w:themeFill="accent6" w:themeFillTint="33"/>
            <w:vAlign w:val="center"/>
          </w:tcPr>
          <w:p w14:paraId="3DEBE45C" w14:textId="1C98E6E5"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29.3</w:t>
            </w:r>
          </w:p>
        </w:tc>
        <w:tc>
          <w:tcPr>
            <w:tcW w:w="318" w:type="pct"/>
            <w:shd w:val="clear" w:color="auto" w:fill="E2EFD9" w:themeFill="accent6" w:themeFillTint="33"/>
            <w:vAlign w:val="center"/>
          </w:tcPr>
          <w:p w14:paraId="1DA47F35" w14:textId="30DEAFE4"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42.7</w:t>
            </w:r>
          </w:p>
        </w:tc>
        <w:tc>
          <w:tcPr>
            <w:tcW w:w="291" w:type="pct"/>
            <w:shd w:val="clear" w:color="auto" w:fill="E2EFD9" w:themeFill="accent6" w:themeFillTint="33"/>
            <w:vAlign w:val="center"/>
          </w:tcPr>
          <w:p w14:paraId="4AB0C94E" w14:textId="6A0E895B"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67.0</w:t>
            </w:r>
          </w:p>
        </w:tc>
        <w:tc>
          <w:tcPr>
            <w:tcW w:w="321" w:type="pct"/>
            <w:shd w:val="clear" w:color="auto" w:fill="E2EFD9" w:themeFill="accent6" w:themeFillTint="33"/>
            <w:vAlign w:val="center"/>
          </w:tcPr>
          <w:p w14:paraId="7B277FE3" w14:textId="4AB8457E"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140.5</w:t>
            </w:r>
          </w:p>
        </w:tc>
        <w:tc>
          <w:tcPr>
            <w:tcW w:w="351" w:type="pct"/>
            <w:shd w:val="clear" w:color="auto" w:fill="E2EFD9" w:themeFill="accent6" w:themeFillTint="33"/>
            <w:vAlign w:val="center"/>
          </w:tcPr>
          <w:p w14:paraId="35621D67" w14:textId="1A4EE006"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175.0</w:t>
            </w:r>
          </w:p>
        </w:tc>
        <w:tc>
          <w:tcPr>
            <w:tcW w:w="362" w:type="pct"/>
            <w:shd w:val="clear" w:color="auto" w:fill="E2EFD9" w:themeFill="accent6" w:themeFillTint="33"/>
            <w:noWrap/>
            <w:vAlign w:val="center"/>
          </w:tcPr>
          <w:p w14:paraId="100ECEAA" w14:textId="3C5572A6" w:rsidR="00E54305" w:rsidRPr="005914F1" w:rsidRDefault="00E54305" w:rsidP="00586A38">
            <w:pPr>
              <w:spacing w:after="0" w:line="240" w:lineRule="auto"/>
              <w:ind w:left="-144" w:right="-144"/>
              <w:jc w:val="center"/>
              <w:rPr>
                <w:rFonts w:ascii="Times New Roman" w:eastAsia="Times New Roman" w:hAnsi="Times New Roman" w:cs="Times New Roman"/>
                <w:b/>
                <w:bCs/>
                <w:color w:val="000000"/>
                <w:sz w:val="20"/>
                <w:szCs w:val="20"/>
              </w:rPr>
            </w:pPr>
            <w:r w:rsidRPr="005914F1">
              <w:rPr>
                <w:rFonts w:ascii="Times New Roman" w:hAnsi="Times New Roman" w:cs="Times New Roman"/>
                <w:b/>
                <w:bCs/>
                <w:color w:val="000000"/>
                <w:sz w:val="20"/>
                <w:szCs w:val="20"/>
              </w:rPr>
              <w:t>1</w:t>
            </w:r>
            <w:r w:rsidR="00586A38" w:rsidRPr="005914F1">
              <w:rPr>
                <w:rFonts w:ascii="Times New Roman" w:hAnsi="Times New Roman" w:cs="Times New Roman"/>
                <w:b/>
                <w:bCs/>
                <w:color w:val="000000"/>
                <w:sz w:val="20"/>
                <w:szCs w:val="20"/>
              </w:rPr>
              <w:t xml:space="preserve"> </w:t>
            </w:r>
            <w:r w:rsidRPr="005914F1">
              <w:rPr>
                <w:rFonts w:ascii="Times New Roman" w:hAnsi="Times New Roman" w:cs="Times New Roman"/>
                <w:b/>
                <w:bCs/>
                <w:color w:val="000000"/>
                <w:sz w:val="20"/>
                <w:szCs w:val="20"/>
              </w:rPr>
              <w:t>191.4</w:t>
            </w:r>
          </w:p>
        </w:tc>
        <w:tc>
          <w:tcPr>
            <w:tcW w:w="286" w:type="pct"/>
            <w:shd w:val="clear" w:color="auto" w:fill="E2EFD9" w:themeFill="accent6" w:themeFillTint="33"/>
            <w:noWrap/>
            <w:vAlign w:val="center"/>
          </w:tcPr>
          <w:p w14:paraId="231B05DC" w14:textId="215918A8"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rPr>
            </w:pPr>
            <w:r w:rsidRPr="005914F1">
              <w:rPr>
                <w:rFonts w:ascii="Times New Roman" w:hAnsi="Times New Roman" w:cs="Times New Roman"/>
                <w:b/>
                <w:bCs/>
                <w:color w:val="000000"/>
                <w:sz w:val="20"/>
                <w:szCs w:val="20"/>
              </w:rPr>
              <w:t>100</w:t>
            </w:r>
          </w:p>
        </w:tc>
      </w:tr>
      <w:tr w:rsidR="00E54305" w:rsidRPr="005914F1" w14:paraId="0E1E22DF" w14:textId="77777777" w:rsidTr="005914F1">
        <w:trPr>
          <w:trHeight w:val="50"/>
        </w:trPr>
        <w:tc>
          <w:tcPr>
            <w:tcW w:w="5000" w:type="pct"/>
            <w:gridSpan w:val="15"/>
            <w:shd w:val="clear" w:color="auto" w:fill="FFF2CC" w:themeFill="accent4" w:themeFillTint="33"/>
            <w:noWrap/>
            <w:vAlign w:val="center"/>
            <w:hideMark/>
          </w:tcPr>
          <w:p w14:paraId="00D1DD29" w14:textId="77777777"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2022</w:t>
            </w:r>
          </w:p>
        </w:tc>
      </w:tr>
      <w:tr w:rsidR="00E54305" w:rsidRPr="005914F1" w14:paraId="6B716AED" w14:textId="77777777" w:rsidTr="005914F1">
        <w:trPr>
          <w:trHeight w:val="112"/>
        </w:trPr>
        <w:tc>
          <w:tcPr>
            <w:tcW w:w="589" w:type="pct"/>
            <w:shd w:val="clear" w:color="auto" w:fill="auto"/>
            <w:noWrap/>
            <w:vAlign w:val="center"/>
            <w:hideMark/>
          </w:tcPr>
          <w:p w14:paraId="352C8899" w14:textId="4D455639"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eastAsia="Times New Roman" w:hAnsi="Times New Roman" w:cs="Times New Roman"/>
                <w:color w:val="000000"/>
                <w:sz w:val="20"/>
                <w:szCs w:val="20"/>
                <w:lang w:val="ro-RO"/>
              </w:rPr>
              <w:t>Protejați</w:t>
            </w:r>
          </w:p>
        </w:tc>
        <w:tc>
          <w:tcPr>
            <w:tcW w:w="328" w:type="pct"/>
            <w:shd w:val="clear" w:color="auto" w:fill="auto"/>
            <w:noWrap/>
            <w:vAlign w:val="center"/>
          </w:tcPr>
          <w:p w14:paraId="088134C8" w14:textId="16792CF1"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136.0</w:t>
            </w:r>
          </w:p>
        </w:tc>
        <w:tc>
          <w:tcPr>
            <w:tcW w:w="336" w:type="pct"/>
            <w:shd w:val="clear" w:color="auto" w:fill="auto"/>
            <w:noWrap/>
            <w:vAlign w:val="center"/>
          </w:tcPr>
          <w:p w14:paraId="5FD29AA8" w14:textId="41BDCE27"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95.4</w:t>
            </w:r>
          </w:p>
        </w:tc>
        <w:tc>
          <w:tcPr>
            <w:tcW w:w="336" w:type="pct"/>
            <w:shd w:val="clear" w:color="auto" w:fill="auto"/>
            <w:noWrap/>
            <w:vAlign w:val="center"/>
          </w:tcPr>
          <w:p w14:paraId="2D8417DB" w14:textId="299A7547"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105.0</w:t>
            </w:r>
          </w:p>
        </w:tc>
        <w:tc>
          <w:tcPr>
            <w:tcW w:w="291" w:type="pct"/>
            <w:shd w:val="clear" w:color="auto" w:fill="auto"/>
            <w:noWrap/>
            <w:vAlign w:val="center"/>
          </w:tcPr>
          <w:p w14:paraId="3F93EF3F" w14:textId="2591E6BB"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37.9</w:t>
            </w:r>
          </w:p>
        </w:tc>
        <w:tc>
          <w:tcPr>
            <w:tcW w:w="291" w:type="pct"/>
            <w:shd w:val="clear" w:color="auto" w:fill="auto"/>
            <w:noWrap/>
            <w:vAlign w:val="center"/>
          </w:tcPr>
          <w:p w14:paraId="294E10B1" w14:textId="694D67C7"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16.3</w:t>
            </w:r>
          </w:p>
        </w:tc>
        <w:tc>
          <w:tcPr>
            <w:tcW w:w="291" w:type="pct"/>
            <w:shd w:val="clear" w:color="auto" w:fill="auto"/>
            <w:noWrap/>
            <w:vAlign w:val="center"/>
          </w:tcPr>
          <w:p w14:paraId="32E310BF" w14:textId="599320F2"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12.0</w:t>
            </w:r>
          </w:p>
        </w:tc>
        <w:tc>
          <w:tcPr>
            <w:tcW w:w="291" w:type="pct"/>
            <w:shd w:val="clear" w:color="auto" w:fill="auto"/>
            <w:noWrap/>
            <w:vAlign w:val="center"/>
          </w:tcPr>
          <w:p w14:paraId="4C063CF0" w14:textId="7C63D414"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11.7</w:t>
            </w:r>
          </w:p>
        </w:tc>
        <w:tc>
          <w:tcPr>
            <w:tcW w:w="318" w:type="pct"/>
            <w:shd w:val="clear" w:color="auto" w:fill="auto"/>
            <w:noWrap/>
            <w:vAlign w:val="center"/>
          </w:tcPr>
          <w:p w14:paraId="265C9CF4" w14:textId="1CCC0040"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12.1</w:t>
            </w:r>
          </w:p>
        </w:tc>
        <w:tc>
          <w:tcPr>
            <w:tcW w:w="318" w:type="pct"/>
            <w:shd w:val="clear" w:color="auto" w:fill="auto"/>
            <w:noWrap/>
            <w:vAlign w:val="center"/>
          </w:tcPr>
          <w:p w14:paraId="49FE0758" w14:textId="593249D3"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13.4</w:t>
            </w:r>
          </w:p>
        </w:tc>
        <w:tc>
          <w:tcPr>
            <w:tcW w:w="291" w:type="pct"/>
            <w:shd w:val="clear" w:color="auto" w:fill="auto"/>
            <w:noWrap/>
            <w:vAlign w:val="center"/>
          </w:tcPr>
          <w:p w14:paraId="316C987B" w14:textId="794714CA"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18.5</w:t>
            </w:r>
          </w:p>
        </w:tc>
        <w:tc>
          <w:tcPr>
            <w:tcW w:w="321" w:type="pct"/>
            <w:shd w:val="clear" w:color="auto" w:fill="auto"/>
            <w:noWrap/>
            <w:vAlign w:val="center"/>
          </w:tcPr>
          <w:p w14:paraId="2E227489" w14:textId="36F5943A"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52.8</w:t>
            </w:r>
          </w:p>
        </w:tc>
        <w:tc>
          <w:tcPr>
            <w:tcW w:w="351" w:type="pct"/>
            <w:shd w:val="clear" w:color="auto" w:fill="auto"/>
            <w:noWrap/>
            <w:vAlign w:val="center"/>
          </w:tcPr>
          <w:p w14:paraId="7ADD7B0A" w14:textId="06443EE1"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91.5</w:t>
            </w:r>
          </w:p>
        </w:tc>
        <w:tc>
          <w:tcPr>
            <w:tcW w:w="362" w:type="pct"/>
            <w:shd w:val="clear" w:color="auto" w:fill="auto"/>
            <w:noWrap/>
            <w:vAlign w:val="center"/>
          </w:tcPr>
          <w:p w14:paraId="1DC63595" w14:textId="032CEDFF" w:rsidR="00E54305" w:rsidRPr="005914F1" w:rsidRDefault="00E54305" w:rsidP="00E54305">
            <w:pPr>
              <w:spacing w:after="0" w:line="240" w:lineRule="auto"/>
              <w:jc w:val="center"/>
              <w:rPr>
                <w:rFonts w:ascii="Times New Roman" w:eastAsia="Times New Roman" w:hAnsi="Times New Roman" w:cs="Times New Roman"/>
                <w:color w:val="000000"/>
                <w:sz w:val="20"/>
                <w:szCs w:val="20"/>
              </w:rPr>
            </w:pPr>
            <w:r w:rsidRPr="005914F1">
              <w:rPr>
                <w:rFonts w:ascii="Times New Roman" w:hAnsi="Times New Roman" w:cs="Times New Roman"/>
                <w:color w:val="000000"/>
                <w:sz w:val="20"/>
                <w:szCs w:val="20"/>
              </w:rPr>
              <w:t>602.6</w:t>
            </w:r>
          </w:p>
        </w:tc>
        <w:tc>
          <w:tcPr>
            <w:tcW w:w="286" w:type="pct"/>
            <w:shd w:val="clear" w:color="auto" w:fill="auto"/>
            <w:noWrap/>
            <w:vAlign w:val="center"/>
          </w:tcPr>
          <w:p w14:paraId="58024DD9" w14:textId="6DB30236" w:rsidR="00E54305" w:rsidRPr="005914F1" w:rsidRDefault="00E54305" w:rsidP="00E54305">
            <w:pPr>
              <w:spacing w:after="0" w:line="240" w:lineRule="auto"/>
              <w:jc w:val="center"/>
              <w:rPr>
                <w:rFonts w:ascii="Times New Roman" w:eastAsia="Times New Roman" w:hAnsi="Times New Roman" w:cs="Times New Roman"/>
                <w:color w:val="000000"/>
                <w:sz w:val="20"/>
                <w:szCs w:val="20"/>
              </w:rPr>
            </w:pPr>
            <w:r w:rsidRPr="005914F1">
              <w:rPr>
                <w:rFonts w:ascii="Times New Roman" w:hAnsi="Times New Roman" w:cs="Times New Roman"/>
                <w:color w:val="000000"/>
                <w:sz w:val="20"/>
                <w:szCs w:val="20"/>
              </w:rPr>
              <w:t>65.4</w:t>
            </w:r>
          </w:p>
        </w:tc>
      </w:tr>
      <w:tr w:rsidR="00E54305" w:rsidRPr="005914F1" w14:paraId="5DCFD7E0" w14:textId="77777777" w:rsidTr="005914F1">
        <w:trPr>
          <w:trHeight w:val="50"/>
        </w:trPr>
        <w:tc>
          <w:tcPr>
            <w:tcW w:w="589" w:type="pct"/>
            <w:shd w:val="clear" w:color="auto" w:fill="auto"/>
            <w:noWrap/>
            <w:vAlign w:val="center"/>
            <w:hideMark/>
          </w:tcPr>
          <w:p w14:paraId="791FF1EB" w14:textId="7809AE9C"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eastAsia="Times New Roman" w:hAnsi="Times New Roman" w:cs="Times New Roman"/>
                <w:color w:val="000000"/>
                <w:sz w:val="20"/>
                <w:szCs w:val="20"/>
                <w:lang w:val="ro-RO"/>
              </w:rPr>
              <w:t>Întreruptibili</w:t>
            </w:r>
          </w:p>
        </w:tc>
        <w:tc>
          <w:tcPr>
            <w:tcW w:w="328" w:type="pct"/>
            <w:shd w:val="clear" w:color="auto" w:fill="auto"/>
            <w:noWrap/>
            <w:vAlign w:val="center"/>
          </w:tcPr>
          <w:p w14:paraId="5990ACE5" w14:textId="0768C2C4"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68.0</w:t>
            </w:r>
          </w:p>
        </w:tc>
        <w:tc>
          <w:tcPr>
            <w:tcW w:w="336" w:type="pct"/>
            <w:shd w:val="clear" w:color="auto" w:fill="auto"/>
            <w:noWrap/>
            <w:vAlign w:val="center"/>
          </w:tcPr>
          <w:p w14:paraId="1E45B605" w14:textId="59048808"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53.2</w:t>
            </w:r>
          </w:p>
        </w:tc>
        <w:tc>
          <w:tcPr>
            <w:tcW w:w="336" w:type="pct"/>
            <w:shd w:val="clear" w:color="auto" w:fill="auto"/>
            <w:noWrap/>
            <w:vAlign w:val="center"/>
          </w:tcPr>
          <w:p w14:paraId="736495B6" w14:textId="1DE388E7"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57.5</w:t>
            </w:r>
          </w:p>
        </w:tc>
        <w:tc>
          <w:tcPr>
            <w:tcW w:w="291" w:type="pct"/>
            <w:shd w:val="clear" w:color="auto" w:fill="auto"/>
            <w:noWrap/>
            <w:vAlign w:val="center"/>
          </w:tcPr>
          <w:p w14:paraId="74D05449" w14:textId="3D07D245"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12.0</w:t>
            </w:r>
          </w:p>
        </w:tc>
        <w:tc>
          <w:tcPr>
            <w:tcW w:w="291" w:type="pct"/>
            <w:shd w:val="clear" w:color="auto" w:fill="auto"/>
            <w:noWrap/>
            <w:vAlign w:val="center"/>
          </w:tcPr>
          <w:p w14:paraId="773E6762" w14:textId="701A7E6D"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15.1</w:t>
            </w:r>
          </w:p>
        </w:tc>
        <w:tc>
          <w:tcPr>
            <w:tcW w:w="291" w:type="pct"/>
            <w:shd w:val="clear" w:color="auto" w:fill="auto"/>
            <w:noWrap/>
            <w:vAlign w:val="center"/>
          </w:tcPr>
          <w:p w14:paraId="301105FA" w14:textId="437101E0"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15.0</w:t>
            </w:r>
          </w:p>
        </w:tc>
        <w:tc>
          <w:tcPr>
            <w:tcW w:w="291" w:type="pct"/>
            <w:shd w:val="clear" w:color="auto" w:fill="auto"/>
            <w:noWrap/>
            <w:vAlign w:val="center"/>
          </w:tcPr>
          <w:p w14:paraId="181F068A" w14:textId="6161C5F7"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16.0</w:t>
            </w:r>
          </w:p>
        </w:tc>
        <w:tc>
          <w:tcPr>
            <w:tcW w:w="318" w:type="pct"/>
            <w:shd w:val="clear" w:color="auto" w:fill="auto"/>
            <w:noWrap/>
            <w:vAlign w:val="center"/>
          </w:tcPr>
          <w:p w14:paraId="794A90E1" w14:textId="7EF47B87"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13.9</w:t>
            </w:r>
          </w:p>
        </w:tc>
        <w:tc>
          <w:tcPr>
            <w:tcW w:w="318" w:type="pct"/>
            <w:shd w:val="clear" w:color="auto" w:fill="auto"/>
            <w:noWrap/>
            <w:vAlign w:val="center"/>
          </w:tcPr>
          <w:p w14:paraId="3CA50325" w14:textId="0433F257"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15.4</w:t>
            </w:r>
          </w:p>
        </w:tc>
        <w:tc>
          <w:tcPr>
            <w:tcW w:w="291" w:type="pct"/>
            <w:shd w:val="clear" w:color="auto" w:fill="auto"/>
            <w:noWrap/>
            <w:vAlign w:val="center"/>
          </w:tcPr>
          <w:p w14:paraId="21768294" w14:textId="57E4B6AA"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14.0</w:t>
            </w:r>
          </w:p>
        </w:tc>
        <w:tc>
          <w:tcPr>
            <w:tcW w:w="321" w:type="pct"/>
            <w:shd w:val="clear" w:color="auto" w:fill="auto"/>
            <w:noWrap/>
            <w:vAlign w:val="center"/>
          </w:tcPr>
          <w:p w14:paraId="5A7C1CF7" w14:textId="7C408766"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17.1</w:t>
            </w:r>
          </w:p>
        </w:tc>
        <w:tc>
          <w:tcPr>
            <w:tcW w:w="351" w:type="pct"/>
            <w:shd w:val="clear" w:color="auto" w:fill="auto"/>
            <w:noWrap/>
            <w:vAlign w:val="center"/>
          </w:tcPr>
          <w:p w14:paraId="66700838" w14:textId="5297469F" w:rsidR="00E54305" w:rsidRPr="005914F1" w:rsidRDefault="00E54305" w:rsidP="00E54305">
            <w:pPr>
              <w:spacing w:after="0" w:line="240" w:lineRule="auto"/>
              <w:jc w:val="center"/>
              <w:rPr>
                <w:rFonts w:ascii="Times New Roman" w:eastAsia="Times New Roman" w:hAnsi="Times New Roman" w:cs="Times New Roman"/>
                <w:color w:val="000000"/>
                <w:sz w:val="20"/>
                <w:szCs w:val="20"/>
                <w:lang w:val="ro-RO"/>
              </w:rPr>
            </w:pPr>
            <w:r w:rsidRPr="005914F1">
              <w:rPr>
                <w:rFonts w:ascii="Times New Roman" w:hAnsi="Times New Roman" w:cs="Times New Roman"/>
                <w:color w:val="000000"/>
                <w:sz w:val="20"/>
                <w:szCs w:val="20"/>
              </w:rPr>
              <w:t>21.8</w:t>
            </w:r>
          </w:p>
        </w:tc>
        <w:tc>
          <w:tcPr>
            <w:tcW w:w="362" w:type="pct"/>
            <w:shd w:val="clear" w:color="auto" w:fill="auto"/>
            <w:noWrap/>
            <w:vAlign w:val="center"/>
          </w:tcPr>
          <w:p w14:paraId="72F83A09" w14:textId="107D1144" w:rsidR="00E54305" w:rsidRPr="005914F1" w:rsidRDefault="00E54305" w:rsidP="00E54305">
            <w:pPr>
              <w:spacing w:after="0" w:line="240" w:lineRule="auto"/>
              <w:jc w:val="center"/>
              <w:rPr>
                <w:rFonts w:ascii="Times New Roman" w:eastAsia="Times New Roman" w:hAnsi="Times New Roman" w:cs="Times New Roman"/>
                <w:color w:val="000000"/>
                <w:sz w:val="20"/>
                <w:szCs w:val="20"/>
              </w:rPr>
            </w:pPr>
            <w:r w:rsidRPr="005914F1">
              <w:rPr>
                <w:rFonts w:ascii="Times New Roman" w:hAnsi="Times New Roman" w:cs="Times New Roman"/>
                <w:color w:val="000000"/>
                <w:sz w:val="20"/>
                <w:szCs w:val="20"/>
              </w:rPr>
              <w:t>319.0</w:t>
            </w:r>
          </w:p>
        </w:tc>
        <w:tc>
          <w:tcPr>
            <w:tcW w:w="286" w:type="pct"/>
            <w:shd w:val="clear" w:color="auto" w:fill="auto"/>
            <w:noWrap/>
            <w:vAlign w:val="center"/>
          </w:tcPr>
          <w:p w14:paraId="37D7687A" w14:textId="290C0677" w:rsidR="00E54305" w:rsidRPr="005914F1" w:rsidRDefault="00E54305" w:rsidP="00E54305">
            <w:pPr>
              <w:spacing w:after="0" w:line="240" w:lineRule="auto"/>
              <w:jc w:val="center"/>
              <w:rPr>
                <w:rFonts w:ascii="Times New Roman" w:eastAsia="Times New Roman" w:hAnsi="Times New Roman" w:cs="Times New Roman"/>
                <w:color w:val="000000"/>
                <w:sz w:val="20"/>
                <w:szCs w:val="20"/>
              </w:rPr>
            </w:pPr>
            <w:r w:rsidRPr="005914F1">
              <w:rPr>
                <w:rFonts w:ascii="Times New Roman" w:hAnsi="Times New Roman" w:cs="Times New Roman"/>
                <w:color w:val="000000"/>
                <w:sz w:val="20"/>
                <w:szCs w:val="20"/>
              </w:rPr>
              <w:t>34.6</w:t>
            </w:r>
          </w:p>
        </w:tc>
      </w:tr>
      <w:tr w:rsidR="00E54305" w:rsidRPr="005914F1" w14:paraId="012039BA" w14:textId="77777777" w:rsidTr="005914F1">
        <w:trPr>
          <w:trHeight w:val="50"/>
        </w:trPr>
        <w:tc>
          <w:tcPr>
            <w:tcW w:w="589" w:type="pct"/>
            <w:shd w:val="clear" w:color="auto" w:fill="E2EFD9" w:themeFill="accent6" w:themeFillTint="33"/>
            <w:noWrap/>
            <w:vAlign w:val="center"/>
            <w:hideMark/>
          </w:tcPr>
          <w:p w14:paraId="09999820" w14:textId="77777777"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eastAsia="Times New Roman" w:hAnsi="Times New Roman" w:cs="Times New Roman"/>
                <w:b/>
                <w:bCs/>
                <w:color w:val="000000"/>
                <w:sz w:val="20"/>
                <w:szCs w:val="20"/>
                <w:lang w:val="ro-RO"/>
              </w:rPr>
              <w:t>Total</w:t>
            </w:r>
          </w:p>
        </w:tc>
        <w:tc>
          <w:tcPr>
            <w:tcW w:w="328" w:type="pct"/>
            <w:shd w:val="clear" w:color="auto" w:fill="E2EFD9" w:themeFill="accent6" w:themeFillTint="33"/>
            <w:noWrap/>
            <w:vAlign w:val="center"/>
          </w:tcPr>
          <w:p w14:paraId="646DBEBE" w14:textId="4D60D5E0"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204.1</w:t>
            </w:r>
          </w:p>
        </w:tc>
        <w:tc>
          <w:tcPr>
            <w:tcW w:w="336" w:type="pct"/>
            <w:shd w:val="clear" w:color="auto" w:fill="E2EFD9" w:themeFill="accent6" w:themeFillTint="33"/>
            <w:noWrap/>
            <w:vAlign w:val="center"/>
          </w:tcPr>
          <w:p w14:paraId="613B64ED" w14:textId="16F9D9A1"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148.6</w:t>
            </w:r>
          </w:p>
        </w:tc>
        <w:tc>
          <w:tcPr>
            <w:tcW w:w="336" w:type="pct"/>
            <w:shd w:val="clear" w:color="auto" w:fill="E2EFD9" w:themeFill="accent6" w:themeFillTint="33"/>
            <w:noWrap/>
            <w:vAlign w:val="center"/>
          </w:tcPr>
          <w:p w14:paraId="3E9BB323" w14:textId="0A1EB482"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162.5</w:t>
            </w:r>
          </w:p>
        </w:tc>
        <w:tc>
          <w:tcPr>
            <w:tcW w:w="291" w:type="pct"/>
            <w:shd w:val="clear" w:color="auto" w:fill="E2EFD9" w:themeFill="accent6" w:themeFillTint="33"/>
            <w:noWrap/>
            <w:vAlign w:val="center"/>
          </w:tcPr>
          <w:p w14:paraId="763413CA" w14:textId="56FF897C"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49.9</w:t>
            </w:r>
          </w:p>
        </w:tc>
        <w:tc>
          <w:tcPr>
            <w:tcW w:w="291" w:type="pct"/>
            <w:shd w:val="clear" w:color="auto" w:fill="E2EFD9" w:themeFill="accent6" w:themeFillTint="33"/>
            <w:noWrap/>
            <w:vAlign w:val="center"/>
          </w:tcPr>
          <w:p w14:paraId="46E81090" w14:textId="244A44F9"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31.4</w:t>
            </w:r>
          </w:p>
        </w:tc>
        <w:tc>
          <w:tcPr>
            <w:tcW w:w="291" w:type="pct"/>
            <w:shd w:val="clear" w:color="auto" w:fill="E2EFD9" w:themeFill="accent6" w:themeFillTint="33"/>
            <w:noWrap/>
            <w:vAlign w:val="center"/>
          </w:tcPr>
          <w:p w14:paraId="4FD0389B" w14:textId="5044BFA6"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27.0</w:t>
            </w:r>
          </w:p>
        </w:tc>
        <w:tc>
          <w:tcPr>
            <w:tcW w:w="291" w:type="pct"/>
            <w:shd w:val="clear" w:color="auto" w:fill="E2EFD9" w:themeFill="accent6" w:themeFillTint="33"/>
            <w:noWrap/>
            <w:vAlign w:val="center"/>
          </w:tcPr>
          <w:p w14:paraId="0218796A" w14:textId="7879302C"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27.7</w:t>
            </w:r>
          </w:p>
        </w:tc>
        <w:tc>
          <w:tcPr>
            <w:tcW w:w="318" w:type="pct"/>
            <w:shd w:val="clear" w:color="auto" w:fill="E2EFD9" w:themeFill="accent6" w:themeFillTint="33"/>
            <w:noWrap/>
            <w:vAlign w:val="center"/>
          </w:tcPr>
          <w:p w14:paraId="7FF68895" w14:textId="5C3A0543"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26.0</w:t>
            </w:r>
          </w:p>
        </w:tc>
        <w:tc>
          <w:tcPr>
            <w:tcW w:w="318" w:type="pct"/>
            <w:shd w:val="clear" w:color="auto" w:fill="E2EFD9" w:themeFill="accent6" w:themeFillTint="33"/>
            <w:noWrap/>
            <w:vAlign w:val="center"/>
          </w:tcPr>
          <w:p w14:paraId="2FE2BB5C" w14:textId="38E8D027"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28.8</w:t>
            </w:r>
          </w:p>
        </w:tc>
        <w:tc>
          <w:tcPr>
            <w:tcW w:w="291" w:type="pct"/>
            <w:shd w:val="clear" w:color="auto" w:fill="E2EFD9" w:themeFill="accent6" w:themeFillTint="33"/>
            <w:noWrap/>
            <w:vAlign w:val="center"/>
          </w:tcPr>
          <w:p w14:paraId="283A9350" w14:textId="568648D3"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32.4</w:t>
            </w:r>
          </w:p>
        </w:tc>
        <w:tc>
          <w:tcPr>
            <w:tcW w:w="321" w:type="pct"/>
            <w:shd w:val="clear" w:color="auto" w:fill="E2EFD9" w:themeFill="accent6" w:themeFillTint="33"/>
            <w:noWrap/>
            <w:vAlign w:val="center"/>
          </w:tcPr>
          <w:p w14:paraId="6A322433" w14:textId="78A4ACA0"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69.9</w:t>
            </w:r>
          </w:p>
        </w:tc>
        <w:tc>
          <w:tcPr>
            <w:tcW w:w="351" w:type="pct"/>
            <w:shd w:val="clear" w:color="auto" w:fill="E2EFD9" w:themeFill="accent6" w:themeFillTint="33"/>
            <w:noWrap/>
            <w:vAlign w:val="center"/>
          </w:tcPr>
          <w:p w14:paraId="20A3A4F3" w14:textId="607F7E7E"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lang w:val="ro-RO"/>
              </w:rPr>
            </w:pPr>
            <w:r w:rsidRPr="005914F1">
              <w:rPr>
                <w:rFonts w:ascii="Times New Roman" w:hAnsi="Times New Roman" w:cs="Times New Roman"/>
                <w:b/>
                <w:bCs/>
                <w:color w:val="000000"/>
                <w:sz w:val="20"/>
                <w:szCs w:val="20"/>
              </w:rPr>
              <w:t>113.3</w:t>
            </w:r>
          </w:p>
        </w:tc>
        <w:tc>
          <w:tcPr>
            <w:tcW w:w="362" w:type="pct"/>
            <w:shd w:val="clear" w:color="auto" w:fill="E2EFD9" w:themeFill="accent6" w:themeFillTint="33"/>
            <w:noWrap/>
            <w:vAlign w:val="center"/>
          </w:tcPr>
          <w:p w14:paraId="40FBD1BF" w14:textId="16249818"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rPr>
            </w:pPr>
            <w:r w:rsidRPr="005914F1">
              <w:rPr>
                <w:rFonts w:ascii="Times New Roman" w:hAnsi="Times New Roman" w:cs="Times New Roman"/>
                <w:b/>
                <w:bCs/>
                <w:color w:val="000000"/>
                <w:sz w:val="20"/>
                <w:szCs w:val="20"/>
              </w:rPr>
              <w:t>921.7</w:t>
            </w:r>
          </w:p>
        </w:tc>
        <w:tc>
          <w:tcPr>
            <w:tcW w:w="286" w:type="pct"/>
            <w:shd w:val="clear" w:color="auto" w:fill="E2EFD9" w:themeFill="accent6" w:themeFillTint="33"/>
            <w:noWrap/>
            <w:vAlign w:val="center"/>
          </w:tcPr>
          <w:p w14:paraId="17AA7391" w14:textId="76E52CD7" w:rsidR="00E54305" w:rsidRPr="005914F1" w:rsidRDefault="00E54305" w:rsidP="00E54305">
            <w:pPr>
              <w:spacing w:after="0" w:line="240" w:lineRule="auto"/>
              <w:jc w:val="center"/>
              <w:rPr>
                <w:rFonts w:ascii="Times New Roman" w:eastAsia="Times New Roman" w:hAnsi="Times New Roman" w:cs="Times New Roman"/>
                <w:b/>
                <w:bCs/>
                <w:color w:val="000000"/>
                <w:sz w:val="20"/>
                <w:szCs w:val="20"/>
              </w:rPr>
            </w:pPr>
            <w:r w:rsidRPr="005914F1">
              <w:rPr>
                <w:rFonts w:ascii="Times New Roman" w:hAnsi="Times New Roman" w:cs="Times New Roman"/>
                <w:b/>
                <w:bCs/>
                <w:color w:val="000000"/>
                <w:sz w:val="20"/>
                <w:szCs w:val="20"/>
              </w:rPr>
              <w:t>100</w:t>
            </w:r>
          </w:p>
        </w:tc>
      </w:tr>
    </w:tbl>
    <w:p w14:paraId="6A84553D" w14:textId="39A8C40A" w:rsidR="00590EBE" w:rsidRPr="005914F1" w:rsidRDefault="00664462" w:rsidP="005914F1">
      <w:pPr>
        <w:pStyle w:val="cb"/>
        <w:rPr>
          <w:b w:val="0"/>
          <w:bCs w:val="0"/>
          <w:sz w:val="20"/>
          <w:szCs w:val="20"/>
          <w:lang w:val="ro-RO"/>
        </w:rPr>
      </w:pPr>
      <w:r w:rsidRPr="00E426A8">
        <w:rPr>
          <w:sz w:val="20"/>
          <w:szCs w:val="20"/>
          <w:lang w:val="ro-RO"/>
        </w:rPr>
        <w:t xml:space="preserve">Sursa: </w:t>
      </w:r>
      <w:r w:rsidRPr="00E426A8">
        <w:rPr>
          <w:b w:val="0"/>
          <w:bCs w:val="0"/>
          <w:sz w:val="20"/>
          <w:szCs w:val="20"/>
          <w:lang w:val="ro-RO"/>
        </w:rPr>
        <w:t>Operatorii de sistem gaze naturale licențiați din Republica Moldova</w:t>
      </w:r>
    </w:p>
    <w:p w14:paraId="70F23546" w14:textId="771AFF44" w:rsidR="00A42EBB" w:rsidRPr="00563E6E" w:rsidRDefault="00A42EBB" w:rsidP="007E41F9">
      <w:pPr>
        <w:pStyle w:val="cb"/>
        <w:spacing w:before="120"/>
        <w:ind w:left="1080" w:hanging="1080"/>
        <w:jc w:val="both"/>
        <w:rPr>
          <w:b w:val="0"/>
          <w:bCs w:val="0"/>
          <w:color w:val="000000"/>
          <w:lang w:val="ro-RO"/>
        </w:rPr>
      </w:pPr>
      <w:bookmarkStart w:id="11" w:name="_Hlk133302260"/>
      <w:r w:rsidRPr="002C0527">
        <w:rPr>
          <w:lang w:val="ro-RO"/>
        </w:rPr>
        <w:t xml:space="preserve">Tabelul </w:t>
      </w:r>
      <w:r w:rsidR="00664462">
        <w:rPr>
          <w:lang w:val="ro-RO"/>
        </w:rPr>
        <w:t>3</w:t>
      </w:r>
      <w:r w:rsidRPr="002C0527">
        <w:rPr>
          <w:lang w:val="ro-RO"/>
        </w:rPr>
        <w:t xml:space="preserve">. </w:t>
      </w:r>
      <w:r w:rsidRPr="007E41F9">
        <w:rPr>
          <w:b w:val="0"/>
          <w:bCs w:val="0"/>
          <w:sz w:val="22"/>
          <w:szCs w:val="22"/>
          <w:lang w:val="ro-RO"/>
        </w:rPr>
        <w:t>C</w:t>
      </w:r>
      <w:r w:rsidRPr="007E41F9">
        <w:rPr>
          <w:b w:val="0"/>
          <w:bCs w:val="0"/>
          <w:color w:val="000000"/>
          <w:sz w:val="22"/>
          <w:szCs w:val="22"/>
          <w:lang w:val="ro-RO"/>
        </w:rPr>
        <w:t>onsumul estimat de păcură și gaze naturale în cazul funcționării SA “Termoelectrica”</w:t>
      </w:r>
      <w:r w:rsidR="00563E6E" w:rsidRPr="007E41F9">
        <w:rPr>
          <w:b w:val="0"/>
          <w:bCs w:val="0"/>
          <w:color w:val="000000"/>
          <w:sz w:val="22"/>
          <w:szCs w:val="22"/>
          <w:lang w:val="ro-RO"/>
        </w:rPr>
        <w:t xml:space="preserve"> </w:t>
      </w:r>
      <w:r w:rsidRPr="007E41F9">
        <w:rPr>
          <w:b w:val="0"/>
          <w:bCs w:val="0"/>
          <w:color w:val="000000"/>
          <w:sz w:val="22"/>
          <w:szCs w:val="22"/>
          <w:lang w:val="ro-RO"/>
        </w:rPr>
        <w:t>(doar C</w:t>
      </w:r>
      <w:r w:rsidR="00296429" w:rsidRPr="007E41F9">
        <w:rPr>
          <w:b w:val="0"/>
          <w:bCs w:val="0"/>
          <w:color w:val="000000"/>
          <w:sz w:val="22"/>
          <w:szCs w:val="22"/>
          <w:lang w:val="ro-RO"/>
        </w:rPr>
        <w:t>entrala electrică cu termoficare -</w:t>
      </w:r>
      <w:r w:rsidR="00DA3FED" w:rsidRPr="007E41F9">
        <w:rPr>
          <w:b w:val="0"/>
          <w:bCs w:val="0"/>
          <w:color w:val="000000"/>
          <w:sz w:val="22"/>
          <w:szCs w:val="22"/>
          <w:lang w:val="ro-RO"/>
        </w:rPr>
        <w:t xml:space="preserve"> </w:t>
      </w:r>
      <w:r w:rsidR="00296429" w:rsidRPr="007E41F9">
        <w:rPr>
          <w:b w:val="0"/>
          <w:bCs w:val="0"/>
          <w:color w:val="000000"/>
          <w:sz w:val="22"/>
          <w:szCs w:val="22"/>
          <w:lang w:val="ro-RO"/>
        </w:rPr>
        <w:t>CET</w:t>
      </w:r>
      <w:r w:rsidRPr="007E41F9">
        <w:rPr>
          <w:b w:val="0"/>
          <w:bCs w:val="0"/>
          <w:color w:val="000000"/>
          <w:sz w:val="22"/>
          <w:szCs w:val="22"/>
          <w:lang w:val="ro-RO"/>
        </w:rPr>
        <w:t xml:space="preserve"> Sursa nr. 1) în baza de păcură în perioada octombrie</w:t>
      </w:r>
      <w:r w:rsidR="00E95228" w:rsidRPr="007E41F9">
        <w:rPr>
          <w:b w:val="0"/>
          <w:bCs w:val="0"/>
          <w:color w:val="000000"/>
          <w:sz w:val="22"/>
          <w:szCs w:val="22"/>
          <w:lang w:val="ro-RO"/>
        </w:rPr>
        <w:t xml:space="preserve"> </w:t>
      </w:r>
      <w:r w:rsidRPr="007E41F9">
        <w:rPr>
          <w:b w:val="0"/>
          <w:bCs w:val="0"/>
          <w:color w:val="000000"/>
          <w:sz w:val="22"/>
          <w:szCs w:val="22"/>
          <w:lang w:val="ro-RO"/>
        </w:rPr>
        <w:t>202</w:t>
      </w:r>
      <w:r w:rsidR="00FA3E89" w:rsidRPr="007E41F9">
        <w:rPr>
          <w:b w:val="0"/>
          <w:bCs w:val="0"/>
          <w:color w:val="000000"/>
          <w:sz w:val="22"/>
          <w:szCs w:val="22"/>
          <w:lang w:val="ro-RO"/>
        </w:rPr>
        <w:t>3</w:t>
      </w:r>
      <w:r w:rsidRPr="007E41F9">
        <w:rPr>
          <w:b w:val="0"/>
          <w:bCs w:val="0"/>
          <w:color w:val="000000"/>
          <w:sz w:val="22"/>
          <w:szCs w:val="22"/>
          <w:lang w:val="ro-RO"/>
        </w:rPr>
        <w:t xml:space="preserve"> - aprilie 202</w:t>
      </w:r>
      <w:r w:rsidR="00FA3E89" w:rsidRPr="007E41F9">
        <w:rPr>
          <w:b w:val="0"/>
          <w:bCs w:val="0"/>
          <w:color w:val="000000"/>
          <w:sz w:val="22"/>
          <w:szCs w:val="22"/>
          <w:lang w:val="ro-RO"/>
        </w:rPr>
        <w:t>4</w:t>
      </w:r>
      <w:r w:rsidR="000261F3" w:rsidRPr="007E41F9">
        <w:rPr>
          <w:b w:val="0"/>
          <w:bCs w:val="0"/>
          <w:color w:val="000000"/>
          <w:sz w:val="22"/>
          <w:szCs w:val="22"/>
          <w:lang w:val="ro-RO"/>
        </w:rPr>
        <w:t>.</w:t>
      </w:r>
    </w:p>
    <w:tbl>
      <w:tblPr>
        <w:tblW w:w="5000" w:type="pct"/>
        <w:tblLook w:val="04A0" w:firstRow="1" w:lastRow="0" w:firstColumn="1" w:lastColumn="0" w:noHBand="0" w:noVBand="1"/>
      </w:tblPr>
      <w:tblGrid>
        <w:gridCol w:w="1507"/>
        <w:gridCol w:w="2780"/>
        <w:gridCol w:w="496"/>
        <w:gridCol w:w="526"/>
        <w:gridCol w:w="506"/>
        <w:gridCol w:w="496"/>
        <w:gridCol w:w="506"/>
        <w:gridCol w:w="556"/>
        <w:gridCol w:w="526"/>
        <w:gridCol w:w="627"/>
        <w:gridCol w:w="1643"/>
      </w:tblGrid>
      <w:tr w:rsidR="009B5059" w:rsidRPr="002C0527" w14:paraId="300EAA65" w14:textId="08D2E3A7" w:rsidTr="009B5059">
        <w:trPr>
          <w:trHeight w:val="336"/>
        </w:trPr>
        <w:tc>
          <w:tcPr>
            <w:tcW w:w="750" w:type="pct"/>
            <w:vMerge w:val="restart"/>
            <w:tcBorders>
              <w:top w:val="single" w:sz="4" w:space="0" w:color="auto"/>
              <w:left w:val="single" w:sz="4" w:space="0" w:color="auto"/>
              <w:right w:val="single" w:sz="4" w:space="0" w:color="auto"/>
            </w:tcBorders>
            <w:shd w:val="clear" w:color="auto" w:fill="E2EFD9" w:themeFill="accent6" w:themeFillTint="33"/>
          </w:tcPr>
          <w:p w14:paraId="38E58057" w14:textId="47B546BA" w:rsidR="009B5059" w:rsidRPr="00153F1A" w:rsidRDefault="009B5059" w:rsidP="009B5059">
            <w:pPr>
              <w:spacing w:after="0"/>
              <w:rPr>
                <w:b/>
                <w:bCs/>
                <w:color w:val="000000"/>
                <w:sz w:val="20"/>
                <w:szCs w:val="20"/>
                <w:lang w:val="ro-RO"/>
              </w:rPr>
            </w:pPr>
            <w:r w:rsidRPr="00153F1A">
              <w:rPr>
                <w:rFonts w:ascii="Times New Roman" w:hAnsi="Times New Roman" w:cs="Times New Roman"/>
                <w:b/>
                <w:bCs/>
                <w:sz w:val="18"/>
                <w:szCs w:val="18"/>
                <w:lang w:val="ro-RO" w:eastAsia="en-GB"/>
              </w:rPr>
              <w:t>Regimul de funcționare gaze naturale/păcură</w:t>
            </w:r>
          </w:p>
        </w:tc>
        <w:tc>
          <w:tcPr>
            <w:tcW w:w="1333" w:type="pct"/>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16F2B57E" w14:textId="3D95DA53" w:rsidR="009B5059" w:rsidRPr="00153F1A" w:rsidRDefault="009B5059" w:rsidP="009B5059">
            <w:pPr>
              <w:pStyle w:val="cb"/>
              <w:rPr>
                <w:color w:val="000000"/>
                <w:sz w:val="20"/>
                <w:szCs w:val="20"/>
                <w:lang w:val="ro-RO"/>
              </w:rPr>
            </w:pPr>
            <w:r w:rsidRPr="00153F1A">
              <w:rPr>
                <w:color w:val="000000"/>
                <w:sz w:val="20"/>
                <w:szCs w:val="20"/>
                <w:lang w:val="ro-RO"/>
              </w:rPr>
              <w:t>SA „Termoelectrica”</w:t>
            </w:r>
          </w:p>
          <w:p w14:paraId="687C3D47" w14:textId="51663508" w:rsidR="009B5059" w:rsidRPr="00153F1A" w:rsidRDefault="009B5059" w:rsidP="009B5059">
            <w:pPr>
              <w:spacing w:after="0"/>
              <w:jc w:val="center"/>
              <w:rPr>
                <w:rFonts w:ascii="Times New Roman" w:hAnsi="Times New Roman" w:cs="Times New Roman"/>
                <w:b/>
                <w:bCs/>
                <w:color w:val="000000"/>
                <w:sz w:val="20"/>
                <w:szCs w:val="20"/>
                <w:lang w:val="ro-RO" w:eastAsia="en-GB"/>
              </w:rPr>
            </w:pPr>
            <w:r w:rsidRPr="00153F1A">
              <w:rPr>
                <w:rFonts w:ascii="Times New Roman" w:hAnsi="Times New Roman" w:cs="Times New Roman"/>
                <w:b/>
                <w:bCs/>
                <w:color w:val="000000"/>
                <w:sz w:val="20"/>
                <w:szCs w:val="20"/>
                <w:lang w:val="ro-RO" w:eastAsia="en-GB"/>
              </w:rPr>
              <w:t>CET Sursa 1</w:t>
            </w:r>
          </w:p>
        </w:tc>
        <w:tc>
          <w:tcPr>
            <w:tcW w:w="751" w:type="pct"/>
            <w:gridSpan w:val="3"/>
            <w:tcBorders>
              <w:top w:val="single" w:sz="2" w:space="0" w:color="auto"/>
              <w:left w:val="single" w:sz="4" w:space="0" w:color="auto"/>
              <w:bottom w:val="single" w:sz="4" w:space="0" w:color="auto"/>
              <w:right w:val="single" w:sz="4" w:space="0" w:color="auto"/>
            </w:tcBorders>
            <w:shd w:val="clear" w:color="auto" w:fill="E2EFD9" w:themeFill="accent6" w:themeFillTint="33"/>
            <w:vAlign w:val="center"/>
          </w:tcPr>
          <w:p w14:paraId="67180197" w14:textId="3927DAE3" w:rsidR="009B5059" w:rsidRPr="00153F1A" w:rsidRDefault="009B5059" w:rsidP="009B5059">
            <w:pPr>
              <w:spacing w:after="0"/>
              <w:jc w:val="center"/>
              <w:rPr>
                <w:rFonts w:ascii="Times New Roman" w:hAnsi="Times New Roman" w:cs="Times New Roman"/>
                <w:b/>
                <w:bCs/>
                <w:color w:val="000000"/>
                <w:sz w:val="18"/>
                <w:szCs w:val="18"/>
                <w:lang w:val="ro-RO" w:eastAsia="en-GB"/>
              </w:rPr>
            </w:pPr>
            <w:r w:rsidRPr="00153F1A">
              <w:rPr>
                <w:rFonts w:ascii="Times New Roman" w:hAnsi="Times New Roman" w:cs="Times New Roman"/>
                <w:b/>
                <w:bCs/>
                <w:color w:val="000000"/>
                <w:sz w:val="18"/>
                <w:szCs w:val="18"/>
                <w:lang w:val="ro-RO" w:eastAsia="en-GB"/>
              </w:rPr>
              <w:t>2023</w:t>
            </w:r>
          </w:p>
        </w:tc>
        <w:tc>
          <w:tcPr>
            <w:tcW w:w="1025" w:type="pct"/>
            <w:gridSpan w:val="4"/>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ADB5A78" w14:textId="0A62CDAD" w:rsidR="009B5059" w:rsidRPr="00153F1A" w:rsidRDefault="009B5059" w:rsidP="009B5059">
            <w:pPr>
              <w:spacing w:after="0"/>
              <w:jc w:val="center"/>
              <w:rPr>
                <w:rFonts w:ascii="Times New Roman" w:hAnsi="Times New Roman" w:cs="Times New Roman"/>
                <w:b/>
                <w:bCs/>
                <w:color w:val="000000"/>
                <w:sz w:val="18"/>
                <w:szCs w:val="18"/>
                <w:lang w:val="ro-RO" w:eastAsia="en-GB"/>
              </w:rPr>
            </w:pPr>
            <w:r w:rsidRPr="00153F1A">
              <w:rPr>
                <w:rFonts w:ascii="Times New Roman" w:hAnsi="Times New Roman" w:cs="Times New Roman"/>
                <w:b/>
                <w:bCs/>
                <w:color w:val="000000"/>
                <w:sz w:val="18"/>
                <w:szCs w:val="18"/>
                <w:lang w:val="ro-RO" w:eastAsia="en-GB"/>
              </w:rPr>
              <w:t>2024</w:t>
            </w:r>
          </w:p>
        </w:tc>
        <w:tc>
          <w:tcPr>
            <w:tcW w:w="308" w:type="pct"/>
            <w:vMerge w:val="restart"/>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C2A5BBF" w14:textId="77777777" w:rsidR="009B5059" w:rsidRPr="002C0527" w:rsidRDefault="009B5059" w:rsidP="009B5059">
            <w:pPr>
              <w:spacing w:after="0"/>
              <w:jc w:val="center"/>
              <w:rPr>
                <w:rFonts w:ascii="Times New Roman" w:hAnsi="Times New Roman" w:cs="Times New Roman"/>
                <w:b/>
                <w:bCs/>
                <w:color w:val="000000"/>
                <w:sz w:val="18"/>
                <w:szCs w:val="18"/>
                <w:lang w:val="ro-RO" w:eastAsia="en-GB"/>
              </w:rPr>
            </w:pPr>
            <w:r w:rsidRPr="002C0527">
              <w:rPr>
                <w:rFonts w:ascii="Times New Roman" w:hAnsi="Times New Roman" w:cs="Times New Roman"/>
                <w:b/>
                <w:bCs/>
                <w:sz w:val="18"/>
                <w:szCs w:val="18"/>
                <w:lang w:val="ro-RO" w:eastAsia="en-GB"/>
              </w:rPr>
              <w:t>Total</w:t>
            </w:r>
          </w:p>
        </w:tc>
        <w:tc>
          <w:tcPr>
            <w:tcW w:w="833" w:type="pct"/>
            <w:vMerge w:val="restart"/>
            <w:tcBorders>
              <w:top w:val="single" w:sz="4" w:space="0" w:color="auto"/>
              <w:left w:val="nil"/>
              <w:right w:val="single" w:sz="4" w:space="0" w:color="auto"/>
            </w:tcBorders>
            <w:shd w:val="clear" w:color="auto" w:fill="E2EFD9" w:themeFill="accent6" w:themeFillTint="33"/>
          </w:tcPr>
          <w:p w14:paraId="1D7443A7" w14:textId="67F81EF3" w:rsidR="009B5059" w:rsidRPr="002C0527" w:rsidRDefault="009B5059" w:rsidP="009B5059">
            <w:pPr>
              <w:spacing w:after="0"/>
              <w:jc w:val="center"/>
              <w:rPr>
                <w:rFonts w:ascii="Times New Roman" w:hAnsi="Times New Roman" w:cs="Times New Roman"/>
                <w:b/>
                <w:bCs/>
                <w:sz w:val="18"/>
                <w:szCs w:val="18"/>
                <w:lang w:val="ro-RO" w:eastAsia="en-GB"/>
              </w:rPr>
            </w:pPr>
            <w:r>
              <w:rPr>
                <w:rFonts w:ascii="Times New Roman" w:hAnsi="Times New Roman" w:cs="Times New Roman"/>
                <w:b/>
                <w:bCs/>
                <w:sz w:val="18"/>
                <w:szCs w:val="18"/>
                <w:lang w:val="ro-RO" w:eastAsia="en-GB"/>
              </w:rPr>
              <w:t>Volumul de gaze naturale estimat a fi redus</w:t>
            </w:r>
          </w:p>
        </w:tc>
      </w:tr>
      <w:tr w:rsidR="009B5059" w:rsidRPr="002C0527" w14:paraId="4983D07E" w14:textId="10542A2C" w:rsidTr="009B5059">
        <w:trPr>
          <w:trHeight w:val="130"/>
        </w:trPr>
        <w:tc>
          <w:tcPr>
            <w:tcW w:w="750" w:type="pct"/>
            <w:vMerge/>
            <w:tcBorders>
              <w:left w:val="single" w:sz="4" w:space="0" w:color="auto"/>
              <w:bottom w:val="single" w:sz="4" w:space="0" w:color="auto"/>
              <w:right w:val="single" w:sz="4" w:space="0" w:color="auto"/>
            </w:tcBorders>
            <w:shd w:val="clear" w:color="auto" w:fill="E2EFD9" w:themeFill="accent6" w:themeFillTint="33"/>
          </w:tcPr>
          <w:p w14:paraId="63036AF6" w14:textId="62F40D76" w:rsidR="009B5059" w:rsidRPr="00153F1A" w:rsidRDefault="009B5059" w:rsidP="009B5059">
            <w:pPr>
              <w:spacing w:after="0"/>
              <w:rPr>
                <w:rFonts w:ascii="Times New Roman" w:hAnsi="Times New Roman" w:cs="Times New Roman"/>
                <w:b/>
                <w:bCs/>
                <w:sz w:val="18"/>
                <w:szCs w:val="18"/>
                <w:lang w:val="ro-RO" w:eastAsia="en-GB"/>
              </w:rPr>
            </w:pPr>
          </w:p>
        </w:tc>
        <w:tc>
          <w:tcPr>
            <w:tcW w:w="1333" w:type="pct"/>
            <w:vMerge/>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3DABAFD8" w14:textId="57794971" w:rsidR="009B5059" w:rsidRPr="00153F1A" w:rsidRDefault="009B5059" w:rsidP="009B5059">
            <w:pPr>
              <w:spacing w:after="0"/>
              <w:rPr>
                <w:rFonts w:ascii="Times New Roman" w:hAnsi="Times New Roman" w:cs="Times New Roman"/>
                <w:b/>
                <w:bCs/>
                <w:sz w:val="18"/>
                <w:szCs w:val="18"/>
                <w:lang w:val="ro-RO" w:eastAsia="en-GB"/>
              </w:rPr>
            </w:pPr>
          </w:p>
        </w:tc>
        <w:tc>
          <w:tcPr>
            <w:tcW w:w="244"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6EE67B15" w14:textId="77777777" w:rsidR="009B5059" w:rsidRPr="00153F1A" w:rsidRDefault="009B5059" w:rsidP="009B5059">
            <w:pPr>
              <w:spacing w:after="0"/>
              <w:jc w:val="center"/>
              <w:rPr>
                <w:rFonts w:ascii="Times New Roman" w:hAnsi="Times New Roman" w:cs="Times New Roman"/>
                <w:b/>
                <w:bCs/>
                <w:sz w:val="18"/>
                <w:szCs w:val="18"/>
                <w:lang w:val="ro-RO" w:eastAsia="en-GB"/>
              </w:rPr>
            </w:pPr>
            <w:r w:rsidRPr="00153F1A">
              <w:rPr>
                <w:rFonts w:ascii="Times New Roman" w:hAnsi="Times New Roman" w:cs="Times New Roman"/>
                <w:b/>
                <w:bCs/>
                <w:sz w:val="18"/>
                <w:szCs w:val="18"/>
                <w:lang w:val="ro-RO" w:eastAsia="en-GB"/>
              </w:rPr>
              <w:t>Oct</w:t>
            </w:r>
          </w:p>
        </w:tc>
        <w:tc>
          <w:tcPr>
            <w:tcW w:w="259"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1B0CCC97" w14:textId="3D2BF593" w:rsidR="009B5059" w:rsidRPr="00153F1A" w:rsidRDefault="009B5059" w:rsidP="009B5059">
            <w:pPr>
              <w:spacing w:after="0"/>
              <w:jc w:val="center"/>
              <w:rPr>
                <w:rFonts w:ascii="Times New Roman" w:hAnsi="Times New Roman" w:cs="Times New Roman"/>
                <w:b/>
                <w:bCs/>
                <w:sz w:val="18"/>
                <w:szCs w:val="18"/>
                <w:lang w:val="ro-RO" w:eastAsia="en-GB"/>
              </w:rPr>
            </w:pPr>
            <w:r w:rsidRPr="00153F1A">
              <w:rPr>
                <w:rFonts w:ascii="Times New Roman" w:hAnsi="Times New Roman" w:cs="Times New Roman"/>
                <w:b/>
                <w:bCs/>
                <w:sz w:val="18"/>
                <w:szCs w:val="18"/>
                <w:lang w:val="ro-RO" w:eastAsia="en-GB"/>
              </w:rPr>
              <w:t>Nov</w:t>
            </w:r>
          </w:p>
        </w:tc>
        <w:tc>
          <w:tcPr>
            <w:tcW w:w="249"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5118F5A" w14:textId="77777777" w:rsidR="009B5059" w:rsidRPr="00153F1A" w:rsidRDefault="009B5059" w:rsidP="009B5059">
            <w:pPr>
              <w:spacing w:after="0"/>
              <w:jc w:val="center"/>
              <w:rPr>
                <w:rFonts w:ascii="Times New Roman" w:hAnsi="Times New Roman" w:cs="Times New Roman"/>
                <w:b/>
                <w:bCs/>
                <w:sz w:val="18"/>
                <w:szCs w:val="18"/>
                <w:lang w:val="ro-RO" w:eastAsia="en-GB"/>
              </w:rPr>
            </w:pPr>
            <w:r w:rsidRPr="00153F1A">
              <w:rPr>
                <w:rFonts w:ascii="Times New Roman" w:hAnsi="Times New Roman" w:cs="Times New Roman"/>
                <w:b/>
                <w:bCs/>
                <w:sz w:val="18"/>
                <w:szCs w:val="18"/>
                <w:lang w:val="ro-RO" w:eastAsia="en-GB"/>
              </w:rPr>
              <w:t>Dec</w:t>
            </w:r>
          </w:p>
        </w:tc>
        <w:tc>
          <w:tcPr>
            <w:tcW w:w="244"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1DB54903" w14:textId="77777777" w:rsidR="009B5059" w:rsidRPr="00153F1A" w:rsidRDefault="009B5059" w:rsidP="009B5059">
            <w:pPr>
              <w:spacing w:after="0"/>
              <w:jc w:val="center"/>
              <w:rPr>
                <w:rFonts w:ascii="Times New Roman" w:hAnsi="Times New Roman" w:cs="Times New Roman"/>
                <w:b/>
                <w:bCs/>
                <w:sz w:val="18"/>
                <w:szCs w:val="18"/>
                <w:lang w:val="ro-RO" w:eastAsia="en-GB"/>
              </w:rPr>
            </w:pPr>
            <w:r w:rsidRPr="00153F1A">
              <w:rPr>
                <w:rFonts w:ascii="Times New Roman" w:hAnsi="Times New Roman" w:cs="Times New Roman"/>
                <w:b/>
                <w:bCs/>
                <w:sz w:val="18"/>
                <w:szCs w:val="18"/>
                <w:lang w:val="ro-RO" w:eastAsia="en-GB"/>
              </w:rPr>
              <w:t>Ian</w:t>
            </w:r>
          </w:p>
        </w:tc>
        <w:tc>
          <w:tcPr>
            <w:tcW w:w="249"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4EBEBF59" w14:textId="77777777" w:rsidR="009B5059" w:rsidRPr="00153F1A" w:rsidRDefault="009B5059" w:rsidP="009B5059">
            <w:pPr>
              <w:spacing w:after="0"/>
              <w:jc w:val="center"/>
              <w:rPr>
                <w:rFonts w:ascii="Times New Roman" w:hAnsi="Times New Roman" w:cs="Times New Roman"/>
                <w:b/>
                <w:bCs/>
                <w:sz w:val="18"/>
                <w:szCs w:val="18"/>
                <w:lang w:val="ro-RO" w:eastAsia="en-GB"/>
              </w:rPr>
            </w:pPr>
            <w:r w:rsidRPr="00153F1A">
              <w:rPr>
                <w:rFonts w:ascii="Times New Roman" w:hAnsi="Times New Roman" w:cs="Times New Roman"/>
                <w:b/>
                <w:bCs/>
                <w:sz w:val="18"/>
                <w:szCs w:val="18"/>
                <w:lang w:val="ro-RO" w:eastAsia="en-GB"/>
              </w:rPr>
              <w:t>Feb</w:t>
            </w:r>
          </w:p>
        </w:tc>
        <w:tc>
          <w:tcPr>
            <w:tcW w:w="27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6BF8936" w14:textId="77777777" w:rsidR="009B5059" w:rsidRPr="00153F1A" w:rsidRDefault="009B5059" w:rsidP="009B5059">
            <w:pPr>
              <w:spacing w:after="0"/>
              <w:jc w:val="center"/>
              <w:rPr>
                <w:rFonts w:ascii="Times New Roman" w:hAnsi="Times New Roman" w:cs="Times New Roman"/>
                <w:b/>
                <w:bCs/>
                <w:sz w:val="18"/>
                <w:szCs w:val="18"/>
                <w:lang w:val="ro-RO" w:eastAsia="en-GB"/>
              </w:rPr>
            </w:pPr>
            <w:r w:rsidRPr="00153F1A">
              <w:rPr>
                <w:rFonts w:ascii="Times New Roman" w:hAnsi="Times New Roman" w:cs="Times New Roman"/>
                <w:b/>
                <w:bCs/>
                <w:sz w:val="18"/>
                <w:szCs w:val="18"/>
                <w:lang w:val="ro-RO" w:eastAsia="en-GB"/>
              </w:rPr>
              <w:t>Mar</w:t>
            </w:r>
          </w:p>
        </w:tc>
        <w:tc>
          <w:tcPr>
            <w:tcW w:w="259"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CFF81DA" w14:textId="77777777" w:rsidR="009B5059" w:rsidRPr="00153F1A" w:rsidRDefault="009B5059" w:rsidP="009B5059">
            <w:pPr>
              <w:spacing w:after="0"/>
              <w:jc w:val="center"/>
              <w:rPr>
                <w:rFonts w:ascii="Times New Roman" w:hAnsi="Times New Roman" w:cs="Times New Roman"/>
                <w:b/>
                <w:bCs/>
                <w:sz w:val="18"/>
                <w:szCs w:val="18"/>
                <w:lang w:val="ro-RO" w:eastAsia="en-GB"/>
              </w:rPr>
            </w:pPr>
            <w:r w:rsidRPr="00153F1A">
              <w:rPr>
                <w:rFonts w:ascii="Times New Roman" w:hAnsi="Times New Roman" w:cs="Times New Roman"/>
                <w:b/>
                <w:bCs/>
                <w:sz w:val="18"/>
                <w:szCs w:val="18"/>
                <w:lang w:val="ro-RO" w:eastAsia="en-GB"/>
              </w:rPr>
              <w:t>Apr</w:t>
            </w:r>
          </w:p>
        </w:tc>
        <w:tc>
          <w:tcPr>
            <w:tcW w:w="308" w:type="pct"/>
            <w:vMerge/>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12592F6" w14:textId="77777777" w:rsidR="009B5059" w:rsidRPr="002C0527" w:rsidRDefault="009B5059" w:rsidP="009B5059">
            <w:pPr>
              <w:spacing w:after="0"/>
              <w:jc w:val="center"/>
              <w:rPr>
                <w:rFonts w:ascii="Times New Roman" w:hAnsi="Times New Roman" w:cs="Times New Roman"/>
                <w:b/>
                <w:bCs/>
                <w:sz w:val="18"/>
                <w:szCs w:val="18"/>
                <w:lang w:val="ro-RO" w:eastAsia="en-GB"/>
              </w:rPr>
            </w:pPr>
          </w:p>
        </w:tc>
        <w:tc>
          <w:tcPr>
            <w:tcW w:w="833" w:type="pct"/>
            <w:vMerge/>
            <w:tcBorders>
              <w:left w:val="single" w:sz="4" w:space="0" w:color="auto"/>
              <w:bottom w:val="single" w:sz="4" w:space="0" w:color="auto"/>
              <w:right w:val="single" w:sz="4" w:space="0" w:color="auto"/>
            </w:tcBorders>
            <w:shd w:val="clear" w:color="auto" w:fill="E2EFD9" w:themeFill="accent6" w:themeFillTint="33"/>
          </w:tcPr>
          <w:p w14:paraId="07E29EEC" w14:textId="77777777" w:rsidR="009B5059" w:rsidRPr="002C0527" w:rsidRDefault="009B5059" w:rsidP="009B5059">
            <w:pPr>
              <w:spacing w:after="0"/>
              <w:jc w:val="center"/>
              <w:rPr>
                <w:rFonts w:ascii="Times New Roman" w:hAnsi="Times New Roman" w:cs="Times New Roman"/>
                <w:b/>
                <w:bCs/>
                <w:sz w:val="18"/>
                <w:szCs w:val="18"/>
                <w:lang w:val="ro-RO" w:eastAsia="en-GB"/>
              </w:rPr>
            </w:pPr>
          </w:p>
        </w:tc>
      </w:tr>
      <w:tr w:rsidR="009B5059" w:rsidRPr="002C0527" w14:paraId="476684E4" w14:textId="1BF77B69" w:rsidTr="009B5059">
        <w:trPr>
          <w:trHeight w:val="360"/>
        </w:trPr>
        <w:tc>
          <w:tcPr>
            <w:tcW w:w="750" w:type="pct"/>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tcPr>
          <w:p w14:paraId="37C28678" w14:textId="7C8FA388" w:rsidR="009B5059" w:rsidRPr="002C0527" w:rsidRDefault="009B5059" w:rsidP="009B5059">
            <w:pPr>
              <w:spacing w:after="0"/>
              <w:ind w:left="113" w:right="113"/>
              <w:rPr>
                <w:rFonts w:ascii="Times New Roman" w:hAnsi="Times New Roman" w:cs="Times New Roman"/>
                <w:sz w:val="18"/>
                <w:szCs w:val="18"/>
                <w:lang w:val="ro-RO" w:eastAsia="en-GB"/>
              </w:rPr>
            </w:pPr>
            <w:r>
              <w:rPr>
                <w:rFonts w:ascii="Times New Roman" w:hAnsi="Times New Roman" w:cs="Times New Roman"/>
                <w:sz w:val="18"/>
                <w:szCs w:val="18"/>
                <w:lang w:val="ro-RO" w:eastAsia="en-GB"/>
              </w:rPr>
              <w:t>100% păcură</w:t>
            </w:r>
          </w:p>
        </w:tc>
        <w:tc>
          <w:tcPr>
            <w:tcW w:w="13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60E2459E" w14:textId="152B4353" w:rsidR="009B5059" w:rsidRPr="002C0527" w:rsidRDefault="009B5059" w:rsidP="009B5059">
            <w:pPr>
              <w:spacing w:after="0"/>
              <w:rPr>
                <w:rFonts w:ascii="Times New Roman" w:hAnsi="Times New Roman" w:cs="Times New Roman"/>
                <w:sz w:val="18"/>
                <w:szCs w:val="18"/>
                <w:lang w:val="ro-RO" w:eastAsia="en-GB"/>
              </w:rPr>
            </w:pPr>
            <w:r w:rsidRPr="002C0527">
              <w:rPr>
                <w:rFonts w:ascii="Times New Roman" w:hAnsi="Times New Roman" w:cs="Times New Roman"/>
                <w:sz w:val="18"/>
                <w:szCs w:val="18"/>
                <w:lang w:val="ro-RO" w:eastAsia="en-GB"/>
              </w:rPr>
              <w:t>Cantitatea de gaz</w:t>
            </w:r>
            <w:r>
              <w:rPr>
                <w:rFonts w:ascii="Times New Roman" w:hAnsi="Times New Roman" w:cs="Times New Roman"/>
                <w:sz w:val="18"/>
                <w:szCs w:val="18"/>
                <w:lang w:val="ro-RO" w:eastAsia="en-GB"/>
              </w:rPr>
              <w:t>e</w:t>
            </w:r>
            <w:r w:rsidRPr="002C0527">
              <w:rPr>
                <w:rFonts w:ascii="Times New Roman" w:hAnsi="Times New Roman" w:cs="Times New Roman"/>
                <w:sz w:val="18"/>
                <w:szCs w:val="18"/>
                <w:lang w:val="ro-RO" w:eastAsia="en-GB"/>
              </w:rPr>
              <w:t xml:space="preserve"> natural</w:t>
            </w:r>
            <w:r>
              <w:rPr>
                <w:rFonts w:ascii="Times New Roman" w:hAnsi="Times New Roman" w:cs="Times New Roman"/>
                <w:sz w:val="18"/>
                <w:szCs w:val="18"/>
                <w:lang w:val="ro-RO" w:eastAsia="en-GB"/>
              </w:rPr>
              <w:t>e</w:t>
            </w:r>
            <w:r w:rsidRPr="002C0527">
              <w:rPr>
                <w:rFonts w:ascii="Times New Roman" w:hAnsi="Times New Roman" w:cs="Times New Roman"/>
                <w:sz w:val="18"/>
                <w:szCs w:val="18"/>
                <w:lang w:val="ro-RO" w:eastAsia="en-GB"/>
              </w:rPr>
              <w:t>, mil. m</w:t>
            </w:r>
            <w:r w:rsidRPr="002C0527">
              <w:rPr>
                <w:rFonts w:ascii="Times New Roman" w:hAnsi="Times New Roman" w:cs="Times New Roman"/>
                <w:sz w:val="18"/>
                <w:szCs w:val="18"/>
                <w:vertAlign w:val="superscript"/>
                <w:lang w:val="ro-RO" w:eastAsia="en-GB"/>
              </w:rPr>
              <w:t>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6BCE3" w14:textId="22DE73A6" w:rsidR="009B5059" w:rsidRPr="002C0527" w:rsidRDefault="009B5059" w:rsidP="009B5059">
            <w:pPr>
              <w:spacing w:after="0"/>
              <w:jc w:val="center"/>
              <w:rPr>
                <w:rFonts w:ascii="Times New Roman" w:hAnsi="Times New Roman" w:cs="Times New Roman"/>
                <w:sz w:val="18"/>
                <w:szCs w:val="18"/>
                <w:lang w:val="ro-RO" w:eastAsia="en-GB"/>
              </w:rPr>
            </w:pPr>
            <w:r>
              <w:rPr>
                <w:rFonts w:ascii="Times New Roman" w:hAnsi="Times New Roman" w:cs="Times New Roman"/>
                <w:color w:val="000000"/>
                <w:sz w:val="16"/>
                <w:szCs w:val="16"/>
              </w:rPr>
              <w:t>1.0</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94D72" w14:textId="288B9036" w:rsidR="009B5059" w:rsidRPr="002C0527" w:rsidRDefault="009B5059" w:rsidP="009B5059">
            <w:pPr>
              <w:spacing w:after="0"/>
              <w:jc w:val="center"/>
              <w:rPr>
                <w:rFonts w:ascii="Times New Roman" w:hAnsi="Times New Roman" w:cs="Times New Roman"/>
                <w:sz w:val="18"/>
                <w:szCs w:val="18"/>
                <w:lang w:val="ro-RO" w:eastAsia="en-GB"/>
              </w:rPr>
            </w:pPr>
            <w:r w:rsidRPr="00C31D7D">
              <w:rPr>
                <w:rFonts w:ascii="Times New Roman" w:hAnsi="Times New Roman" w:cs="Times New Roman"/>
                <w:color w:val="000000"/>
                <w:sz w:val="16"/>
                <w:szCs w:val="16"/>
              </w:rPr>
              <w:t>1</w:t>
            </w:r>
            <w:r>
              <w:rPr>
                <w:rFonts w:ascii="Times New Roman" w:hAnsi="Times New Roman" w:cs="Times New Roman"/>
                <w:color w:val="000000"/>
                <w:sz w:val="16"/>
                <w:szCs w:val="16"/>
              </w:rPr>
              <w:t>.1</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CE75B" w14:textId="1295C58B" w:rsidR="009B5059" w:rsidRPr="002C0527" w:rsidRDefault="009B5059" w:rsidP="009B5059">
            <w:pPr>
              <w:spacing w:after="0"/>
              <w:jc w:val="center"/>
              <w:rPr>
                <w:rFonts w:ascii="Times New Roman" w:hAnsi="Times New Roman" w:cs="Times New Roman"/>
                <w:sz w:val="18"/>
                <w:szCs w:val="18"/>
                <w:lang w:val="ro-RO" w:eastAsia="en-GB"/>
              </w:rPr>
            </w:pPr>
            <w:r>
              <w:rPr>
                <w:rFonts w:ascii="Times New Roman" w:hAnsi="Times New Roman" w:cs="Times New Roman"/>
                <w:color w:val="000000"/>
                <w:sz w:val="16"/>
                <w:szCs w:val="16"/>
              </w:rPr>
              <w:t>0.8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2458D6" w14:textId="7A00C7D8" w:rsidR="009B5059" w:rsidRPr="002C0527" w:rsidRDefault="009B5059" w:rsidP="009B5059">
            <w:pPr>
              <w:spacing w:after="0"/>
              <w:jc w:val="center"/>
              <w:rPr>
                <w:rFonts w:ascii="Times New Roman" w:hAnsi="Times New Roman" w:cs="Times New Roman"/>
                <w:sz w:val="18"/>
                <w:szCs w:val="18"/>
                <w:lang w:val="ro-RO" w:eastAsia="en-GB"/>
              </w:rPr>
            </w:pPr>
            <w:r w:rsidRPr="00C31D7D">
              <w:rPr>
                <w:rFonts w:ascii="Times New Roman" w:hAnsi="Times New Roman" w:cs="Times New Roman"/>
                <w:color w:val="000000"/>
                <w:sz w:val="16"/>
                <w:szCs w:val="16"/>
              </w:rPr>
              <w:t>0</w:t>
            </w:r>
            <w:r>
              <w:rPr>
                <w:rFonts w:ascii="Times New Roman" w:hAnsi="Times New Roman" w:cs="Times New Roman"/>
                <w:color w:val="000000"/>
                <w:sz w:val="16"/>
                <w:szCs w:val="16"/>
              </w:rPr>
              <w:t>.8</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0EE38" w14:textId="0ECD57F6" w:rsidR="009B5059" w:rsidRPr="002C0527" w:rsidRDefault="009B5059" w:rsidP="009B5059">
            <w:pPr>
              <w:spacing w:after="0"/>
              <w:jc w:val="center"/>
              <w:rPr>
                <w:rFonts w:ascii="Times New Roman" w:hAnsi="Times New Roman" w:cs="Times New Roman"/>
                <w:sz w:val="18"/>
                <w:szCs w:val="18"/>
                <w:lang w:val="ro-RO" w:eastAsia="en-GB"/>
              </w:rPr>
            </w:pPr>
            <w:r w:rsidRPr="00C31D7D">
              <w:rPr>
                <w:rFonts w:ascii="Times New Roman" w:hAnsi="Times New Roman" w:cs="Times New Roman"/>
                <w:color w:val="000000"/>
                <w:sz w:val="16"/>
                <w:szCs w:val="16"/>
              </w:rPr>
              <w:t>0</w:t>
            </w:r>
            <w:r>
              <w:rPr>
                <w:rFonts w:ascii="Times New Roman" w:hAnsi="Times New Roman" w:cs="Times New Roman"/>
                <w:color w:val="000000"/>
                <w:sz w:val="16"/>
                <w:szCs w:val="16"/>
              </w:rPr>
              <w:t>.7</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FCA70" w14:textId="4EDBD0EE" w:rsidR="009B5059" w:rsidRPr="002C0527" w:rsidRDefault="009B5059" w:rsidP="009B5059">
            <w:pPr>
              <w:spacing w:after="0"/>
              <w:jc w:val="center"/>
              <w:rPr>
                <w:rFonts w:ascii="Times New Roman" w:hAnsi="Times New Roman" w:cs="Times New Roman"/>
                <w:sz w:val="18"/>
                <w:szCs w:val="18"/>
                <w:lang w:val="ro-RO" w:eastAsia="en-GB"/>
              </w:rPr>
            </w:pPr>
            <w:r w:rsidRPr="00C31D7D">
              <w:rPr>
                <w:rFonts w:ascii="Times New Roman" w:hAnsi="Times New Roman" w:cs="Times New Roman"/>
                <w:color w:val="000000"/>
                <w:sz w:val="16"/>
                <w:szCs w:val="16"/>
              </w:rPr>
              <w:t>0</w:t>
            </w:r>
            <w:r>
              <w:rPr>
                <w:rFonts w:ascii="Times New Roman" w:hAnsi="Times New Roman" w:cs="Times New Roman"/>
                <w:color w:val="000000"/>
                <w:sz w:val="16"/>
                <w:szCs w:val="16"/>
              </w:rPr>
              <w:t>.8</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5FA55" w14:textId="4E571084" w:rsidR="009B5059" w:rsidRPr="002C0527" w:rsidRDefault="009B5059" w:rsidP="009B5059">
            <w:pPr>
              <w:spacing w:after="0"/>
              <w:jc w:val="center"/>
              <w:rPr>
                <w:rFonts w:ascii="Times New Roman" w:hAnsi="Times New Roman" w:cs="Times New Roman"/>
                <w:sz w:val="18"/>
                <w:szCs w:val="18"/>
                <w:lang w:val="ro-RO" w:eastAsia="en-GB"/>
              </w:rPr>
            </w:pPr>
            <w:r w:rsidRPr="00C31D7D">
              <w:rPr>
                <w:rFonts w:ascii="Times New Roman" w:hAnsi="Times New Roman" w:cs="Times New Roman"/>
                <w:color w:val="000000"/>
                <w:sz w:val="16"/>
                <w:szCs w:val="16"/>
              </w:rPr>
              <w:t>0</w:t>
            </w:r>
            <w:r>
              <w:rPr>
                <w:rFonts w:ascii="Times New Roman" w:hAnsi="Times New Roman" w:cs="Times New Roman"/>
                <w:color w:val="000000"/>
                <w:sz w:val="16"/>
                <w:szCs w:val="16"/>
              </w:rPr>
              <w:t>.7</w:t>
            </w:r>
          </w:p>
        </w:tc>
        <w:tc>
          <w:tcPr>
            <w:tcW w:w="308"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F51924E" w14:textId="1495191B" w:rsidR="009B5059" w:rsidRPr="002C0527" w:rsidRDefault="009B5059" w:rsidP="009B5059">
            <w:pPr>
              <w:spacing w:after="0"/>
              <w:jc w:val="center"/>
              <w:rPr>
                <w:rFonts w:ascii="Times New Roman" w:hAnsi="Times New Roman" w:cs="Times New Roman"/>
                <w:b/>
                <w:bCs/>
                <w:sz w:val="18"/>
                <w:szCs w:val="18"/>
                <w:lang w:val="ro-RO" w:eastAsia="en-GB"/>
              </w:rPr>
            </w:pPr>
            <w:r w:rsidRPr="00C31D7D">
              <w:rPr>
                <w:rFonts w:ascii="Times New Roman" w:hAnsi="Times New Roman" w:cs="Times New Roman"/>
                <w:b/>
                <w:bCs/>
                <w:color w:val="000000"/>
                <w:sz w:val="16"/>
                <w:szCs w:val="16"/>
              </w:rPr>
              <w:t>5,</w:t>
            </w:r>
            <w:r w:rsidR="00E422BB">
              <w:rPr>
                <w:rFonts w:ascii="Times New Roman" w:hAnsi="Times New Roman" w:cs="Times New Roman"/>
                <w:b/>
                <w:bCs/>
                <w:color w:val="000000"/>
                <w:sz w:val="16"/>
                <w:szCs w:val="16"/>
              </w:rPr>
              <w:t>9</w:t>
            </w:r>
          </w:p>
        </w:tc>
        <w:tc>
          <w:tcPr>
            <w:tcW w:w="833" w:type="pct"/>
            <w:vMerge w:val="restart"/>
            <w:tcBorders>
              <w:top w:val="single" w:sz="4" w:space="0" w:color="auto"/>
              <w:left w:val="single" w:sz="4" w:space="0" w:color="auto"/>
              <w:right w:val="single" w:sz="4" w:space="0" w:color="auto"/>
            </w:tcBorders>
            <w:shd w:val="clear" w:color="auto" w:fill="E2EFD9" w:themeFill="accent6" w:themeFillTint="33"/>
            <w:vAlign w:val="center"/>
          </w:tcPr>
          <w:p w14:paraId="00461D0D" w14:textId="06A6E6B8" w:rsidR="009B5059" w:rsidRPr="002C0527" w:rsidRDefault="009B5059" w:rsidP="009B5059">
            <w:pPr>
              <w:spacing w:after="0"/>
              <w:jc w:val="center"/>
              <w:rPr>
                <w:rFonts w:ascii="Times New Roman" w:hAnsi="Times New Roman" w:cs="Times New Roman"/>
                <w:b/>
                <w:bCs/>
                <w:color w:val="000000"/>
                <w:sz w:val="18"/>
                <w:szCs w:val="18"/>
                <w:lang w:val="ro-RO"/>
              </w:rPr>
            </w:pPr>
            <w:r w:rsidRPr="00C31D7D">
              <w:rPr>
                <w:rFonts w:ascii="Times New Roman" w:hAnsi="Times New Roman" w:cs="Times New Roman"/>
                <w:b/>
                <w:bCs/>
                <w:color w:val="000000"/>
                <w:sz w:val="18"/>
                <w:szCs w:val="18"/>
                <w:lang w:val="ro-RO"/>
              </w:rPr>
              <w:t>231</w:t>
            </w:r>
            <w:r>
              <w:rPr>
                <w:rFonts w:ascii="Times New Roman" w:hAnsi="Times New Roman" w:cs="Times New Roman"/>
                <w:b/>
                <w:bCs/>
                <w:color w:val="000000"/>
                <w:sz w:val="18"/>
                <w:szCs w:val="18"/>
                <w:lang w:val="ro-RO"/>
              </w:rPr>
              <w:t>.</w:t>
            </w:r>
            <w:r w:rsidRPr="00C31D7D">
              <w:rPr>
                <w:rFonts w:ascii="Times New Roman" w:hAnsi="Times New Roman" w:cs="Times New Roman"/>
                <w:b/>
                <w:bCs/>
                <w:color w:val="000000"/>
                <w:sz w:val="18"/>
                <w:szCs w:val="18"/>
                <w:lang w:val="ro-RO"/>
              </w:rPr>
              <w:t>7</w:t>
            </w:r>
          </w:p>
        </w:tc>
      </w:tr>
      <w:tr w:rsidR="009B5059" w:rsidRPr="002C0527" w14:paraId="74DC983B" w14:textId="1CD52E27" w:rsidTr="005914F1">
        <w:trPr>
          <w:trHeight w:val="409"/>
        </w:trPr>
        <w:tc>
          <w:tcPr>
            <w:tcW w:w="750" w:type="pct"/>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A40D02" w14:textId="77777777" w:rsidR="009B5059" w:rsidRPr="002C0527" w:rsidRDefault="009B5059" w:rsidP="009B5059">
            <w:pPr>
              <w:spacing w:after="0"/>
              <w:rPr>
                <w:rFonts w:ascii="Times New Roman" w:hAnsi="Times New Roman" w:cs="Times New Roman"/>
                <w:sz w:val="18"/>
                <w:szCs w:val="18"/>
                <w:lang w:val="ro-RO" w:eastAsia="en-GB"/>
              </w:rPr>
            </w:pPr>
          </w:p>
        </w:tc>
        <w:tc>
          <w:tcPr>
            <w:tcW w:w="13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4304EE67" w14:textId="024EF32C" w:rsidR="009B5059" w:rsidRPr="002C0527" w:rsidRDefault="009B5059" w:rsidP="009B5059">
            <w:pPr>
              <w:spacing w:after="0"/>
              <w:rPr>
                <w:rFonts w:ascii="Times New Roman" w:hAnsi="Times New Roman" w:cs="Times New Roman"/>
                <w:sz w:val="18"/>
                <w:szCs w:val="18"/>
                <w:lang w:val="ro-RO" w:eastAsia="en-GB"/>
              </w:rPr>
            </w:pPr>
            <w:r w:rsidRPr="002C0527">
              <w:rPr>
                <w:rFonts w:ascii="Times New Roman" w:hAnsi="Times New Roman" w:cs="Times New Roman"/>
                <w:sz w:val="18"/>
                <w:szCs w:val="18"/>
                <w:lang w:val="ro-RO" w:eastAsia="en-GB"/>
              </w:rPr>
              <w:t xml:space="preserve">Cantitatea de păcura, </w:t>
            </w:r>
            <w:r>
              <w:rPr>
                <w:rFonts w:ascii="Times New Roman" w:hAnsi="Times New Roman" w:cs="Times New Roman"/>
                <w:sz w:val="18"/>
                <w:szCs w:val="18"/>
                <w:lang w:val="ro-RO" w:eastAsia="en-GB"/>
              </w:rPr>
              <w:t xml:space="preserve">mii </w:t>
            </w:r>
            <w:r w:rsidRPr="002C0527">
              <w:rPr>
                <w:rFonts w:ascii="Times New Roman" w:hAnsi="Times New Roman" w:cs="Times New Roman"/>
                <w:sz w:val="18"/>
                <w:szCs w:val="18"/>
                <w:lang w:val="ro-RO" w:eastAsia="en-GB"/>
              </w:rPr>
              <w:t>tone</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85F1D" w14:textId="0ED176C1" w:rsidR="009B5059" w:rsidRPr="002C0527" w:rsidRDefault="009B5059" w:rsidP="009B5059">
            <w:pPr>
              <w:spacing w:after="0"/>
              <w:jc w:val="center"/>
              <w:rPr>
                <w:rFonts w:ascii="Times New Roman" w:hAnsi="Times New Roman" w:cs="Times New Roman"/>
                <w:sz w:val="18"/>
                <w:szCs w:val="18"/>
                <w:lang w:val="ro-RO" w:eastAsia="en-GB"/>
              </w:rPr>
            </w:pPr>
            <w:r w:rsidRPr="00C31D7D">
              <w:rPr>
                <w:rFonts w:ascii="Times New Roman" w:hAnsi="Times New Roman" w:cs="Times New Roman"/>
                <w:color w:val="000000"/>
                <w:sz w:val="16"/>
                <w:szCs w:val="16"/>
              </w:rPr>
              <w:t>11</w:t>
            </w:r>
            <w:r>
              <w:rPr>
                <w:rFonts w:ascii="Times New Roman" w:hAnsi="Times New Roman" w:cs="Times New Roman"/>
                <w:color w:val="000000"/>
                <w:sz w:val="16"/>
                <w:szCs w:val="16"/>
              </w:rPr>
              <w:t>.</w:t>
            </w:r>
            <w:r w:rsidRPr="00C31D7D">
              <w:rPr>
                <w:rFonts w:ascii="Times New Roman" w:hAnsi="Times New Roman" w:cs="Times New Roman"/>
                <w:color w:val="000000"/>
                <w:sz w:val="16"/>
                <w:szCs w:val="16"/>
              </w:rPr>
              <w:t>3</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A5C329" w14:textId="0498EE2C" w:rsidR="009B5059" w:rsidRPr="002C0527" w:rsidRDefault="009B5059" w:rsidP="009B5059">
            <w:pPr>
              <w:spacing w:after="0"/>
              <w:jc w:val="center"/>
              <w:rPr>
                <w:rFonts w:ascii="Times New Roman" w:hAnsi="Times New Roman" w:cs="Times New Roman"/>
                <w:sz w:val="18"/>
                <w:szCs w:val="18"/>
                <w:lang w:val="ro-RO" w:eastAsia="en-GB"/>
              </w:rPr>
            </w:pPr>
            <w:r w:rsidRPr="00C31D7D">
              <w:rPr>
                <w:rFonts w:ascii="Times New Roman" w:hAnsi="Times New Roman" w:cs="Times New Roman"/>
                <w:color w:val="000000"/>
                <w:sz w:val="16"/>
                <w:szCs w:val="16"/>
              </w:rPr>
              <w:t>32</w:t>
            </w:r>
            <w:r>
              <w:rPr>
                <w:rFonts w:ascii="Times New Roman" w:hAnsi="Times New Roman" w:cs="Times New Roman"/>
                <w:color w:val="000000"/>
                <w:sz w:val="16"/>
                <w:szCs w:val="16"/>
              </w:rPr>
              <w:t>.</w:t>
            </w:r>
            <w:r w:rsidRPr="00C31D7D">
              <w:rPr>
                <w:rFonts w:ascii="Times New Roman" w:hAnsi="Times New Roman" w:cs="Times New Roman"/>
                <w:color w:val="000000"/>
                <w:sz w:val="16"/>
                <w:szCs w:val="16"/>
              </w:rPr>
              <w:t>5</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CDDD4" w14:textId="3FC8E304" w:rsidR="009B5059" w:rsidRPr="002C0527" w:rsidRDefault="009B5059" w:rsidP="009B5059">
            <w:pPr>
              <w:spacing w:after="0"/>
              <w:jc w:val="center"/>
              <w:rPr>
                <w:rFonts w:ascii="Times New Roman" w:hAnsi="Times New Roman" w:cs="Times New Roman"/>
                <w:sz w:val="18"/>
                <w:szCs w:val="18"/>
                <w:lang w:val="ro-RO" w:eastAsia="en-GB"/>
              </w:rPr>
            </w:pPr>
            <w:r w:rsidRPr="00C31D7D">
              <w:rPr>
                <w:rFonts w:ascii="Times New Roman" w:hAnsi="Times New Roman" w:cs="Times New Roman"/>
                <w:color w:val="000000"/>
                <w:sz w:val="16"/>
                <w:szCs w:val="16"/>
              </w:rPr>
              <w:t>35</w:t>
            </w:r>
            <w:r>
              <w:rPr>
                <w:rFonts w:ascii="Times New Roman" w:hAnsi="Times New Roman" w:cs="Times New Roman"/>
                <w:color w:val="000000"/>
                <w:sz w:val="16"/>
                <w:szCs w:val="16"/>
              </w:rPr>
              <w:t>.</w:t>
            </w:r>
            <w:r w:rsidRPr="00C31D7D">
              <w:rPr>
                <w:rFonts w:ascii="Times New Roman" w:hAnsi="Times New Roman" w:cs="Times New Roman"/>
                <w:color w:val="000000"/>
                <w:sz w:val="16"/>
                <w:szCs w:val="16"/>
              </w:rPr>
              <w:t>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16D100" w14:textId="52565E3E" w:rsidR="009B5059" w:rsidRPr="002C0527" w:rsidRDefault="009B5059" w:rsidP="009B5059">
            <w:pPr>
              <w:spacing w:after="0"/>
              <w:jc w:val="center"/>
              <w:rPr>
                <w:rFonts w:ascii="Times New Roman" w:hAnsi="Times New Roman" w:cs="Times New Roman"/>
                <w:sz w:val="18"/>
                <w:szCs w:val="18"/>
                <w:lang w:val="ro-RO" w:eastAsia="en-GB"/>
              </w:rPr>
            </w:pPr>
            <w:r w:rsidRPr="00C31D7D">
              <w:rPr>
                <w:rFonts w:ascii="Times New Roman" w:hAnsi="Times New Roman" w:cs="Times New Roman"/>
                <w:color w:val="000000"/>
                <w:sz w:val="16"/>
                <w:szCs w:val="16"/>
              </w:rPr>
              <w:t>40</w:t>
            </w:r>
            <w:r>
              <w:rPr>
                <w:rFonts w:ascii="Times New Roman" w:hAnsi="Times New Roman" w:cs="Times New Roman"/>
                <w:color w:val="000000"/>
                <w:sz w:val="16"/>
                <w:szCs w:val="16"/>
              </w:rPr>
              <w:t>.</w:t>
            </w:r>
            <w:r w:rsidR="00E422BB">
              <w:rPr>
                <w:rFonts w:ascii="Times New Roman" w:hAnsi="Times New Roman" w:cs="Times New Roman"/>
                <w:color w:val="000000"/>
                <w:sz w:val="16"/>
                <w:szCs w:val="16"/>
              </w:rPr>
              <w:t>3</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CD5AD" w14:textId="1592822F" w:rsidR="009B5059" w:rsidRPr="002C0527" w:rsidRDefault="009B5059" w:rsidP="009B5059">
            <w:pPr>
              <w:spacing w:after="0"/>
              <w:jc w:val="center"/>
              <w:rPr>
                <w:rFonts w:ascii="Times New Roman" w:hAnsi="Times New Roman" w:cs="Times New Roman"/>
                <w:sz w:val="18"/>
                <w:szCs w:val="18"/>
                <w:lang w:val="ro-RO" w:eastAsia="en-GB"/>
              </w:rPr>
            </w:pPr>
            <w:r w:rsidRPr="00C31D7D">
              <w:rPr>
                <w:rFonts w:ascii="Times New Roman" w:hAnsi="Times New Roman" w:cs="Times New Roman"/>
                <w:color w:val="000000"/>
                <w:sz w:val="16"/>
                <w:szCs w:val="16"/>
              </w:rPr>
              <w:t>34</w:t>
            </w:r>
            <w:r>
              <w:rPr>
                <w:rFonts w:ascii="Times New Roman" w:hAnsi="Times New Roman" w:cs="Times New Roman"/>
                <w:color w:val="000000"/>
                <w:sz w:val="16"/>
                <w:szCs w:val="16"/>
              </w:rPr>
              <w:t>.4</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1E2B" w14:textId="62F37F50" w:rsidR="009B5059" w:rsidRPr="002C0527" w:rsidRDefault="009B5059" w:rsidP="009B5059">
            <w:pPr>
              <w:spacing w:after="0"/>
              <w:jc w:val="center"/>
              <w:rPr>
                <w:rFonts w:ascii="Times New Roman" w:hAnsi="Times New Roman" w:cs="Times New Roman"/>
                <w:sz w:val="18"/>
                <w:szCs w:val="18"/>
                <w:lang w:val="ro-RO" w:eastAsia="en-GB"/>
              </w:rPr>
            </w:pPr>
            <w:r w:rsidRPr="00C31D7D">
              <w:rPr>
                <w:rFonts w:ascii="Times New Roman" w:hAnsi="Times New Roman" w:cs="Times New Roman"/>
                <w:color w:val="000000"/>
                <w:sz w:val="16"/>
                <w:szCs w:val="16"/>
              </w:rPr>
              <w:t>32</w:t>
            </w:r>
            <w:r>
              <w:rPr>
                <w:rFonts w:ascii="Times New Roman" w:hAnsi="Times New Roman" w:cs="Times New Roman"/>
                <w:color w:val="000000"/>
                <w:sz w:val="16"/>
                <w:szCs w:val="16"/>
              </w:rPr>
              <w:t>.</w:t>
            </w:r>
            <w:r w:rsidRPr="00C31D7D">
              <w:rPr>
                <w:rFonts w:ascii="Times New Roman" w:hAnsi="Times New Roman" w:cs="Times New Roman"/>
                <w:color w:val="000000"/>
                <w:sz w:val="16"/>
                <w:szCs w:val="16"/>
              </w:rPr>
              <w:t>9</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84D08" w14:textId="1822D605" w:rsidR="009B5059" w:rsidRPr="002C0527" w:rsidRDefault="009B5059" w:rsidP="009B5059">
            <w:pPr>
              <w:spacing w:after="0"/>
              <w:jc w:val="center"/>
              <w:rPr>
                <w:rFonts w:ascii="Times New Roman" w:hAnsi="Times New Roman" w:cs="Times New Roman"/>
                <w:sz w:val="18"/>
                <w:szCs w:val="18"/>
                <w:lang w:val="ro-RO" w:eastAsia="en-GB"/>
              </w:rPr>
            </w:pPr>
            <w:r w:rsidRPr="00C31D7D">
              <w:rPr>
                <w:rFonts w:ascii="Times New Roman" w:hAnsi="Times New Roman" w:cs="Times New Roman"/>
                <w:color w:val="000000"/>
                <w:sz w:val="16"/>
                <w:szCs w:val="16"/>
              </w:rPr>
              <w:t>15</w:t>
            </w:r>
            <w:r>
              <w:rPr>
                <w:rFonts w:ascii="Times New Roman" w:hAnsi="Times New Roman" w:cs="Times New Roman"/>
                <w:color w:val="000000"/>
                <w:sz w:val="16"/>
                <w:szCs w:val="16"/>
              </w:rPr>
              <w:t>.</w:t>
            </w:r>
            <w:r w:rsidRPr="00C31D7D">
              <w:rPr>
                <w:rFonts w:ascii="Times New Roman" w:hAnsi="Times New Roman" w:cs="Times New Roman"/>
                <w:color w:val="000000"/>
                <w:sz w:val="16"/>
                <w:szCs w:val="16"/>
              </w:rPr>
              <w:t>2</w:t>
            </w:r>
          </w:p>
        </w:tc>
        <w:tc>
          <w:tcPr>
            <w:tcW w:w="308"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5901E06" w14:textId="05549002" w:rsidR="009B5059" w:rsidRPr="002C0527" w:rsidRDefault="009B5059" w:rsidP="009B5059">
            <w:pPr>
              <w:spacing w:after="0"/>
              <w:jc w:val="center"/>
              <w:rPr>
                <w:rFonts w:ascii="Times New Roman" w:hAnsi="Times New Roman" w:cs="Times New Roman"/>
                <w:b/>
                <w:bCs/>
                <w:sz w:val="18"/>
                <w:szCs w:val="18"/>
                <w:lang w:val="ro-RO" w:eastAsia="en-GB"/>
              </w:rPr>
            </w:pPr>
            <w:r w:rsidRPr="00C31D7D">
              <w:rPr>
                <w:rFonts w:ascii="Times New Roman" w:hAnsi="Times New Roman" w:cs="Times New Roman"/>
                <w:b/>
                <w:bCs/>
                <w:color w:val="000000"/>
                <w:sz w:val="16"/>
                <w:szCs w:val="16"/>
              </w:rPr>
              <w:t>202</w:t>
            </w:r>
            <w:r>
              <w:rPr>
                <w:rFonts w:ascii="Times New Roman" w:hAnsi="Times New Roman" w:cs="Times New Roman"/>
                <w:b/>
                <w:bCs/>
                <w:color w:val="000000"/>
                <w:sz w:val="16"/>
                <w:szCs w:val="16"/>
              </w:rPr>
              <w:t>.</w:t>
            </w:r>
            <w:r w:rsidRPr="00C31D7D">
              <w:rPr>
                <w:rFonts w:ascii="Times New Roman" w:hAnsi="Times New Roman" w:cs="Times New Roman"/>
                <w:b/>
                <w:bCs/>
                <w:color w:val="000000"/>
                <w:sz w:val="16"/>
                <w:szCs w:val="16"/>
              </w:rPr>
              <w:t>5</w:t>
            </w:r>
          </w:p>
        </w:tc>
        <w:tc>
          <w:tcPr>
            <w:tcW w:w="833" w:type="pct"/>
            <w:vMerge/>
            <w:tcBorders>
              <w:left w:val="single" w:sz="4" w:space="0" w:color="auto"/>
              <w:bottom w:val="single" w:sz="4" w:space="0" w:color="auto"/>
              <w:right w:val="single" w:sz="4" w:space="0" w:color="auto"/>
            </w:tcBorders>
            <w:shd w:val="clear" w:color="auto" w:fill="E2EFD9" w:themeFill="accent6" w:themeFillTint="33"/>
            <w:vAlign w:val="center"/>
          </w:tcPr>
          <w:p w14:paraId="39584B03" w14:textId="77777777" w:rsidR="009B5059" w:rsidRPr="002C0527" w:rsidRDefault="009B5059" w:rsidP="009B5059">
            <w:pPr>
              <w:spacing w:after="0"/>
              <w:jc w:val="center"/>
              <w:rPr>
                <w:rFonts w:ascii="Times New Roman" w:hAnsi="Times New Roman" w:cs="Times New Roman"/>
                <w:b/>
                <w:bCs/>
                <w:sz w:val="18"/>
                <w:szCs w:val="18"/>
                <w:lang w:val="ro-RO"/>
              </w:rPr>
            </w:pPr>
          </w:p>
        </w:tc>
      </w:tr>
      <w:tr w:rsidR="009B5059" w:rsidRPr="002C0527" w14:paraId="1F8B2E08" w14:textId="0B4286D6" w:rsidTr="009B5059">
        <w:trPr>
          <w:trHeight w:val="320"/>
        </w:trPr>
        <w:tc>
          <w:tcPr>
            <w:tcW w:w="750" w:type="pct"/>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tcPr>
          <w:p w14:paraId="39561F71" w14:textId="4AA00700" w:rsidR="009B5059" w:rsidRPr="002C0527" w:rsidRDefault="009B5059" w:rsidP="009B5059">
            <w:pPr>
              <w:spacing w:after="0"/>
              <w:ind w:left="113" w:right="113"/>
              <w:rPr>
                <w:rFonts w:ascii="Times New Roman" w:hAnsi="Times New Roman" w:cs="Times New Roman"/>
                <w:sz w:val="18"/>
                <w:szCs w:val="18"/>
                <w:lang w:val="ro-RO" w:eastAsia="en-GB"/>
              </w:rPr>
            </w:pPr>
            <w:r>
              <w:rPr>
                <w:rFonts w:ascii="Times New Roman" w:hAnsi="Times New Roman" w:cs="Times New Roman"/>
                <w:sz w:val="18"/>
                <w:szCs w:val="18"/>
                <w:lang w:val="ro-RO" w:eastAsia="en-GB"/>
              </w:rPr>
              <w:t>50% păcură</w:t>
            </w:r>
          </w:p>
        </w:tc>
        <w:tc>
          <w:tcPr>
            <w:tcW w:w="13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2078D5FC" w14:textId="0493E8C9" w:rsidR="009B5059" w:rsidRPr="002C0527" w:rsidRDefault="009B5059" w:rsidP="009B5059">
            <w:pPr>
              <w:spacing w:after="0"/>
              <w:rPr>
                <w:rFonts w:ascii="Times New Roman" w:hAnsi="Times New Roman" w:cs="Times New Roman"/>
                <w:sz w:val="18"/>
                <w:szCs w:val="18"/>
                <w:lang w:val="ro-RO" w:eastAsia="en-GB"/>
              </w:rPr>
            </w:pPr>
            <w:r w:rsidRPr="002C0527">
              <w:rPr>
                <w:rFonts w:ascii="Times New Roman" w:hAnsi="Times New Roman" w:cs="Times New Roman"/>
                <w:sz w:val="18"/>
                <w:szCs w:val="18"/>
                <w:lang w:val="ro-RO" w:eastAsia="en-GB"/>
              </w:rPr>
              <w:t>Cantitatea de gaz</w:t>
            </w:r>
            <w:r>
              <w:rPr>
                <w:rFonts w:ascii="Times New Roman" w:hAnsi="Times New Roman" w:cs="Times New Roman"/>
                <w:sz w:val="18"/>
                <w:szCs w:val="18"/>
                <w:lang w:val="ro-RO" w:eastAsia="en-GB"/>
              </w:rPr>
              <w:t>e</w:t>
            </w:r>
            <w:r w:rsidRPr="002C0527">
              <w:rPr>
                <w:rFonts w:ascii="Times New Roman" w:hAnsi="Times New Roman" w:cs="Times New Roman"/>
                <w:sz w:val="18"/>
                <w:szCs w:val="18"/>
                <w:lang w:val="ro-RO" w:eastAsia="en-GB"/>
              </w:rPr>
              <w:t xml:space="preserve"> natural</w:t>
            </w:r>
            <w:r>
              <w:rPr>
                <w:rFonts w:ascii="Times New Roman" w:hAnsi="Times New Roman" w:cs="Times New Roman"/>
                <w:sz w:val="18"/>
                <w:szCs w:val="18"/>
                <w:lang w:val="ro-RO" w:eastAsia="en-GB"/>
              </w:rPr>
              <w:t>e</w:t>
            </w:r>
            <w:r w:rsidRPr="002C0527">
              <w:rPr>
                <w:rFonts w:ascii="Times New Roman" w:hAnsi="Times New Roman" w:cs="Times New Roman"/>
                <w:sz w:val="18"/>
                <w:szCs w:val="18"/>
                <w:lang w:val="ro-RO" w:eastAsia="en-GB"/>
              </w:rPr>
              <w:t>, mil. m</w:t>
            </w:r>
            <w:r w:rsidRPr="002C0527">
              <w:rPr>
                <w:rFonts w:ascii="Times New Roman" w:hAnsi="Times New Roman" w:cs="Times New Roman"/>
                <w:sz w:val="18"/>
                <w:szCs w:val="18"/>
                <w:vertAlign w:val="superscript"/>
                <w:lang w:val="ro-RO" w:eastAsia="en-GB"/>
              </w:rPr>
              <w:t>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AF1B9" w14:textId="46B3A375"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7</w:t>
            </w:r>
            <w:r w:rsidR="00E422BB">
              <w:rPr>
                <w:rFonts w:ascii="Times New Roman" w:hAnsi="Times New Roman" w:cs="Times New Roman"/>
                <w:color w:val="000000"/>
                <w:sz w:val="16"/>
                <w:szCs w:val="16"/>
              </w:rPr>
              <w:t>.</w:t>
            </w:r>
            <w:r>
              <w:rPr>
                <w:rFonts w:ascii="Times New Roman" w:hAnsi="Times New Roman" w:cs="Times New Roman"/>
                <w:color w:val="000000"/>
                <w:sz w:val="16"/>
                <w:szCs w:val="16"/>
              </w:rPr>
              <w:t>1</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7F81C" w14:textId="59D2DD18"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19</w:t>
            </w:r>
            <w:r>
              <w:rPr>
                <w:rFonts w:ascii="Times New Roman" w:hAnsi="Times New Roman" w:cs="Times New Roman"/>
                <w:color w:val="000000"/>
                <w:sz w:val="16"/>
                <w:szCs w:val="16"/>
              </w:rPr>
              <w:t>.5</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E622F6" w14:textId="0ED2C86C"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21</w:t>
            </w:r>
            <w:r>
              <w:rPr>
                <w:rFonts w:ascii="Times New Roman" w:hAnsi="Times New Roman" w:cs="Times New Roman"/>
                <w:color w:val="000000"/>
                <w:sz w:val="16"/>
                <w:szCs w:val="16"/>
              </w:rPr>
              <w:t>.3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D81A93" w14:textId="473B677C"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23</w:t>
            </w:r>
            <w:r>
              <w:rPr>
                <w:rFonts w:ascii="Times New Roman" w:hAnsi="Times New Roman" w:cs="Times New Roman"/>
                <w:color w:val="000000"/>
                <w:sz w:val="16"/>
                <w:szCs w:val="16"/>
              </w:rPr>
              <w:t>.</w:t>
            </w:r>
            <w:r w:rsidRPr="00C31D7D">
              <w:rPr>
                <w:rFonts w:ascii="Times New Roman" w:hAnsi="Times New Roman" w:cs="Times New Roman"/>
                <w:color w:val="000000"/>
                <w:sz w:val="16"/>
                <w:szCs w:val="16"/>
              </w:rPr>
              <w:t>8</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803FC2" w14:textId="6F076C94"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20</w:t>
            </w:r>
            <w:r>
              <w:rPr>
                <w:rFonts w:ascii="Times New Roman" w:hAnsi="Times New Roman" w:cs="Times New Roman"/>
                <w:color w:val="000000"/>
                <w:sz w:val="16"/>
                <w:szCs w:val="16"/>
              </w:rPr>
              <w:t>.</w:t>
            </w:r>
            <w:r w:rsidRPr="00C31D7D">
              <w:rPr>
                <w:rFonts w:ascii="Times New Roman" w:hAnsi="Times New Roman" w:cs="Times New Roman"/>
                <w:color w:val="000000"/>
                <w:sz w:val="16"/>
                <w:szCs w:val="16"/>
              </w:rPr>
              <w:t>3</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1AE4D1" w14:textId="0DFAF6A1"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19</w:t>
            </w:r>
            <w:r>
              <w:rPr>
                <w:rFonts w:ascii="Times New Roman" w:hAnsi="Times New Roman" w:cs="Times New Roman"/>
                <w:color w:val="000000"/>
                <w:sz w:val="16"/>
                <w:szCs w:val="16"/>
              </w:rPr>
              <w:t>.</w:t>
            </w:r>
            <w:r w:rsidRPr="00C31D7D">
              <w:rPr>
                <w:rFonts w:ascii="Times New Roman" w:hAnsi="Times New Roman" w:cs="Times New Roman"/>
                <w:color w:val="000000"/>
                <w:sz w:val="16"/>
                <w:szCs w:val="16"/>
              </w:rPr>
              <w:t>5</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92321" w14:textId="6E75ED46"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9</w:t>
            </w:r>
            <w:r>
              <w:rPr>
                <w:rFonts w:ascii="Times New Roman" w:hAnsi="Times New Roman" w:cs="Times New Roman"/>
                <w:color w:val="000000"/>
                <w:sz w:val="16"/>
                <w:szCs w:val="16"/>
              </w:rPr>
              <w:t>.</w:t>
            </w:r>
            <w:r w:rsidRPr="00C31D7D">
              <w:rPr>
                <w:rFonts w:ascii="Times New Roman" w:hAnsi="Times New Roman" w:cs="Times New Roman"/>
                <w:color w:val="000000"/>
                <w:sz w:val="16"/>
                <w:szCs w:val="16"/>
              </w:rPr>
              <w:t>2</w:t>
            </w:r>
          </w:p>
        </w:tc>
        <w:tc>
          <w:tcPr>
            <w:tcW w:w="308"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55596E8" w14:textId="5BFF031A" w:rsidR="009B5059" w:rsidRPr="002C0527" w:rsidRDefault="009B5059" w:rsidP="009B5059">
            <w:pPr>
              <w:spacing w:after="0"/>
              <w:jc w:val="center"/>
              <w:rPr>
                <w:rFonts w:ascii="Times New Roman" w:hAnsi="Times New Roman" w:cs="Times New Roman"/>
                <w:b/>
                <w:bCs/>
                <w:sz w:val="18"/>
                <w:szCs w:val="18"/>
                <w:lang w:val="ro-RO"/>
              </w:rPr>
            </w:pPr>
            <w:r w:rsidRPr="00C31D7D">
              <w:rPr>
                <w:rFonts w:ascii="Times New Roman" w:hAnsi="Times New Roman" w:cs="Times New Roman"/>
                <w:b/>
                <w:bCs/>
                <w:color w:val="000000"/>
                <w:sz w:val="16"/>
                <w:szCs w:val="16"/>
              </w:rPr>
              <w:t>120</w:t>
            </w:r>
            <w:r>
              <w:rPr>
                <w:rFonts w:ascii="Times New Roman" w:hAnsi="Times New Roman" w:cs="Times New Roman"/>
                <w:b/>
                <w:bCs/>
                <w:color w:val="000000"/>
                <w:sz w:val="16"/>
                <w:szCs w:val="16"/>
              </w:rPr>
              <w:t>.</w:t>
            </w:r>
            <w:r w:rsidRPr="00C31D7D">
              <w:rPr>
                <w:rFonts w:ascii="Times New Roman" w:hAnsi="Times New Roman" w:cs="Times New Roman"/>
                <w:b/>
                <w:bCs/>
                <w:color w:val="000000"/>
                <w:sz w:val="16"/>
                <w:szCs w:val="16"/>
              </w:rPr>
              <w:t>7</w:t>
            </w:r>
          </w:p>
        </w:tc>
        <w:tc>
          <w:tcPr>
            <w:tcW w:w="833" w:type="pct"/>
            <w:vMerge w:val="restart"/>
            <w:tcBorders>
              <w:top w:val="single" w:sz="4" w:space="0" w:color="auto"/>
              <w:left w:val="single" w:sz="4" w:space="0" w:color="auto"/>
              <w:right w:val="single" w:sz="4" w:space="0" w:color="auto"/>
            </w:tcBorders>
            <w:shd w:val="clear" w:color="auto" w:fill="E2EFD9" w:themeFill="accent6" w:themeFillTint="33"/>
            <w:vAlign w:val="center"/>
          </w:tcPr>
          <w:p w14:paraId="123B83EE" w14:textId="63952D0F" w:rsidR="009B5059" w:rsidRPr="002C0527" w:rsidRDefault="009B5059" w:rsidP="009B5059">
            <w:pPr>
              <w:spacing w:after="0"/>
              <w:jc w:val="center"/>
              <w:rPr>
                <w:rFonts w:ascii="Times New Roman" w:hAnsi="Times New Roman" w:cs="Times New Roman"/>
                <w:b/>
                <w:bCs/>
                <w:sz w:val="18"/>
                <w:szCs w:val="18"/>
                <w:lang w:val="ro-RO"/>
              </w:rPr>
            </w:pPr>
            <w:r w:rsidRPr="00C31D7D">
              <w:rPr>
                <w:rFonts w:ascii="Times New Roman" w:hAnsi="Times New Roman" w:cs="Times New Roman"/>
                <w:b/>
                <w:bCs/>
                <w:sz w:val="18"/>
                <w:szCs w:val="18"/>
                <w:lang w:val="ro-RO"/>
              </w:rPr>
              <w:t>116</w:t>
            </w:r>
            <w:r>
              <w:rPr>
                <w:rFonts w:ascii="Times New Roman" w:hAnsi="Times New Roman" w:cs="Times New Roman"/>
                <w:b/>
                <w:bCs/>
                <w:sz w:val="18"/>
                <w:szCs w:val="18"/>
                <w:lang w:val="ro-RO"/>
              </w:rPr>
              <w:t>.</w:t>
            </w:r>
            <w:r w:rsidRPr="00C31D7D">
              <w:rPr>
                <w:rFonts w:ascii="Times New Roman" w:hAnsi="Times New Roman" w:cs="Times New Roman"/>
                <w:b/>
                <w:bCs/>
                <w:sz w:val="18"/>
                <w:szCs w:val="18"/>
                <w:lang w:val="ro-RO"/>
              </w:rPr>
              <w:t>8</w:t>
            </w:r>
          </w:p>
        </w:tc>
      </w:tr>
      <w:tr w:rsidR="009B5059" w:rsidRPr="002C0527" w14:paraId="27FDFA60" w14:textId="1041002E" w:rsidTr="005914F1">
        <w:trPr>
          <w:trHeight w:val="382"/>
        </w:trPr>
        <w:tc>
          <w:tcPr>
            <w:tcW w:w="750" w:type="pct"/>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E76A60" w14:textId="77777777" w:rsidR="009B5059" w:rsidRPr="002C0527" w:rsidRDefault="009B5059" w:rsidP="009B5059">
            <w:pPr>
              <w:spacing w:after="0"/>
              <w:rPr>
                <w:rFonts w:ascii="Times New Roman" w:hAnsi="Times New Roman" w:cs="Times New Roman"/>
                <w:sz w:val="18"/>
                <w:szCs w:val="18"/>
                <w:lang w:val="ro-RO" w:eastAsia="en-GB"/>
              </w:rPr>
            </w:pPr>
          </w:p>
        </w:tc>
        <w:tc>
          <w:tcPr>
            <w:tcW w:w="13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BE5A5C1" w14:textId="23F22F31" w:rsidR="009B5059" w:rsidRPr="002C0527" w:rsidRDefault="009B5059" w:rsidP="009B5059">
            <w:pPr>
              <w:spacing w:after="0"/>
              <w:rPr>
                <w:rFonts w:ascii="Times New Roman" w:hAnsi="Times New Roman" w:cs="Times New Roman"/>
                <w:sz w:val="18"/>
                <w:szCs w:val="18"/>
                <w:lang w:val="ro-RO" w:eastAsia="en-GB"/>
              </w:rPr>
            </w:pPr>
            <w:r w:rsidRPr="002C0527">
              <w:rPr>
                <w:rFonts w:ascii="Times New Roman" w:hAnsi="Times New Roman" w:cs="Times New Roman"/>
                <w:sz w:val="18"/>
                <w:szCs w:val="18"/>
                <w:lang w:val="ro-RO" w:eastAsia="en-GB"/>
              </w:rPr>
              <w:t xml:space="preserve">Cantitatea de păcura, </w:t>
            </w:r>
            <w:r>
              <w:rPr>
                <w:rFonts w:ascii="Times New Roman" w:hAnsi="Times New Roman" w:cs="Times New Roman"/>
                <w:sz w:val="18"/>
                <w:szCs w:val="18"/>
                <w:lang w:val="ro-RO" w:eastAsia="en-GB"/>
              </w:rPr>
              <w:t xml:space="preserve">mii </w:t>
            </w:r>
            <w:r w:rsidRPr="002C0527">
              <w:rPr>
                <w:rFonts w:ascii="Times New Roman" w:hAnsi="Times New Roman" w:cs="Times New Roman"/>
                <w:sz w:val="18"/>
                <w:szCs w:val="18"/>
                <w:lang w:val="ro-RO" w:eastAsia="en-GB"/>
              </w:rPr>
              <w:t>tone</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82856E" w14:textId="6B1416BF"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6</w:t>
            </w:r>
            <w:r>
              <w:rPr>
                <w:rFonts w:ascii="Times New Roman" w:hAnsi="Times New Roman" w:cs="Times New Roman"/>
                <w:color w:val="000000"/>
                <w:sz w:val="16"/>
                <w:szCs w:val="16"/>
              </w:rPr>
              <w:t>.1</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59FE8" w14:textId="2848ACB1"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16</w:t>
            </w:r>
            <w:r>
              <w:rPr>
                <w:rFonts w:ascii="Times New Roman" w:hAnsi="Times New Roman" w:cs="Times New Roman"/>
                <w:color w:val="000000"/>
                <w:sz w:val="16"/>
                <w:szCs w:val="16"/>
              </w:rPr>
              <w:t>.7</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4640B" w14:textId="2BF82C62" w:rsidR="009B5059" w:rsidRPr="00E41D9F" w:rsidRDefault="009B5059" w:rsidP="009B5059">
            <w:pPr>
              <w:spacing w:after="0"/>
              <w:jc w:val="center"/>
              <w:rPr>
                <w:rFonts w:ascii="Times New Roman" w:hAnsi="Times New Roman" w:cs="Times New Roman"/>
                <w:sz w:val="18"/>
                <w:szCs w:val="18"/>
              </w:rPr>
            </w:pPr>
            <w:r w:rsidRPr="00C31D7D">
              <w:rPr>
                <w:rFonts w:ascii="Times New Roman" w:hAnsi="Times New Roman" w:cs="Times New Roman"/>
                <w:color w:val="000000"/>
                <w:sz w:val="16"/>
                <w:szCs w:val="16"/>
              </w:rPr>
              <w:t>18</w:t>
            </w:r>
            <w:r>
              <w:rPr>
                <w:rFonts w:ascii="Times New Roman" w:hAnsi="Times New Roman" w:cs="Times New Roman"/>
                <w:color w:val="000000"/>
                <w:sz w:val="16"/>
                <w:szCs w:val="16"/>
              </w:rPr>
              <w:t>.3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ECEE3" w14:textId="786D32DF"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20</w:t>
            </w:r>
            <w:r>
              <w:rPr>
                <w:rFonts w:ascii="Times New Roman" w:hAnsi="Times New Roman" w:cs="Times New Roman"/>
                <w:color w:val="000000"/>
                <w:sz w:val="16"/>
                <w:szCs w:val="16"/>
              </w:rPr>
              <w:t>.5</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3D2F3" w14:textId="7C80AA96"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17</w:t>
            </w:r>
            <w:r>
              <w:rPr>
                <w:rFonts w:ascii="Times New Roman" w:hAnsi="Times New Roman" w:cs="Times New Roman"/>
                <w:color w:val="000000"/>
                <w:sz w:val="16"/>
                <w:szCs w:val="16"/>
              </w:rPr>
              <w:t>.5</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0911D" w14:textId="6045778D"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16</w:t>
            </w:r>
            <w:r>
              <w:rPr>
                <w:rFonts w:ascii="Times New Roman" w:hAnsi="Times New Roman" w:cs="Times New Roman"/>
                <w:color w:val="000000"/>
                <w:sz w:val="16"/>
                <w:szCs w:val="16"/>
              </w:rPr>
              <w:t>.8</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BE165" w14:textId="666A7F16" w:rsidR="009B5059" w:rsidRPr="002C0527" w:rsidRDefault="009B5059" w:rsidP="009B5059">
            <w:pPr>
              <w:spacing w:after="0"/>
              <w:jc w:val="center"/>
              <w:rPr>
                <w:rFonts w:ascii="Times New Roman" w:hAnsi="Times New Roman" w:cs="Times New Roman"/>
                <w:sz w:val="18"/>
                <w:szCs w:val="18"/>
                <w:lang w:val="ro-RO"/>
              </w:rPr>
            </w:pPr>
            <w:r w:rsidRPr="00C31D7D">
              <w:rPr>
                <w:rFonts w:ascii="Times New Roman" w:hAnsi="Times New Roman" w:cs="Times New Roman"/>
                <w:color w:val="000000"/>
                <w:sz w:val="16"/>
                <w:szCs w:val="16"/>
              </w:rPr>
              <w:t>7</w:t>
            </w:r>
            <w:r>
              <w:rPr>
                <w:rFonts w:ascii="Times New Roman" w:hAnsi="Times New Roman" w:cs="Times New Roman"/>
                <w:color w:val="000000"/>
                <w:sz w:val="16"/>
                <w:szCs w:val="16"/>
              </w:rPr>
              <w:t>.9</w:t>
            </w:r>
          </w:p>
        </w:tc>
        <w:tc>
          <w:tcPr>
            <w:tcW w:w="308"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B32D40E" w14:textId="3700576B" w:rsidR="009B5059" w:rsidRPr="002C0527" w:rsidRDefault="009B5059" w:rsidP="009B5059">
            <w:pPr>
              <w:spacing w:after="0"/>
              <w:jc w:val="center"/>
              <w:rPr>
                <w:rFonts w:ascii="Times New Roman" w:hAnsi="Times New Roman" w:cs="Times New Roman"/>
                <w:b/>
                <w:bCs/>
                <w:sz w:val="18"/>
                <w:szCs w:val="18"/>
                <w:lang w:val="ro-RO"/>
              </w:rPr>
            </w:pPr>
            <w:r w:rsidRPr="00C31D7D">
              <w:rPr>
                <w:rFonts w:ascii="Times New Roman" w:hAnsi="Times New Roman" w:cs="Times New Roman"/>
                <w:b/>
                <w:bCs/>
                <w:color w:val="000000"/>
                <w:sz w:val="16"/>
                <w:szCs w:val="16"/>
              </w:rPr>
              <w:t>103</w:t>
            </w:r>
            <w:r>
              <w:rPr>
                <w:rFonts w:ascii="Times New Roman" w:hAnsi="Times New Roman" w:cs="Times New Roman"/>
                <w:b/>
                <w:bCs/>
                <w:color w:val="000000"/>
                <w:sz w:val="16"/>
                <w:szCs w:val="16"/>
              </w:rPr>
              <w:t>.</w:t>
            </w:r>
            <w:r w:rsidR="00E422BB">
              <w:rPr>
                <w:rFonts w:ascii="Times New Roman" w:hAnsi="Times New Roman" w:cs="Times New Roman"/>
                <w:b/>
                <w:bCs/>
                <w:color w:val="000000"/>
                <w:sz w:val="16"/>
                <w:szCs w:val="16"/>
              </w:rPr>
              <w:t>8</w:t>
            </w:r>
          </w:p>
        </w:tc>
        <w:tc>
          <w:tcPr>
            <w:tcW w:w="833" w:type="pct"/>
            <w:vMerge/>
            <w:tcBorders>
              <w:left w:val="single" w:sz="4" w:space="0" w:color="auto"/>
              <w:bottom w:val="single" w:sz="4" w:space="0" w:color="auto"/>
              <w:right w:val="single" w:sz="4" w:space="0" w:color="auto"/>
            </w:tcBorders>
            <w:shd w:val="clear" w:color="auto" w:fill="E2EFD9" w:themeFill="accent6" w:themeFillTint="33"/>
          </w:tcPr>
          <w:p w14:paraId="28B09976" w14:textId="77777777" w:rsidR="009B5059" w:rsidRPr="002C0527" w:rsidRDefault="009B5059" w:rsidP="009B5059">
            <w:pPr>
              <w:spacing w:after="0"/>
              <w:jc w:val="center"/>
              <w:rPr>
                <w:rFonts w:ascii="Times New Roman" w:hAnsi="Times New Roman" w:cs="Times New Roman"/>
                <w:b/>
                <w:bCs/>
                <w:sz w:val="18"/>
                <w:szCs w:val="18"/>
                <w:lang w:val="ro-RO"/>
              </w:rPr>
            </w:pPr>
          </w:p>
        </w:tc>
      </w:tr>
    </w:tbl>
    <w:p w14:paraId="4DC8F749" w14:textId="3F70CBE5" w:rsidR="00A42EBB" w:rsidRPr="005914F1" w:rsidRDefault="00FA3E89" w:rsidP="005914F1">
      <w:pPr>
        <w:pStyle w:val="cb"/>
        <w:rPr>
          <w:b w:val="0"/>
          <w:bCs w:val="0"/>
          <w:sz w:val="20"/>
          <w:szCs w:val="20"/>
          <w:lang w:val="ro-RO"/>
        </w:rPr>
      </w:pPr>
      <w:r w:rsidRPr="00E426A8">
        <w:rPr>
          <w:sz w:val="20"/>
          <w:szCs w:val="20"/>
          <w:lang w:val="ro-RO"/>
        </w:rPr>
        <w:t xml:space="preserve">Sursa: </w:t>
      </w:r>
      <w:r w:rsidRPr="00FA3E89">
        <w:rPr>
          <w:b w:val="0"/>
          <w:bCs w:val="0"/>
          <w:sz w:val="20"/>
          <w:szCs w:val="20"/>
          <w:lang w:val="ro-RO"/>
        </w:rPr>
        <w:t>SA „</w:t>
      </w:r>
      <w:r>
        <w:rPr>
          <w:b w:val="0"/>
          <w:bCs w:val="0"/>
          <w:sz w:val="20"/>
          <w:szCs w:val="20"/>
          <w:lang w:val="ro-RO"/>
        </w:rPr>
        <w:t>Termoelectrica</w:t>
      </w:r>
      <w:r w:rsidRPr="00FA3E89">
        <w:rPr>
          <w:b w:val="0"/>
          <w:bCs w:val="0"/>
          <w:sz w:val="20"/>
          <w:szCs w:val="20"/>
          <w:lang w:val="ro-RO"/>
        </w:rPr>
        <w:t>”</w:t>
      </w:r>
      <w:bookmarkEnd w:id="11"/>
    </w:p>
    <w:p w14:paraId="24514642" w14:textId="172D39BE" w:rsidR="00563E6E" w:rsidRDefault="00563E6E" w:rsidP="007E41F9">
      <w:pPr>
        <w:pStyle w:val="cb"/>
        <w:spacing w:before="120"/>
        <w:ind w:left="1080" w:hanging="1080"/>
        <w:jc w:val="both"/>
        <w:rPr>
          <w:b w:val="0"/>
          <w:bCs w:val="0"/>
          <w:color w:val="000000"/>
          <w:sz w:val="22"/>
          <w:szCs w:val="22"/>
          <w:lang w:val="ro-RO"/>
        </w:rPr>
      </w:pPr>
      <w:r w:rsidRPr="002C0527">
        <w:rPr>
          <w:lang w:val="ro-RO"/>
        </w:rPr>
        <w:t xml:space="preserve">Tabelul </w:t>
      </w:r>
      <w:r w:rsidR="00C45663">
        <w:rPr>
          <w:lang w:val="ro-RO"/>
        </w:rPr>
        <w:t>4</w:t>
      </w:r>
      <w:r w:rsidRPr="002C0527">
        <w:rPr>
          <w:lang w:val="ro-RO"/>
        </w:rPr>
        <w:t xml:space="preserve">. </w:t>
      </w:r>
      <w:r w:rsidRPr="002C0527">
        <w:rPr>
          <w:b w:val="0"/>
          <w:bCs w:val="0"/>
          <w:sz w:val="22"/>
          <w:szCs w:val="22"/>
          <w:lang w:val="ro-RO"/>
        </w:rPr>
        <w:t>C</w:t>
      </w:r>
      <w:r w:rsidRPr="002C0527">
        <w:rPr>
          <w:b w:val="0"/>
          <w:bCs w:val="0"/>
          <w:color w:val="000000"/>
          <w:sz w:val="22"/>
          <w:szCs w:val="22"/>
          <w:lang w:val="ro-RO"/>
        </w:rPr>
        <w:t xml:space="preserve">onsumul lunar de </w:t>
      </w:r>
      <w:r w:rsidR="00C45663">
        <w:rPr>
          <w:b w:val="0"/>
          <w:bCs w:val="0"/>
          <w:color w:val="000000"/>
          <w:sz w:val="22"/>
          <w:szCs w:val="22"/>
          <w:lang w:val="ro-RO"/>
        </w:rPr>
        <w:t>energie electrică</w:t>
      </w:r>
      <w:r w:rsidRPr="002C0527">
        <w:rPr>
          <w:b w:val="0"/>
          <w:bCs w:val="0"/>
          <w:color w:val="000000"/>
          <w:sz w:val="22"/>
          <w:szCs w:val="22"/>
          <w:lang w:val="ro-RO"/>
        </w:rPr>
        <w:t xml:space="preserve"> </w:t>
      </w:r>
      <w:r>
        <w:rPr>
          <w:b w:val="0"/>
          <w:bCs w:val="0"/>
          <w:color w:val="000000"/>
          <w:sz w:val="22"/>
          <w:szCs w:val="22"/>
          <w:lang w:val="ro-RO"/>
        </w:rPr>
        <w:t xml:space="preserve">estimat </w:t>
      </w:r>
      <w:r w:rsidR="00C45663">
        <w:rPr>
          <w:b w:val="0"/>
          <w:bCs w:val="0"/>
          <w:color w:val="000000"/>
          <w:sz w:val="22"/>
          <w:szCs w:val="22"/>
          <w:lang w:val="ro-RO"/>
        </w:rPr>
        <w:t xml:space="preserve">pentru </w:t>
      </w:r>
      <w:r w:rsidRPr="002C0527">
        <w:rPr>
          <w:b w:val="0"/>
          <w:bCs w:val="0"/>
          <w:color w:val="000000"/>
          <w:sz w:val="22"/>
          <w:szCs w:val="22"/>
          <w:lang w:val="ro-RO"/>
        </w:rPr>
        <w:t xml:space="preserve">malul drept al râului Nistru, mil. </w:t>
      </w:r>
      <w:r w:rsidR="00C45663">
        <w:rPr>
          <w:b w:val="0"/>
          <w:bCs w:val="0"/>
          <w:color w:val="000000"/>
          <w:sz w:val="22"/>
          <w:szCs w:val="22"/>
          <w:lang w:val="ro-RO"/>
        </w:rPr>
        <w:t>kWh</w:t>
      </w:r>
    </w:p>
    <w:tbl>
      <w:tblPr>
        <w:tblpPr w:leftFromText="180" w:rightFromText="180" w:vertAnchor="text" w:horzAnchor="margin" w:tblpXSpec="center" w:tblpY="154"/>
        <w:tblW w:w="5000" w:type="pct"/>
        <w:tblLook w:val="04A0" w:firstRow="1" w:lastRow="0" w:firstColumn="1" w:lastColumn="0" w:noHBand="0" w:noVBand="1"/>
      </w:tblPr>
      <w:tblGrid>
        <w:gridCol w:w="3648"/>
        <w:gridCol w:w="772"/>
        <w:gridCol w:w="792"/>
        <w:gridCol w:w="772"/>
        <w:gridCol w:w="772"/>
        <w:gridCol w:w="855"/>
        <w:gridCol w:w="772"/>
        <w:gridCol w:w="772"/>
        <w:gridCol w:w="1004"/>
      </w:tblGrid>
      <w:tr w:rsidR="00E54305" w:rsidRPr="00D40C4A" w14:paraId="7F978449" w14:textId="77777777" w:rsidTr="005914F1">
        <w:trPr>
          <w:trHeight w:val="159"/>
        </w:trPr>
        <w:tc>
          <w:tcPr>
            <w:tcW w:w="1795" w:type="pct"/>
            <w:vMerge w:val="restart"/>
            <w:tcBorders>
              <w:top w:val="single" w:sz="8" w:space="0" w:color="auto"/>
              <w:left w:val="single" w:sz="8" w:space="0" w:color="auto"/>
              <w:bottom w:val="nil"/>
              <w:right w:val="single" w:sz="8" w:space="0" w:color="auto"/>
            </w:tcBorders>
            <w:shd w:val="clear" w:color="000000" w:fill="E2EFD9"/>
            <w:noWrap/>
            <w:vAlign w:val="center"/>
            <w:hideMark/>
          </w:tcPr>
          <w:p w14:paraId="3256583A" w14:textId="77777777" w:rsidR="00E54305" w:rsidRPr="00D40C4A" w:rsidRDefault="00E54305" w:rsidP="00A5677A">
            <w:pPr>
              <w:spacing w:after="0" w:line="240" w:lineRule="auto"/>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lang w:val="ro-RO"/>
              </w:rPr>
              <w:t>Cantități estimate</w:t>
            </w:r>
          </w:p>
        </w:tc>
        <w:tc>
          <w:tcPr>
            <w:tcW w:w="1150" w:type="pct"/>
            <w:gridSpan w:val="3"/>
            <w:tcBorders>
              <w:top w:val="single" w:sz="8" w:space="0" w:color="auto"/>
              <w:left w:val="nil"/>
              <w:bottom w:val="single" w:sz="8" w:space="0" w:color="auto"/>
              <w:right w:val="single" w:sz="8" w:space="0" w:color="000000"/>
            </w:tcBorders>
            <w:shd w:val="clear" w:color="000000" w:fill="E2EFD9"/>
            <w:vAlign w:val="center"/>
            <w:hideMark/>
          </w:tcPr>
          <w:p w14:paraId="35836623"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lang w:val="ro-RO"/>
              </w:rPr>
              <w:t>2023</w:t>
            </w:r>
          </w:p>
        </w:tc>
        <w:tc>
          <w:tcPr>
            <w:tcW w:w="1561" w:type="pct"/>
            <w:gridSpan w:val="4"/>
            <w:tcBorders>
              <w:top w:val="single" w:sz="8" w:space="0" w:color="auto"/>
              <w:left w:val="nil"/>
              <w:bottom w:val="single" w:sz="8" w:space="0" w:color="auto"/>
              <w:right w:val="single" w:sz="8" w:space="0" w:color="000000"/>
            </w:tcBorders>
            <w:shd w:val="clear" w:color="000000" w:fill="E2EFD9"/>
            <w:noWrap/>
            <w:vAlign w:val="center"/>
            <w:hideMark/>
          </w:tcPr>
          <w:p w14:paraId="0CF227FB"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lang w:val="ro-RO"/>
              </w:rPr>
              <w:t>2024</w:t>
            </w:r>
          </w:p>
        </w:tc>
        <w:tc>
          <w:tcPr>
            <w:tcW w:w="494" w:type="pct"/>
            <w:vMerge w:val="restart"/>
            <w:tcBorders>
              <w:top w:val="single" w:sz="8" w:space="0" w:color="auto"/>
              <w:left w:val="single" w:sz="8" w:space="0" w:color="auto"/>
              <w:right w:val="single" w:sz="8" w:space="0" w:color="auto"/>
            </w:tcBorders>
            <w:shd w:val="clear" w:color="000000" w:fill="E2EFD9"/>
            <w:vAlign w:val="center"/>
            <w:hideMark/>
          </w:tcPr>
          <w:p w14:paraId="40F484CD"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lang w:val="ro-RO"/>
              </w:rPr>
              <w:t>Total</w:t>
            </w:r>
          </w:p>
        </w:tc>
      </w:tr>
      <w:tr w:rsidR="00E54305" w:rsidRPr="00D40C4A" w14:paraId="3D6D3872" w14:textId="77777777" w:rsidTr="00A3095B">
        <w:trPr>
          <w:trHeight w:val="290"/>
        </w:trPr>
        <w:tc>
          <w:tcPr>
            <w:tcW w:w="1795" w:type="pct"/>
            <w:vMerge/>
            <w:tcBorders>
              <w:top w:val="single" w:sz="8" w:space="0" w:color="auto"/>
              <w:left w:val="single" w:sz="8" w:space="0" w:color="auto"/>
              <w:bottom w:val="nil"/>
              <w:right w:val="single" w:sz="8" w:space="0" w:color="auto"/>
            </w:tcBorders>
            <w:vAlign w:val="center"/>
            <w:hideMark/>
          </w:tcPr>
          <w:p w14:paraId="72BAE039" w14:textId="77777777" w:rsidR="00E54305" w:rsidRPr="00D40C4A" w:rsidRDefault="00E54305" w:rsidP="00A5677A">
            <w:pPr>
              <w:spacing w:after="0" w:line="240" w:lineRule="auto"/>
              <w:rPr>
                <w:rFonts w:ascii="Times New Roman" w:eastAsia="Times New Roman" w:hAnsi="Times New Roman" w:cs="Times New Roman"/>
                <w:b/>
                <w:bCs/>
                <w:color w:val="000000"/>
                <w:sz w:val="20"/>
                <w:szCs w:val="20"/>
              </w:rPr>
            </w:pPr>
          </w:p>
        </w:tc>
        <w:tc>
          <w:tcPr>
            <w:tcW w:w="380" w:type="pct"/>
            <w:tcBorders>
              <w:top w:val="nil"/>
              <w:left w:val="nil"/>
              <w:bottom w:val="nil"/>
              <w:right w:val="single" w:sz="8" w:space="0" w:color="auto"/>
            </w:tcBorders>
            <w:shd w:val="clear" w:color="000000" w:fill="E2EFD9"/>
            <w:noWrap/>
            <w:vAlign w:val="center"/>
            <w:hideMark/>
          </w:tcPr>
          <w:p w14:paraId="0638E6B8"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lang w:val="ro-RO"/>
              </w:rPr>
              <w:t>Oct</w:t>
            </w:r>
          </w:p>
        </w:tc>
        <w:tc>
          <w:tcPr>
            <w:tcW w:w="390" w:type="pct"/>
            <w:tcBorders>
              <w:top w:val="nil"/>
              <w:left w:val="nil"/>
              <w:bottom w:val="nil"/>
              <w:right w:val="single" w:sz="8" w:space="0" w:color="auto"/>
            </w:tcBorders>
            <w:shd w:val="clear" w:color="000000" w:fill="E2EFD9"/>
            <w:noWrap/>
            <w:vAlign w:val="center"/>
            <w:hideMark/>
          </w:tcPr>
          <w:p w14:paraId="4FF7C5A2"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lang w:val="ro-RO"/>
              </w:rPr>
              <w:t>Nov</w:t>
            </w:r>
          </w:p>
        </w:tc>
        <w:tc>
          <w:tcPr>
            <w:tcW w:w="380" w:type="pct"/>
            <w:tcBorders>
              <w:top w:val="nil"/>
              <w:left w:val="nil"/>
              <w:bottom w:val="nil"/>
              <w:right w:val="single" w:sz="8" w:space="0" w:color="auto"/>
            </w:tcBorders>
            <w:shd w:val="clear" w:color="000000" w:fill="E2EFD9"/>
            <w:noWrap/>
            <w:vAlign w:val="center"/>
            <w:hideMark/>
          </w:tcPr>
          <w:p w14:paraId="6F65B8CE"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lang w:val="ro-RO"/>
              </w:rPr>
              <w:t>Dec</w:t>
            </w:r>
          </w:p>
        </w:tc>
        <w:tc>
          <w:tcPr>
            <w:tcW w:w="380" w:type="pct"/>
            <w:tcBorders>
              <w:top w:val="nil"/>
              <w:left w:val="nil"/>
              <w:bottom w:val="nil"/>
              <w:right w:val="single" w:sz="8" w:space="0" w:color="auto"/>
            </w:tcBorders>
            <w:shd w:val="clear" w:color="000000" w:fill="E2EFD9"/>
            <w:noWrap/>
            <w:vAlign w:val="center"/>
            <w:hideMark/>
          </w:tcPr>
          <w:p w14:paraId="2C6FB8B0"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lang w:val="ro-RO"/>
              </w:rPr>
              <w:t>Ian</w:t>
            </w:r>
          </w:p>
        </w:tc>
        <w:tc>
          <w:tcPr>
            <w:tcW w:w="421" w:type="pct"/>
            <w:tcBorders>
              <w:top w:val="nil"/>
              <w:left w:val="nil"/>
              <w:bottom w:val="nil"/>
              <w:right w:val="single" w:sz="8" w:space="0" w:color="auto"/>
            </w:tcBorders>
            <w:shd w:val="clear" w:color="000000" w:fill="E2EFD9"/>
            <w:noWrap/>
            <w:vAlign w:val="center"/>
            <w:hideMark/>
          </w:tcPr>
          <w:p w14:paraId="550D0989"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lang w:val="ro-RO"/>
              </w:rPr>
              <w:t>Feb</w:t>
            </w:r>
          </w:p>
        </w:tc>
        <w:tc>
          <w:tcPr>
            <w:tcW w:w="380" w:type="pct"/>
            <w:tcBorders>
              <w:top w:val="nil"/>
              <w:left w:val="nil"/>
              <w:bottom w:val="nil"/>
              <w:right w:val="single" w:sz="8" w:space="0" w:color="auto"/>
            </w:tcBorders>
            <w:shd w:val="clear" w:color="000000" w:fill="E2EFD9"/>
            <w:noWrap/>
            <w:vAlign w:val="center"/>
            <w:hideMark/>
          </w:tcPr>
          <w:p w14:paraId="70339F30"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lang w:val="ro-RO"/>
              </w:rPr>
              <w:t>Mar</w:t>
            </w:r>
          </w:p>
        </w:tc>
        <w:tc>
          <w:tcPr>
            <w:tcW w:w="380" w:type="pct"/>
            <w:tcBorders>
              <w:top w:val="nil"/>
              <w:left w:val="nil"/>
              <w:bottom w:val="nil"/>
              <w:right w:val="single" w:sz="8" w:space="0" w:color="auto"/>
            </w:tcBorders>
            <w:shd w:val="clear" w:color="000000" w:fill="E2EFD9"/>
            <w:vAlign w:val="center"/>
            <w:hideMark/>
          </w:tcPr>
          <w:p w14:paraId="076EED27"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lang w:val="ro-RO"/>
              </w:rPr>
              <w:t>Apr</w:t>
            </w:r>
          </w:p>
        </w:tc>
        <w:tc>
          <w:tcPr>
            <w:tcW w:w="494" w:type="pct"/>
            <w:vMerge/>
            <w:tcBorders>
              <w:left w:val="single" w:sz="8" w:space="0" w:color="auto"/>
              <w:bottom w:val="nil"/>
              <w:right w:val="single" w:sz="8" w:space="0" w:color="auto"/>
            </w:tcBorders>
            <w:vAlign w:val="center"/>
            <w:hideMark/>
          </w:tcPr>
          <w:p w14:paraId="458C9642" w14:textId="77777777" w:rsidR="00E54305" w:rsidRPr="00D40C4A" w:rsidRDefault="00E54305" w:rsidP="00A5677A">
            <w:pPr>
              <w:spacing w:after="0" w:line="240" w:lineRule="auto"/>
              <w:rPr>
                <w:rFonts w:ascii="Times New Roman" w:eastAsia="Times New Roman" w:hAnsi="Times New Roman" w:cs="Times New Roman"/>
                <w:b/>
                <w:bCs/>
                <w:color w:val="000000"/>
                <w:sz w:val="20"/>
                <w:szCs w:val="20"/>
              </w:rPr>
            </w:pPr>
          </w:p>
        </w:tc>
      </w:tr>
      <w:tr w:rsidR="00E54305" w:rsidRPr="00D40C4A" w14:paraId="45499148" w14:textId="77777777" w:rsidTr="005914F1">
        <w:trPr>
          <w:trHeight w:val="50"/>
        </w:trPr>
        <w:tc>
          <w:tcPr>
            <w:tcW w:w="1795" w:type="pct"/>
            <w:tcBorders>
              <w:top w:val="single" w:sz="4" w:space="0" w:color="auto"/>
              <w:left w:val="single" w:sz="8" w:space="0" w:color="auto"/>
              <w:bottom w:val="single" w:sz="4" w:space="0" w:color="auto"/>
              <w:right w:val="single" w:sz="4" w:space="0" w:color="auto"/>
            </w:tcBorders>
            <w:shd w:val="clear" w:color="000000" w:fill="E2EFD9"/>
            <w:noWrap/>
            <w:vAlign w:val="center"/>
            <w:hideMark/>
          </w:tcPr>
          <w:p w14:paraId="221B386B" w14:textId="77777777" w:rsidR="00E54305" w:rsidRPr="00D40C4A" w:rsidRDefault="00E54305" w:rsidP="00A5677A">
            <w:pPr>
              <w:spacing w:after="0" w:line="240" w:lineRule="auto"/>
              <w:rPr>
                <w:rFonts w:ascii="Times New Roman" w:eastAsia="Times New Roman" w:hAnsi="Times New Roman" w:cs="Times New Roman"/>
                <w:color w:val="000000"/>
                <w:sz w:val="20"/>
                <w:szCs w:val="20"/>
                <w:lang w:val="ro-RO"/>
              </w:rPr>
            </w:pPr>
            <w:r w:rsidRPr="00D40C4A">
              <w:rPr>
                <w:rFonts w:ascii="Times New Roman" w:eastAsia="Times New Roman" w:hAnsi="Times New Roman" w:cs="Times New Roman"/>
                <w:color w:val="000000"/>
                <w:sz w:val="20"/>
                <w:szCs w:val="20"/>
                <w:lang w:val="ro-RO"/>
              </w:rPr>
              <w:t>Total consum, mil. kWh, inclusiv</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095033E5"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rPr>
              <w:t>367.0</w:t>
            </w: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14:paraId="64E3958E"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rPr>
              <w:t>403.2</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09ED5FBA"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rPr>
              <w:t>441.8</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727E0EB3"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rPr>
              <w:t>406.3</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6906E8B4"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rPr>
              <w:t>384.6</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491A2F03"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rPr>
              <w:t>395.0</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0C8A55F8" w14:textId="77777777" w:rsidR="00E54305" w:rsidRPr="00D40C4A" w:rsidRDefault="00E54305" w:rsidP="00A5677A">
            <w:pPr>
              <w:spacing w:after="0" w:line="240" w:lineRule="auto"/>
              <w:jc w:val="center"/>
              <w:rPr>
                <w:rFonts w:ascii="Times New Roman" w:eastAsia="Times New Roman" w:hAnsi="Times New Roman" w:cs="Times New Roman"/>
                <w:b/>
                <w:bCs/>
                <w:color w:val="000000"/>
                <w:sz w:val="20"/>
                <w:szCs w:val="20"/>
              </w:rPr>
            </w:pPr>
            <w:r w:rsidRPr="00D40C4A">
              <w:rPr>
                <w:rFonts w:ascii="Times New Roman" w:eastAsia="Times New Roman" w:hAnsi="Times New Roman" w:cs="Times New Roman"/>
                <w:b/>
                <w:bCs/>
                <w:color w:val="000000"/>
                <w:sz w:val="20"/>
                <w:szCs w:val="20"/>
              </w:rPr>
              <w:t>366.2</w:t>
            </w:r>
          </w:p>
        </w:tc>
        <w:tc>
          <w:tcPr>
            <w:tcW w:w="494" w:type="pct"/>
            <w:tcBorders>
              <w:top w:val="single" w:sz="4" w:space="0" w:color="auto"/>
              <w:left w:val="nil"/>
              <w:bottom w:val="single" w:sz="4" w:space="0" w:color="auto"/>
              <w:right w:val="single" w:sz="8" w:space="0" w:color="auto"/>
            </w:tcBorders>
            <w:shd w:val="clear" w:color="auto" w:fill="auto"/>
            <w:vAlign w:val="center"/>
            <w:hideMark/>
          </w:tcPr>
          <w:p w14:paraId="3210B056" w14:textId="0D38582B" w:rsidR="00E54305" w:rsidRPr="000904E2" w:rsidRDefault="00E54305" w:rsidP="00A5677A">
            <w:pPr>
              <w:spacing w:after="0" w:line="240" w:lineRule="auto"/>
              <w:jc w:val="center"/>
              <w:rPr>
                <w:rFonts w:ascii="Times New Roman" w:eastAsia="Times New Roman" w:hAnsi="Times New Roman" w:cs="Times New Roman"/>
                <w:b/>
                <w:bCs/>
                <w:color w:val="000000"/>
                <w:sz w:val="20"/>
                <w:szCs w:val="20"/>
              </w:rPr>
            </w:pPr>
            <w:r w:rsidRPr="000904E2">
              <w:rPr>
                <w:rFonts w:ascii="Times New Roman" w:eastAsia="Times New Roman" w:hAnsi="Times New Roman" w:cs="Times New Roman"/>
                <w:b/>
                <w:bCs/>
                <w:color w:val="000000"/>
                <w:sz w:val="20"/>
                <w:szCs w:val="20"/>
              </w:rPr>
              <w:t>2</w:t>
            </w:r>
            <w:r w:rsidR="00EC0D49">
              <w:rPr>
                <w:rFonts w:ascii="Times New Roman" w:eastAsia="Times New Roman" w:hAnsi="Times New Roman" w:cs="Times New Roman"/>
                <w:b/>
                <w:bCs/>
                <w:color w:val="000000"/>
                <w:sz w:val="20"/>
                <w:szCs w:val="20"/>
              </w:rPr>
              <w:t xml:space="preserve"> </w:t>
            </w:r>
            <w:r w:rsidRPr="000904E2">
              <w:rPr>
                <w:rFonts w:ascii="Times New Roman" w:eastAsia="Times New Roman" w:hAnsi="Times New Roman" w:cs="Times New Roman"/>
                <w:b/>
                <w:bCs/>
                <w:color w:val="000000"/>
                <w:sz w:val="20"/>
                <w:szCs w:val="20"/>
              </w:rPr>
              <w:t>764.1</w:t>
            </w:r>
          </w:p>
        </w:tc>
      </w:tr>
      <w:tr w:rsidR="00E54305" w:rsidRPr="00D40C4A" w14:paraId="2F343A2C" w14:textId="77777777" w:rsidTr="005914F1">
        <w:trPr>
          <w:trHeight w:val="110"/>
        </w:trPr>
        <w:tc>
          <w:tcPr>
            <w:tcW w:w="1795" w:type="pct"/>
            <w:tcBorders>
              <w:top w:val="nil"/>
              <w:left w:val="single" w:sz="8" w:space="0" w:color="auto"/>
              <w:bottom w:val="single" w:sz="4" w:space="0" w:color="auto"/>
              <w:right w:val="single" w:sz="4" w:space="0" w:color="auto"/>
            </w:tcBorders>
            <w:shd w:val="clear" w:color="000000" w:fill="E2EFD9"/>
            <w:vAlign w:val="center"/>
            <w:hideMark/>
          </w:tcPr>
          <w:p w14:paraId="32576048" w14:textId="77777777" w:rsidR="00E54305" w:rsidRPr="00D40C4A" w:rsidRDefault="00E54305" w:rsidP="00A5677A">
            <w:pPr>
              <w:spacing w:after="0" w:line="240" w:lineRule="auto"/>
              <w:rPr>
                <w:rFonts w:ascii="Times New Roman" w:eastAsia="Times New Roman" w:hAnsi="Times New Roman" w:cs="Times New Roman"/>
                <w:i/>
                <w:iCs/>
                <w:color w:val="000000"/>
                <w:sz w:val="20"/>
                <w:szCs w:val="20"/>
                <w:lang w:val="ro-RO"/>
              </w:rPr>
            </w:pPr>
            <w:r w:rsidRPr="00D40C4A">
              <w:rPr>
                <w:rFonts w:ascii="Times New Roman" w:eastAsia="Times New Roman" w:hAnsi="Times New Roman" w:cs="Times New Roman"/>
                <w:i/>
                <w:iCs/>
                <w:color w:val="000000"/>
                <w:sz w:val="20"/>
                <w:szCs w:val="20"/>
                <w:lang w:val="ro-RO"/>
              </w:rPr>
              <w:t>producție locală</w:t>
            </w:r>
          </w:p>
        </w:tc>
        <w:tc>
          <w:tcPr>
            <w:tcW w:w="380" w:type="pct"/>
            <w:tcBorders>
              <w:top w:val="nil"/>
              <w:left w:val="nil"/>
              <w:bottom w:val="single" w:sz="4" w:space="0" w:color="auto"/>
              <w:right w:val="single" w:sz="4" w:space="0" w:color="auto"/>
            </w:tcBorders>
            <w:shd w:val="clear" w:color="auto" w:fill="auto"/>
            <w:noWrap/>
            <w:vAlign w:val="center"/>
            <w:hideMark/>
          </w:tcPr>
          <w:p w14:paraId="5D157DED"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51.5</w:t>
            </w:r>
          </w:p>
        </w:tc>
        <w:tc>
          <w:tcPr>
            <w:tcW w:w="390" w:type="pct"/>
            <w:tcBorders>
              <w:top w:val="nil"/>
              <w:left w:val="nil"/>
              <w:bottom w:val="single" w:sz="4" w:space="0" w:color="auto"/>
              <w:right w:val="single" w:sz="4" w:space="0" w:color="auto"/>
            </w:tcBorders>
            <w:shd w:val="clear" w:color="auto" w:fill="auto"/>
            <w:noWrap/>
            <w:vAlign w:val="center"/>
            <w:hideMark/>
          </w:tcPr>
          <w:p w14:paraId="1C8CC9C9"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116.0</w:t>
            </w:r>
          </w:p>
        </w:tc>
        <w:tc>
          <w:tcPr>
            <w:tcW w:w="380" w:type="pct"/>
            <w:tcBorders>
              <w:top w:val="nil"/>
              <w:left w:val="nil"/>
              <w:bottom w:val="single" w:sz="4" w:space="0" w:color="auto"/>
              <w:right w:val="single" w:sz="4" w:space="0" w:color="auto"/>
            </w:tcBorders>
            <w:shd w:val="clear" w:color="auto" w:fill="auto"/>
            <w:noWrap/>
            <w:vAlign w:val="center"/>
            <w:hideMark/>
          </w:tcPr>
          <w:p w14:paraId="6025F1F1"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132.4</w:t>
            </w:r>
          </w:p>
        </w:tc>
        <w:tc>
          <w:tcPr>
            <w:tcW w:w="380" w:type="pct"/>
            <w:tcBorders>
              <w:top w:val="nil"/>
              <w:left w:val="nil"/>
              <w:bottom w:val="single" w:sz="4" w:space="0" w:color="auto"/>
              <w:right w:val="single" w:sz="4" w:space="0" w:color="auto"/>
            </w:tcBorders>
            <w:shd w:val="clear" w:color="auto" w:fill="auto"/>
            <w:noWrap/>
            <w:vAlign w:val="center"/>
            <w:hideMark/>
          </w:tcPr>
          <w:p w14:paraId="2ABFA728"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146.0</w:t>
            </w:r>
          </w:p>
        </w:tc>
        <w:tc>
          <w:tcPr>
            <w:tcW w:w="421" w:type="pct"/>
            <w:tcBorders>
              <w:top w:val="nil"/>
              <w:left w:val="nil"/>
              <w:bottom w:val="single" w:sz="4" w:space="0" w:color="auto"/>
              <w:right w:val="single" w:sz="4" w:space="0" w:color="auto"/>
            </w:tcBorders>
            <w:shd w:val="clear" w:color="auto" w:fill="auto"/>
            <w:noWrap/>
            <w:vAlign w:val="center"/>
            <w:hideMark/>
          </w:tcPr>
          <w:p w14:paraId="157C85FF"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148.6</w:t>
            </w:r>
          </w:p>
        </w:tc>
        <w:tc>
          <w:tcPr>
            <w:tcW w:w="380" w:type="pct"/>
            <w:tcBorders>
              <w:top w:val="nil"/>
              <w:left w:val="nil"/>
              <w:bottom w:val="single" w:sz="4" w:space="0" w:color="auto"/>
              <w:right w:val="single" w:sz="4" w:space="0" w:color="auto"/>
            </w:tcBorders>
            <w:shd w:val="clear" w:color="auto" w:fill="auto"/>
            <w:noWrap/>
            <w:vAlign w:val="center"/>
            <w:hideMark/>
          </w:tcPr>
          <w:p w14:paraId="652D40A8"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147.8</w:t>
            </w:r>
          </w:p>
        </w:tc>
        <w:tc>
          <w:tcPr>
            <w:tcW w:w="380" w:type="pct"/>
            <w:tcBorders>
              <w:top w:val="nil"/>
              <w:left w:val="nil"/>
              <w:bottom w:val="single" w:sz="4" w:space="0" w:color="auto"/>
              <w:right w:val="single" w:sz="4" w:space="0" w:color="auto"/>
            </w:tcBorders>
            <w:shd w:val="clear" w:color="auto" w:fill="auto"/>
            <w:noWrap/>
            <w:vAlign w:val="center"/>
            <w:hideMark/>
          </w:tcPr>
          <w:p w14:paraId="14164FA4"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80.2</w:t>
            </w:r>
          </w:p>
        </w:tc>
        <w:tc>
          <w:tcPr>
            <w:tcW w:w="494" w:type="pct"/>
            <w:tcBorders>
              <w:top w:val="nil"/>
              <w:left w:val="nil"/>
              <w:bottom w:val="single" w:sz="4" w:space="0" w:color="auto"/>
              <w:right w:val="single" w:sz="8" w:space="0" w:color="auto"/>
            </w:tcBorders>
            <w:shd w:val="clear" w:color="auto" w:fill="auto"/>
            <w:vAlign w:val="center"/>
            <w:hideMark/>
          </w:tcPr>
          <w:p w14:paraId="36F9FB8E" w14:textId="77777777" w:rsidR="00E54305" w:rsidRPr="000904E2" w:rsidRDefault="00E54305" w:rsidP="00A5677A">
            <w:pPr>
              <w:spacing w:after="0" w:line="240" w:lineRule="auto"/>
              <w:jc w:val="center"/>
              <w:rPr>
                <w:rFonts w:ascii="Times New Roman" w:eastAsia="Times New Roman" w:hAnsi="Times New Roman" w:cs="Times New Roman"/>
                <w:b/>
                <w:bCs/>
                <w:color w:val="000000"/>
                <w:sz w:val="20"/>
                <w:szCs w:val="20"/>
              </w:rPr>
            </w:pPr>
            <w:r w:rsidRPr="000904E2">
              <w:rPr>
                <w:rFonts w:ascii="Times New Roman" w:eastAsia="Times New Roman" w:hAnsi="Times New Roman" w:cs="Times New Roman"/>
                <w:b/>
                <w:bCs/>
                <w:color w:val="000000"/>
                <w:sz w:val="20"/>
                <w:szCs w:val="20"/>
              </w:rPr>
              <w:t>822.6</w:t>
            </w:r>
          </w:p>
        </w:tc>
      </w:tr>
      <w:tr w:rsidR="00E54305" w:rsidRPr="00D40C4A" w14:paraId="16864158" w14:textId="77777777" w:rsidTr="005914F1">
        <w:trPr>
          <w:trHeight w:val="50"/>
        </w:trPr>
        <w:tc>
          <w:tcPr>
            <w:tcW w:w="1795" w:type="pct"/>
            <w:tcBorders>
              <w:top w:val="nil"/>
              <w:left w:val="single" w:sz="8" w:space="0" w:color="auto"/>
              <w:bottom w:val="single" w:sz="8" w:space="0" w:color="auto"/>
              <w:right w:val="single" w:sz="4" w:space="0" w:color="auto"/>
            </w:tcBorders>
            <w:shd w:val="clear" w:color="000000" w:fill="E2EFD9"/>
            <w:vAlign w:val="center"/>
            <w:hideMark/>
          </w:tcPr>
          <w:p w14:paraId="01A87DAF" w14:textId="36F0DB54" w:rsidR="00E54305" w:rsidRPr="00D40C4A" w:rsidRDefault="00E54305" w:rsidP="00A5677A">
            <w:pPr>
              <w:spacing w:after="0" w:line="240" w:lineRule="auto"/>
              <w:rPr>
                <w:rFonts w:ascii="Times New Roman" w:eastAsia="Times New Roman" w:hAnsi="Times New Roman" w:cs="Times New Roman"/>
                <w:i/>
                <w:iCs/>
                <w:color w:val="000000"/>
                <w:sz w:val="20"/>
                <w:szCs w:val="20"/>
                <w:lang w:val="ro-RO"/>
              </w:rPr>
            </w:pPr>
            <w:r w:rsidRPr="00D40C4A">
              <w:rPr>
                <w:rFonts w:ascii="Times New Roman" w:eastAsia="Times New Roman" w:hAnsi="Times New Roman" w:cs="Times New Roman"/>
                <w:i/>
                <w:iCs/>
                <w:color w:val="000000"/>
                <w:sz w:val="20"/>
                <w:szCs w:val="20"/>
                <w:lang w:val="ro-RO"/>
              </w:rPr>
              <w:t>surse externe</w:t>
            </w:r>
          </w:p>
        </w:tc>
        <w:tc>
          <w:tcPr>
            <w:tcW w:w="380" w:type="pct"/>
            <w:tcBorders>
              <w:top w:val="nil"/>
              <w:left w:val="nil"/>
              <w:bottom w:val="single" w:sz="8" w:space="0" w:color="auto"/>
              <w:right w:val="single" w:sz="4" w:space="0" w:color="auto"/>
            </w:tcBorders>
            <w:shd w:val="clear" w:color="auto" w:fill="auto"/>
            <w:noWrap/>
            <w:vAlign w:val="center"/>
            <w:hideMark/>
          </w:tcPr>
          <w:p w14:paraId="37EA51EE"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315.5</w:t>
            </w:r>
          </w:p>
        </w:tc>
        <w:tc>
          <w:tcPr>
            <w:tcW w:w="390" w:type="pct"/>
            <w:tcBorders>
              <w:top w:val="nil"/>
              <w:left w:val="nil"/>
              <w:bottom w:val="single" w:sz="8" w:space="0" w:color="auto"/>
              <w:right w:val="single" w:sz="4" w:space="0" w:color="auto"/>
            </w:tcBorders>
            <w:shd w:val="clear" w:color="auto" w:fill="auto"/>
            <w:noWrap/>
            <w:vAlign w:val="center"/>
            <w:hideMark/>
          </w:tcPr>
          <w:p w14:paraId="3355E982"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287.2</w:t>
            </w:r>
          </w:p>
        </w:tc>
        <w:tc>
          <w:tcPr>
            <w:tcW w:w="380" w:type="pct"/>
            <w:tcBorders>
              <w:top w:val="nil"/>
              <w:left w:val="nil"/>
              <w:bottom w:val="single" w:sz="8" w:space="0" w:color="auto"/>
              <w:right w:val="single" w:sz="4" w:space="0" w:color="auto"/>
            </w:tcBorders>
            <w:shd w:val="clear" w:color="auto" w:fill="auto"/>
            <w:noWrap/>
            <w:vAlign w:val="center"/>
            <w:hideMark/>
          </w:tcPr>
          <w:p w14:paraId="01EC0190"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309.4</w:t>
            </w:r>
          </w:p>
        </w:tc>
        <w:tc>
          <w:tcPr>
            <w:tcW w:w="380" w:type="pct"/>
            <w:tcBorders>
              <w:top w:val="nil"/>
              <w:left w:val="nil"/>
              <w:bottom w:val="single" w:sz="8" w:space="0" w:color="auto"/>
              <w:right w:val="single" w:sz="4" w:space="0" w:color="auto"/>
            </w:tcBorders>
            <w:shd w:val="clear" w:color="auto" w:fill="auto"/>
            <w:noWrap/>
            <w:vAlign w:val="center"/>
            <w:hideMark/>
          </w:tcPr>
          <w:p w14:paraId="5604A2EA"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260.3</w:t>
            </w:r>
          </w:p>
        </w:tc>
        <w:tc>
          <w:tcPr>
            <w:tcW w:w="421" w:type="pct"/>
            <w:tcBorders>
              <w:top w:val="nil"/>
              <w:left w:val="nil"/>
              <w:bottom w:val="single" w:sz="8" w:space="0" w:color="auto"/>
              <w:right w:val="single" w:sz="4" w:space="0" w:color="auto"/>
            </w:tcBorders>
            <w:shd w:val="clear" w:color="auto" w:fill="auto"/>
            <w:noWrap/>
            <w:vAlign w:val="center"/>
            <w:hideMark/>
          </w:tcPr>
          <w:p w14:paraId="0AEACE4B"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235.9</w:t>
            </w:r>
          </w:p>
        </w:tc>
        <w:tc>
          <w:tcPr>
            <w:tcW w:w="380" w:type="pct"/>
            <w:tcBorders>
              <w:top w:val="nil"/>
              <w:left w:val="nil"/>
              <w:bottom w:val="single" w:sz="8" w:space="0" w:color="auto"/>
              <w:right w:val="single" w:sz="4" w:space="0" w:color="auto"/>
            </w:tcBorders>
            <w:shd w:val="clear" w:color="auto" w:fill="auto"/>
            <w:noWrap/>
            <w:vAlign w:val="center"/>
            <w:hideMark/>
          </w:tcPr>
          <w:p w14:paraId="6CF8D136"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247.2</w:t>
            </w:r>
          </w:p>
        </w:tc>
        <w:tc>
          <w:tcPr>
            <w:tcW w:w="380" w:type="pct"/>
            <w:tcBorders>
              <w:top w:val="nil"/>
              <w:left w:val="nil"/>
              <w:bottom w:val="single" w:sz="8" w:space="0" w:color="auto"/>
              <w:right w:val="single" w:sz="4" w:space="0" w:color="auto"/>
            </w:tcBorders>
            <w:shd w:val="clear" w:color="auto" w:fill="auto"/>
            <w:noWrap/>
            <w:vAlign w:val="center"/>
            <w:hideMark/>
          </w:tcPr>
          <w:p w14:paraId="207EE6C7" w14:textId="77777777" w:rsidR="00E54305" w:rsidRPr="00D40C4A" w:rsidRDefault="00E54305" w:rsidP="00A5677A">
            <w:pPr>
              <w:spacing w:after="0" w:line="240" w:lineRule="auto"/>
              <w:jc w:val="center"/>
              <w:rPr>
                <w:rFonts w:ascii="Times New Roman" w:eastAsia="Times New Roman" w:hAnsi="Times New Roman" w:cs="Times New Roman"/>
                <w:color w:val="000000"/>
                <w:sz w:val="20"/>
                <w:szCs w:val="20"/>
              </w:rPr>
            </w:pPr>
            <w:r w:rsidRPr="00D40C4A">
              <w:rPr>
                <w:rFonts w:ascii="Times New Roman" w:eastAsia="Times New Roman" w:hAnsi="Times New Roman" w:cs="Times New Roman"/>
                <w:color w:val="000000"/>
                <w:sz w:val="20"/>
                <w:szCs w:val="20"/>
              </w:rPr>
              <w:t>286.0</w:t>
            </w:r>
          </w:p>
        </w:tc>
        <w:tc>
          <w:tcPr>
            <w:tcW w:w="494" w:type="pct"/>
            <w:tcBorders>
              <w:top w:val="nil"/>
              <w:left w:val="nil"/>
              <w:bottom w:val="single" w:sz="8" w:space="0" w:color="auto"/>
              <w:right w:val="single" w:sz="8" w:space="0" w:color="auto"/>
            </w:tcBorders>
            <w:shd w:val="clear" w:color="auto" w:fill="auto"/>
            <w:vAlign w:val="center"/>
            <w:hideMark/>
          </w:tcPr>
          <w:p w14:paraId="3F6811F9" w14:textId="459B2DBB" w:rsidR="00E54305" w:rsidRPr="000904E2" w:rsidRDefault="00E54305" w:rsidP="00A5677A">
            <w:pPr>
              <w:spacing w:after="0" w:line="240" w:lineRule="auto"/>
              <w:jc w:val="center"/>
              <w:rPr>
                <w:rFonts w:ascii="Times New Roman" w:eastAsia="Times New Roman" w:hAnsi="Times New Roman" w:cs="Times New Roman"/>
                <w:b/>
                <w:bCs/>
                <w:color w:val="000000"/>
                <w:sz w:val="20"/>
                <w:szCs w:val="20"/>
              </w:rPr>
            </w:pPr>
            <w:r w:rsidRPr="000904E2">
              <w:rPr>
                <w:rFonts w:ascii="Times New Roman" w:eastAsia="Times New Roman" w:hAnsi="Times New Roman" w:cs="Times New Roman"/>
                <w:b/>
                <w:bCs/>
                <w:color w:val="000000"/>
                <w:sz w:val="20"/>
                <w:szCs w:val="20"/>
              </w:rPr>
              <w:t>1</w:t>
            </w:r>
            <w:r w:rsidR="00EC0D49">
              <w:rPr>
                <w:rFonts w:ascii="Times New Roman" w:eastAsia="Times New Roman" w:hAnsi="Times New Roman" w:cs="Times New Roman"/>
                <w:b/>
                <w:bCs/>
                <w:color w:val="000000"/>
                <w:sz w:val="20"/>
                <w:szCs w:val="20"/>
              </w:rPr>
              <w:t xml:space="preserve"> </w:t>
            </w:r>
            <w:r w:rsidRPr="000904E2">
              <w:rPr>
                <w:rFonts w:ascii="Times New Roman" w:eastAsia="Times New Roman" w:hAnsi="Times New Roman" w:cs="Times New Roman"/>
                <w:b/>
                <w:bCs/>
                <w:color w:val="000000"/>
                <w:sz w:val="20"/>
                <w:szCs w:val="20"/>
              </w:rPr>
              <w:t>941.5</w:t>
            </w:r>
          </w:p>
        </w:tc>
      </w:tr>
    </w:tbl>
    <w:p w14:paraId="14848801" w14:textId="54F2FDC4" w:rsidR="00586A38" w:rsidRPr="000904E2" w:rsidRDefault="00586A38" w:rsidP="000904E2">
      <w:pPr>
        <w:pStyle w:val="cb"/>
        <w:rPr>
          <w:b w:val="0"/>
          <w:bCs w:val="0"/>
          <w:sz w:val="20"/>
          <w:szCs w:val="20"/>
          <w:lang w:val="ro-RO"/>
        </w:rPr>
      </w:pPr>
      <w:r w:rsidRPr="000904E2">
        <w:rPr>
          <w:sz w:val="20"/>
          <w:szCs w:val="20"/>
          <w:lang w:val="ro-RO"/>
        </w:rPr>
        <w:t>Sursa:</w:t>
      </w:r>
      <w:r w:rsidRPr="000904E2">
        <w:rPr>
          <w:b w:val="0"/>
          <w:bCs w:val="0"/>
          <w:sz w:val="20"/>
          <w:szCs w:val="20"/>
          <w:lang w:val="ro-RO"/>
        </w:rPr>
        <w:t xml:space="preserve"> </w:t>
      </w:r>
      <w:r w:rsidR="000904E2">
        <w:rPr>
          <w:b w:val="0"/>
          <w:bCs w:val="0"/>
          <w:sz w:val="20"/>
          <w:szCs w:val="20"/>
          <w:lang w:val="ro-RO"/>
        </w:rPr>
        <w:t xml:space="preserve">ÎS </w:t>
      </w:r>
      <w:r w:rsidR="000904E2" w:rsidRPr="00FA3E89">
        <w:rPr>
          <w:b w:val="0"/>
          <w:bCs w:val="0"/>
          <w:sz w:val="20"/>
          <w:szCs w:val="20"/>
          <w:lang w:val="ro-RO"/>
        </w:rPr>
        <w:t>„</w:t>
      </w:r>
      <w:r w:rsidR="000904E2">
        <w:rPr>
          <w:b w:val="0"/>
          <w:bCs w:val="0"/>
          <w:sz w:val="20"/>
          <w:szCs w:val="20"/>
          <w:lang w:val="ro-RO"/>
        </w:rPr>
        <w:t>Moldelectrica</w:t>
      </w:r>
      <w:r w:rsidR="000904E2" w:rsidRPr="00FA3E89">
        <w:rPr>
          <w:b w:val="0"/>
          <w:bCs w:val="0"/>
          <w:sz w:val="20"/>
          <w:szCs w:val="20"/>
          <w:lang w:val="ro-RO"/>
        </w:rPr>
        <w:t>”</w:t>
      </w:r>
      <w:r w:rsidRPr="000904E2">
        <w:rPr>
          <w:b w:val="0"/>
          <w:bCs w:val="0"/>
          <w:sz w:val="20"/>
          <w:szCs w:val="20"/>
          <w:lang w:val="ro-RO"/>
        </w:rPr>
        <w:t xml:space="preserve"> </w:t>
      </w:r>
      <w:r w:rsidR="000904E2">
        <w:rPr>
          <w:b w:val="0"/>
          <w:bCs w:val="0"/>
          <w:sz w:val="20"/>
          <w:szCs w:val="20"/>
          <w:lang w:val="ro-RO"/>
        </w:rPr>
        <w:t>(</w:t>
      </w:r>
      <w:r w:rsidRPr="000904E2">
        <w:rPr>
          <w:b w:val="0"/>
          <w:bCs w:val="0"/>
          <w:sz w:val="20"/>
          <w:szCs w:val="20"/>
          <w:lang w:val="ro-RO"/>
        </w:rPr>
        <w:t>date</w:t>
      </w:r>
      <w:r w:rsidR="000904E2">
        <w:rPr>
          <w:b w:val="0"/>
          <w:bCs w:val="0"/>
          <w:sz w:val="20"/>
          <w:szCs w:val="20"/>
          <w:lang w:val="ro-RO"/>
        </w:rPr>
        <w:t xml:space="preserve"> privind </w:t>
      </w:r>
      <w:r w:rsidR="007E41F9">
        <w:rPr>
          <w:b w:val="0"/>
          <w:bCs w:val="0"/>
          <w:sz w:val="20"/>
          <w:szCs w:val="20"/>
          <w:lang w:val="ro-RO"/>
        </w:rPr>
        <w:t xml:space="preserve">consum </w:t>
      </w:r>
      <w:r w:rsidR="000904E2">
        <w:rPr>
          <w:b w:val="0"/>
          <w:bCs w:val="0"/>
          <w:sz w:val="20"/>
          <w:szCs w:val="20"/>
          <w:lang w:val="ro-RO"/>
        </w:rPr>
        <w:t xml:space="preserve">energie electrică </w:t>
      </w:r>
      <w:r w:rsidRPr="000904E2">
        <w:rPr>
          <w:b w:val="0"/>
          <w:bCs w:val="0"/>
          <w:sz w:val="20"/>
          <w:szCs w:val="20"/>
          <w:lang w:val="ro-RO"/>
        </w:rPr>
        <w:t>înregistrat de facto în anul 2021</w:t>
      </w:r>
      <w:r w:rsidR="000904E2">
        <w:rPr>
          <w:b w:val="0"/>
          <w:bCs w:val="0"/>
          <w:sz w:val="20"/>
          <w:szCs w:val="20"/>
          <w:lang w:val="ro-RO"/>
        </w:rPr>
        <w:t>)</w:t>
      </w:r>
    </w:p>
    <w:p w14:paraId="6CE8A635" w14:textId="660B369A" w:rsidR="00A42EBB" w:rsidRPr="002C0527" w:rsidRDefault="00A42EBB" w:rsidP="00A42EBB">
      <w:pPr>
        <w:pStyle w:val="cb"/>
        <w:ind w:left="708"/>
        <w:rPr>
          <w:rStyle w:val="Strong"/>
          <w:b/>
          <w:bCs/>
          <w:color w:val="000000" w:themeColor="text1"/>
          <w:shd w:val="clear" w:color="auto" w:fill="FFFFFF"/>
          <w:lang w:val="ro-RO"/>
        </w:rPr>
      </w:pPr>
      <w:r w:rsidRPr="002C0527">
        <w:rPr>
          <w:rStyle w:val="Strong"/>
          <w:b/>
          <w:bCs/>
          <w:color w:val="000000" w:themeColor="text1"/>
          <w:shd w:val="clear" w:color="auto" w:fill="FFFFFF"/>
          <w:lang w:val="ro-RO"/>
        </w:rPr>
        <w:lastRenderedPageBreak/>
        <w:t xml:space="preserve">II. ANALIZA POTENȚIALELOR RISCURI ÎN CAZUL UNOR </w:t>
      </w:r>
    </w:p>
    <w:p w14:paraId="343D1FFD" w14:textId="4F1CB088" w:rsidR="00A42EBB" w:rsidRPr="00D425A1" w:rsidRDefault="00A42EBB" w:rsidP="00A42EBB">
      <w:pPr>
        <w:pStyle w:val="cb"/>
        <w:spacing w:after="120"/>
        <w:ind w:left="706"/>
        <w:rPr>
          <w:rStyle w:val="Strong"/>
          <w:b/>
          <w:bCs/>
          <w:color w:val="000000" w:themeColor="text1"/>
          <w:shd w:val="clear" w:color="auto" w:fill="FFFFFF"/>
          <w:lang w:val="ro-RO"/>
        </w:rPr>
      </w:pPr>
      <w:r w:rsidRPr="002C0527">
        <w:rPr>
          <w:rStyle w:val="Strong"/>
          <w:b/>
          <w:bCs/>
          <w:color w:val="000000" w:themeColor="text1"/>
          <w:shd w:val="clear" w:color="auto" w:fill="FFFFFF"/>
          <w:lang w:val="ro-RO"/>
        </w:rPr>
        <w:t>LIMITĂRI SAU SISTĂRI DE GAZE NATURALE</w:t>
      </w:r>
      <w:r w:rsidR="00D425A1">
        <w:rPr>
          <w:rStyle w:val="Strong"/>
          <w:b/>
          <w:bCs/>
          <w:color w:val="000000" w:themeColor="text1"/>
          <w:shd w:val="clear" w:color="auto" w:fill="FFFFFF"/>
          <w:lang w:val="ro-RO"/>
        </w:rPr>
        <w:t xml:space="preserve"> </w:t>
      </w:r>
      <w:r w:rsidR="00D425A1" w:rsidRPr="009B5059">
        <w:rPr>
          <w:rStyle w:val="Strong"/>
          <w:b/>
          <w:bCs/>
          <w:color w:val="000000" w:themeColor="text1"/>
          <w:shd w:val="clear" w:color="auto" w:fill="FFFFFF"/>
          <w:lang w:val="ro-RO"/>
        </w:rPr>
        <w:t>ȘI</w:t>
      </w:r>
      <w:r w:rsidR="009B5059" w:rsidRPr="009B5059">
        <w:rPr>
          <w:rStyle w:val="Strong"/>
          <w:b/>
          <w:bCs/>
          <w:color w:val="000000" w:themeColor="text1"/>
          <w:shd w:val="clear" w:color="auto" w:fill="FFFFFF"/>
          <w:lang w:val="ro-RO"/>
        </w:rPr>
        <w:t>/SAU</w:t>
      </w:r>
      <w:r w:rsidR="00D425A1" w:rsidRPr="009B5059">
        <w:rPr>
          <w:rStyle w:val="Strong"/>
          <w:b/>
          <w:bCs/>
          <w:color w:val="000000" w:themeColor="text1"/>
          <w:shd w:val="clear" w:color="auto" w:fill="FFFFFF"/>
          <w:lang w:val="ro-RO"/>
        </w:rPr>
        <w:t xml:space="preserve"> ENERGIE ELECTRICĂ</w:t>
      </w:r>
    </w:p>
    <w:p w14:paraId="2800F392" w14:textId="436CCF08" w:rsidR="00A42EBB" w:rsidRPr="00DA4D5D" w:rsidRDefault="00A42EBB" w:rsidP="001F76FE">
      <w:pPr>
        <w:pStyle w:val="cb"/>
        <w:spacing w:after="120"/>
        <w:ind w:firstLine="706"/>
        <w:jc w:val="both"/>
        <w:rPr>
          <w:b w:val="0"/>
          <w:bCs w:val="0"/>
          <w:color w:val="000000" w:themeColor="text1"/>
          <w:lang w:eastAsia="ru-RU"/>
        </w:rPr>
      </w:pPr>
      <w:r w:rsidRPr="002C0527">
        <w:rPr>
          <w:b w:val="0"/>
          <w:bCs w:val="0"/>
          <w:color w:val="000000" w:themeColor="text1"/>
          <w:lang w:val="ro-RO" w:eastAsia="ru-RU"/>
        </w:rPr>
        <w:t xml:space="preserve">Având în vedere contextul local și regional privind aprovizionarea cu gaze naturale, precum și </w:t>
      </w:r>
      <w:r w:rsidR="00027B66">
        <w:rPr>
          <w:b w:val="0"/>
          <w:bCs w:val="0"/>
          <w:color w:val="000000" w:themeColor="text1"/>
          <w:lang w:val="ro-RO" w:eastAsia="ru-RU"/>
        </w:rPr>
        <w:t>riscurile</w:t>
      </w:r>
      <w:r w:rsidR="003070EA">
        <w:rPr>
          <w:b w:val="0"/>
          <w:bCs w:val="0"/>
          <w:color w:val="000000" w:themeColor="text1"/>
          <w:lang w:val="ro-RO" w:eastAsia="ru-RU"/>
        </w:rPr>
        <w:t xml:space="preserve"> </w:t>
      </w:r>
      <w:r w:rsidRPr="002C0527">
        <w:rPr>
          <w:b w:val="0"/>
          <w:bCs w:val="0"/>
          <w:color w:val="000000" w:themeColor="text1"/>
          <w:lang w:val="ro-RO" w:eastAsia="ru-RU"/>
        </w:rPr>
        <w:t xml:space="preserve">de limitare, sistare a furnizării gazelor naturale în </w:t>
      </w:r>
      <w:r w:rsidR="00FE6886">
        <w:rPr>
          <w:b w:val="0"/>
          <w:bCs w:val="0"/>
          <w:color w:val="000000" w:themeColor="text1"/>
          <w:lang w:val="ro-RO" w:eastAsia="ru-RU"/>
        </w:rPr>
        <w:t>baza</w:t>
      </w:r>
      <w:r w:rsidRPr="002C0527">
        <w:rPr>
          <w:b w:val="0"/>
          <w:bCs w:val="0"/>
          <w:color w:val="000000" w:themeColor="text1"/>
          <w:lang w:val="ro-RO" w:eastAsia="ru-RU"/>
        </w:rPr>
        <w:t xml:space="preserve"> </w:t>
      </w:r>
      <w:r w:rsidR="007228B0" w:rsidRPr="002C0527">
        <w:rPr>
          <w:b w:val="0"/>
          <w:bCs w:val="0"/>
          <w:color w:val="000000" w:themeColor="text1"/>
          <w:lang w:val="ro-RO" w:eastAsia="ru-RU"/>
        </w:rPr>
        <w:t>Acord</w:t>
      </w:r>
      <w:r w:rsidR="008B3206">
        <w:rPr>
          <w:b w:val="0"/>
          <w:bCs w:val="0"/>
          <w:color w:val="000000" w:themeColor="text1"/>
          <w:lang w:val="ro-RO" w:eastAsia="ru-RU"/>
        </w:rPr>
        <w:t>ului</w:t>
      </w:r>
      <w:r w:rsidR="007228B0" w:rsidRPr="002C0527">
        <w:rPr>
          <w:b w:val="0"/>
          <w:bCs w:val="0"/>
          <w:color w:val="000000" w:themeColor="text1"/>
          <w:lang w:val="ro-RO" w:eastAsia="ru-RU"/>
        </w:rPr>
        <w:t xml:space="preserve"> Adițional </w:t>
      </w:r>
      <w:r w:rsidR="008B3206">
        <w:rPr>
          <w:b w:val="0"/>
          <w:bCs w:val="0"/>
          <w:color w:val="000000" w:themeColor="text1"/>
          <w:lang w:val="ro-RO" w:eastAsia="ru-RU"/>
        </w:rPr>
        <w:t xml:space="preserve">din </w:t>
      </w:r>
      <w:r w:rsidR="008B3206" w:rsidRPr="002C0527">
        <w:rPr>
          <w:b w:val="0"/>
          <w:bCs w:val="0"/>
          <w:color w:val="000000" w:themeColor="text1"/>
          <w:lang w:val="ro-RO" w:eastAsia="ru-RU"/>
        </w:rPr>
        <w:t>octombrie 2021</w:t>
      </w:r>
      <w:r w:rsidR="008B3206">
        <w:rPr>
          <w:b w:val="0"/>
          <w:bCs w:val="0"/>
          <w:color w:val="000000" w:themeColor="text1"/>
          <w:lang w:val="ro-RO" w:eastAsia="ru-RU"/>
        </w:rPr>
        <w:t xml:space="preserve"> </w:t>
      </w:r>
      <w:r w:rsidR="007228B0" w:rsidRPr="002C0527">
        <w:rPr>
          <w:b w:val="0"/>
          <w:bCs w:val="0"/>
          <w:color w:val="000000" w:themeColor="text1"/>
          <w:lang w:val="ro-RO" w:eastAsia="ru-RU"/>
        </w:rPr>
        <w:t>la C</w:t>
      </w:r>
      <w:r w:rsidRPr="002C0527">
        <w:rPr>
          <w:b w:val="0"/>
          <w:bCs w:val="0"/>
          <w:color w:val="000000" w:themeColor="text1"/>
          <w:lang w:val="ro-RO" w:eastAsia="ru-RU"/>
        </w:rPr>
        <w:t>ontract</w:t>
      </w:r>
      <w:r w:rsidR="008C5890">
        <w:rPr>
          <w:b w:val="0"/>
          <w:bCs w:val="0"/>
          <w:color w:val="000000" w:themeColor="text1"/>
          <w:lang w:val="ro-RO" w:eastAsia="ru-RU"/>
        </w:rPr>
        <w:t>ul</w:t>
      </w:r>
      <w:r w:rsidRPr="002C0527">
        <w:rPr>
          <w:b w:val="0"/>
          <w:bCs w:val="0"/>
          <w:color w:val="000000" w:themeColor="text1"/>
          <w:lang w:val="ro-RO" w:eastAsia="ru-RU"/>
        </w:rPr>
        <w:t xml:space="preserve"> </w:t>
      </w:r>
      <w:r w:rsidR="008B3206">
        <w:rPr>
          <w:b w:val="0"/>
          <w:bCs w:val="0"/>
          <w:color w:val="000000" w:themeColor="text1"/>
          <w:lang w:val="ro-RO" w:eastAsia="ru-RU"/>
        </w:rPr>
        <w:t xml:space="preserve">privind furnizarea gazelor naturale </w:t>
      </w:r>
      <w:r w:rsidR="00C734A7" w:rsidRPr="008B3206">
        <w:rPr>
          <w:b w:val="0"/>
          <w:bCs w:val="0"/>
          <w:color w:val="000000" w:themeColor="text1"/>
          <w:lang w:val="ro-RO" w:eastAsia="ru-RU"/>
        </w:rPr>
        <w:t xml:space="preserve">nr. 1ГM-07-11 din 29 decembrie 2006 </w:t>
      </w:r>
      <w:r w:rsidRPr="002C0527">
        <w:rPr>
          <w:b w:val="0"/>
          <w:bCs w:val="0"/>
          <w:color w:val="000000" w:themeColor="text1"/>
          <w:lang w:val="ro-RO" w:eastAsia="ru-RU"/>
        </w:rPr>
        <w:t xml:space="preserve">încheiat </w:t>
      </w:r>
      <w:r w:rsidR="007228B0" w:rsidRPr="002C0527">
        <w:rPr>
          <w:b w:val="0"/>
          <w:bCs w:val="0"/>
          <w:color w:val="000000" w:themeColor="text1"/>
          <w:lang w:val="ro-RO" w:eastAsia="ru-RU"/>
        </w:rPr>
        <w:t>între SA „Moldovagaz”</w:t>
      </w:r>
      <w:r w:rsidRPr="002C0527">
        <w:rPr>
          <w:b w:val="0"/>
          <w:bCs w:val="0"/>
          <w:color w:val="000000" w:themeColor="text1"/>
          <w:lang w:val="ro-RO" w:eastAsia="ru-RU"/>
        </w:rPr>
        <w:t xml:space="preserve"> </w:t>
      </w:r>
      <w:r w:rsidR="007228B0" w:rsidRPr="002C0527">
        <w:rPr>
          <w:b w:val="0"/>
          <w:bCs w:val="0"/>
          <w:color w:val="000000" w:themeColor="text1"/>
          <w:lang w:val="ro-RO" w:eastAsia="ru-RU"/>
        </w:rPr>
        <w:t xml:space="preserve">și </w:t>
      </w:r>
      <w:r w:rsidRPr="002C0527">
        <w:rPr>
          <w:b w:val="0"/>
          <w:bCs w:val="0"/>
          <w:color w:val="000000" w:themeColor="text1"/>
          <w:lang w:val="ro-RO" w:eastAsia="ru-RU"/>
        </w:rPr>
        <w:t xml:space="preserve">SAP „Gazprom”, au fost analizate </w:t>
      </w:r>
      <w:r w:rsidR="00F251D8">
        <w:rPr>
          <w:b w:val="0"/>
          <w:bCs w:val="0"/>
          <w:color w:val="000000" w:themeColor="text1"/>
          <w:lang w:val="ro-RO" w:eastAsia="ru-RU"/>
        </w:rPr>
        <w:t>2</w:t>
      </w:r>
      <w:r w:rsidRPr="002C0527">
        <w:rPr>
          <w:b w:val="0"/>
          <w:bCs w:val="0"/>
          <w:color w:val="000000" w:themeColor="text1"/>
          <w:lang w:val="ro-RO" w:eastAsia="ru-RU"/>
        </w:rPr>
        <w:t xml:space="preserve"> scenarii cu probabilități de limitare a furnizării gazelor naturale în proporți</w:t>
      </w:r>
      <w:r w:rsidR="00FE6886">
        <w:rPr>
          <w:b w:val="0"/>
          <w:bCs w:val="0"/>
          <w:color w:val="000000" w:themeColor="text1"/>
          <w:lang w:val="ro-RO" w:eastAsia="ru-RU"/>
        </w:rPr>
        <w:t>e</w:t>
      </w:r>
      <w:r w:rsidRPr="002C0527">
        <w:rPr>
          <w:b w:val="0"/>
          <w:bCs w:val="0"/>
          <w:color w:val="000000" w:themeColor="text1"/>
          <w:lang w:val="ro-RO" w:eastAsia="ru-RU"/>
        </w:rPr>
        <w:t xml:space="preserve"> de </w:t>
      </w:r>
      <w:r w:rsidR="003070EA">
        <w:rPr>
          <w:b w:val="0"/>
          <w:bCs w:val="0"/>
          <w:color w:val="000000" w:themeColor="text1"/>
          <w:lang w:val="ro-RO" w:eastAsia="ru-RU"/>
        </w:rPr>
        <w:t>până la</w:t>
      </w:r>
      <w:r w:rsidRPr="002C0527">
        <w:rPr>
          <w:b w:val="0"/>
          <w:bCs w:val="0"/>
          <w:color w:val="000000" w:themeColor="text1"/>
          <w:lang w:val="ro-RO" w:eastAsia="ru-RU"/>
        </w:rPr>
        <w:t xml:space="preserve"> 100%, fără ca să existe defecțiuni tehnice pe direcțiile de transport al gazelor naturale (din import) sau defecțiuni tehnice în </w:t>
      </w:r>
      <w:r w:rsidR="00F251D8">
        <w:rPr>
          <w:b w:val="0"/>
          <w:bCs w:val="0"/>
          <w:color w:val="000000" w:themeColor="text1"/>
          <w:lang w:val="ro-RO" w:eastAsia="ru-RU"/>
        </w:rPr>
        <w:t>sistemul național</w:t>
      </w:r>
      <w:r w:rsidRPr="002C0527">
        <w:rPr>
          <w:b w:val="0"/>
          <w:bCs w:val="0"/>
          <w:color w:val="000000" w:themeColor="text1"/>
          <w:lang w:val="ro-RO" w:eastAsia="ru-RU"/>
        </w:rPr>
        <w:t xml:space="preserve"> de transport al gazelor naturale, și a fost estimat deficitul de gaze naturale în fiecare caz, cu considerarea realizării măsurilor de reducere și ameliorare a impactului limitării furnizării gazelor naturale. Scenariile au fost analizate</w:t>
      </w:r>
      <w:r w:rsidR="007228B0" w:rsidRPr="002C0527">
        <w:rPr>
          <w:b w:val="0"/>
          <w:bCs w:val="0"/>
          <w:color w:val="000000" w:themeColor="text1"/>
          <w:lang w:val="ro-RO" w:eastAsia="ru-RU"/>
        </w:rPr>
        <w:t>, inclusiv</w:t>
      </w:r>
      <w:r w:rsidRPr="002C0527">
        <w:rPr>
          <w:b w:val="0"/>
          <w:bCs w:val="0"/>
          <w:color w:val="000000" w:themeColor="text1"/>
          <w:lang w:val="ro-RO" w:eastAsia="ru-RU"/>
        </w:rPr>
        <w:t xml:space="preserve"> prin prisma crizei energetice din </w:t>
      </w:r>
      <w:r w:rsidR="003070EA">
        <w:rPr>
          <w:b w:val="0"/>
          <w:bCs w:val="0"/>
          <w:color w:val="000000" w:themeColor="text1"/>
          <w:lang w:val="ro-RO" w:eastAsia="ru-RU"/>
        </w:rPr>
        <w:t>sezonul de încălzire 2022-2023</w:t>
      </w:r>
      <w:r w:rsidRPr="002C0527">
        <w:rPr>
          <w:b w:val="0"/>
          <w:bCs w:val="0"/>
          <w:color w:val="000000" w:themeColor="text1"/>
          <w:lang w:val="ro-RO" w:eastAsia="ru-RU"/>
        </w:rPr>
        <w:t xml:space="preserve">, când </w:t>
      </w:r>
      <w:r w:rsidR="0023445B">
        <w:rPr>
          <w:b w:val="0"/>
          <w:bCs w:val="0"/>
          <w:color w:val="000000" w:themeColor="text1"/>
          <w:lang w:val="ro-RO" w:eastAsia="ru-RU"/>
        </w:rPr>
        <w:t>î</w:t>
      </w:r>
      <w:r w:rsidR="0023445B" w:rsidRPr="0023445B">
        <w:rPr>
          <w:b w:val="0"/>
          <w:bCs w:val="0"/>
          <w:color w:val="000000" w:themeColor="text1"/>
          <w:lang w:val="ro-RO" w:eastAsia="ru-RU"/>
        </w:rPr>
        <w:t xml:space="preserve">ncepând cu 1 octombrie 2022, livrările de gaze naturale de la </w:t>
      </w:r>
      <w:r w:rsidR="0023445B" w:rsidRPr="002C0527">
        <w:rPr>
          <w:b w:val="0"/>
          <w:bCs w:val="0"/>
          <w:color w:val="000000" w:themeColor="text1"/>
          <w:lang w:val="ro-RO" w:eastAsia="ru-RU"/>
        </w:rPr>
        <w:t>SAP „Gazprom”</w:t>
      </w:r>
      <w:r w:rsidR="0023445B" w:rsidRPr="0023445B">
        <w:rPr>
          <w:b w:val="0"/>
          <w:bCs w:val="0"/>
          <w:color w:val="000000" w:themeColor="text1"/>
          <w:lang w:val="ro-RO" w:eastAsia="ru-RU"/>
        </w:rPr>
        <w:t xml:space="preserve"> către Republica Moldova</w:t>
      </w:r>
      <w:r w:rsidR="0023445B">
        <w:rPr>
          <w:b w:val="0"/>
          <w:bCs w:val="0"/>
          <w:color w:val="000000" w:themeColor="text1"/>
          <w:lang w:val="ro-RO" w:eastAsia="ru-RU"/>
        </w:rPr>
        <w:t xml:space="preserve"> (ambele maluri)</w:t>
      </w:r>
      <w:r w:rsidR="0023445B" w:rsidRPr="0023445B">
        <w:rPr>
          <w:b w:val="0"/>
          <w:bCs w:val="0"/>
          <w:color w:val="000000" w:themeColor="text1"/>
          <w:lang w:val="ro-RO" w:eastAsia="ru-RU"/>
        </w:rPr>
        <w:t xml:space="preserve"> au fost </w:t>
      </w:r>
      <w:r w:rsidR="0023445B">
        <w:rPr>
          <w:b w:val="0"/>
          <w:bCs w:val="0"/>
          <w:color w:val="000000" w:themeColor="text1"/>
          <w:lang w:val="ro-RO" w:eastAsia="ru-RU"/>
        </w:rPr>
        <w:t xml:space="preserve">de numai 5,7 </w:t>
      </w:r>
      <w:r w:rsidR="008B3206" w:rsidRPr="002C0527">
        <w:rPr>
          <w:b w:val="0"/>
          <w:bCs w:val="0"/>
          <w:color w:val="000000" w:themeColor="text1"/>
          <w:lang w:val="ro-RO"/>
        </w:rPr>
        <w:t>mil. m</w:t>
      </w:r>
      <w:r w:rsidR="008B3206" w:rsidRPr="002C0527">
        <w:rPr>
          <w:b w:val="0"/>
          <w:bCs w:val="0"/>
          <w:color w:val="000000" w:themeColor="text1"/>
          <w:vertAlign w:val="superscript"/>
          <w:lang w:val="ro-RO"/>
        </w:rPr>
        <w:t>3</w:t>
      </w:r>
      <w:r w:rsidR="008B3206" w:rsidRPr="002C0527">
        <w:rPr>
          <w:b w:val="0"/>
          <w:bCs w:val="0"/>
          <w:color w:val="000000" w:themeColor="text1"/>
          <w:lang w:val="ro-RO"/>
        </w:rPr>
        <w:t>/zi</w:t>
      </w:r>
      <w:r w:rsidR="008B3206">
        <w:rPr>
          <w:b w:val="0"/>
          <w:bCs w:val="0"/>
          <w:color w:val="000000" w:themeColor="text1"/>
          <w:lang w:val="ro-RO"/>
        </w:rPr>
        <w:t>, fiind</w:t>
      </w:r>
      <w:r w:rsidR="008B3206" w:rsidRPr="0023445B">
        <w:rPr>
          <w:b w:val="0"/>
          <w:bCs w:val="0"/>
          <w:color w:val="000000" w:themeColor="text1"/>
          <w:lang w:val="ro-RO" w:eastAsia="ru-RU"/>
        </w:rPr>
        <w:t xml:space="preserve"> </w:t>
      </w:r>
      <w:r w:rsidR="008B3206">
        <w:rPr>
          <w:b w:val="0"/>
          <w:bCs w:val="0"/>
          <w:color w:val="000000" w:themeColor="text1"/>
          <w:lang w:val="ro-RO" w:eastAsia="ru-RU"/>
        </w:rPr>
        <w:t xml:space="preserve">astfel </w:t>
      </w:r>
      <w:r w:rsidR="0023445B" w:rsidRPr="0023445B">
        <w:rPr>
          <w:b w:val="0"/>
          <w:bCs w:val="0"/>
          <w:color w:val="000000" w:themeColor="text1"/>
          <w:lang w:val="ro-RO" w:eastAsia="ru-RU"/>
        </w:rPr>
        <w:t xml:space="preserve">reduse cu aproximativ </w:t>
      </w:r>
      <w:r w:rsidR="00C734A7">
        <w:rPr>
          <w:b w:val="0"/>
          <w:bCs w:val="0"/>
          <w:color w:val="000000" w:themeColor="text1"/>
          <w:lang w:val="ro-RO" w:eastAsia="ru-RU"/>
        </w:rPr>
        <w:t xml:space="preserve">50% în perioada octombrie 2022 – aprilie 2023 </w:t>
      </w:r>
      <w:r w:rsidR="00C734A7" w:rsidRPr="00DA4D5D">
        <w:rPr>
          <w:b w:val="0"/>
          <w:bCs w:val="0"/>
          <w:i/>
          <w:iCs/>
          <w:color w:val="000000" w:themeColor="text1"/>
          <w:lang w:val="ro-RO" w:eastAsia="ru-RU"/>
        </w:rPr>
        <w:t xml:space="preserve">(aproximativ </w:t>
      </w:r>
      <w:r w:rsidR="0023445B" w:rsidRPr="00DA4D5D">
        <w:rPr>
          <w:b w:val="0"/>
          <w:bCs w:val="0"/>
          <w:i/>
          <w:iCs/>
          <w:color w:val="000000" w:themeColor="text1"/>
          <w:lang w:val="ro-RO" w:eastAsia="ru-RU"/>
        </w:rPr>
        <w:t xml:space="preserve">30% pentru luna octombrie, 49% </w:t>
      </w:r>
      <w:r w:rsidR="008B3206" w:rsidRPr="00DA4D5D">
        <w:rPr>
          <w:b w:val="0"/>
          <w:bCs w:val="0"/>
          <w:i/>
          <w:iCs/>
          <w:color w:val="000000" w:themeColor="text1"/>
          <w:lang w:val="ro-RO" w:eastAsia="ru-RU"/>
        </w:rPr>
        <w:t xml:space="preserve">în </w:t>
      </w:r>
      <w:r w:rsidR="0023445B" w:rsidRPr="00DA4D5D">
        <w:rPr>
          <w:b w:val="0"/>
          <w:bCs w:val="0"/>
          <w:i/>
          <w:iCs/>
          <w:color w:val="000000" w:themeColor="text1"/>
          <w:lang w:val="ro-RO" w:eastAsia="ru-RU"/>
        </w:rPr>
        <w:t>noiembrie, 56%</w:t>
      </w:r>
      <w:r w:rsidR="008B3206" w:rsidRPr="00DA4D5D">
        <w:rPr>
          <w:b w:val="0"/>
          <w:bCs w:val="0"/>
          <w:i/>
          <w:iCs/>
          <w:color w:val="000000" w:themeColor="text1"/>
          <w:lang w:val="ro-RO" w:eastAsia="ru-RU"/>
        </w:rPr>
        <w:t xml:space="preserve"> în decembrie, </w:t>
      </w:r>
      <w:r w:rsidR="00C734A7" w:rsidRPr="00DA4D5D">
        <w:rPr>
          <w:b w:val="0"/>
          <w:bCs w:val="0"/>
          <w:i/>
          <w:iCs/>
          <w:color w:val="000000" w:themeColor="text1"/>
          <w:lang w:val="ro-RO" w:eastAsia="ru-RU"/>
        </w:rPr>
        <w:t>55,6% în ianuarie, 59,6% în februarie, 51% în martie și 30,5% în aprilie)</w:t>
      </w:r>
      <w:r w:rsidR="00C734A7">
        <w:rPr>
          <w:b w:val="0"/>
          <w:bCs w:val="0"/>
          <w:color w:val="000000" w:themeColor="text1"/>
          <w:lang w:val="ro-RO" w:eastAsia="ru-RU"/>
        </w:rPr>
        <w:t xml:space="preserve"> </w:t>
      </w:r>
      <w:r w:rsidR="0026385D">
        <w:rPr>
          <w:b w:val="0"/>
          <w:bCs w:val="0"/>
          <w:color w:val="000000" w:themeColor="text1"/>
          <w:lang w:val="ro-RO" w:eastAsia="ru-RU"/>
        </w:rPr>
        <w:t>în raport cu</w:t>
      </w:r>
      <w:r w:rsidR="008B3206">
        <w:rPr>
          <w:b w:val="0"/>
          <w:bCs w:val="0"/>
          <w:color w:val="000000" w:themeColor="text1"/>
          <w:lang w:val="ro-RO" w:eastAsia="ru-RU"/>
        </w:rPr>
        <w:t xml:space="preserve"> volumele de gaze naturale coordonate în baza </w:t>
      </w:r>
      <w:r w:rsidR="00C734A7" w:rsidRPr="002C0527">
        <w:rPr>
          <w:b w:val="0"/>
          <w:bCs w:val="0"/>
          <w:color w:val="000000" w:themeColor="text1"/>
          <w:lang w:val="ro-RO" w:eastAsia="ru-RU"/>
        </w:rPr>
        <w:t>Acord</w:t>
      </w:r>
      <w:r w:rsidR="00C734A7">
        <w:rPr>
          <w:b w:val="0"/>
          <w:bCs w:val="0"/>
          <w:color w:val="000000" w:themeColor="text1"/>
          <w:lang w:val="ro-RO" w:eastAsia="ru-RU"/>
        </w:rPr>
        <w:t>ului</w:t>
      </w:r>
      <w:r w:rsidR="00C734A7" w:rsidRPr="002C0527">
        <w:rPr>
          <w:b w:val="0"/>
          <w:bCs w:val="0"/>
          <w:color w:val="000000" w:themeColor="text1"/>
          <w:lang w:val="ro-RO" w:eastAsia="ru-RU"/>
        </w:rPr>
        <w:t xml:space="preserve"> Adițional </w:t>
      </w:r>
      <w:r w:rsidR="00C734A7">
        <w:rPr>
          <w:b w:val="0"/>
          <w:bCs w:val="0"/>
          <w:color w:val="000000" w:themeColor="text1"/>
          <w:lang w:val="ro-RO" w:eastAsia="ru-RU"/>
        </w:rPr>
        <w:t xml:space="preserve">din </w:t>
      </w:r>
      <w:r w:rsidR="00C734A7" w:rsidRPr="002C0527">
        <w:rPr>
          <w:b w:val="0"/>
          <w:bCs w:val="0"/>
          <w:color w:val="000000" w:themeColor="text1"/>
          <w:lang w:val="ro-RO" w:eastAsia="ru-RU"/>
        </w:rPr>
        <w:t>octombrie 2021</w:t>
      </w:r>
      <w:r w:rsidR="00C734A7">
        <w:rPr>
          <w:b w:val="0"/>
          <w:bCs w:val="0"/>
          <w:color w:val="000000" w:themeColor="text1"/>
          <w:lang w:val="ro-RO" w:eastAsia="ru-RU"/>
        </w:rPr>
        <w:t xml:space="preserve"> </w:t>
      </w:r>
      <w:r w:rsidR="00C734A7" w:rsidRPr="002C0527">
        <w:rPr>
          <w:b w:val="0"/>
          <w:bCs w:val="0"/>
          <w:color w:val="000000" w:themeColor="text1"/>
          <w:lang w:val="ro-RO" w:eastAsia="ru-RU"/>
        </w:rPr>
        <w:t>la Contract</w:t>
      </w:r>
      <w:r w:rsidR="00C734A7">
        <w:rPr>
          <w:b w:val="0"/>
          <w:bCs w:val="0"/>
          <w:color w:val="000000" w:themeColor="text1"/>
          <w:lang w:val="ro-RO" w:eastAsia="ru-RU"/>
        </w:rPr>
        <w:t>ul</w:t>
      </w:r>
      <w:r w:rsidR="00C734A7" w:rsidRPr="002C0527">
        <w:rPr>
          <w:b w:val="0"/>
          <w:bCs w:val="0"/>
          <w:color w:val="000000" w:themeColor="text1"/>
          <w:lang w:val="ro-RO" w:eastAsia="ru-RU"/>
        </w:rPr>
        <w:t xml:space="preserve"> </w:t>
      </w:r>
      <w:r w:rsidR="00C734A7">
        <w:rPr>
          <w:b w:val="0"/>
          <w:bCs w:val="0"/>
          <w:color w:val="000000" w:themeColor="text1"/>
          <w:lang w:val="ro-RO" w:eastAsia="ru-RU"/>
        </w:rPr>
        <w:t xml:space="preserve">privind furnizarea gazelor naturale </w:t>
      </w:r>
      <w:r w:rsidR="00C734A7" w:rsidRPr="008B3206">
        <w:rPr>
          <w:b w:val="0"/>
          <w:bCs w:val="0"/>
          <w:color w:val="000000" w:themeColor="text1"/>
          <w:lang w:val="ro-RO" w:eastAsia="ru-RU"/>
        </w:rPr>
        <w:t xml:space="preserve">nr. 1ГM-07-11 din 29 decembrie 2006 </w:t>
      </w:r>
      <w:r w:rsidR="00C734A7">
        <w:rPr>
          <w:b w:val="0"/>
          <w:bCs w:val="0"/>
          <w:color w:val="000000" w:themeColor="text1"/>
          <w:lang w:val="ro-RO" w:eastAsia="ru-RU"/>
        </w:rPr>
        <w:t xml:space="preserve"> </w:t>
      </w:r>
      <w:r w:rsidR="00C734A7" w:rsidRPr="002C0527">
        <w:rPr>
          <w:b w:val="0"/>
          <w:bCs w:val="0"/>
          <w:color w:val="000000" w:themeColor="text1"/>
          <w:lang w:val="ro-RO" w:eastAsia="ru-RU"/>
        </w:rPr>
        <w:t>încheiat între SA „Moldovagaz” și SAP „Gazprom”</w:t>
      </w:r>
      <w:r w:rsidR="00C734A7">
        <w:rPr>
          <w:b w:val="0"/>
          <w:bCs w:val="0"/>
          <w:color w:val="000000" w:themeColor="text1"/>
          <w:lang w:val="ro-RO" w:eastAsia="ru-RU"/>
        </w:rPr>
        <w:t>.</w:t>
      </w:r>
      <w:r w:rsidR="00DA4D5D">
        <w:rPr>
          <w:b w:val="0"/>
          <w:bCs w:val="0"/>
          <w:color w:val="000000" w:themeColor="text1"/>
          <w:lang w:eastAsia="ru-RU"/>
        </w:rPr>
        <w:t xml:space="preserve"> </w:t>
      </w:r>
      <w:r w:rsidRPr="002C0527">
        <w:rPr>
          <w:b w:val="0"/>
          <w:bCs w:val="0"/>
          <w:color w:val="000000" w:themeColor="text1"/>
          <w:lang w:val="ro-RO"/>
        </w:rPr>
        <w:t xml:space="preserve">Capacitățile rezervate de gaze naturale pentru consumatorii de pe malul stâng și drept al Republicii Moldova, </w:t>
      </w:r>
      <w:r w:rsidR="0062031D" w:rsidRPr="002C0527">
        <w:rPr>
          <w:b w:val="0"/>
          <w:bCs w:val="0"/>
          <w:color w:val="000000" w:themeColor="text1"/>
          <w:lang w:val="ro-RO"/>
        </w:rPr>
        <w:t>au fost</w:t>
      </w:r>
      <w:r w:rsidRPr="002C0527">
        <w:rPr>
          <w:b w:val="0"/>
          <w:bCs w:val="0"/>
          <w:color w:val="000000" w:themeColor="text1"/>
          <w:lang w:val="ro-RO"/>
        </w:rPr>
        <w:t xml:space="preserve"> în valoare totală de doar </w:t>
      </w:r>
      <w:r w:rsidR="000904E2">
        <w:rPr>
          <w:b w:val="0"/>
          <w:bCs w:val="0"/>
          <w:color w:val="000000" w:themeColor="text1"/>
          <w:lang w:val="ro-RO"/>
        </w:rPr>
        <w:br/>
      </w:r>
      <w:r w:rsidRPr="002C0527">
        <w:rPr>
          <w:b w:val="0"/>
          <w:bCs w:val="0"/>
          <w:color w:val="000000" w:themeColor="text1"/>
          <w:lang w:val="ro-RO"/>
        </w:rPr>
        <w:t xml:space="preserve">5,7 </w:t>
      </w:r>
      <w:r w:rsidR="004E2960" w:rsidRPr="002C0527">
        <w:rPr>
          <w:b w:val="0"/>
          <w:bCs w:val="0"/>
          <w:color w:val="000000" w:themeColor="text1"/>
          <w:lang w:val="ro-RO"/>
        </w:rPr>
        <w:t>mil.</w:t>
      </w:r>
      <w:r w:rsidRPr="002C0527">
        <w:rPr>
          <w:b w:val="0"/>
          <w:bCs w:val="0"/>
          <w:color w:val="000000" w:themeColor="text1"/>
          <w:lang w:val="ro-RO"/>
        </w:rPr>
        <w:t xml:space="preserve"> m</w:t>
      </w:r>
      <w:r w:rsidRPr="002C0527">
        <w:rPr>
          <w:b w:val="0"/>
          <w:bCs w:val="0"/>
          <w:color w:val="000000" w:themeColor="text1"/>
          <w:vertAlign w:val="superscript"/>
          <w:lang w:val="ro-RO"/>
        </w:rPr>
        <w:t>3</w:t>
      </w:r>
      <w:r w:rsidRPr="002C0527">
        <w:rPr>
          <w:b w:val="0"/>
          <w:bCs w:val="0"/>
          <w:color w:val="000000" w:themeColor="text1"/>
          <w:lang w:val="ro-RO"/>
        </w:rPr>
        <w:t xml:space="preserve">/zi, fiind nevoie </w:t>
      </w:r>
      <w:r w:rsidR="00F251D8">
        <w:rPr>
          <w:b w:val="0"/>
          <w:bCs w:val="0"/>
          <w:color w:val="000000" w:themeColor="text1"/>
          <w:lang w:val="ro-RO"/>
        </w:rPr>
        <w:t xml:space="preserve">în perioada rece a anului </w:t>
      </w:r>
      <w:r w:rsidRPr="002C0527">
        <w:rPr>
          <w:b w:val="0"/>
          <w:bCs w:val="0"/>
          <w:color w:val="000000" w:themeColor="text1"/>
          <w:lang w:val="ro-RO"/>
        </w:rPr>
        <w:t xml:space="preserve">de capacități adiționale </w:t>
      </w:r>
      <w:r w:rsidR="004E2960" w:rsidRPr="002C0527">
        <w:rPr>
          <w:b w:val="0"/>
          <w:bCs w:val="0"/>
          <w:color w:val="000000" w:themeColor="text1"/>
          <w:lang w:val="ro-RO"/>
        </w:rPr>
        <w:t>atât</w:t>
      </w:r>
      <w:r w:rsidRPr="002C0527">
        <w:rPr>
          <w:b w:val="0"/>
          <w:bCs w:val="0"/>
          <w:color w:val="000000" w:themeColor="text1"/>
          <w:lang w:val="ro-RO"/>
        </w:rPr>
        <w:t xml:space="preserve"> pentru malul </w:t>
      </w:r>
      <w:r w:rsidR="004E2960" w:rsidRPr="002C0527">
        <w:rPr>
          <w:b w:val="0"/>
          <w:bCs w:val="0"/>
          <w:color w:val="000000" w:themeColor="text1"/>
          <w:lang w:val="ro-RO"/>
        </w:rPr>
        <w:t>stâng</w:t>
      </w:r>
      <w:r w:rsidRPr="002C0527">
        <w:rPr>
          <w:b w:val="0"/>
          <w:bCs w:val="0"/>
          <w:color w:val="000000" w:themeColor="text1"/>
          <w:lang w:val="ro-RO"/>
        </w:rPr>
        <w:t xml:space="preserve"> </w:t>
      </w:r>
      <w:r w:rsidR="004E2960" w:rsidRPr="002C0527">
        <w:rPr>
          <w:b w:val="0"/>
          <w:bCs w:val="0"/>
          <w:color w:val="000000" w:themeColor="text1"/>
          <w:lang w:val="ro-RO"/>
        </w:rPr>
        <w:t>c</w:t>
      </w:r>
      <w:r w:rsidR="0062031D" w:rsidRPr="002C0527">
        <w:rPr>
          <w:b w:val="0"/>
          <w:bCs w:val="0"/>
          <w:color w:val="000000" w:themeColor="text1"/>
          <w:lang w:val="ro-RO"/>
        </w:rPr>
        <w:t>â</w:t>
      </w:r>
      <w:r w:rsidR="004E2960" w:rsidRPr="002C0527">
        <w:rPr>
          <w:b w:val="0"/>
          <w:bCs w:val="0"/>
          <w:color w:val="000000" w:themeColor="text1"/>
          <w:lang w:val="ro-RO"/>
        </w:rPr>
        <w:t>t</w:t>
      </w:r>
      <w:r w:rsidRPr="002C0527">
        <w:rPr>
          <w:b w:val="0"/>
          <w:bCs w:val="0"/>
          <w:color w:val="000000" w:themeColor="text1"/>
          <w:lang w:val="ro-RO"/>
        </w:rPr>
        <w:t xml:space="preserve"> și </w:t>
      </w:r>
      <w:r w:rsidR="0062031D" w:rsidRPr="002C0527">
        <w:rPr>
          <w:b w:val="0"/>
          <w:bCs w:val="0"/>
          <w:color w:val="000000" w:themeColor="text1"/>
          <w:lang w:val="ro-RO"/>
        </w:rPr>
        <w:t xml:space="preserve">pentru </w:t>
      </w:r>
      <w:r w:rsidRPr="002C0527">
        <w:rPr>
          <w:b w:val="0"/>
          <w:bCs w:val="0"/>
          <w:color w:val="000000" w:themeColor="text1"/>
          <w:lang w:val="ro-RO"/>
        </w:rPr>
        <w:t>malul drept pentru funcționarea normală atât a sistemului de transport și distribuție a gazelor naturale cât și a sectorului electroenergetic.</w:t>
      </w:r>
      <w:r w:rsidR="008D087B">
        <w:rPr>
          <w:b w:val="0"/>
          <w:bCs w:val="0"/>
          <w:color w:val="000000" w:themeColor="text1"/>
          <w:lang w:val="ro-RO"/>
        </w:rPr>
        <w:t xml:space="preserve"> </w:t>
      </w:r>
      <w:r w:rsidR="000904E2" w:rsidRPr="00A3095B">
        <w:rPr>
          <w:b w:val="0"/>
          <w:bCs w:val="0"/>
          <w:lang w:val="ro-RO"/>
        </w:rPr>
        <w:t>În</w:t>
      </w:r>
      <w:r w:rsidR="00D425A1" w:rsidRPr="00A3095B">
        <w:rPr>
          <w:b w:val="0"/>
          <w:bCs w:val="0"/>
          <w:lang w:val="ro-RO"/>
        </w:rPr>
        <w:t xml:space="preserve"> luna noiembrie 2022, </w:t>
      </w:r>
      <w:r w:rsidR="00D425A1" w:rsidRPr="00A3095B">
        <w:rPr>
          <w:b w:val="0"/>
          <w:bCs w:val="0"/>
          <w:color w:val="000000" w:themeColor="text1"/>
          <w:lang w:val="ro-RO"/>
        </w:rPr>
        <w:t xml:space="preserve">SA „Moldovagaz” </w:t>
      </w:r>
      <w:r w:rsidR="000904E2" w:rsidRPr="00A3095B">
        <w:rPr>
          <w:b w:val="0"/>
          <w:bCs w:val="0"/>
          <w:color w:val="000000" w:themeColor="text1"/>
          <w:lang w:val="ro-RO"/>
        </w:rPr>
        <w:t xml:space="preserve">a </w:t>
      </w:r>
      <w:r w:rsidR="00D425A1" w:rsidRPr="00A3095B">
        <w:rPr>
          <w:b w:val="0"/>
          <w:bCs w:val="0"/>
          <w:lang w:val="ro-RO"/>
        </w:rPr>
        <w:t>repartiza</w:t>
      </w:r>
      <w:r w:rsidR="00A3095B" w:rsidRPr="00A3095B">
        <w:rPr>
          <w:b w:val="0"/>
          <w:bCs w:val="0"/>
          <w:lang w:val="ro-RO"/>
        </w:rPr>
        <w:t>t</w:t>
      </w:r>
      <w:r w:rsidR="00D425A1" w:rsidRPr="00A3095B">
        <w:rPr>
          <w:b w:val="0"/>
          <w:bCs w:val="0"/>
          <w:lang w:val="ro-RO"/>
        </w:rPr>
        <w:t xml:space="preserve"> </w:t>
      </w:r>
      <w:r w:rsidR="00A3095B" w:rsidRPr="00A3095B">
        <w:rPr>
          <w:b w:val="0"/>
          <w:bCs w:val="0"/>
          <w:lang w:val="ro-RO"/>
        </w:rPr>
        <w:t>volumul de</w:t>
      </w:r>
      <w:r w:rsidR="00D425A1" w:rsidRPr="00A3095B">
        <w:rPr>
          <w:b w:val="0"/>
          <w:bCs w:val="0"/>
          <w:lang w:val="ro-RO"/>
        </w:rPr>
        <w:t xml:space="preserve"> 5,7 mil. m</w:t>
      </w:r>
      <w:r w:rsidR="00D425A1" w:rsidRPr="00A3095B">
        <w:rPr>
          <w:b w:val="0"/>
          <w:bCs w:val="0"/>
          <w:vertAlign w:val="superscript"/>
          <w:lang w:val="ro-RO"/>
        </w:rPr>
        <w:t>3</w:t>
      </w:r>
      <w:r w:rsidR="00D425A1" w:rsidRPr="00A3095B">
        <w:rPr>
          <w:b w:val="0"/>
          <w:bCs w:val="0"/>
          <w:lang w:val="ro-RO"/>
        </w:rPr>
        <w:t xml:space="preserve">/zi </w:t>
      </w:r>
      <w:r w:rsidR="00A3095B" w:rsidRPr="00A3095B">
        <w:rPr>
          <w:b w:val="0"/>
          <w:bCs w:val="0"/>
          <w:lang w:val="ro-RO"/>
        </w:rPr>
        <w:t xml:space="preserve">livrate de </w:t>
      </w:r>
      <w:r w:rsidR="00A3095B" w:rsidRPr="00A3095B">
        <w:rPr>
          <w:b w:val="0"/>
          <w:bCs w:val="0"/>
          <w:color w:val="000000" w:themeColor="text1"/>
          <w:lang w:val="ro-RO"/>
        </w:rPr>
        <w:t>SAP „</w:t>
      </w:r>
      <w:r w:rsidR="00A3095B" w:rsidRPr="00A3095B">
        <w:rPr>
          <w:b w:val="0"/>
          <w:bCs w:val="0"/>
          <w:lang w:val="ro-RO"/>
        </w:rPr>
        <w:t>Gazprom</w:t>
      </w:r>
      <w:r w:rsidR="00A3095B" w:rsidRPr="00A3095B">
        <w:rPr>
          <w:b w:val="0"/>
          <w:bCs w:val="0"/>
          <w:color w:val="000000" w:themeColor="text1"/>
          <w:lang w:val="ro-RO"/>
        </w:rPr>
        <w:t>”</w:t>
      </w:r>
      <w:r w:rsidR="00A3095B" w:rsidRPr="00A3095B">
        <w:rPr>
          <w:b w:val="0"/>
          <w:bCs w:val="0"/>
          <w:lang w:val="ro-RO"/>
        </w:rPr>
        <w:t xml:space="preserve"> între malul drept și malul stâng proporțional cotei părți din consumul gazelor naturale pentru necesități proprii înregistrat în anul 2021</w:t>
      </w:r>
      <w:r w:rsidR="00D425A1" w:rsidRPr="00A3095B">
        <w:rPr>
          <w:b w:val="0"/>
          <w:bCs w:val="0"/>
          <w:lang w:val="ro-RO"/>
        </w:rPr>
        <w:t xml:space="preserve">, fiind alocate </w:t>
      </w:r>
      <w:r w:rsidR="00A3095B" w:rsidRPr="00A3095B">
        <w:rPr>
          <w:b w:val="0"/>
          <w:bCs w:val="0"/>
          <w:lang w:val="ro-RO"/>
        </w:rPr>
        <w:t xml:space="preserve">astfel </w:t>
      </w:r>
      <w:r w:rsidR="00D425A1" w:rsidRPr="00A3095B">
        <w:rPr>
          <w:b w:val="0"/>
          <w:bCs w:val="0"/>
          <w:lang w:val="ro-RO"/>
        </w:rPr>
        <w:t>către malul drept 3,4 mil. m</w:t>
      </w:r>
      <w:r w:rsidR="00D425A1" w:rsidRPr="00A3095B">
        <w:rPr>
          <w:b w:val="0"/>
          <w:bCs w:val="0"/>
          <w:vertAlign w:val="superscript"/>
          <w:lang w:val="ro-RO"/>
        </w:rPr>
        <w:t>3</w:t>
      </w:r>
      <w:r w:rsidR="00D425A1" w:rsidRPr="00A3095B">
        <w:rPr>
          <w:b w:val="0"/>
          <w:bCs w:val="0"/>
          <w:lang w:val="ro-RO"/>
        </w:rPr>
        <w:t>/zi și către malul stâng 2,3 mil. m</w:t>
      </w:r>
      <w:r w:rsidR="00D425A1" w:rsidRPr="00A3095B">
        <w:rPr>
          <w:b w:val="0"/>
          <w:bCs w:val="0"/>
          <w:vertAlign w:val="superscript"/>
          <w:lang w:val="ro-RO"/>
        </w:rPr>
        <w:t>3</w:t>
      </w:r>
      <w:r w:rsidR="00D425A1" w:rsidRPr="00A3095B">
        <w:rPr>
          <w:b w:val="0"/>
          <w:bCs w:val="0"/>
          <w:lang w:val="ro-RO"/>
        </w:rPr>
        <w:t>/zi</w:t>
      </w:r>
      <w:r w:rsidR="00D425A1">
        <w:rPr>
          <w:b w:val="0"/>
          <w:bCs w:val="0"/>
          <w:lang w:val="ro-RO"/>
        </w:rPr>
        <w:t xml:space="preserve">. </w:t>
      </w:r>
      <w:bookmarkStart w:id="12" w:name="_Hlk135731713"/>
      <w:r w:rsidR="008D087B">
        <w:rPr>
          <w:b w:val="0"/>
          <w:bCs w:val="0"/>
          <w:color w:val="000000" w:themeColor="text1"/>
          <w:lang w:val="ro-RO"/>
        </w:rPr>
        <w:t>Începând cu luna decembrie 2022, î</w:t>
      </w:r>
      <w:r w:rsidR="008D087B" w:rsidRPr="008D087B">
        <w:rPr>
          <w:b w:val="0"/>
          <w:bCs w:val="0"/>
          <w:color w:val="000000" w:themeColor="text1"/>
          <w:lang w:val="ro-RO"/>
        </w:rPr>
        <w:t>ntreg volumul de gaze naturale de 5,7 mil. m</w:t>
      </w:r>
      <w:r w:rsidR="008D087B" w:rsidRPr="008D087B">
        <w:rPr>
          <w:b w:val="0"/>
          <w:bCs w:val="0"/>
          <w:color w:val="000000" w:themeColor="text1"/>
          <w:vertAlign w:val="superscript"/>
          <w:lang w:val="ro-RO"/>
        </w:rPr>
        <w:t>3</w:t>
      </w:r>
      <w:r w:rsidR="008D087B" w:rsidRPr="008D087B">
        <w:rPr>
          <w:b w:val="0"/>
          <w:bCs w:val="0"/>
          <w:color w:val="000000" w:themeColor="text1"/>
          <w:lang w:val="ro-RO"/>
        </w:rPr>
        <w:t xml:space="preserve">/zi </w:t>
      </w:r>
      <w:r w:rsidR="008D087B">
        <w:rPr>
          <w:b w:val="0"/>
          <w:bCs w:val="0"/>
          <w:color w:val="000000" w:themeColor="text1"/>
          <w:lang w:val="ro-RO"/>
        </w:rPr>
        <w:t>livrat către</w:t>
      </w:r>
      <w:r w:rsidR="008D087B" w:rsidRPr="008D087B">
        <w:rPr>
          <w:b w:val="0"/>
          <w:bCs w:val="0"/>
          <w:color w:val="000000" w:themeColor="text1"/>
          <w:lang w:val="ro-RO"/>
        </w:rPr>
        <w:t xml:space="preserve"> Republica Moldova de SAP „Gazprom” </w:t>
      </w:r>
      <w:r w:rsidR="008D087B">
        <w:rPr>
          <w:b w:val="0"/>
          <w:bCs w:val="0"/>
          <w:color w:val="000000" w:themeColor="text1"/>
          <w:lang w:val="ro-RO"/>
        </w:rPr>
        <w:t>a fost</w:t>
      </w:r>
      <w:r w:rsidR="008D087B" w:rsidRPr="008D087B">
        <w:rPr>
          <w:b w:val="0"/>
          <w:bCs w:val="0"/>
          <w:color w:val="000000" w:themeColor="text1"/>
          <w:lang w:val="ro-RO"/>
        </w:rPr>
        <w:t xml:space="preserve"> alocat de către SA „Moldovagaz” pentru acoperirea consumului malului stâng și pentru producerea energiei electrice de către </w:t>
      </w:r>
      <w:r w:rsidR="008D087B">
        <w:rPr>
          <w:b w:val="0"/>
          <w:bCs w:val="0"/>
          <w:color w:val="000000" w:themeColor="text1"/>
          <w:lang w:val="ro-RO"/>
        </w:rPr>
        <w:t>Centrala Termoelectrică de la Cuciurgan (</w:t>
      </w:r>
      <w:r w:rsidR="008D087B" w:rsidRPr="008D087B">
        <w:rPr>
          <w:b w:val="0"/>
          <w:bCs w:val="0"/>
          <w:color w:val="000000" w:themeColor="text1"/>
          <w:lang w:val="ro-RO"/>
        </w:rPr>
        <w:t>MGRES</w:t>
      </w:r>
      <w:r w:rsidR="008D087B">
        <w:rPr>
          <w:b w:val="0"/>
          <w:bCs w:val="0"/>
          <w:color w:val="000000" w:themeColor="text1"/>
          <w:lang w:val="ro-RO"/>
        </w:rPr>
        <w:t>)</w:t>
      </w:r>
      <w:r w:rsidR="008D087B" w:rsidRPr="008D087B">
        <w:rPr>
          <w:b w:val="0"/>
          <w:bCs w:val="0"/>
          <w:color w:val="000000" w:themeColor="text1"/>
          <w:lang w:val="ro-RO"/>
        </w:rPr>
        <w:t xml:space="preserve"> pentru malul drept.</w:t>
      </w:r>
    </w:p>
    <w:bookmarkEnd w:id="12"/>
    <w:p w14:paraId="234DCB04" w14:textId="47522D84" w:rsidR="00AD3333" w:rsidRDefault="00A42EBB" w:rsidP="00AD3333">
      <w:pPr>
        <w:pStyle w:val="cb"/>
        <w:spacing w:after="120"/>
        <w:ind w:firstLine="706"/>
        <w:jc w:val="both"/>
        <w:rPr>
          <w:b w:val="0"/>
          <w:bCs w:val="0"/>
          <w:color w:val="000000" w:themeColor="text1"/>
          <w:lang w:val="ro-RO" w:eastAsia="ru-RU"/>
        </w:rPr>
      </w:pPr>
      <w:r w:rsidRPr="002C0527">
        <w:rPr>
          <w:b w:val="0"/>
          <w:bCs w:val="0"/>
          <w:color w:val="000000" w:themeColor="text1"/>
          <w:lang w:val="ro-RO" w:eastAsia="ru-RU"/>
        </w:rPr>
        <w:t>Impactul acestor limitări, și</w:t>
      </w:r>
      <w:r w:rsidR="00620AE3">
        <w:rPr>
          <w:b w:val="0"/>
          <w:bCs w:val="0"/>
          <w:color w:val="000000" w:themeColor="text1"/>
          <w:lang w:val="ro-RO" w:eastAsia="ru-RU"/>
        </w:rPr>
        <w:t xml:space="preserve"> a</w:t>
      </w:r>
      <w:r w:rsidRPr="002C0527">
        <w:rPr>
          <w:b w:val="0"/>
          <w:bCs w:val="0"/>
          <w:color w:val="000000" w:themeColor="text1"/>
          <w:lang w:val="ro-RO" w:eastAsia="ru-RU"/>
        </w:rPr>
        <w:t xml:space="preserve"> deficitul</w:t>
      </w:r>
      <w:r w:rsidR="00620AE3">
        <w:rPr>
          <w:b w:val="0"/>
          <w:bCs w:val="0"/>
          <w:color w:val="000000" w:themeColor="text1"/>
          <w:lang w:val="ro-RO" w:eastAsia="ru-RU"/>
        </w:rPr>
        <w:t>ui</w:t>
      </w:r>
      <w:r w:rsidRPr="002C0527">
        <w:rPr>
          <w:b w:val="0"/>
          <w:bCs w:val="0"/>
          <w:color w:val="000000" w:themeColor="text1"/>
          <w:lang w:val="ro-RO" w:eastAsia="ru-RU"/>
        </w:rPr>
        <w:t xml:space="preserve"> de gaze, a fost analizat și din aspectul disponibilități</w:t>
      </w:r>
      <w:r w:rsidR="0062031D" w:rsidRPr="002C0527">
        <w:rPr>
          <w:b w:val="0"/>
          <w:bCs w:val="0"/>
          <w:color w:val="000000" w:themeColor="text1"/>
          <w:lang w:val="ro-RO" w:eastAsia="ru-RU"/>
        </w:rPr>
        <w:t>i</w:t>
      </w:r>
      <w:r w:rsidRPr="002C0527">
        <w:rPr>
          <w:b w:val="0"/>
          <w:bCs w:val="0"/>
          <w:color w:val="000000" w:themeColor="text1"/>
          <w:lang w:val="ro-RO" w:eastAsia="ru-RU"/>
        </w:rPr>
        <w:t xml:space="preserve"> la </w:t>
      </w:r>
      <w:r w:rsidR="00F251D8">
        <w:rPr>
          <w:b w:val="0"/>
          <w:bCs w:val="0"/>
          <w:color w:val="000000" w:themeColor="text1"/>
          <w:lang w:val="ro-RO" w:eastAsia="ru-RU"/>
        </w:rPr>
        <w:br/>
      </w:r>
      <w:r w:rsidRPr="002C0527">
        <w:rPr>
          <w:b w:val="0"/>
          <w:bCs w:val="0"/>
          <w:color w:val="000000" w:themeColor="text1"/>
          <w:lang w:val="ro-RO"/>
        </w:rPr>
        <w:t xml:space="preserve">SA </w:t>
      </w:r>
      <w:bookmarkStart w:id="13" w:name="_Hlk110243670"/>
      <w:r w:rsidR="004E2960" w:rsidRPr="002C0527">
        <w:rPr>
          <w:b w:val="0"/>
          <w:bCs w:val="0"/>
          <w:color w:val="000000" w:themeColor="text1"/>
          <w:lang w:val="ro-RO" w:eastAsia="ru-RU"/>
        </w:rPr>
        <w:t>„</w:t>
      </w:r>
      <w:r w:rsidRPr="002C0527">
        <w:rPr>
          <w:b w:val="0"/>
          <w:bCs w:val="0"/>
          <w:color w:val="000000" w:themeColor="text1"/>
          <w:lang w:val="ro-RO"/>
        </w:rPr>
        <w:t xml:space="preserve">Termoelectrica” </w:t>
      </w:r>
      <w:bookmarkEnd w:id="13"/>
      <w:r w:rsidRPr="002C0527">
        <w:rPr>
          <w:b w:val="0"/>
          <w:bCs w:val="0"/>
          <w:color w:val="000000" w:themeColor="text1"/>
          <w:lang w:val="ro-RO"/>
        </w:rPr>
        <w:t>(CET Sursa nr. 1),</w:t>
      </w:r>
      <w:r w:rsidRPr="002C0527">
        <w:rPr>
          <w:b w:val="0"/>
          <w:bCs w:val="0"/>
          <w:color w:val="000000" w:themeColor="text1"/>
          <w:lang w:val="ro-RO" w:eastAsia="ru-RU"/>
        </w:rPr>
        <w:t xml:space="preserve"> care este cel mai mare consumator de gaze naturale din țară, a unor rezerve suficiente de păcura pentru a trece la producerea energiei electrice și termice </w:t>
      </w:r>
      <w:r w:rsidR="003070EA">
        <w:rPr>
          <w:b w:val="0"/>
          <w:bCs w:val="0"/>
          <w:color w:val="000000" w:themeColor="text1"/>
          <w:lang w:val="ro-RO" w:eastAsia="ru-RU"/>
        </w:rPr>
        <w:t xml:space="preserve">pe bază de </w:t>
      </w:r>
      <w:r w:rsidRPr="002C0527">
        <w:rPr>
          <w:b w:val="0"/>
          <w:bCs w:val="0"/>
          <w:color w:val="000000" w:themeColor="text1"/>
          <w:lang w:val="ro-RO" w:eastAsia="ru-RU"/>
        </w:rPr>
        <w:t>păcură</w:t>
      </w:r>
      <w:r w:rsidR="00627EDE">
        <w:rPr>
          <w:b w:val="0"/>
          <w:bCs w:val="0"/>
          <w:color w:val="000000" w:themeColor="text1"/>
          <w:lang w:val="ro-RO" w:eastAsia="ru-RU"/>
        </w:rPr>
        <w:t xml:space="preserve"> (50%)</w:t>
      </w:r>
      <w:r w:rsidRPr="002C0527">
        <w:rPr>
          <w:b w:val="0"/>
          <w:bCs w:val="0"/>
          <w:color w:val="000000" w:themeColor="text1"/>
          <w:lang w:val="ro-RO" w:eastAsia="ru-RU"/>
        </w:rPr>
        <w:t xml:space="preserve"> pe întreg sezonul de încălzire</w:t>
      </w:r>
      <w:r w:rsidR="003070EA">
        <w:rPr>
          <w:b w:val="0"/>
          <w:bCs w:val="0"/>
          <w:color w:val="000000" w:themeColor="text1"/>
          <w:lang w:val="ro-RO" w:eastAsia="ru-RU"/>
        </w:rPr>
        <w:t xml:space="preserve"> 2023-2024</w:t>
      </w:r>
      <w:r w:rsidRPr="002C0527">
        <w:rPr>
          <w:b w:val="0"/>
          <w:bCs w:val="0"/>
          <w:color w:val="000000" w:themeColor="text1"/>
          <w:lang w:val="ro-RO" w:eastAsia="ru-RU"/>
        </w:rPr>
        <w:t>, precum și a altor măsuri ce au putut fi posibil a fi cuantificate.</w:t>
      </w:r>
    </w:p>
    <w:p w14:paraId="1158DBAA" w14:textId="6A073246" w:rsidR="002E035B" w:rsidRDefault="002E035B" w:rsidP="00AD3333">
      <w:pPr>
        <w:pStyle w:val="cb"/>
        <w:spacing w:after="120"/>
        <w:ind w:firstLine="706"/>
        <w:jc w:val="both"/>
        <w:rPr>
          <w:b w:val="0"/>
          <w:bCs w:val="0"/>
          <w:color w:val="000000" w:themeColor="text1"/>
          <w:lang w:val="ro-RO" w:eastAsia="ru-RU"/>
        </w:rPr>
      </w:pPr>
      <w:r>
        <w:rPr>
          <w:b w:val="0"/>
          <w:bCs w:val="0"/>
          <w:color w:val="000000" w:themeColor="text1"/>
          <w:lang w:val="ro-RO" w:eastAsia="ru-RU"/>
        </w:rPr>
        <w:t>În continuare sunt prezentate</w:t>
      </w:r>
      <w:r w:rsidR="00054825">
        <w:rPr>
          <w:b w:val="0"/>
          <w:bCs w:val="0"/>
          <w:color w:val="000000" w:themeColor="text1"/>
          <w:lang w:val="ro-RO" w:eastAsia="ru-RU"/>
        </w:rPr>
        <w:t xml:space="preserve"> 3 scenarii de bază, din care</w:t>
      </w:r>
      <w:r>
        <w:rPr>
          <w:b w:val="0"/>
          <w:bCs w:val="0"/>
          <w:color w:val="000000" w:themeColor="text1"/>
          <w:lang w:val="ro-RO" w:eastAsia="ru-RU"/>
        </w:rPr>
        <w:t xml:space="preserve"> </w:t>
      </w:r>
      <w:r w:rsidR="00F251D8">
        <w:rPr>
          <w:b w:val="0"/>
          <w:bCs w:val="0"/>
          <w:color w:val="000000" w:themeColor="text1"/>
          <w:lang w:val="ro-RO" w:eastAsia="ru-RU"/>
        </w:rPr>
        <w:t>2</w:t>
      </w:r>
      <w:r>
        <w:rPr>
          <w:b w:val="0"/>
          <w:bCs w:val="0"/>
          <w:color w:val="000000" w:themeColor="text1"/>
          <w:lang w:val="ro-RO" w:eastAsia="ru-RU"/>
        </w:rPr>
        <w:t xml:space="preserve"> scenarii </w:t>
      </w:r>
      <w:r w:rsidRPr="002C0527">
        <w:rPr>
          <w:b w:val="0"/>
          <w:bCs w:val="0"/>
          <w:color w:val="000000" w:themeColor="text1"/>
          <w:lang w:val="ro-RO" w:eastAsia="ru-RU"/>
        </w:rPr>
        <w:t>cu probabilități de limitare a furnizării gazelor naturale în proporți</w:t>
      </w:r>
      <w:r>
        <w:rPr>
          <w:b w:val="0"/>
          <w:bCs w:val="0"/>
          <w:color w:val="000000" w:themeColor="text1"/>
          <w:lang w:val="ro-RO" w:eastAsia="ru-RU"/>
        </w:rPr>
        <w:t>e</w:t>
      </w:r>
      <w:r w:rsidRPr="002C0527">
        <w:rPr>
          <w:b w:val="0"/>
          <w:bCs w:val="0"/>
          <w:color w:val="000000" w:themeColor="text1"/>
          <w:lang w:val="ro-RO" w:eastAsia="ru-RU"/>
        </w:rPr>
        <w:t xml:space="preserve"> de </w:t>
      </w:r>
      <w:r>
        <w:rPr>
          <w:b w:val="0"/>
          <w:bCs w:val="0"/>
          <w:color w:val="000000" w:themeColor="text1"/>
          <w:lang w:val="ro-RO" w:eastAsia="ru-RU"/>
        </w:rPr>
        <w:t>până la</w:t>
      </w:r>
      <w:r w:rsidRPr="002C0527">
        <w:rPr>
          <w:b w:val="0"/>
          <w:bCs w:val="0"/>
          <w:color w:val="000000" w:themeColor="text1"/>
          <w:lang w:val="ro-RO" w:eastAsia="ru-RU"/>
        </w:rPr>
        <w:t xml:space="preserve"> 100%, fără ca să existe defecțiuni tehnice pe direcțiile de transport al gazelor naturale (din import) sau defecțiuni tehnice în </w:t>
      </w:r>
      <w:r w:rsidR="00F251D8">
        <w:rPr>
          <w:b w:val="0"/>
          <w:bCs w:val="0"/>
          <w:color w:val="000000" w:themeColor="text1"/>
          <w:lang w:val="ro-RO" w:eastAsia="ru-RU"/>
        </w:rPr>
        <w:t>sistemul național</w:t>
      </w:r>
      <w:r w:rsidRPr="002C0527">
        <w:rPr>
          <w:b w:val="0"/>
          <w:bCs w:val="0"/>
          <w:color w:val="000000" w:themeColor="text1"/>
          <w:lang w:val="ro-RO" w:eastAsia="ru-RU"/>
        </w:rPr>
        <w:t xml:space="preserve"> de transport al gazelor naturale</w:t>
      </w:r>
      <w:r>
        <w:rPr>
          <w:b w:val="0"/>
          <w:bCs w:val="0"/>
          <w:color w:val="000000" w:themeColor="text1"/>
          <w:lang w:val="ro-RO" w:eastAsia="ru-RU"/>
        </w:rPr>
        <w:t>, după cum urmează</w:t>
      </w:r>
      <w:r w:rsidR="00F251D8">
        <w:rPr>
          <w:b w:val="0"/>
          <w:bCs w:val="0"/>
          <w:color w:val="000000" w:themeColor="text1"/>
          <w:lang w:val="ro-RO" w:eastAsia="ru-RU"/>
        </w:rPr>
        <w:t>:</w:t>
      </w:r>
    </w:p>
    <w:p w14:paraId="2FCA7DC0" w14:textId="5D1E1B2E" w:rsidR="002E035B" w:rsidRPr="002E035B" w:rsidRDefault="002E035B">
      <w:pPr>
        <w:pStyle w:val="cb"/>
        <w:numPr>
          <w:ilvl w:val="0"/>
          <w:numId w:val="2"/>
        </w:numPr>
        <w:spacing w:after="120"/>
        <w:jc w:val="both"/>
        <w:rPr>
          <w:b w:val="0"/>
          <w:bCs w:val="0"/>
          <w:color w:val="000000" w:themeColor="text1"/>
          <w:lang w:val="ro-RO" w:eastAsia="ru-RU"/>
        </w:rPr>
      </w:pPr>
      <w:r w:rsidRPr="002E035B">
        <w:rPr>
          <w:lang w:val="ro-RO"/>
        </w:rPr>
        <w:t xml:space="preserve">Nu se înregistrează limitări a gazelor naturale furnizate de </w:t>
      </w:r>
      <w:r w:rsidRPr="002E035B">
        <w:rPr>
          <w:color w:val="000000" w:themeColor="text1"/>
          <w:lang w:val="ro-RO"/>
        </w:rPr>
        <w:t>SAP „</w:t>
      </w:r>
      <w:r w:rsidRPr="002E035B">
        <w:rPr>
          <w:lang w:val="ro-RO"/>
        </w:rPr>
        <w:t>Gazprom</w:t>
      </w:r>
      <w:r w:rsidRPr="002E035B">
        <w:rPr>
          <w:color w:val="000000" w:themeColor="text1"/>
          <w:lang w:val="ro-RO"/>
        </w:rPr>
        <w:t>”</w:t>
      </w:r>
      <w:r w:rsidRPr="002E035B">
        <w:rPr>
          <w:b w:val="0"/>
          <w:bCs w:val="0"/>
          <w:lang w:val="ro-RO"/>
        </w:rPr>
        <w:t>, respectiv livrările gazelor naturale și energie electrică către Republica Moldova vor avea loc în condiții normale de piață.</w:t>
      </w:r>
    </w:p>
    <w:p w14:paraId="5E476709" w14:textId="2620FB64" w:rsidR="002E035B" w:rsidRPr="00171033" w:rsidRDefault="002E035B">
      <w:pPr>
        <w:pStyle w:val="cb"/>
        <w:numPr>
          <w:ilvl w:val="0"/>
          <w:numId w:val="2"/>
        </w:numPr>
        <w:spacing w:after="120"/>
        <w:jc w:val="both"/>
        <w:rPr>
          <w:color w:val="000000" w:themeColor="text1"/>
          <w:lang w:val="ro-RO" w:eastAsia="ru-RU"/>
        </w:rPr>
      </w:pPr>
      <w:r w:rsidRPr="002E035B">
        <w:rPr>
          <w:color w:val="000000" w:themeColor="text1"/>
          <w:lang w:val="ro-RO"/>
        </w:rPr>
        <w:t>SAP „</w:t>
      </w:r>
      <w:r w:rsidRPr="002E035B">
        <w:rPr>
          <w:lang w:val="ro-RO"/>
        </w:rPr>
        <w:t>Gazprom</w:t>
      </w:r>
      <w:r w:rsidRPr="002E035B">
        <w:rPr>
          <w:color w:val="000000" w:themeColor="text1"/>
          <w:lang w:val="ro-RO"/>
        </w:rPr>
        <w:t>”</w:t>
      </w:r>
      <w:r w:rsidR="00171033">
        <w:rPr>
          <w:lang w:val="ro-RO"/>
        </w:rPr>
        <w:t xml:space="preserve"> </w:t>
      </w:r>
      <w:r w:rsidRPr="002E035B">
        <w:rPr>
          <w:lang w:val="ro-RO"/>
        </w:rPr>
        <w:t>livrează către Republica Moldova doar 5,7 mil. m</w:t>
      </w:r>
      <w:r w:rsidRPr="002E035B">
        <w:rPr>
          <w:vertAlign w:val="superscript"/>
          <w:lang w:val="ro-RO"/>
        </w:rPr>
        <w:t>3</w:t>
      </w:r>
      <w:r w:rsidRPr="002E035B">
        <w:rPr>
          <w:lang w:val="ro-RO"/>
        </w:rPr>
        <w:t>/zi</w:t>
      </w:r>
    </w:p>
    <w:p w14:paraId="344F1BD1" w14:textId="3B3D1103" w:rsidR="00171033" w:rsidRPr="00171033" w:rsidRDefault="0090445D">
      <w:pPr>
        <w:pStyle w:val="cb"/>
        <w:numPr>
          <w:ilvl w:val="1"/>
          <w:numId w:val="2"/>
        </w:numPr>
        <w:spacing w:after="120"/>
        <w:ind w:left="1350" w:hanging="464"/>
        <w:jc w:val="both"/>
        <w:rPr>
          <w:b w:val="0"/>
          <w:bCs w:val="0"/>
          <w:color w:val="000000" w:themeColor="text1"/>
          <w:lang w:val="ro-RO" w:eastAsia="ru-RU"/>
        </w:rPr>
      </w:pPr>
      <w:r w:rsidRPr="0090445D">
        <w:rPr>
          <w:b w:val="0"/>
          <w:bCs w:val="0"/>
          <w:lang w:val="ro-RO"/>
        </w:rPr>
        <w:t xml:space="preserve">Situația în care SA „Moldovagaz” decide </w:t>
      </w:r>
      <w:r>
        <w:rPr>
          <w:b w:val="0"/>
          <w:bCs w:val="0"/>
          <w:lang w:val="ro-RO"/>
        </w:rPr>
        <w:t>r</w:t>
      </w:r>
      <w:r w:rsidR="00171033" w:rsidRPr="00171033">
        <w:rPr>
          <w:b w:val="0"/>
          <w:bCs w:val="0"/>
          <w:lang w:val="ro-RO"/>
        </w:rPr>
        <w:t>epartizarea celor 5,7 mil. m</w:t>
      </w:r>
      <w:r w:rsidR="00171033" w:rsidRPr="00171033">
        <w:rPr>
          <w:b w:val="0"/>
          <w:bCs w:val="0"/>
          <w:vertAlign w:val="superscript"/>
          <w:lang w:val="ro-RO"/>
        </w:rPr>
        <w:t>3</w:t>
      </w:r>
      <w:r w:rsidR="00171033" w:rsidRPr="00171033">
        <w:rPr>
          <w:b w:val="0"/>
          <w:bCs w:val="0"/>
          <w:lang w:val="ro-RO"/>
        </w:rPr>
        <w:t xml:space="preserve">/zi livrate de </w:t>
      </w:r>
      <w:r w:rsidR="00171033" w:rsidRPr="00171033">
        <w:rPr>
          <w:b w:val="0"/>
          <w:bCs w:val="0"/>
          <w:color w:val="000000" w:themeColor="text1"/>
          <w:lang w:val="ro-RO"/>
        </w:rPr>
        <w:t>SAP „</w:t>
      </w:r>
      <w:r w:rsidR="00171033" w:rsidRPr="00171033">
        <w:rPr>
          <w:b w:val="0"/>
          <w:bCs w:val="0"/>
          <w:lang w:val="ro-RO"/>
        </w:rPr>
        <w:t>Gazprom</w:t>
      </w:r>
      <w:r w:rsidR="00171033" w:rsidRPr="00171033">
        <w:rPr>
          <w:b w:val="0"/>
          <w:bCs w:val="0"/>
          <w:color w:val="000000" w:themeColor="text1"/>
          <w:lang w:val="ro-RO"/>
        </w:rPr>
        <w:t>”</w:t>
      </w:r>
      <w:r w:rsidR="00171033" w:rsidRPr="00171033">
        <w:rPr>
          <w:b w:val="0"/>
          <w:bCs w:val="0"/>
          <w:lang w:val="ro-RO"/>
        </w:rPr>
        <w:t xml:space="preserve"> între malul drept și malul stâng proporțional cotei părți din consumul gazelor naturale pentru necesități proprii înregistrat în anul 2021</w:t>
      </w:r>
      <w:r w:rsidR="00171033">
        <w:rPr>
          <w:b w:val="0"/>
          <w:bCs w:val="0"/>
          <w:lang w:val="ro-RO"/>
        </w:rPr>
        <w:t>.</w:t>
      </w:r>
    </w:p>
    <w:p w14:paraId="4032C728" w14:textId="419C3070" w:rsidR="00171033" w:rsidRPr="00171033" w:rsidRDefault="0090445D">
      <w:pPr>
        <w:pStyle w:val="cb"/>
        <w:numPr>
          <w:ilvl w:val="1"/>
          <w:numId w:val="2"/>
        </w:numPr>
        <w:spacing w:after="120"/>
        <w:ind w:left="1350" w:hanging="464"/>
        <w:jc w:val="both"/>
        <w:rPr>
          <w:b w:val="0"/>
          <w:bCs w:val="0"/>
          <w:color w:val="000000" w:themeColor="text1"/>
          <w:lang w:val="ro-RO" w:eastAsia="ru-RU"/>
        </w:rPr>
      </w:pPr>
      <w:r w:rsidRPr="0090445D">
        <w:rPr>
          <w:b w:val="0"/>
          <w:bCs w:val="0"/>
          <w:lang w:val="ro-RO"/>
        </w:rPr>
        <w:t xml:space="preserve">Situația în care SA „Moldovagaz” decide alocarea </w:t>
      </w:r>
      <w:r w:rsidR="00171033" w:rsidRPr="0090445D">
        <w:rPr>
          <w:b w:val="0"/>
          <w:bCs w:val="0"/>
          <w:lang w:val="ro-RO"/>
        </w:rPr>
        <w:t>celor 5,7 mil. m</w:t>
      </w:r>
      <w:r w:rsidR="00171033" w:rsidRPr="0090445D">
        <w:rPr>
          <w:b w:val="0"/>
          <w:bCs w:val="0"/>
          <w:vertAlign w:val="superscript"/>
          <w:lang w:val="ro-RO"/>
        </w:rPr>
        <w:t>3</w:t>
      </w:r>
      <w:r w:rsidR="00171033" w:rsidRPr="0090445D">
        <w:rPr>
          <w:b w:val="0"/>
          <w:bCs w:val="0"/>
          <w:lang w:val="ro-RO"/>
        </w:rPr>
        <w:t xml:space="preserve">/zi livrate de </w:t>
      </w:r>
      <w:r w:rsidR="00171033" w:rsidRPr="0090445D">
        <w:rPr>
          <w:b w:val="0"/>
          <w:bCs w:val="0"/>
          <w:color w:val="000000" w:themeColor="text1"/>
          <w:lang w:val="ro-RO"/>
        </w:rPr>
        <w:t>SAP „</w:t>
      </w:r>
      <w:r w:rsidR="00171033" w:rsidRPr="0090445D">
        <w:rPr>
          <w:b w:val="0"/>
          <w:bCs w:val="0"/>
          <w:lang w:val="ro-RO"/>
        </w:rPr>
        <w:t>Gazprom</w:t>
      </w:r>
      <w:r w:rsidR="00171033" w:rsidRPr="0090445D">
        <w:rPr>
          <w:b w:val="0"/>
          <w:bCs w:val="0"/>
          <w:color w:val="000000" w:themeColor="text1"/>
          <w:lang w:val="ro-RO"/>
        </w:rPr>
        <w:t>”</w:t>
      </w:r>
      <w:r w:rsidR="00171033" w:rsidRPr="0090445D">
        <w:rPr>
          <w:b w:val="0"/>
          <w:bCs w:val="0"/>
          <w:lang w:val="ro-RO"/>
        </w:rPr>
        <w:t xml:space="preserve"> către consumatorii de pe malul stâng al</w:t>
      </w:r>
      <w:r w:rsidR="00171033" w:rsidRPr="00171033">
        <w:rPr>
          <w:b w:val="0"/>
          <w:bCs w:val="0"/>
          <w:lang w:val="ro-RO"/>
        </w:rPr>
        <w:t xml:space="preserve"> Nistrului</w:t>
      </w:r>
      <w:r w:rsidR="00634869">
        <w:rPr>
          <w:b w:val="0"/>
          <w:bCs w:val="0"/>
          <w:lang w:val="ro-RO"/>
        </w:rPr>
        <w:t>, inclusiv</w:t>
      </w:r>
      <w:r w:rsidR="00171033" w:rsidRPr="00171033">
        <w:rPr>
          <w:b w:val="0"/>
          <w:bCs w:val="0"/>
          <w:lang w:val="ro-RO"/>
        </w:rPr>
        <w:t xml:space="preserve"> în scopul producerii energiei electrice</w:t>
      </w:r>
      <w:r w:rsidR="00171033">
        <w:rPr>
          <w:b w:val="0"/>
          <w:bCs w:val="0"/>
          <w:lang w:val="ro-RO"/>
        </w:rPr>
        <w:t xml:space="preserve"> pentru consumatorii malului drept.</w:t>
      </w:r>
    </w:p>
    <w:p w14:paraId="13027CFA" w14:textId="022DF8E4" w:rsidR="00171033" w:rsidRPr="002E035B" w:rsidRDefault="00171033">
      <w:pPr>
        <w:pStyle w:val="cb"/>
        <w:numPr>
          <w:ilvl w:val="0"/>
          <w:numId w:val="2"/>
        </w:numPr>
        <w:spacing w:after="120"/>
        <w:jc w:val="both"/>
        <w:rPr>
          <w:color w:val="000000" w:themeColor="text1"/>
          <w:lang w:val="ro-RO" w:eastAsia="ru-RU"/>
        </w:rPr>
      </w:pPr>
      <w:r w:rsidRPr="00AD3333">
        <w:rPr>
          <w:lang w:val="ro-RO"/>
        </w:rPr>
        <w:t xml:space="preserve">Rezilierea de către </w:t>
      </w:r>
      <w:r w:rsidRPr="002E035B">
        <w:rPr>
          <w:color w:val="000000" w:themeColor="text1"/>
          <w:lang w:val="ro-RO"/>
        </w:rPr>
        <w:t>SAP „</w:t>
      </w:r>
      <w:r w:rsidRPr="002E035B">
        <w:rPr>
          <w:lang w:val="ro-RO"/>
        </w:rPr>
        <w:t>Gazprom</w:t>
      </w:r>
      <w:r w:rsidRPr="002E035B">
        <w:rPr>
          <w:color w:val="000000" w:themeColor="text1"/>
          <w:lang w:val="ro-RO"/>
        </w:rPr>
        <w:t>”</w:t>
      </w:r>
      <w:r w:rsidRPr="00AD3333">
        <w:rPr>
          <w:lang w:val="ro-RO"/>
        </w:rPr>
        <w:t xml:space="preserve"> a contractului existent privind furnizarea gazelor naturale încheiat între </w:t>
      </w:r>
      <w:r w:rsidRPr="00171033">
        <w:rPr>
          <w:color w:val="000000" w:themeColor="text1"/>
          <w:lang w:val="ro-RO"/>
        </w:rPr>
        <w:t>SA „Moldovagaz”</w:t>
      </w:r>
      <w:r w:rsidRPr="00171033">
        <w:rPr>
          <w:b w:val="0"/>
          <w:bCs w:val="0"/>
          <w:lang w:val="ro-RO"/>
        </w:rPr>
        <w:t xml:space="preserve"> </w:t>
      </w:r>
      <w:r w:rsidRPr="00AD3333">
        <w:rPr>
          <w:lang w:val="ro-RO"/>
        </w:rPr>
        <w:t xml:space="preserve">și </w:t>
      </w:r>
      <w:r w:rsidRPr="002E035B">
        <w:rPr>
          <w:color w:val="000000" w:themeColor="text1"/>
          <w:lang w:val="ro-RO"/>
        </w:rPr>
        <w:t>SAP „</w:t>
      </w:r>
      <w:r w:rsidRPr="002E035B">
        <w:rPr>
          <w:lang w:val="ro-RO"/>
        </w:rPr>
        <w:t>Gazprom</w:t>
      </w:r>
      <w:r w:rsidRPr="002E035B">
        <w:rPr>
          <w:color w:val="000000" w:themeColor="text1"/>
          <w:lang w:val="ro-RO"/>
        </w:rPr>
        <w:t>”</w:t>
      </w:r>
    </w:p>
    <w:p w14:paraId="3AF0F350" w14:textId="5E5C5AAB" w:rsidR="00AD3333" w:rsidRDefault="00C87A2C" w:rsidP="00AD3333">
      <w:pPr>
        <w:pStyle w:val="cb"/>
        <w:spacing w:after="120"/>
        <w:jc w:val="both"/>
        <w:rPr>
          <w:b w:val="0"/>
          <w:bCs w:val="0"/>
          <w:color w:val="000000" w:themeColor="text1"/>
          <w:lang w:val="ro-RO" w:eastAsia="ru-RU"/>
        </w:rPr>
      </w:pPr>
      <w:r w:rsidRPr="00A3095B">
        <w:rPr>
          <w:b w:val="0"/>
          <w:bCs w:val="0"/>
          <w:color w:val="000000" w:themeColor="text1"/>
          <w:lang w:val="ro-RO" w:eastAsia="ru-RU"/>
        </w:rPr>
        <w:t>Scenariile respective sunt prezentate în tabelul 5 prezentat mai jos.</w:t>
      </w:r>
    </w:p>
    <w:p w14:paraId="191389AA" w14:textId="77777777" w:rsidR="00AD3333" w:rsidRDefault="00AD3333" w:rsidP="00AD3333">
      <w:pPr>
        <w:pStyle w:val="cb"/>
        <w:spacing w:after="120"/>
        <w:jc w:val="both"/>
        <w:rPr>
          <w:b w:val="0"/>
          <w:bCs w:val="0"/>
          <w:color w:val="000000" w:themeColor="text1"/>
          <w:lang w:val="ro-RO" w:eastAsia="ru-RU"/>
        </w:rPr>
      </w:pPr>
    </w:p>
    <w:p w14:paraId="52DC39FF" w14:textId="335DC191" w:rsidR="00AD3333" w:rsidRDefault="00AD3333" w:rsidP="00AD3333">
      <w:pPr>
        <w:pStyle w:val="cb"/>
        <w:spacing w:after="120"/>
        <w:jc w:val="both"/>
        <w:rPr>
          <w:b w:val="0"/>
          <w:bCs w:val="0"/>
          <w:color w:val="000000" w:themeColor="text1"/>
          <w:lang w:val="ro-RO" w:eastAsia="ru-RU"/>
        </w:rPr>
        <w:sectPr w:rsidR="00AD3333" w:rsidSect="00B41DD2">
          <w:footerReference w:type="default" r:id="rId14"/>
          <w:pgSz w:w="11907" w:h="16840" w:code="9"/>
          <w:pgMar w:top="1138" w:right="720" w:bottom="562" w:left="1008" w:header="144" w:footer="86" w:gutter="0"/>
          <w:cols w:space="720"/>
          <w:docGrid w:linePitch="360"/>
        </w:sectPr>
      </w:pPr>
    </w:p>
    <w:p w14:paraId="477C816E" w14:textId="1C723F99" w:rsidR="00AD3333" w:rsidRDefault="008C3886" w:rsidP="00AD3333">
      <w:pPr>
        <w:pStyle w:val="cb"/>
        <w:spacing w:after="120"/>
        <w:jc w:val="both"/>
        <w:rPr>
          <w:b w:val="0"/>
          <w:bCs w:val="0"/>
          <w:color w:val="000000" w:themeColor="text1"/>
          <w:lang w:val="ro-RO" w:eastAsia="ru-RU"/>
        </w:rPr>
      </w:pPr>
      <w:r w:rsidRPr="008C3886">
        <w:rPr>
          <w:color w:val="000000" w:themeColor="text1"/>
          <w:lang w:val="ro-RO" w:eastAsia="ru-RU"/>
        </w:rPr>
        <w:lastRenderedPageBreak/>
        <w:t>Tabelul 5.</w:t>
      </w:r>
      <w:r>
        <w:rPr>
          <w:b w:val="0"/>
          <w:bCs w:val="0"/>
          <w:color w:val="000000" w:themeColor="text1"/>
          <w:lang w:val="ro-RO" w:eastAsia="ru-RU"/>
        </w:rPr>
        <w:t xml:space="preserve"> </w:t>
      </w:r>
      <w:r w:rsidRPr="00405F11">
        <w:rPr>
          <w:b w:val="0"/>
          <w:bCs w:val="0"/>
          <w:color w:val="000000" w:themeColor="text1"/>
          <w:sz w:val="22"/>
          <w:szCs w:val="22"/>
          <w:lang w:val="ro-RO" w:eastAsia="ru-RU"/>
        </w:rPr>
        <w:t>Scenarii analizate privind furnizarea gazelor naturale și energiei electrice în sezonul de încălzire 2023-2024</w:t>
      </w:r>
    </w:p>
    <w:tbl>
      <w:tblPr>
        <w:tblStyle w:val="TableGrid"/>
        <w:tblW w:w="5000" w:type="pct"/>
        <w:jc w:val="center"/>
        <w:tblLook w:val="04A0" w:firstRow="1" w:lastRow="0" w:firstColumn="1" w:lastColumn="0" w:noHBand="0" w:noVBand="1"/>
      </w:tblPr>
      <w:tblGrid>
        <w:gridCol w:w="693"/>
        <w:gridCol w:w="2962"/>
        <w:gridCol w:w="15"/>
        <w:gridCol w:w="1752"/>
        <w:gridCol w:w="27"/>
        <w:gridCol w:w="1114"/>
        <w:gridCol w:w="1026"/>
        <w:gridCol w:w="1041"/>
        <w:gridCol w:w="1050"/>
        <w:gridCol w:w="1035"/>
        <w:gridCol w:w="1038"/>
        <w:gridCol w:w="1092"/>
        <w:gridCol w:w="1059"/>
        <w:gridCol w:w="1226"/>
      </w:tblGrid>
      <w:tr w:rsidR="008D087B" w:rsidRPr="001D14A1" w14:paraId="7113077F" w14:textId="77777777" w:rsidTr="00EC0D49">
        <w:trPr>
          <w:trHeight w:val="530"/>
          <w:jc w:val="center"/>
        </w:trPr>
        <w:tc>
          <w:tcPr>
            <w:tcW w:w="229" w:type="pct"/>
            <w:vMerge w:val="restart"/>
            <w:shd w:val="clear" w:color="auto" w:fill="DEEAF6" w:themeFill="accent1" w:themeFillTint="33"/>
            <w:vAlign w:val="center"/>
          </w:tcPr>
          <w:p w14:paraId="4C531D9A" w14:textId="77777777" w:rsidR="008D087B" w:rsidRPr="001D14A1" w:rsidRDefault="008D087B" w:rsidP="00073FC0">
            <w:pPr>
              <w:contextualSpacing/>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No.</w:t>
            </w:r>
          </w:p>
        </w:tc>
        <w:tc>
          <w:tcPr>
            <w:tcW w:w="979" w:type="pct"/>
            <w:vMerge w:val="restart"/>
            <w:shd w:val="clear" w:color="auto" w:fill="DEEAF6" w:themeFill="accent1" w:themeFillTint="33"/>
            <w:vAlign w:val="center"/>
          </w:tcPr>
          <w:p w14:paraId="2BA38147" w14:textId="02C1EE41" w:rsidR="008D087B" w:rsidRPr="001D14A1" w:rsidRDefault="008D087B" w:rsidP="00073FC0">
            <w:pPr>
              <w:contextualSpacing/>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Scenarii furnizare gazelor naturale/energie electrică</w:t>
            </w:r>
            <w:r w:rsidR="00F56ADD" w:rsidRPr="001D14A1">
              <w:rPr>
                <w:rFonts w:ascii="Times New Roman" w:hAnsi="Times New Roman" w:cs="Times New Roman"/>
                <w:b/>
                <w:bCs/>
                <w:sz w:val="20"/>
                <w:szCs w:val="20"/>
                <w:lang w:val="ro-RO"/>
              </w:rPr>
              <w:t xml:space="preserve"> către malul drept</w:t>
            </w:r>
          </w:p>
        </w:tc>
        <w:tc>
          <w:tcPr>
            <w:tcW w:w="593" w:type="pct"/>
            <w:gridSpan w:val="3"/>
            <w:vMerge w:val="restart"/>
            <w:shd w:val="clear" w:color="auto" w:fill="DEEAF6" w:themeFill="accent1" w:themeFillTint="33"/>
            <w:vAlign w:val="center"/>
          </w:tcPr>
          <w:p w14:paraId="3AA33C96" w14:textId="77777777" w:rsidR="008D087B" w:rsidRPr="001D14A1" w:rsidRDefault="008D087B" w:rsidP="00073FC0">
            <w:pPr>
              <w:contextualSpacing/>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Probabilitatea</w:t>
            </w:r>
          </w:p>
        </w:tc>
        <w:tc>
          <w:tcPr>
            <w:tcW w:w="368" w:type="pct"/>
            <w:vMerge w:val="restart"/>
            <w:shd w:val="clear" w:color="auto" w:fill="DEEAF6" w:themeFill="accent1" w:themeFillTint="33"/>
            <w:vAlign w:val="center"/>
          </w:tcPr>
          <w:p w14:paraId="23581E63" w14:textId="77777777" w:rsidR="008D087B" w:rsidRPr="001D14A1" w:rsidRDefault="008D087B" w:rsidP="00073FC0">
            <w:pPr>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 limitări</w:t>
            </w:r>
          </w:p>
        </w:tc>
        <w:tc>
          <w:tcPr>
            <w:tcW w:w="1030" w:type="pct"/>
            <w:gridSpan w:val="3"/>
            <w:shd w:val="clear" w:color="auto" w:fill="DEEAF6" w:themeFill="accent1" w:themeFillTint="33"/>
            <w:vAlign w:val="center"/>
          </w:tcPr>
          <w:p w14:paraId="069271EB" w14:textId="75966B17" w:rsidR="008D087B" w:rsidRPr="001D14A1" w:rsidRDefault="008D087B" w:rsidP="00073FC0">
            <w:pPr>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202</w:t>
            </w:r>
            <w:r w:rsidR="00F329F5" w:rsidRPr="001D14A1">
              <w:rPr>
                <w:rFonts w:ascii="Times New Roman" w:hAnsi="Times New Roman" w:cs="Times New Roman"/>
                <w:b/>
                <w:bCs/>
                <w:sz w:val="20"/>
                <w:szCs w:val="20"/>
                <w:lang w:val="ro-RO"/>
              </w:rPr>
              <w:t>3</w:t>
            </w:r>
          </w:p>
        </w:tc>
        <w:tc>
          <w:tcPr>
            <w:tcW w:w="1396" w:type="pct"/>
            <w:gridSpan w:val="4"/>
            <w:shd w:val="clear" w:color="auto" w:fill="DEEAF6" w:themeFill="accent1" w:themeFillTint="33"/>
            <w:vAlign w:val="center"/>
          </w:tcPr>
          <w:p w14:paraId="3B28EF75" w14:textId="17264101" w:rsidR="008D087B" w:rsidRPr="001D14A1" w:rsidRDefault="008D087B" w:rsidP="00073FC0">
            <w:pPr>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202</w:t>
            </w:r>
            <w:r w:rsidR="00F329F5" w:rsidRPr="001D14A1">
              <w:rPr>
                <w:rFonts w:ascii="Times New Roman" w:hAnsi="Times New Roman" w:cs="Times New Roman"/>
                <w:b/>
                <w:bCs/>
                <w:sz w:val="20"/>
                <w:szCs w:val="20"/>
                <w:lang w:val="ro-RO"/>
              </w:rPr>
              <w:t>4</w:t>
            </w:r>
          </w:p>
        </w:tc>
        <w:tc>
          <w:tcPr>
            <w:tcW w:w="405" w:type="pct"/>
            <w:vMerge w:val="restart"/>
            <w:shd w:val="clear" w:color="auto" w:fill="DEEAF6" w:themeFill="accent1" w:themeFillTint="33"/>
            <w:vAlign w:val="center"/>
          </w:tcPr>
          <w:p w14:paraId="2C771FFD" w14:textId="10904295" w:rsidR="008D087B" w:rsidRPr="001D14A1" w:rsidRDefault="008D087B" w:rsidP="00EC0D49">
            <w:pPr>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Total</w:t>
            </w:r>
            <w:r w:rsidR="00E3281A" w:rsidRPr="001D14A1">
              <w:rPr>
                <w:rStyle w:val="FootnoteReference"/>
                <w:rFonts w:ascii="Times New Roman" w:hAnsi="Times New Roman" w:cs="Times New Roman"/>
                <w:b/>
                <w:bCs/>
                <w:sz w:val="20"/>
                <w:szCs w:val="20"/>
                <w:lang w:val="ro-RO"/>
              </w:rPr>
              <w:footnoteReference w:id="2"/>
            </w:r>
          </w:p>
        </w:tc>
      </w:tr>
      <w:tr w:rsidR="008D087B" w:rsidRPr="001D14A1" w14:paraId="1B03733C" w14:textId="77777777" w:rsidTr="00EC0D49">
        <w:trPr>
          <w:trHeight w:val="306"/>
          <w:jc w:val="center"/>
        </w:trPr>
        <w:tc>
          <w:tcPr>
            <w:tcW w:w="229" w:type="pct"/>
            <w:vMerge/>
            <w:vAlign w:val="center"/>
          </w:tcPr>
          <w:p w14:paraId="02138422" w14:textId="77777777" w:rsidR="008D087B" w:rsidRPr="001D14A1" w:rsidRDefault="008D087B" w:rsidP="00073FC0">
            <w:pPr>
              <w:contextualSpacing/>
              <w:rPr>
                <w:rFonts w:ascii="Times New Roman" w:hAnsi="Times New Roman" w:cs="Times New Roman"/>
                <w:b/>
                <w:bCs/>
                <w:sz w:val="20"/>
                <w:szCs w:val="20"/>
                <w:lang w:val="ro-RO"/>
              </w:rPr>
            </w:pPr>
          </w:p>
        </w:tc>
        <w:tc>
          <w:tcPr>
            <w:tcW w:w="979" w:type="pct"/>
            <w:vMerge/>
            <w:shd w:val="clear" w:color="auto" w:fill="auto"/>
            <w:vAlign w:val="center"/>
          </w:tcPr>
          <w:p w14:paraId="41C0BC88" w14:textId="77777777" w:rsidR="008D087B" w:rsidRPr="001D14A1" w:rsidRDefault="008D087B" w:rsidP="00073FC0">
            <w:pPr>
              <w:contextualSpacing/>
              <w:rPr>
                <w:rFonts w:ascii="Times New Roman" w:hAnsi="Times New Roman" w:cs="Times New Roman"/>
                <w:b/>
                <w:bCs/>
                <w:sz w:val="20"/>
                <w:szCs w:val="20"/>
                <w:lang w:val="ro-RO"/>
              </w:rPr>
            </w:pPr>
          </w:p>
        </w:tc>
        <w:tc>
          <w:tcPr>
            <w:tcW w:w="593" w:type="pct"/>
            <w:gridSpan w:val="3"/>
            <w:vMerge/>
            <w:shd w:val="clear" w:color="auto" w:fill="auto"/>
            <w:vAlign w:val="center"/>
          </w:tcPr>
          <w:p w14:paraId="1A0D7F62" w14:textId="77777777" w:rsidR="008D087B" w:rsidRPr="001D14A1" w:rsidRDefault="008D087B" w:rsidP="00073FC0">
            <w:pPr>
              <w:contextualSpacing/>
              <w:rPr>
                <w:rFonts w:ascii="Times New Roman" w:hAnsi="Times New Roman" w:cs="Times New Roman"/>
                <w:b/>
                <w:bCs/>
                <w:sz w:val="20"/>
                <w:szCs w:val="20"/>
                <w:lang w:val="ro-RO"/>
              </w:rPr>
            </w:pPr>
          </w:p>
        </w:tc>
        <w:tc>
          <w:tcPr>
            <w:tcW w:w="368" w:type="pct"/>
            <w:vMerge/>
            <w:shd w:val="clear" w:color="auto" w:fill="auto"/>
            <w:vAlign w:val="center"/>
          </w:tcPr>
          <w:p w14:paraId="12DC9225" w14:textId="77777777" w:rsidR="008D087B" w:rsidRPr="001D14A1" w:rsidRDefault="008D087B" w:rsidP="00073FC0">
            <w:pPr>
              <w:contextualSpacing/>
              <w:jc w:val="center"/>
              <w:rPr>
                <w:rFonts w:ascii="Times New Roman" w:hAnsi="Times New Roman" w:cs="Times New Roman"/>
                <w:b/>
                <w:bCs/>
                <w:sz w:val="20"/>
                <w:szCs w:val="20"/>
                <w:lang w:val="ro-RO"/>
              </w:rPr>
            </w:pPr>
          </w:p>
        </w:tc>
        <w:tc>
          <w:tcPr>
            <w:tcW w:w="339" w:type="pct"/>
            <w:shd w:val="clear" w:color="auto" w:fill="DEEAF6" w:themeFill="accent1" w:themeFillTint="33"/>
            <w:vAlign w:val="center"/>
          </w:tcPr>
          <w:p w14:paraId="32DF4A1E" w14:textId="77777777" w:rsidR="008D087B" w:rsidRPr="001D14A1" w:rsidRDefault="008D087B" w:rsidP="00073FC0">
            <w:pPr>
              <w:contextualSpacing/>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Oct.</w:t>
            </w:r>
          </w:p>
        </w:tc>
        <w:tc>
          <w:tcPr>
            <w:tcW w:w="344" w:type="pct"/>
            <w:shd w:val="clear" w:color="auto" w:fill="DEEAF6" w:themeFill="accent1" w:themeFillTint="33"/>
            <w:vAlign w:val="center"/>
          </w:tcPr>
          <w:p w14:paraId="3B2B2EF9" w14:textId="77777777" w:rsidR="008D087B" w:rsidRPr="001D14A1" w:rsidRDefault="008D087B" w:rsidP="00073FC0">
            <w:pPr>
              <w:contextualSpacing/>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Nov.</w:t>
            </w:r>
          </w:p>
        </w:tc>
        <w:tc>
          <w:tcPr>
            <w:tcW w:w="347" w:type="pct"/>
            <w:shd w:val="clear" w:color="auto" w:fill="DEEAF6" w:themeFill="accent1" w:themeFillTint="33"/>
            <w:vAlign w:val="center"/>
          </w:tcPr>
          <w:p w14:paraId="02B5EAA4" w14:textId="77777777" w:rsidR="008D087B" w:rsidRPr="001D14A1" w:rsidRDefault="008D087B" w:rsidP="00073FC0">
            <w:pPr>
              <w:contextualSpacing/>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Dec.</w:t>
            </w:r>
          </w:p>
        </w:tc>
        <w:tc>
          <w:tcPr>
            <w:tcW w:w="342" w:type="pct"/>
            <w:shd w:val="clear" w:color="auto" w:fill="DEEAF6" w:themeFill="accent1" w:themeFillTint="33"/>
            <w:vAlign w:val="center"/>
          </w:tcPr>
          <w:p w14:paraId="17F74370" w14:textId="77777777" w:rsidR="008D087B" w:rsidRPr="001D14A1" w:rsidRDefault="008D087B" w:rsidP="00073FC0">
            <w:pPr>
              <w:contextualSpacing/>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Ian.</w:t>
            </w:r>
          </w:p>
        </w:tc>
        <w:tc>
          <w:tcPr>
            <w:tcW w:w="343" w:type="pct"/>
            <w:shd w:val="clear" w:color="auto" w:fill="DEEAF6" w:themeFill="accent1" w:themeFillTint="33"/>
            <w:vAlign w:val="center"/>
          </w:tcPr>
          <w:p w14:paraId="03E2D977" w14:textId="77777777" w:rsidR="008D087B" w:rsidRPr="001D14A1" w:rsidRDefault="008D087B" w:rsidP="00073FC0">
            <w:pPr>
              <w:contextualSpacing/>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Febr.</w:t>
            </w:r>
          </w:p>
        </w:tc>
        <w:tc>
          <w:tcPr>
            <w:tcW w:w="361" w:type="pct"/>
            <w:shd w:val="clear" w:color="auto" w:fill="DEEAF6" w:themeFill="accent1" w:themeFillTint="33"/>
            <w:vAlign w:val="center"/>
          </w:tcPr>
          <w:p w14:paraId="30BD5012" w14:textId="77777777" w:rsidR="008D087B" w:rsidRPr="001D14A1" w:rsidRDefault="008D087B" w:rsidP="00073FC0">
            <w:pPr>
              <w:contextualSpacing/>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Mart.</w:t>
            </w:r>
          </w:p>
        </w:tc>
        <w:tc>
          <w:tcPr>
            <w:tcW w:w="350" w:type="pct"/>
            <w:shd w:val="clear" w:color="auto" w:fill="DEEAF6" w:themeFill="accent1" w:themeFillTint="33"/>
            <w:vAlign w:val="center"/>
          </w:tcPr>
          <w:p w14:paraId="69B591F6" w14:textId="77777777" w:rsidR="008D087B" w:rsidRPr="001D14A1" w:rsidRDefault="008D087B" w:rsidP="00073FC0">
            <w:pPr>
              <w:contextualSpacing/>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Apr.</w:t>
            </w:r>
          </w:p>
        </w:tc>
        <w:tc>
          <w:tcPr>
            <w:tcW w:w="405" w:type="pct"/>
            <w:vMerge/>
            <w:shd w:val="clear" w:color="auto" w:fill="auto"/>
            <w:vAlign w:val="center"/>
          </w:tcPr>
          <w:p w14:paraId="75AD78E2" w14:textId="77777777" w:rsidR="008D087B" w:rsidRPr="001D14A1" w:rsidRDefault="008D087B" w:rsidP="00073FC0">
            <w:pPr>
              <w:contextualSpacing/>
              <w:rPr>
                <w:rFonts w:ascii="Times New Roman" w:hAnsi="Times New Roman" w:cs="Times New Roman"/>
                <w:b/>
                <w:bCs/>
                <w:sz w:val="20"/>
                <w:szCs w:val="20"/>
                <w:lang w:val="ro-RO"/>
              </w:rPr>
            </w:pPr>
          </w:p>
        </w:tc>
      </w:tr>
      <w:tr w:rsidR="008D087B" w:rsidRPr="001D14A1" w14:paraId="1EE155C0" w14:textId="77777777" w:rsidTr="00EC0D49">
        <w:trPr>
          <w:trHeight w:val="20"/>
          <w:jc w:val="center"/>
        </w:trPr>
        <w:tc>
          <w:tcPr>
            <w:tcW w:w="229" w:type="pct"/>
            <w:vMerge/>
            <w:vAlign w:val="center"/>
          </w:tcPr>
          <w:p w14:paraId="6E688575" w14:textId="77777777" w:rsidR="008D087B" w:rsidRPr="001D14A1" w:rsidRDefault="008D087B" w:rsidP="00073FC0">
            <w:pPr>
              <w:pStyle w:val="ListParagraph"/>
              <w:ind w:left="29"/>
              <w:jc w:val="center"/>
              <w:rPr>
                <w:rFonts w:ascii="Times New Roman" w:hAnsi="Times New Roman" w:cs="Times New Roman"/>
                <w:b/>
                <w:bCs/>
                <w:sz w:val="20"/>
                <w:szCs w:val="20"/>
                <w:lang w:val="ro-RO"/>
              </w:rPr>
            </w:pPr>
          </w:p>
        </w:tc>
        <w:tc>
          <w:tcPr>
            <w:tcW w:w="979" w:type="pct"/>
            <w:shd w:val="clear" w:color="auto" w:fill="DEEAF6" w:themeFill="accent1" w:themeFillTint="33"/>
            <w:vAlign w:val="center"/>
          </w:tcPr>
          <w:p w14:paraId="3AD4D057" w14:textId="3C2F27AF" w:rsidR="008D087B" w:rsidRPr="001D14A1" w:rsidRDefault="002813FD" w:rsidP="00073FC0">
            <w:pPr>
              <w:pStyle w:val="ListParagraph"/>
              <w:ind w:left="29"/>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 xml:space="preserve">Scenariul </w:t>
            </w:r>
            <w:r w:rsidR="008D087B" w:rsidRPr="001D14A1">
              <w:rPr>
                <w:rFonts w:ascii="Times New Roman" w:hAnsi="Times New Roman" w:cs="Times New Roman"/>
                <w:b/>
                <w:bCs/>
                <w:sz w:val="20"/>
                <w:szCs w:val="20"/>
                <w:lang w:val="ro-RO"/>
              </w:rPr>
              <w:t>I</w:t>
            </w:r>
          </w:p>
        </w:tc>
        <w:tc>
          <w:tcPr>
            <w:tcW w:w="593" w:type="pct"/>
            <w:gridSpan w:val="3"/>
            <w:shd w:val="clear" w:color="auto" w:fill="DEEAF6" w:themeFill="accent1" w:themeFillTint="33"/>
            <w:vAlign w:val="center"/>
          </w:tcPr>
          <w:p w14:paraId="114976BF" w14:textId="77777777" w:rsidR="008D087B" w:rsidRPr="001D14A1" w:rsidRDefault="008D087B" w:rsidP="00073FC0">
            <w:pPr>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Medie</w:t>
            </w:r>
          </w:p>
        </w:tc>
        <w:tc>
          <w:tcPr>
            <w:tcW w:w="368" w:type="pct"/>
            <w:shd w:val="clear" w:color="auto" w:fill="DEEAF6" w:themeFill="accent1" w:themeFillTint="33"/>
            <w:vAlign w:val="center"/>
          </w:tcPr>
          <w:p w14:paraId="4A5D2865" w14:textId="77777777" w:rsidR="008D087B" w:rsidRPr="001D14A1" w:rsidRDefault="008D087B" w:rsidP="00073FC0">
            <w:pPr>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0 %</w:t>
            </w:r>
          </w:p>
        </w:tc>
        <w:tc>
          <w:tcPr>
            <w:tcW w:w="2832" w:type="pct"/>
            <w:gridSpan w:val="8"/>
            <w:shd w:val="clear" w:color="auto" w:fill="DEEAF6" w:themeFill="accent1" w:themeFillTint="33"/>
            <w:vAlign w:val="center"/>
          </w:tcPr>
          <w:p w14:paraId="72E38E91" w14:textId="658E9028" w:rsidR="008D087B" w:rsidRPr="001D14A1" w:rsidRDefault="008D087B" w:rsidP="00073FC0">
            <w:pPr>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 xml:space="preserve">Nu se înregistrează limitări a gazelor naturale furnizate de </w:t>
            </w:r>
            <w:r w:rsidR="00171033" w:rsidRPr="001D14A1">
              <w:rPr>
                <w:rFonts w:ascii="Times New Roman" w:hAnsi="Times New Roman" w:cs="Times New Roman"/>
                <w:b/>
                <w:bCs/>
                <w:sz w:val="20"/>
                <w:szCs w:val="20"/>
                <w:lang w:val="ro-RO"/>
              </w:rPr>
              <w:t>SAP „Gazprom”</w:t>
            </w:r>
          </w:p>
        </w:tc>
      </w:tr>
      <w:tr w:rsidR="002E035B" w:rsidRPr="001D14A1" w14:paraId="10B22380" w14:textId="77777777" w:rsidTr="00EC0D49">
        <w:trPr>
          <w:trHeight w:val="20"/>
          <w:jc w:val="center"/>
        </w:trPr>
        <w:tc>
          <w:tcPr>
            <w:tcW w:w="229" w:type="pct"/>
            <w:vMerge w:val="restart"/>
            <w:vAlign w:val="center"/>
          </w:tcPr>
          <w:p w14:paraId="45A37101" w14:textId="77777777" w:rsidR="002E035B" w:rsidRPr="001D14A1" w:rsidRDefault="002E035B" w:rsidP="002E035B">
            <w:pPr>
              <w:ind w:left="-85" w:right="-85"/>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I</w:t>
            </w:r>
          </w:p>
        </w:tc>
        <w:tc>
          <w:tcPr>
            <w:tcW w:w="1940" w:type="pct"/>
            <w:gridSpan w:val="5"/>
            <w:shd w:val="clear" w:color="auto" w:fill="auto"/>
            <w:vAlign w:val="center"/>
          </w:tcPr>
          <w:p w14:paraId="2A330D6E" w14:textId="3801A7D3" w:rsidR="002E035B" w:rsidRPr="001D14A1" w:rsidRDefault="002E035B" w:rsidP="002E035B">
            <w:pPr>
              <w:ind w:left="-85" w:right="-85"/>
              <w:contextualSpacing/>
              <w:rPr>
                <w:rFonts w:ascii="Times New Roman" w:hAnsi="Times New Roman" w:cs="Times New Roman"/>
                <w:sz w:val="20"/>
                <w:szCs w:val="20"/>
                <w:vertAlign w:val="superscript"/>
                <w:lang w:val="ro-RO"/>
              </w:rPr>
            </w:pPr>
            <w:r w:rsidRPr="001D14A1">
              <w:rPr>
                <w:rFonts w:ascii="Times New Roman" w:hAnsi="Times New Roman" w:cs="Times New Roman"/>
                <w:sz w:val="20"/>
                <w:szCs w:val="20"/>
                <w:lang w:val="ro-RO"/>
              </w:rPr>
              <w:t xml:space="preserve">Gaze naturale livrate de </w:t>
            </w:r>
            <w:r w:rsidR="002B3306" w:rsidRPr="001D14A1">
              <w:rPr>
                <w:rFonts w:ascii="Times New Roman" w:hAnsi="Times New Roman" w:cs="Times New Roman"/>
                <w:sz w:val="20"/>
                <w:szCs w:val="20"/>
                <w:lang w:val="ro-RO"/>
              </w:rPr>
              <w:t>SAP „Gazprom”</w:t>
            </w:r>
            <w:r w:rsidRPr="001D14A1">
              <w:rPr>
                <w:rFonts w:ascii="Times New Roman" w:hAnsi="Times New Roman" w:cs="Times New Roman"/>
                <w:sz w:val="20"/>
                <w:szCs w:val="20"/>
                <w:lang w:val="ro-RO"/>
              </w:rPr>
              <w:t>, mil. m</w:t>
            </w:r>
            <w:r w:rsidRPr="001D14A1">
              <w:rPr>
                <w:rFonts w:ascii="Times New Roman" w:hAnsi="Times New Roman" w:cs="Times New Roman"/>
                <w:sz w:val="20"/>
                <w:szCs w:val="20"/>
                <w:vertAlign w:val="superscript"/>
                <w:lang w:val="ro-RO"/>
              </w:rPr>
              <w:t>3</w:t>
            </w:r>
          </w:p>
        </w:tc>
        <w:tc>
          <w:tcPr>
            <w:tcW w:w="339" w:type="pct"/>
            <w:shd w:val="clear" w:color="auto" w:fill="auto"/>
            <w:vAlign w:val="bottom"/>
          </w:tcPr>
          <w:p w14:paraId="0396F52E" w14:textId="308C4307" w:rsidR="002E035B" w:rsidRPr="001D14A1" w:rsidRDefault="002E035B" w:rsidP="002E035B">
            <w:pPr>
              <w:contextualSpacing/>
              <w:jc w:val="center"/>
              <w:rPr>
                <w:rFonts w:ascii="Times New Roman" w:hAnsi="Times New Roman" w:cs="Times New Roman"/>
                <w:b/>
                <w:bCs/>
                <w:sz w:val="20"/>
                <w:szCs w:val="20"/>
                <w:highlight w:val="yellow"/>
                <w:lang w:val="ro-RO"/>
              </w:rPr>
            </w:pPr>
            <w:r w:rsidRPr="001D14A1">
              <w:rPr>
                <w:rFonts w:ascii="Times New Roman" w:hAnsi="Times New Roman" w:cs="Times New Roman"/>
                <w:b/>
                <w:bCs/>
                <w:color w:val="000000"/>
                <w:sz w:val="20"/>
                <w:szCs w:val="20"/>
              </w:rPr>
              <w:t>72.3</w:t>
            </w:r>
          </w:p>
        </w:tc>
        <w:tc>
          <w:tcPr>
            <w:tcW w:w="344" w:type="pct"/>
            <w:shd w:val="clear" w:color="auto" w:fill="auto"/>
            <w:vAlign w:val="bottom"/>
          </w:tcPr>
          <w:p w14:paraId="51488C60" w14:textId="270EF3D8" w:rsidR="002E035B" w:rsidRPr="001D14A1" w:rsidRDefault="002E035B" w:rsidP="002E035B">
            <w:pPr>
              <w:contextualSpacing/>
              <w:jc w:val="center"/>
              <w:rPr>
                <w:rFonts w:ascii="Times New Roman" w:hAnsi="Times New Roman" w:cs="Times New Roman"/>
                <w:b/>
                <w:bCs/>
                <w:sz w:val="20"/>
                <w:szCs w:val="20"/>
                <w:highlight w:val="yellow"/>
                <w:lang w:val="ro-RO"/>
              </w:rPr>
            </w:pPr>
            <w:r w:rsidRPr="001D14A1">
              <w:rPr>
                <w:rFonts w:ascii="Times New Roman" w:hAnsi="Times New Roman" w:cs="Times New Roman"/>
                <w:b/>
                <w:bCs/>
                <w:color w:val="000000"/>
                <w:sz w:val="20"/>
                <w:szCs w:val="20"/>
              </w:rPr>
              <w:t>134.4</w:t>
            </w:r>
          </w:p>
        </w:tc>
        <w:tc>
          <w:tcPr>
            <w:tcW w:w="347" w:type="pct"/>
            <w:shd w:val="clear" w:color="auto" w:fill="auto"/>
            <w:vAlign w:val="bottom"/>
          </w:tcPr>
          <w:p w14:paraId="673E0E39" w14:textId="319DCF83" w:rsidR="002E035B" w:rsidRPr="001D14A1" w:rsidRDefault="002E035B" w:rsidP="002E035B">
            <w:pPr>
              <w:contextualSpacing/>
              <w:jc w:val="center"/>
              <w:rPr>
                <w:rFonts w:ascii="Times New Roman" w:hAnsi="Times New Roman" w:cs="Times New Roman"/>
                <w:b/>
                <w:bCs/>
                <w:sz w:val="20"/>
                <w:szCs w:val="20"/>
                <w:highlight w:val="yellow"/>
                <w:lang w:val="ro-RO"/>
              </w:rPr>
            </w:pPr>
            <w:r w:rsidRPr="001D14A1">
              <w:rPr>
                <w:rFonts w:ascii="Times New Roman" w:hAnsi="Times New Roman" w:cs="Times New Roman"/>
                <w:b/>
                <w:bCs/>
                <w:color w:val="000000"/>
                <w:sz w:val="20"/>
                <w:szCs w:val="20"/>
              </w:rPr>
              <w:t>171.9</w:t>
            </w:r>
          </w:p>
        </w:tc>
        <w:tc>
          <w:tcPr>
            <w:tcW w:w="342" w:type="pct"/>
            <w:shd w:val="clear" w:color="auto" w:fill="auto"/>
            <w:vAlign w:val="bottom"/>
          </w:tcPr>
          <w:p w14:paraId="52B48842" w14:textId="2C9969A8" w:rsidR="002E035B" w:rsidRPr="001D14A1" w:rsidRDefault="002E035B" w:rsidP="002E035B">
            <w:pPr>
              <w:contextualSpacing/>
              <w:jc w:val="center"/>
              <w:rPr>
                <w:rFonts w:ascii="Times New Roman" w:hAnsi="Times New Roman" w:cs="Times New Roman"/>
                <w:b/>
                <w:bCs/>
                <w:sz w:val="20"/>
                <w:szCs w:val="20"/>
                <w:highlight w:val="yellow"/>
                <w:lang w:val="ro-RO"/>
              </w:rPr>
            </w:pPr>
            <w:r w:rsidRPr="001D14A1">
              <w:rPr>
                <w:rFonts w:ascii="Times New Roman" w:hAnsi="Times New Roman" w:cs="Times New Roman"/>
                <w:b/>
                <w:bCs/>
                <w:color w:val="000000"/>
                <w:sz w:val="20"/>
                <w:szCs w:val="20"/>
              </w:rPr>
              <w:t>184.0</w:t>
            </w:r>
          </w:p>
        </w:tc>
        <w:tc>
          <w:tcPr>
            <w:tcW w:w="343" w:type="pct"/>
            <w:shd w:val="clear" w:color="auto" w:fill="auto"/>
            <w:vAlign w:val="bottom"/>
          </w:tcPr>
          <w:p w14:paraId="72DC26DD" w14:textId="38627823" w:rsidR="002E035B" w:rsidRPr="001D14A1" w:rsidRDefault="002E035B" w:rsidP="002E035B">
            <w:pPr>
              <w:contextualSpacing/>
              <w:jc w:val="center"/>
              <w:rPr>
                <w:rFonts w:ascii="Times New Roman" w:hAnsi="Times New Roman" w:cs="Times New Roman"/>
                <w:b/>
                <w:bCs/>
                <w:sz w:val="20"/>
                <w:szCs w:val="20"/>
                <w:highlight w:val="yellow"/>
                <w:lang w:val="ro-RO"/>
              </w:rPr>
            </w:pPr>
            <w:r w:rsidRPr="001D14A1">
              <w:rPr>
                <w:rFonts w:ascii="Times New Roman" w:hAnsi="Times New Roman" w:cs="Times New Roman"/>
                <w:b/>
                <w:bCs/>
                <w:color w:val="000000"/>
                <w:sz w:val="20"/>
                <w:szCs w:val="20"/>
              </w:rPr>
              <w:t>152.3</w:t>
            </w:r>
          </w:p>
        </w:tc>
        <w:tc>
          <w:tcPr>
            <w:tcW w:w="361" w:type="pct"/>
            <w:shd w:val="clear" w:color="auto" w:fill="auto"/>
            <w:vAlign w:val="bottom"/>
          </w:tcPr>
          <w:p w14:paraId="02CBD2CB" w14:textId="1DFF6259" w:rsidR="002E035B" w:rsidRPr="001D14A1" w:rsidRDefault="002E035B" w:rsidP="002E035B">
            <w:pPr>
              <w:contextualSpacing/>
              <w:jc w:val="center"/>
              <w:rPr>
                <w:rFonts w:ascii="Times New Roman" w:hAnsi="Times New Roman" w:cs="Times New Roman"/>
                <w:b/>
                <w:bCs/>
                <w:sz w:val="20"/>
                <w:szCs w:val="20"/>
                <w:highlight w:val="yellow"/>
                <w:lang w:val="ro-RO"/>
              </w:rPr>
            </w:pPr>
            <w:r w:rsidRPr="001D14A1">
              <w:rPr>
                <w:rFonts w:ascii="Times New Roman" w:hAnsi="Times New Roman" w:cs="Times New Roman"/>
                <w:b/>
                <w:bCs/>
                <w:color w:val="000000"/>
                <w:sz w:val="20"/>
                <w:szCs w:val="20"/>
              </w:rPr>
              <w:t>141.0</w:t>
            </w:r>
          </w:p>
        </w:tc>
        <w:tc>
          <w:tcPr>
            <w:tcW w:w="350" w:type="pct"/>
            <w:shd w:val="clear" w:color="auto" w:fill="auto"/>
            <w:vAlign w:val="bottom"/>
          </w:tcPr>
          <w:p w14:paraId="60625570" w14:textId="0C97D70A" w:rsidR="002E035B" w:rsidRPr="001D14A1" w:rsidRDefault="002E035B" w:rsidP="002E035B">
            <w:pPr>
              <w:contextualSpacing/>
              <w:jc w:val="center"/>
              <w:rPr>
                <w:rFonts w:ascii="Times New Roman" w:hAnsi="Times New Roman" w:cs="Times New Roman"/>
                <w:b/>
                <w:bCs/>
                <w:sz w:val="20"/>
                <w:szCs w:val="20"/>
                <w:highlight w:val="yellow"/>
                <w:lang w:val="ro-RO"/>
              </w:rPr>
            </w:pPr>
            <w:r w:rsidRPr="001D14A1">
              <w:rPr>
                <w:rFonts w:ascii="Times New Roman" w:hAnsi="Times New Roman" w:cs="Times New Roman"/>
                <w:b/>
                <w:bCs/>
                <w:color w:val="000000"/>
                <w:sz w:val="20"/>
                <w:szCs w:val="20"/>
              </w:rPr>
              <w:t>64.3</w:t>
            </w:r>
          </w:p>
        </w:tc>
        <w:tc>
          <w:tcPr>
            <w:tcW w:w="405" w:type="pct"/>
            <w:shd w:val="clear" w:color="auto" w:fill="auto"/>
            <w:vAlign w:val="center"/>
          </w:tcPr>
          <w:p w14:paraId="3774A386" w14:textId="2BB30826" w:rsidR="002E035B" w:rsidRPr="001D14A1" w:rsidRDefault="002E035B" w:rsidP="002E035B">
            <w:pPr>
              <w:contextualSpacing/>
              <w:jc w:val="center"/>
              <w:rPr>
                <w:rFonts w:ascii="Times New Roman" w:hAnsi="Times New Roman" w:cs="Times New Roman"/>
                <w:b/>
                <w:bCs/>
                <w:sz w:val="20"/>
                <w:szCs w:val="20"/>
                <w:highlight w:val="yellow"/>
                <w:lang w:val="ro-RO"/>
              </w:rPr>
            </w:pPr>
            <w:r w:rsidRPr="001D14A1">
              <w:rPr>
                <w:rFonts w:ascii="Times New Roman" w:hAnsi="Times New Roman" w:cs="Times New Roman"/>
                <w:b/>
                <w:bCs/>
                <w:color w:val="000000"/>
                <w:sz w:val="20"/>
                <w:szCs w:val="20"/>
              </w:rPr>
              <w:t>920.2</w:t>
            </w:r>
          </w:p>
        </w:tc>
      </w:tr>
      <w:tr w:rsidR="000904E2" w:rsidRPr="001D14A1" w14:paraId="16E4A437" w14:textId="77777777" w:rsidTr="00EC0D49">
        <w:trPr>
          <w:trHeight w:val="341"/>
          <w:jc w:val="center"/>
        </w:trPr>
        <w:tc>
          <w:tcPr>
            <w:tcW w:w="229" w:type="pct"/>
            <w:vMerge/>
            <w:vAlign w:val="center"/>
          </w:tcPr>
          <w:p w14:paraId="4A7491C6"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7E1E3387" w14:textId="262E6455" w:rsidR="000904E2" w:rsidRPr="001D14A1" w:rsidRDefault="000904E2" w:rsidP="000904E2">
            <w:pPr>
              <w:ind w:left="-85" w:right="-85"/>
              <w:contextualSpacing/>
              <w:rPr>
                <w:rFonts w:ascii="Times New Roman" w:hAnsi="Times New Roman" w:cs="Times New Roman"/>
                <w:sz w:val="20"/>
                <w:szCs w:val="20"/>
                <w:lang w:val="ro-RO"/>
              </w:rPr>
            </w:pPr>
            <w:r>
              <w:rPr>
                <w:rFonts w:ascii="Times New Roman" w:hAnsi="Times New Roman" w:cs="Times New Roman"/>
                <w:sz w:val="20"/>
                <w:szCs w:val="20"/>
                <w:lang w:val="ro-RO"/>
              </w:rPr>
              <w:t>Producția locală de energie electrică, mil. kWh</w:t>
            </w:r>
          </w:p>
        </w:tc>
        <w:tc>
          <w:tcPr>
            <w:tcW w:w="339" w:type="pct"/>
            <w:shd w:val="clear" w:color="auto" w:fill="auto"/>
            <w:vAlign w:val="center"/>
          </w:tcPr>
          <w:p w14:paraId="67ABB2F5" w14:textId="144E1D6D" w:rsidR="000904E2" w:rsidRPr="00634869" w:rsidRDefault="000904E2" w:rsidP="000904E2">
            <w:pPr>
              <w:contextualSpacing/>
              <w:jc w:val="center"/>
              <w:rPr>
                <w:rFonts w:ascii="Times New Roman" w:hAnsi="Times New Roman" w:cs="Times New Roman"/>
                <w:b/>
                <w:bCs/>
                <w:color w:val="000000"/>
                <w:sz w:val="20"/>
                <w:szCs w:val="20"/>
                <w:lang w:val="en-US"/>
              </w:rPr>
            </w:pPr>
            <w:r w:rsidRPr="00D40C4A">
              <w:rPr>
                <w:rFonts w:ascii="Times New Roman" w:eastAsia="Times New Roman" w:hAnsi="Times New Roman" w:cs="Times New Roman"/>
                <w:color w:val="000000"/>
                <w:sz w:val="20"/>
                <w:szCs w:val="20"/>
              </w:rPr>
              <w:t>51.5</w:t>
            </w:r>
          </w:p>
        </w:tc>
        <w:tc>
          <w:tcPr>
            <w:tcW w:w="344" w:type="pct"/>
            <w:shd w:val="clear" w:color="auto" w:fill="auto"/>
            <w:vAlign w:val="center"/>
          </w:tcPr>
          <w:p w14:paraId="40FD5704" w14:textId="13CB996B" w:rsidR="000904E2" w:rsidRPr="00634869" w:rsidRDefault="000904E2" w:rsidP="000904E2">
            <w:pPr>
              <w:contextualSpacing/>
              <w:jc w:val="center"/>
              <w:rPr>
                <w:rFonts w:ascii="Times New Roman" w:hAnsi="Times New Roman" w:cs="Times New Roman"/>
                <w:b/>
                <w:bCs/>
                <w:color w:val="000000"/>
                <w:sz w:val="20"/>
                <w:szCs w:val="20"/>
                <w:lang w:val="en-US"/>
              </w:rPr>
            </w:pPr>
            <w:r w:rsidRPr="00D40C4A">
              <w:rPr>
                <w:rFonts w:ascii="Times New Roman" w:eastAsia="Times New Roman" w:hAnsi="Times New Roman" w:cs="Times New Roman"/>
                <w:color w:val="000000"/>
                <w:sz w:val="20"/>
                <w:szCs w:val="20"/>
              </w:rPr>
              <w:t>116.0</w:t>
            </w:r>
          </w:p>
        </w:tc>
        <w:tc>
          <w:tcPr>
            <w:tcW w:w="347" w:type="pct"/>
            <w:shd w:val="clear" w:color="auto" w:fill="auto"/>
            <w:vAlign w:val="center"/>
          </w:tcPr>
          <w:p w14:paraId="52001183" w14:textId="04C967E7" w:rsidR="000904E2" w:rsidRPr="00634869" w:rsidRDefault="000904E2" w:rsidP="000904E2">
            <w:pPr>
              <w:contextualSpacing/>
              <w:jc w:val="center"/>
              <w:rPr>
                <w:rFonts w:ascii="Times New Roman" w:hAnsi="Times New Roman" w:cs="Times New Roman"/>
                <w:b/>
                <w:bCs/>
                <w:color w:val="000000"/>
                <w:sz w:val="20"/>
                <w:szCs w:val="20"/>
                <w:lang w:val="en-US"/>
              </w:rPr>
            </w:pPr>
            <w:r w:rsidRPr="00D40C4A">
              <w:rPr>
                <w:rFonts w:ascii="Times New Roman" w:eastAsia="Times New Roman" w:hAnsi="Times New Roman" w:cs="Times New Roman"/>
                <w:color w:val="000000"/>
                <w:sz w:val="20"/>
                <w:szCs w:val="20"/>
              </w:rPr>
              <w:t>132.4</w:t>
            </w:r>
          </w:p>
        </w:tc>
        <w:tc>
          <w:tcPr>
            <w:tcW w:w="342" w:type="pct"/>
            <w:shd w:val="clear" w:color="auto" w:fill="auto"/>
            <w:vAlign w:val="center"/>
          </w:tcPr>
          <w:p w14:paraId="67ACBF5B" w14:textId="3DA3CE14" w:rsidR="000904E2" w:rsidRPr="00634869" w:rsidRDefault="000904E2" w:rsidP="000904E2">
            <w:pPr>
              <w:contextualSpacing/>
              <w:jc w:val="center"/>
              <w:rPr>
                <w:rFonts w:ascii="Times New Roman" w:hAnsi="Times New Roman" w:cs="Times New Roman"/>
                <w:b/>
                <w:bCs/>
                <w:color w:val="000000"/>
                <w:sz w:val="20"/>
                <w:szCs w:val="20"/>
                <w:lang w:val="en-US"/>
              </w:rPr>
            </w:pPr>
            <w:r w:rsidRPr="00D40C4A">
              <w:rPr>
                <w:rFonts w:ascii="Times New Roman" w:eastAsia="Times New Roman" w:hAnsi="Times New Roman" w:cs="Times New Roman"/>
                <w:color w:val="000000"/>
                <w:sz w:val="20"/>
                <w:szCs w:val="20"/>
              </w:rPr>
              <w:t>146.0</w:t>
            </w:r>
          </w:p>
        </w:tc>
        <w:tc>
          <w:tcPr>
            <w:tcW w:w="343" w:type="pct"/>
            <w:shd w:val="clear" w:color="auto" w:fill="auto"/>
            <w:vAlign w:val="center"/>
          </w:tcPr>
          <w:p w14:paraId="6935EE0F" w14:textId="5025A1D7" w:rsidR="000904E2" w:rsidRPr="00634869" w:rsidRDefault="000904E2" w:rsidP="000904E2">
            <w:pPr>
              <w:contextualSpacing/>
              <w:jc w:val="center"/>
              <w:rPr>
                <w:rFonts w:ascii="Times New Roman" w:hAnsi="Times New Roman" w:cs="Times New Roman"/>
                <w:b/>
                <w:bCs/>
                <w:color w:val="000000"/>
                <w:sz w:val="20"/>
                <w:szCs w:val="20"/>
                <w:lang w:val="en-US"/>
              </w:rPr>
            </w:pPr>
            <w:r w:rsidRPr="00D40C4A">
              <w:rPr>
                <w:rFonts w:ascii="Times New Roman" w:eastAsia="Times New Roman" w:hAnsi="Times New Roman" w:cs="Times New Roman"/>
                <w:color w:val="000000"/>
                <w:sz w:val="20"/>
                <w:szCs w:val="20"/>
              </w:rPr>
              <w:t>148.6</w:t>
            </w:r>
          </w:p>
        </w:tc>
        <w:tc>
          <w:tcPr>
            <w:tcW w:w="361" w:type="pct"/>
            <w:shd w:val="clear" w:color="auto" w:fill="auto"/>
            <w:vAlign w:val="center"/>
          </w:tcPr>
          <w:p w14:paraId="54FA93C8" w14:textId="4EBEA75F" w:rsidR="000904E2" w:rsidRPr="00634869" w:rsidRDefault="000904E2" w:rsidP="000904E2">
            <w:pPr>
              <w:contextualSpacing/>
              <w:jc w:val="center"/>
              <w:rPr>
                <w:rFonts w:ascii="Times New Roman" w:hAnsi="Times New Roman" w:cs="Times New Roman"/>
                <w:b/>
                <w:bCs/>
                <w:color w:val="000000"/>
                <w:sz w:val="20"/>
                <w:szCs w:val="20"/>
                <w:lang w:val="en-US"/>
              </w:rPr>
            </w:pPr>
            <w:r w:rsidRPr="00D40C4A">
              <w:rPr>
                <w:rFonts w:ascii="Times New Roman" w:eastAsia="Times New Roman" w:hAnsi="Times New Roman" w:cs="Times New Roman"/>
                <w:color w:val="000000"/>
                <w:sz w:val="20"/>
                <w:szCs w:val="20"/>
              </w:rPr>
              <w:t>147.8</w:t>
            </w:r>
          </w:p>
        </w:tc>
        <w:tc>
          <w:tcPr>
            <w:tcW w:w="350" w:type="pct"/>
            <w:shd w:val="clear" w:color="auto" w:fill="auto"/>
            <w:vAlign w:val="center"/>
          </w:tcPr>
          <w:p w14:paraId="2C0453CC" w14:textId="0327C16E" w:rsidR="000904E2" w:rsidRPr="00634869" w:rsidRDefault="000904E2" w:rsidP="000904E2">
            <w:pPr>
              <w:contextualSpacing/>
              <w:jc w:val="center"/>
              <w:rPr>
                <w:rFonts w:ascii="Times New Roman" w:hAnsi="Times New Roman" w:cs="Times New Roman"/>
                <w:b/>
                <w:bCs/>
                <w:color w:val="000000"/>
                <w:sz w:val="20"/>
                <w:szCs w:val="20"/>
                <w:lang w:val="en-US"/>
              </w:rPr>
            </w:pPr>
            <w:r w:rsidRPr="00D40C4A">
              <w:rPr>
                <w:rFonts w:ascii="Times New Roman" w:eastAsia="Times New Roman" w:hAnsi="Times New Roman" w:cs="Times New Roman"/>
                <w:color w:val="000000"/>
                <w:sz w:val="20"/>
                <w:szCs w:val="20"/>
              </w:rPr>
              <w:t>80.2</w:t>
            </w:r>
          </w:p>
        </w:tc>
        <w:tc>
          <w:tcPr>
            <w:tcW w:w="405" w:type="pct"/>
            <w:shd w:val="clear" w:color="auto" w:fill="auto"/>
            <w:vAlign w:val="center"/>
          </w:tcPr>
          <w:p w14:paraId="3D0F816A" w14:textId="27344B3D" w:rsidR="000904E2" w:rsidRPr="00634869" w:rsidRDefault="000904E2" w:rsidP="000904E2">
            <w:pPr>
              <w:contextualSpacing/>
              <w:jc w:val="center"/>
              <w:rPr>
                <w:rFonts w:ascii="Times New Roman" w:hAnsi="Times New Roman" w:cs="Times New Roman"/>
                <w:b/>
                <w:bCs/>
                <w:color w:val="000000"/>
                <w:sz w:val="20"/>
                <w:szCs w:val="20"/>
                <w:lang w:val="en-US"/>
              </w:rPr>
            </w:pPr>
            <w:r w:rsidRPr="000904E2">
              <w:rPr>
                <w:rFonts w:ascii="Times New Roman" w:eastAsia="Times New Roman" w:hAnsi="Times New Roman" w:cs="Times New Roman"/>
                <w:b/>
                <w:bCs/>
                <w:color w:val="000000"/>
                <w:sz w:val="20"/>
                <w:szCs w:val="20"/>
              </w:rPr>
              <w:t>822.6</w:t>
            </w:r>
          </w:p>
        </w:tc>
      </w:tr>
      <w:tr w:rsidR="00EC0D49" w:rsidRPr="001D14A1" w14:paraId="270B42DB" w14:textId="77777777" w:rsidTr="00EC0D49">
        <w:trPr>
          <w:trHeight w:val="341"/>
          <w:jc w:val="center"/>
        </w:trPr>
        <w:tc>
          <w:tcPr>
            <w:tcW w:w="229" w:type="pct"/>
            <w:vMerge/>
            <w:vAlign w:val="center"/>
          </w:tcPr>
          <w:p w14:paraId="1D08947C" w14:textId="77777777" w:rsidR="00EC0D49" w:rsidRPr="001D14A1" w:rsidRDefault="00EC0D49" w:rsidP="00EC0D49">
            <w:pPr>
              <w:ind w:left="-85" w:right="-85"/>
              <w:contextualSpacing/>
              <w:rPr>
                <w:rFonts w:ascii="Times New Roman" w:hAnsi="Times New Roman" w:cs="Times New Roman"/>
                <w:sz w:val="20"/>
                <w:szCs w:val="20"/>
                <w:lang w:val="ro-RO"/>
              </w:rPr>
            </w:pPr>
          </w:p>
        </w:tc>
        <w:tc>
          <w:tcPr>
            <w:tcW w:w="1563" w:type="pct"/>
            <w:gridSpan w:val="3"/>
            <w:shd w:val="clear" w:color="auto" w:fill="auto"/>
            <w:vAlign w:val="center"/>
          </w:tcPr>
          <w:p w14:paraId="6D350840" w14:textId="113EE61E" w:rsidR="00EC0D49" w:rsidRPr="001D14A1" w:rsidRDefault="00EC0D49" w:rsidP="00EC0D49">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Energie electrică livrată din alte surse, mil. kWh, inclusiv</w:t>
            </w:r>
          </w:p>
        </w:tc>
        <w:tc>
          <w:tcPr>
            <w:tcW w:w="377" w:type="pct"/>
            <w:gridSpan w:val="2"/>
            <w:shd w:val="clear" w:color="auto" w:fill="auto"/>
            <w:vAlign w:val="center"/>
          </w:tcPr>
          <w:p w14:paraId="268A69BA" w14:textId="77777777" w:rsidR="00EC0D49" w:rsidRPr="001D14A1" w:rsidRDefault="00EC0D49" w:rsidP="00EC0D49">
            <w:pPr>
              <w:ind w:left="-85" w:right="-85"/>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100%</w:t>
            </w:r>
          </w:p>
        </w:tc>
        <w:tc>
          <w:tcPr>
            <w:tcW w:w="339" w:type="pct"/>
            <w:shd w:val="clear" w:color="auto" w:fill="auto"/>
            <w:vAlign w:val="center"/>
          </w:tcPr>
          <w:p w14:paraId="2706BC65" w14:textId="7319BA09" w:rsidR="00EC0D49" w:rsidRPr="00EC0D49" w:rsidRDefault="00EC0D49" w:rsidP="00EC0D49">
            <w:pPr>
              <w:contextualSpacing/>
              <w:jc w:val="center"/>
              <w:rPr>
                <w:rFonts w:ascii="Times New Roman" w:hAnsi="Times New Roman" w:cs="Times New Roman"/>
                <w:b/>
                <w:bCs/>
                <w:sz w:val="20"/>
                <w:szCs w:val="20"/>
                <w:lang w:val="ro-RO"/>
              </w:rPr>
            </w:pPr>
            <w:r w:rsidRPr="00EC0D49">
              <w:rPr>
                <w:rFonts w:ascii="Times New Roman" w:eastAsia="Times New Roman" w:hAnsi="Times New Roman" w:cs="Times New Roman"/>
                <w:b/>
                <w:bCs/>
                <w:color w:val="000000"/>
                <w:sz w:val="20"/>
                <w:szCs w:val="20"/>
              </w:rPr>
              <w:t>315.5</w:t>
            </w:r>
          </w:p>
        </w:tc>
        <w:tc>
          <w:tcPr>
            <w:tcW w:w="344" w:type="pct"/>
            <w:shd w:val="clear" w:color="auto" w:fill="auto"/>
            <w:vAlign w:val="center"/>
          </w:tcPr>
          <w:p w14:paraId="48762E88" w14:textId="3401F36D" w:rsidR="00EC0D49" w:rsidRPr="00EC0D49" w:rsidRDefault="00EC0D49" w:rsidP="00EC0D49">
            <w:pPr>
              <w:contextualSpacing/>
              <w:jc w:val="center"/>
              <w:rPr>
                <w:rFonts w:ascii="Times New Roman" w:hAnsi="Times New Roman" w:cs="Times New Roman"/>
                <w:b/>
                <w:bCs/>
                <w:sz w:val="20"/>
                <w:szCs w:val="20"/>
                <w:lang w:val="ro-RO"/>
              </w:rPr>
            </w:pPr>
            <w:r w:rsidRPr="00EC0D49">
              <w:rPr>
                <w:rFonts w:ascii="Times New Roman" w:eastAsia="Times New Roman" w:hAnsi="Times New Roman" w:cs="Times New Roman"/>
                <w:b/>
                <w:bCs/>
                <w:color w:val="000000"/>
                <w:sz w:val="20"/>
                <w:szCs w:val="20"/>
              </w:rPr>
              <w:t>287.2</w:t>
            </w:r>
          </w:p>
        </w:tc>
        <w:tc>
          <w:tcPr>
            <w:tcW w:w="347" w:type="pct"/>
            <w:shd w:val="clear" w:color="auto" w:fill="auto"/>
            <w:vAlign w:val="center"/>
          </w:tcPr>
          <w:p w14:paraId="78E3E7F3" w14:textId="5BFC9FBB" w:rsidR="00EC0D49" w:rsidRPr="00EC0D49" w:rsidRDefault="00EC0D49" w:rsidP="00EC0D49">
            <w:pPr>
              <w:contextualSpacing/>
              <w:jc w:val="center"/>
              <w:rPr>
                <w:rFonts w:ascii="Times New Roman" w:hAnsi="Times New Roman" w:cs="Times New Roman"/>
                <w:b/>
                <w:bCs/>
                <w:sz w:val="20"/>
                <w:szCs w:val="20"/>
                <w:lang w:val="ro-RO"/>
              </w:rPr>
            </w:pPr>
            <w:r w:rsidRPr="00EC0D49">
              <w:rPr>
                <w:rFonts w:ascii="Times New Roman" w:eastAsia="Times New Roman" w:hAnsi="Times New Roman" w:cs="Times New Roman"/>
                <w:b/>
                <w:bCs/>
                <w:color w:val="000000"/>
                <w:sz w:val="20"/>
                <w:szCs w:val="20"/>
              </w:rPr>
              <w:t>309.4</w:t>
            </w:r>
          </w:p>
        </w:tc>
        <w:tc>
          <w:tcPr>
            <w:tcW w:w="342" w:type="pct"/>
            <w:shd w:val="clear" w:color="auto" w:fill="auto"/>
            <w:vAlign w:val="center"/>
          </w:tcPr>
          <w:p w14:paraId="5A465F98" w14:textId="667D303A" w:rsidR="00EC0D49" w:rsidRPr="00EC0D49" w:rsidRDefault="00EC0D49" w:rsidP="00EC0D49">
            <w:pPr>
              <w:contextualSpacing/>
              <w:jc w:val="center"/>
              <w:rPr>
                <w:rFonts w:ascii="Times New Roman" w:hAnsi="Times New Roman" w:cs="Times New Roman"/>
                <w:b/>
                <w:bCs/>
                <w:sz w:val="20"/>
                <w:szCs w:val="20"/>
                <w:lang w:val="ro-RO"/>
              </w:rPr>
            </w:pPr>
            <w:r w:rsidRPr="00EC0D49">
              <w:rPr>
                <w:rFonts w:ascii="Times New Roman" w:eastAsia="Times New Roman" w:hAnsi="Times New Roman" w:cs="Times New Roman"/>
                <w:b/>
                <w:bCs/>
                <w:color w:val="000000"/>
                <w:sz w:val="20"/>
                <w:szCs w:val="20"/>
              </w:rPr>
              <w:t>260.3</w:t>
            </w:r>
          </w:p>
        </w:tc>
        <w:tc>
          <w:tcPr>
            <w:tcW w:w="343" w:type="pct"/>
            <w:shd w:val="clear" w:color="auto" w:fill="auto"/>
            <w:vAlign w:val="center"/>
          </w:tcPr>
          <w:p w14:paraId="58CE300C" w14:textId="5E32F506" w:rsidR="00EC0D49" w:rsidRPr="00EC0D49" w:rsidRDefault="00EC0D49" w:rsidP="00EC0D49">
            <w:pPr>
              <w:contextualSpacing/>
              <w:jc w:val="center"/>
              <w:rPr>
                <w:rFonts w:ascii="Times New Roman" w:hAnsi="Times New Roman" w:cs="Times New Roman"/>
                <w:b/>
                <w:bCs/>
                <w:sz w:val="20"/>
                <w:szCs w:val="20"/>
                <w:lang w:val="ro-RO"/>
              </w:rPr>
            </w:pPr>
            <w:r w:rsidRPr="00EC0D49">
              <w:rPr>
                <w:rFonts w:ascii="Times New Roman" w:eastAsia="Times New Roman" w:hAnsi="Times New Roman" w:cs="Times New Roman"/>
                <w:b/>
                <w:bCs/>
                <w:color w:val="000000"/>
                <w:sz w:val="20"/>
                <w:szCs w:val="20"/>
              </w:rPr>
              <w:t>235.9</w:t>
            </w:r>
          </w:p>
        </w:tc>
        <w:tc>
          <w:tcPr>
            <w:tcW w:w="361" w:type="pct"/>
            <w:shd w:val="clear" w:color="auto" w:fill="auto"/>
            <w:vAlign w:val="center"/>
          </w:tcPr>
          <w:p w14:paraId="7916106D" w14:textId="5BBFD3D9" w:rsidR="00EC0D49" w:rsidRPr="00EC0D49" w:rsidRDefault="00EC0D49" w:rsidP="00EC0D49">
            <w:pPr>
              <w:contextualSpacing/>
              <w:jc w:val="center"/>
              <w:rPr>
                <w:rFonts w:ascii="Times New Roman" w:hAnsi="Times New Roman" w:cs="Times New Roman"/>
                <w:b/>
                <w:bCs/>
                <w:sz w:val="20"/>
                <w:szCs w:val="20"/>
                <w:lang w:val="ro-RO"/>
              </w:rPr>
            </w:pPr>
            <w:r w:rsidRPr="00EC0D49">
              <w:rPr>
                <w:rFonts w:ascii="Times New Roman" w:eastAsia="Times New Roman" w:hAnsi="Times New Roman" w:cs="Times New Roman"/>
                <w:b/>
                <w:bCs/>
                <w:color w:val="000000"/>
                <w:sz w:val="20"/>
                <w:szCs w:val="20"/>
              </w:rPr>
              <w:t>247.2</w:t>
            </w:r>
          </w:p>
        </w:tc>
        <w:tc>
          <w:tcPr>
            <w:tcW w:w="350" w:type="pct"/>
            <w:shd w:val="clear" w:color="auto" w:fill="auto"/>
            <w:vAlign w:val="center"/>
          </w:tcPr>
          <w:p w14:paraId="5E811E28" w14:textId="4B2A7278" w:rsidR="00EC0D49" w:rsidRPr="00EC0D49" w:rsidRDefault="00EC0D49" w:rsidP="00EC0D49">
            <w:pPr>
              <w:contextualSpacing/>
              <w:jc w:val="center"/>
              <w:rPr>
                <w:rFonts w:ascii="Times New Roman" w:hAnsi="Times New Roman" w:cs="Times New Roman"/>
                <w:b/>
                <w:bCs/>
                <w:sz w:val="20"/>
                <w:szCs w:val="20"/>
                <w:lang w:val="ro-RO"/>
              </w:rPr>
            </w:pPr>
            <w:r w:rsidRPr="00EC0D49">
              <w:rPr>
                <w:rFonts w:ascii="Times New Roman" w:eastAsia="Times New Roman" w:hAnsi="Times New Roman" w:cs="Times New Roman"/>
                <w:b/>
                <w:bCs/>
                <w:color w:val="000000"/>
                <w:sz w:val="20"/>
                <w:szCs w:val="20"/>
              </w:rPr>
              <w:t>286.0</w:t>
            </w:r>
          </w:p>
        </w:tc>
        <w:tc>
          <w:tcPr>
            <w:tcW w:w="405" w:type="pct"/>
            <w:shd w:val="clear" w:color="auto" w:fill="FFFFFF" w:themeFill="background1"/>
            <w:vAlign w:val="center"/>
          </w:tcPr>
          <w:p w14:paraId="1A6EC86A" w14:textId="2523D8E6" w:rsidR="00EC0D49" w:rsidRPr="001D14A1" w:rsidRDefault="00EC0D49" w:rsidP="00EC0D49">
            <w:pPr>
              <w:contextualSpacing/>
              <w:jc w:val="center"/>
              <w:rPr>
                <w:rFonts w:ascii="Times New Roman" w:hAnsi="Times New Roman" w:cs="Times New Roman"/>
                <w:b/>
                <w:bCs/>
                <w:sz w:val="20"/>
                <w:szCs w:val="20"/>
                <w:lang w:val="ro-RO"/>
              </w:rPr>
            </w:pPr>
            <w:r w:rsidRPr="00EC0D49">
              <w:rPr>
                <w:rFonts w:ascii="Times New Roman" w:hAnsi="Times New Roman" w:cs="Times New Roman"/>
                <w:b/>
                <w:bCs/>
                <w:color w:val="000000"/>
                <w:sz w:val="20"/>
                <w:szCs w:val="20"/>
              </w:rPr>
              <w:t>1</w:t>
            </w:r>
            <w:r>
              <w:rPr>
                <w:rFonts w:ascii="Times New Roman" w:hAnsi="Times New Roman" w:cs="Times New Roman"/>
                <w:b/>
                <w:bCs/>
                <w:color w:val="000000"/>
                <w:sz w:val="20"/>
                <w:szCs w:val="20"/>
                <w:lang w:val="ro-RO"/>
              </w:rPr>
              <w:t xml:space="preserve"> </w:t>
            </w:r>
            <w:r w:rsidRPr="00EC0D49">
              <w:rPr>
                <w:rFonts w:ascii="Times New Roman" w:hAnsi="Times New Roman" w:cs="Times New Roman"/>
                <w:b/>
                <w:bCs/>
                <w:color w:val="000000"/>
                <w:sz w:val="20"/>
                <w:szCs w:val="20"/>
              </w:rPr>
              <w:t>941.5</w:t>
            </w:r>
          </w:p>
        </w:tc>
      </w:tr>
      <w:tr w:rsidR="000904E2" w:rsidRPr="001D14A1" w14:paraId="5619AA0E" w14:textId="77777777" w:rsidTr="00EC0D49">
        <w:trPr>
          <w:trHeight w:val="20"/>
          <w:jc w:val="center"/>
        </w:trPr>
        <w:tc>
          <w:tcPr>
            <w:tcW w:w="229" w:type="pct"/>
            <w:vMerge/>
            <w:vAlign w:val="center"/>
          </w:tcPr>
          <w:p w14:paraId="761095CF"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563" w:type="pct"/>
            <w:gridSpan w:val="3"/>
            <w:shd w:val="clear" w:color="auto" w:fill="auto"/>
            <w:vAlign w:val="center"/>
          </w:tcPr>
          <w:p w14:paraId="755026A0" w14:textId="29021DDE" w:rsidR="000904E2" w:rsidRPr="001D14A1" w:rsidRDefault="000904E2" w:rsidP="000904E2">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Energie electrică livrată dintr-o surs</w:t>
            </w:r>
            <w:r>
              <w:rPr>
                <w:rFonts w:ascii="Times New Roman" w:hAnsi="Times New Roman" w:cs="Times New Roman"/>
                <w:sz w:val="20"/>
                <w:szCs w:val="20"/>
                <w:lang w:val="ro-RO"/>
              </w:rPr>
              <w:t>ă</w:t>
            </w:r>
            <w:r w:rsidRPr="001D14A1">
              <w:rPr>
                <w:rFonts w:ascii="Times New Roman" w:hAnsi="Times New Roman" w:cs="Times New Roman"/>
                <w:sz w:val="20"/>
                <w:szCs w:val="20"/>
                <w:lang w:val="ro-RO"/>
              </w:rPr>
              <w:t>, mil. kWh</w:t>
            </w:r>
          </w:p>
        </w:tc>
        <w:tc>
          <w:tcPr>
            <w:tcW w:w="377" w:type="pct"/>
            <w:gridSpan w:val="2"/>
            <w:shd w:val="clear" w:color="auto" w:fill="FFFFFF" w:themeFill="background1"/>
            <w:vAlign w:val="center"/>
          </w:tcPr>
          <w:p w14:paraId="1EE6AEDB" w14:textId="77777777" w:rsidR="000904E2" w:rsidRPr="001D14A1" w:rsidRDefault="000904E2" w:rsidP="000904E2">
            <w:pPr>
              <w:ind w:left="-85" w:right="-85"/>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70%</w:t>
            </w:r>
          </w:p>
        </w:tc>
        <w:tc>
          <w:tcPr>
            <w:tcW w:w="339" w:type="pct"/>
            <w:shd w:val="clear" w:color="auto" w:fill="FFFFFF" w:themeFill="background1"/>
            <w:vAlign w:val="center"/>
          </w:tcPr>
          <w:p w14:paraId="12CEBC3C" w14:textId="367634CB"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220.8</w:t>
            </w:r>
          </w:p>
        </w:tc>
        <w:tc>
          <w:tcPr>
            <w:tcW w:w="344" w:type="pct"/>
            <w:shd w:val="clear" w:color="auto" w:fill="FFFFFF" w:themeFill="background1"/>
            <w:vAlign w:val="center"/>
          </w:tcPr>
          <w:p w14:paraId="201817E0" w14:textId="7033B40C"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201.</w:t>
            </w:r>
            <w:r w:rsidR="00EC0D49">
              <w:rPr>
                <w:rFonts w:ascii="Times New Roman" w:hAnsi="Times New Roman" w:cs="Times New Roman"/>
                <w:color w:val="000000"/>
                <w:sz w:val="20"/>
                <w:szCs w:val="20"/>
                <w:lang w:val="ro-RO"/>
              </w:rPr>
              <w:t>1</w:t>
            </w:r>
          </w:p>
        </w:tc>
        <w:tc>
          <w:tcPr>
            <w:tcW w:w="347" w:type="pct"/>
            <w:shd w:val="clear" w:color="auto" w:fill="FFFFFF" w:themeFill="background1"/>
            <w:vAlign w:val="center"/>
          </w:tcPr>
          <w:p w14:paraId="5758AA31" w14:textId="3763E419"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216.</w:t>
            </w:r>
            <w:r w:rsidR="00EC0D49">
              <w:rPr>
                <w:rFonts w:ascii="Times New Roman" w:hAnsi="Times New Roman" w:cs="Times New Roman"/>
                <w:color w:val="000000"/>
                <w:sz w:val="20"/>
                <w:szCs w:val="20"/>
                <w:lang w:val="ro-RO"/>
              </w:rPr>
              <w:t>6</w:t>
            </w:r>
          </w:p>
        </w:tc>
        <w:tc>
          <w:tcPr>
            <w:tcW w:w="342" w:type="pct"/>
            <w:shd w:val="clear" w:color="auto" w:fill="FFFFFF" w:themeFill="background1"/>
            <w:vAlign w:val="center"/>
          </w:tcPr>
          <w:p w14:paraId="7F85EE04" w14:textId="0E326296"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182.2</w:t>
            </w:r>
          </w:p>
        </w:tc>
        <w:tc>
          <w:tcPr>
            <w:tcW w:w="343" w:type="pct"/>
            <w:shd w:val="clear" w:color="auto" w:fill="FFFFFF" w:themeFill="background1"/>
            <w:vAlign w:val="center"/>
          </w:tcPr>
          <w:p w14:paraId="500915F3" w14:textId="3DFCBD41"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165.1</w:t>
            </w:r>
          </w:p>
        </w:tc>
        <w:tc>
          <w:tcPr>
            <w:tcW w:w="361" w:type="pct"/>
            <w:shd w:val="clear" w:color="auto" w:fill="FFFFFF" w:themeFill="background1"/>
            <w:vAlign w:val="center"/>
          </w:tcPr>
          <w:p w14:paraId="079BE6EB" w14:textId="23F53943"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173.0</w:t>
            </w:r>
          </w:p>
        </w:tc>
        <w:tc>
          <w:tcPr>
            <w:tcW w:w="350" w:type="pct"/>
            <w:shd w:val="clear" w:color="auto" w:fill="FFFFFF" w:themeFill="background1"/>
            <w:vAlign w:val="center"/>
          </w:tcPr>
          <w:p w14:paraId="02F67E78" w14:textId="11A2803B"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200.2</w:t>
            </w:r>
          </w:p>
        </w:tc>
        <w:tc>
          <w:tcPr>
            <w:tcW w:w="405" w:type="pct"/>
            <w:shd w:val="clear" w:color="auto" w:fill="FFFFFF" w:themeFill="background1"/>
            <w:vAlign w:val="center"/>
          </w:tcPr>
          <w:p w14:paraId="455E84CE" w14:textId="44DE682E" w:rsidR="000904E2" w:rsidRPr="001D14A1" w:rsidRDefault="000904E2" w:rsidP="000904E2">
            <w:pPr>
              <w:contextualSpacing/>
              <w:jc w:val="center"/>
              <w:rPr>
                <w:rFonts w:ascii="Times New Roman" w:hAnsi="Times New Roman" w:cs="Times New Roman"/>
                <w:b/>
                <w:bCs/>
                <w:sz w:val="20"/>
                <w:szCs w:val="20"/>
                <w:lang w:val="ro-RO"/>
              </w:rPr>
            </w:pPr>
            <w:r w:rsidRPr="001D14A1">
              <w:rPr>
                <w:rFonts w:ascii="Times New Roman" w:hAnsi="Times New Roman" w:cs="Times New Roman"/>
                <w:b/>
                <w:bCs/>
                <w:color w:val="000000"/>
                <w:sz w:val="20"/>
                <w:szCs w:val="20"/>
              </w:rPr>
              <w:t>1</w:t>
            </w:r>
            <w:r w:rsidR="00EC0D49">
              <w:rPr>
                <w:rFonts w:ascii="Times New Roman" w:hAnsi="Times New Roman" w:cs="Times New Roman"/>
                <w:b/>
                <w:bCs/>
                <w:color w:val="000000"/>
                <w:sz w:val="20"/>
                <w:szCs w:val="20"/>
                <w:lang w:val="ro-RO"/>
              </w:rPr>
              <w:t xml:space="preserve"> </w:t>
            </w:r>
            <w:r w:rsidRPr="001D14A1">
              <w:rPr>
                <w:rFonts w:ascii="Times New Roman" w:hAnsi="Times New Roman" w:cs="Times New Roman"/>
                <w:b/>
                <w:bCs/>
                <w:color w:val="000000"/>
                <w:sz w:val="20"/>
                <w:szCs w:val="20"/>
              </w:rPr>
              <w:t>359.0</w:t>
            </w:r>
          </w:p>
        </w:tc>
      </w:tr>
      <w:tr w:rsidR="000904E2" w:rsidRPr="001D14A1" w14:paraId="1EEFB3C6" w14:textId="77777777" w:rsidTr="00EC0D49">
        <w:trPr>
          <w:trHeight w:val="20"/>
          <w:jc w:val="center"/>
        </w:trPr>
        <w:tc>
          <w:tcPr>
            <w:tcW w:w="229" w:type="pct"/>
            <w:vMerge/>
            <w:vAlign w:val="center"/>
          </w:tcPr>
          <w:p w14:paraId="319DB60D"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563" w:type="pct"/>
            <w:gridSpan w:val="3"/>
            <w:shd w:val="clear" w:color="auto" w:fill="auto"/>
            <w:vAlign w:val="center"/>
          </w:tcPr>
          <w:p w14:paraId="0A5DD7D5" w14:textId="66468D63" w:rsidR="000904E2" w:rsidRPr="001D14A1" w:rsidRDefault="000904E2" w:rsidP="000904E2">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Energie electrică livrată din alte surse, mil. kWh</w:t>
            </w:r>
          </w:p>
        </w:tc>
        <w:tc>
          <w:tcPr>
            <w:tcW w:w="377" w:type="pct"/>
            <w:gridSpan w:val="2"/>
            <w:shd w:val="clear" w:color="auto" w:fill="FFFFFF" w:themeFill="background1"/>
            <w:vAlign w:val="center"/>
          </w:tcPr>
          <w:p w14:paraId="4D2DC851" w14:textId="77777777" w:rsidR="000904E2" w:rsidRPr="001D14A1" w:rsidRDefault="000904E2" w:rsidP="000904E2">
            <w:pPr>
              <w:ind w:left="-85" w:right="-85"/>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30%</w:t>
            </w:r>
          </w:p>
        </w:tc>
        <w:tc>
          <w:tcPr>
            <w:tcW w:w="339" w:type="pct"/>
            <w:shd w:val="clear" w:color="auto" w:fill="FFFFFF" w:themeFill="background1"/>
            <w:vAlign w:val="center"/>
          </w:tcPr>
          <w:p w14:paraId="706A9F45" w14:textId="52CDDE58"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94.</w:t>
            </w:r>
            <w:r w:rsidR="00EC0D49">
              <w:rPr>
                <w:rFonts w:ascii="Times New Roman" w:hAnsi="Times New Roman" w:cs="Times New Roman"/>
                <w:color w:val="000000"/>
                <w:sz w:val="20"/>
                <w:szCs w:val="20"/>
                <w:lang w:val="ro-RO"/>
              </w:rPr>
              <w:t>7</w:t>
            </w:r>
          </w:p>
        </w:tc>
        <w:tc>
          <w:tcPr>
            <w:tcW w:w="344" w:type="pct"/>
            <w:shd w:val="clear" w:color="auto" w:fill="FFFFFF" w:themeFill="background1"/>
            <w:vAlign w:val="center"/>
          </w:tcPr>
          <w:p w14:paraId="456CFDB9" w14:textId="415FBCCB"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86.</w:t>
            </w:r>
            <w:r w:rsidR="00EC0D49">
              <w:rPr>
                <w:rFonts w:ascii="Times New Roman" w:hAnsi="Times New Roman" w:cs="Times New Roman"/>
                <w:color w:val="000000"/>
                <w:sz w:val="20"/>
                <w:szCs w:val="20"/>
                <w:lang w:val="ro-RO"/>
              </w:rPr>
              <w:t>2</w:t>
            </w:r>
          </w:p>
        </w:tc>
        <w:tc>
          <w:tcPr>
            <w:tcW w:w="347" w:type="pct"/>
            <w:shd w:val="clear" w:color="auto" w:fill="FFFFFF" w:themeFill="background1"/>
            <w:vAlign w:val="center"/>
          </w:tcPr>
          <w:p w14:paraId="014E6C2A" w14:textId="489C2746"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92.8</w:t>
            </w:r>
          </w:p>
        </w:tc>
        <w:tc>
          <w:tcPr>
            <w:tcW w:w="342" w:type="pct"/>
            <w:shd w:val="clear" w:color="auto" w:fill="FFFFFF" w:themeFill="background1"/>
            <w:vAlign w:val="center"/>
          </w:tcPr>
          <w:p w14:paraId="38984573" w14:textId="4254C1D0"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78.</w:t>
            </w:r>
            <w:r w:rsidR="00EC0D49">
              <w:rPr>
                <w:rFonts w:ascii="Times New Roman" w:hAnsi="Times New Roman" w:cs="Times New Roman"/>
                <w:color w:val="000000"/>
                <w:sz w:val="20"/>
                <w:szCs w:val="20"/>
                <w:lang w:val="ro-RO"/>
              </w:rPr>
              <w:t>1</w:t>
            </w:r>
          </w:p>
        </w:tc>
        <w:tc>
          <w:tcPr>
            <w:tcW w:w="343" w:type="pct"/>
            <w:shd w:val="clear" w:color="auto" w:fill="FFFFFF" w:themeFill="background1"/>
            <w:vAlign w:val="center"/>
          </w:tcPr>
          <w:p w14:paraId="44AD1D7A" w14:textId="4E7450FD"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70.</w:t>
            </w:r>
            <w:r w:rsidR="00EC0D49">
              <w:rPr>
                <w:rFonts w:ascii="Times New Roman" w:hAnsi="Times New Roman" w:cs="Times New Roman"/>
                <w:color w:val="000000"/>
                <w:sz w:val="20"/>
                <w:szCs w:val="20"/>
                <w:lang w:val="ro-RO"/>
              </w:rPr>
              <w:t>8</w:t>
            </w:r>
          </w:p>
        </w:tc>
        <w:tc>
          <w:tcPr>
            <w:tcW w:w="361" w:type="pct"/>
            <w:shd w:val="clear" w:color="auto" w:fill="FFFFFF" w:themeFill="background1"/>
            <w:vAlign w:val="center"/>
          </w:tcPr>
          <w:p w14:paraId="4050A850" w14:textId="5F3CB973"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74.</w:t>
            </w:r>
            <w:r w:rsidR="00EC0D49">
              <w:rPr>
                <w:rFonts w:ascii="Times New Roman" w:hAnsi="Times New Roman" w:cs="Times New Roman"/>
                <w:color w:val="000000"/>
                <w:sz w:val="20"/>
                <w:szCs w:val="20"/>
                <w:lang w:val="ro-RO"/>
              </w:rPr>
              <w:t>2</w:t>
            </w:r>
          </w:p>
        </w:tc>
        <w:tc>
          <w:tcPr>
            <w:tcW w:w="350" w:type="pct"/>
            <w:shd w:val="clear" w:color="auto" w:fill="FFFFFF" w:themeFill="background1"/>
            <w:vAlign w:val="center"/>
          </w:tcPr>
          <w:p w14:paraId="7155DA7A" w14:textId="221E1673"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85.8</w:t>
            </w:r>
          </w:p>
        </w:tc>
        <w:tc>
          <w:tcPr>
            <w:tcW w:w="405" w:type="pct"/>
            <w:shd w:val="clear" w:color="auto" w:fill="FFFFFF" w:themeFill="background1"/>
            <w:vAlign w:val="center"/>
          </w:tcPr>
          <w:p w14:paraId="05AB7D39" w14:textId="77777777" w:rsidR="000904E2" w:rsidRPr="001D14A1" w:rsidRDefault="000904E2" w:rsidP="000904E2">
            <w:pPr>
              <w:contextualSpacing/>
              <w:jc w:val="center"/>
              <w:rPr>
                <w:rFonts w:ascii="Times New Roman" w:hAnsi="Times New Roman" w:cs="Times New Roman"/>
                <w:b/>
                <w:bCs/>
                <w:sz w:val="20"/>
                <w:szCs w:val="20"/>
                <w:highlight w:val="yellow"/>
                <w:lang w:val="ro-RO"/>
              </w:rPr>
            </w:pPr>
            <w:r w:rsidRPr="001D14A1">
              <w:rPr>
                <w:rFonts w:ascii="Times New Roman" w:hAnsi="Times New Roman" w:cs="Times New Roman"/>
                <w:b/>
                <w:bCs/>
                <w:color w:val="000000"/>
                <w:sz w:val="20"/>
                <w:szCs w:val="20"/>
              </w:rPr>
              <w:t>582.4</w:t>
            </w:r>
          </w:p>
        </w:tc>
      </w:tr>
      <w:tr w:rsidR="000904E2" w:rsidRPr="001D14A1" w14:paraId="0165F5FE" w14:textId="77777777" w:rsidTr="00EC0D49">
        <w:trPr>
          <w:trHeight w:val="20"/>
          <w:jc w:val="center"/>
        </w:trPr>
        <w:tc>
          <w:tcPr>
            <w:tcW w:w="229" w:type="pct"/>
            <w:vMerge w:val="restart"/>
            <w:vAlign w:val="center"/>
          </w:tcPr>
          <w:p w14:paraId="6CD07204" w14:textId="77777777" w:rsidR="000904E2" w:rsidRPr="001D14A1" w:rsidRDefault="000904E2" w:rsidP="000904E2">
            <w:pPr>
              <w:ind w:left="-85" w:right="-85" w:firstLine="245"/>
              <w:contextualSpacing/>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II</w:t>
            </w:r>
          </w:p>
        </w:tc>
        <w:tc>
          <w:tcPr>
            <w:tcW w:w="984" w:type="pct"/>
            <w:gridSpan w:val="2"/>
            <w:shd w:val="clear" w:color="auto" w:fill="DEEAF6" w:themeFill="accent1" w:themeFillTint="33"/>
            <w:vAlign w:val="center"/>
          </w:tcPr>
          <w:p w14:paraId="13B30169" w14:textId="6CD65464" w:rsidR="000904E2" w:rsidRPr="001D14A1" w:rsidRDefault="000904E2" w:rsidP="000904E2">
            <w:pPr>
              <w:ind w:left="-85" w:right="-85"/>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Scenariul II</w:t>
            </w:r>
          </w:p>
        </w:tc>
        <w:tc>
          <w:tcPr>
            <w:tcW w:w="587" w:type="pct"/>
            <w:gridSpan w:val="2"/>
            <w:shd w:val="clear" w:color="auto" w:fill="DEEAF6" w:themeFill="accent1" w:themeFillTint="33"/>
            <w:vAlign w:val="center"/>
          </w:tcPr>
          <w:p w14:paraId="5549D9A8" w14:textId="77777777" w:rsidR="000904E2" w:rsidRPr="001D14A1" w:rsidRDefault="000904E2" w:rsidP="000904E2">
            <w:pPr>
              <w:ind w:left="-85" w:right="-85"/>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Ridicată</w:t>
            </w:r>
          </w:p>
        </w:tc>
        <w:tc>
          <w:tcPr>
            <w:tcW w:w="368" w:type="pct"/>
            <w:shd w:val="clear" w:color="auto" w:fill="DEEAF6" w:themeFill="accent1" w:themeFillTint="33"/>
            <w:vAlign w:val="center"/>
          </w:tcPr>
          <w:p w14:paraId="0D2FEAEF" w14:textId="77777777" w:rsidR="000904E2" w:rsidRPr="001D14A1" w:rsidRDefault="000904E2" w:rsidP="000904E2">
            <w:pPr>
              <w:ind w:left="-85" w:right="-85"/>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0-42 %</w:t>
            </w:r>
          </w:p>
        </w:tc>
        <w:tc>
          <w:tcPr>
            <w:tcW w:w="2832" w:type="pct"/>
            <w:gridSpan w:val="8"/>
            <w:shd w:val="clear" w:color="auto" w:fill="DEEAF6" w:themeFill="accent1" w:themeFillTint="33"/>
            <w:vAlign w:val="center"/>
          </w:tcPr>
          <w:p w14:paraId="025491B1" w14:textId="43105EDA" w:rsidR="000904E2" w:rsidRPr="001D14A1" w:rsidRDefault="000904E2" w:rsidP="000904E2">
            <w:pPr>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SAP „Gazprom” livrează către Republica Moldova doar 5,7 mil. m</w:t>
            </w:r>
            <w:r w:rsidRPr="001D14A1">
              <w:rPr>
                <w:rFonts w:ascii="Times New Roman" w:hAnsi="Times New Roman" w:cs="Times New Roman"/>
                <w:b/>
                <w:bCs/>
                <w:sz w:val="20"/>
                <w:szCs w:val="20"/>
                <w:vertAlign w:val="superscript"/>
                <w:lang w:val="ro-RO"/>
              </w:rPr>
              <w:t>3</w:t>
            </w:r>
            <w:r w:rsidRPr="001D14A1">
              <w:rPr>
                <w:rFonts w:ascii="Times New Roman" w:hAnsi="Times New Roman" w:cs="Times New Roman"/>
                <w:b/>
                <w:bCs/>
                <w:sz w:val="20"/>
                <w:szCs w:val="20"/>
                <w:lang w:val="ro-RO"/>
              </w:rPr>
              <w:t>/zi</w:t>
            </w:r>
          </w:p>
        </w:tc>
      </w:tr>
      <w:tr w:rsidR="000904E2" w:rsidRPr="001D14A1" w14:paraId="3E5D9BCB" w14:textId="77777777" w:rsidTr="00EC0D49">
        <w:trPr>
          <w:trHeight w:val="20"/>
          <w:jc w:val="center"/>
        </w:trPr>
        <w:tc>
          <w:tcPr>
            <w:tcW w:w="229" w:type="pct"/>
            <w:vMerge/>
            <w:vAlign w:val="center"/>
          </w:tcPr>
          <w:p w14:paraId="3F9AB7B7" w14:textId="77777777" w:rsidR="000904E2" w:rsidRPr="001D14A1" w:rsidRDefault="000904E2" w:rsidP="000904E2">
            <w:pPr>
              <w:ind w:left="-85" w:right="-85"/>
              <w:contextualSpacing/>
              <w:jc w:val="center"/>
              <w:rPr>
                <w:rFonts w:ascii="Times New Roman" w:hAnsi="Times New Roman" w:cs="Times New Roman"/>
                <w:b/>
                <w:bCs/>
                <w:sz w:val="20"/>
                <w:szCs w:val="20"/>
                <w:lang w:val="ro-RO"/>
              </w:rPr>
            </w:pPr>
          </w:p>
        </w:tc>
        <w:tc>
          <w:tcPr>
            <w:tcW w:w="984" w:type="pct"/>
            <w:gridSpan w:val="2"/>
            <w:shd w:val="clear" w:color="auto" w:fill="E2EFD9" w:themeFill="accent6" w:themeFillTint="33"/>
            <w:vAlign w:val="center"/>
          </w:tcPr>
          <w:p w14:paraId="2D86B8EC" w14:textId="6B532BD6" w:rsidR="000904E2" w:rsidRPr="001D14A1" w:rsidRDefault="000904E2" w:rsidP="000904E2">
            <w:pPr>
              <w:ind w:left="-85" w:right="-85"/>
              <w:contextualSpacing/>
              <w:jc w:val="center"/>
              <w:rPr>
                <w:rFonts w:ascii="Times New Roman" w:hAnsi="Times New Roman" w:cs="Times New Roman"/>
                <w:sz w:val="20"/>
                <w:szCs w:val="20"/>
                <w:lang w:val="ro-RO"/>
              </w:rPr>
            </w:pPr>
            <w:r w:rsidRPr="001D14A1">
              <w:rPr>
                <w:rFonts w:ascii="Times New Roman" w:hAnsi="Times New Roman" w:cs="Times New Roman"/>
                <w:b/>
                <w:bCs/>
                <w:sz w:val="20"/>
                <w:szCs w:val="20"/>
                <w:lang w:val="ro-RO"/>
              </w:rPr>
              <w:t>Scenariul II (A)</w:t>
            </w:r>
          </w:p>
        </w:tc>
        <w:tc>
          <w:tcPr>
            <w:tcW w:w="587" w:type="pct"/>
            <w:gridSpan w:val="2"/>
            <w:shd w:val="clear" w:color="auto" w:fill="E2EFD9" w:themeFill="accent6" w:themeFillTint="33"/>
            <w:vAlign w:val="center"/>
          </w:tcPr>
          <w:p w14:paraId="24710D7A" w14:textId="77777777" w:rsidR="000904E2" w:rsidRPr="001D14A1" w:rsidRDefault="000904E2" w:rsidP="000904E2">
            <w:pPr>
              <w:ind w:left="-85" w:right="-85"/>
              <w:contextualSpacing/>
              <w:jc w:val="center"/>
              <w:rPr>
                <w:rFonts w:ascii="Times New Roman" w:hAnsi="Times New Roman" w:cs="Times New Roman"/>
                <w:sz w:val="20"/>
                <w:szCs w:val="20"/>
                <w:lang w:val="ro-RO"/>
              </w:rPr>
            </w:pPr>
            <w:r w:rsidRPr="001D14A1">
              <w:rPr>
                <w:rFonts w:ascii="Times New Roman" w:hAnsi="Times New Roman" w:cs="Times New Roman"/>
                <w:b/>
                <w:bCs/>
                <w:sz w:val="20"/>
                <w:szCs w:val="20"/>
                <w:lang w:val="ro-RO"/>
              </w:rPr>
              <w:t>Ridicată</w:t>
            </w:r>
          </w:p>
        </w:tc>
        <w:tc>
          <w:tcPr>
            <w:tcW w:w="368" w:type="pct"/>
            <w:shd w:val="clear" w:color="auto" w:fill="E2EFD9" w:themeFill="accent6" w:themeFillTint="33"/>
            <w:vAlign w:val="center"/>
          </w:tcPr>
          <w:p w14:paraId="201ECFB3" w14:textId="77777777" w:rsidR="000904E2" w:rsidRPr="001D14A1" w:rsidRDefault="000904E2" w:rsidP="000904E2">
            <w:pPr>
              <w:ind w:left="-85" w:right="-85"/>
              <w:contextualSpacing/>
              <w:jc w:val="center"/>
              <w:rPr>
                <w:rFonts w:ascii="Times New Roman" w:hAnsi="Times New Roman" w:cs="Times New Roman"/>
                <w:sz w:val="20"/>
                <w:szCs w:val="20"/>
                <w:lang w:val="ro-RO"/>
              </w:rPr>
            </w:pPr>
            <w:r w:rsidRPr="001D14A1">
              <w:rPr>
                <w:rFonts w:ascii="Times New Roman" w:hAnsi="Times New Roman" w:cs="Times New Roman"/>
                <w:b/>
                <w:bCs/>
                <w:sz w:val="20"/>
                <w:szCs w:val="20"/>
                <w:lang w:val="ro-RO"/>
              </w:rPr>
              <w:t>0-42 %</w:t>
            </w:r>
          </w:p>
        </w:tc>
        <w:tc>
          <w:tcPr>
            <w:tcW w:w="2832" w:type="pct"/>
            <w:gridSpan w:val="8"/>
            <w:tcBorders>
              <w:bottom w:val="single" w:sz="4" w:space="0" w:color="auto"/>
            </w:tcBorders>
            <w:shd w:val="clear" w:color="auto" w:fill="E2EFD9" w:themeFill="accent6" w:themeFillTint="33"/>
            <w:vAlign w:val="center"/>
          </w:tcPr>
          <w:p w14:paraId="5912B95A" w14:textId="30D479C7" w:rsidR="000904E2" w:rsidRPr="001D14A1" w:rsidRDefault="000904E2" w:rsidP="000904E2">
            <w:pPr>
              <w:contextualSpacing/>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 xml:space="preserve">Situația în care </w:t>
            </w:r>
            <w:r w:rsidRPr="001D14A1">
              <w:rPr>
                <w:rFonts w:ascii="Times New Roman" w:hAnsi="Times New Roman" w:cs="Times New Roman"/>
                <w:b/>
                <w:bCs/>
                <w:sz w:val="20"/>
                <w:szCs w:val="20"/>
                <w:lang w:val="ro-RO"/>
              </w:rPr>
              <w:t xml:space="preserve">SA „Moldovagaz” </w:t>
            </w:r>
            <w:r>
              <w:rPr>
                <w:rFonts w:ascii="Times New Roman" w:hAnsi="Times New Roman" w:cs="Times New Roman"/>
                <w:b/>
                <w:bCs/>
                <w:sz w:val="20"/>
                <w:szCs w:val="20"/>
                <w:lang w:val="ro-RO"/>
              </w:rPr>
              <w:t>decide r</w:t>
            </w:r>
            <w:r w:rsidRPr="001D14A1">
              <w:rPr>
                <w:rFonts w:ascii="Times New Roman" w:hAnsi="Times New Roman" w:cs="Times New Roman"/>
                <w:b/>
                <w:bCs/>
                <w:sz w:val="20"/>
                <w:szCs w:val="20"/>
                <w:lang w:val="ro-RO"/>
              </w:rPr>
              <w:t>epartizarea celor 5,7 mil. m</w:t>
            </w:r>
            <w:r w:rsidRPr="001D14A1">
              <w:rPr>
                <w:rFonts w:ascii="Times New Roman" w:hAnsi="Times New Roman" w:cs="Times New Roman"/>
                <w:b/>
                <w:bCs/>
                <w:sz w:val="20"/>
                <w:szCs w:val="20"/>
                <w:vertAlign w:val="superscript"/>
                <w:lang w:val="ro-RO"/>
              </w:rPr>
              <w:t>3</w:t>
            </w:r>
            <w:r w:rsidRPr="001D14A1">
              <w:rPr>
                <w:rFonts w:ascii="Times New Roman" w:hAnsi="Times New Roman" w:cs="Times New Roman"/>
                <w:b/>
                <w:bCs/>
                <w:sz w:val="20"/>
                <w:szCs w:val="20"/>
                <w:lang w:val="ro-RO"/>
              </w:rPr>
              <w:t>/zi livrate de SAP „Gazprom” între malul drept și malul stâng proporțional cotei părți din consumul gazelor naturale pentru necesități proprii înregistrat în anul 2021</w:t>
            </w:r>
          </w:p>
        </w:tc>
      </w:tr>
      <w:tr w:rsidR="000904E2" w:rsidRPr="001D14A1" w14:paraId="28431807" w14:textId="77777777" w:rsidTr="00EC0D49">
        <w:trPr>
          <w:trHeight w:val="20"/>
          <w:jc w:val="center"/>
        </w:trPr>
        <w:tc>
          <w:tcPr>
            <w:tcW w:w="229" w:type="pct"/>
            <w:vMerge/>
            <w:vAlign w:val="center"/>
          </w:tcPr>
          <w:p w14:paraId="282E9C61"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571" w:type="pct"/>
            <w:gridSpan w:val="4"/>
            <w:vMerge w:val="restart"/>
            <w:shd w:val="clear" w:color="auto" w:fill="auto"/>
            <w:vAlign w:val="center"/>
          </w:tcPr>
          <w:p w14:paraId="1F3202B7" w14:textId="2ECF1C5A" w:rsidR="000904E2" w:rsidRPr="001D14A1" w:rsidRDefault="000904E2" w:rsidP="000904E2">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Gaze naturale livrate de SAP „Gazprom”</w:t>
            </w:r>
          </w:p>
        </w:tc>
        <w:tc>
          <w:tcPr>
            <w:tcW w:w="368" w:type="pct"/>
            <w:shd w:val="clear" w:color="auto" w:fill="auto"/>
            <w:vAlign w:val="center"/>
          </w:tcPr>
          <w:p w14:paraId="5C9EF946" w14:textId="77777777" w:rsidR="000904E2" w:rsidRPr="001D14A1" w:rsidRDefault="000904E2" w:rsidP="000904E2">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mil. m</w:t>
            </w:r>
            <w:r w:rsidRPr="001D14A1">
              <w:rPr>
                <w:rFonts w:ascii="Times New Roman" w:hAnsi="Times New Roman" w:cs="Times New Roman"/>
                <w:sz w:val="20"/>
                <w:szCs w:val="20"/>
                <w:vertAlign w:val="superscript"/>
                <w:lang w:val="ro-RO"/>
              </w:rPr>
              <w:t>3</w:t>
            </w:r>
          </w:p>
        </w:tc>
        <w:tc>
          <w:tcPr>
            <w:tcW w:w="339" w:type="pct"/>
            <w:tcBorders>
              <w:top w:val="single" w:sz="4" w:space="0" w:color="auto"/>
              <w:left w:val="nil"/>
              <w:bottom w:val="single" w:sz="4" w:space="0" w:color="auto"/>
              <w:right w:val="single" w:sz="4" w:space="0" w:color="auto"/>
            </w:tcBorders>
            <w:shd w:val="clear" w:color="auto" w:fill="auto"/>
            <w:vAlign w:val="center"/>
          </w:tcPr>
          <w:p w14:paraId="59CDE79E" w14:textId="284433DF"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FF0000"/>
                <w:sz w:val="20"/>
                <w:szCs w:val="20"/>
              </w:rPr>
              <w:t>95.</w:t>
            </w:r>
            <w:r w:rsidR="00EC0D49">
              <w:rPr>
                <w:rFonts w:ascii="Times New Roman" w:hAnsi="Times New Roman" w:cs="Times New Roman"/>
                <w:color w:val="FF0000"/>
                <w:sz w:val="20"/>
                <w:szCs w:val="20"/>
                <w:lang w:val="ro-RO"/>
              </w:rPr>
              <w:t>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B3B7589" w14:textId="5B86C58E"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101.4</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318DA24" w14:textId="16B535D4"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109.</w:t>
            </w:r>
            <w:r w:rsidR="00EC0D49">
              <w:rPr>
                <w:rFonts w:ascii="Times New Roman" w:hAnsi="Times New Roman" w:cs="Times New Roman"/>
                <w:color w:val="000000"/>
                <w:sz w:val="20"/>
                <w:szCs w:val="20"/>
                <w:lang w:val="ro-RO"/>
              </w:rPr>
              <w:t>5</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B757AF6" w14:textId="5F11038F"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109.</w:t>
            </w:r>
            <w:r w:rsidR="00EC0D49">
              <w:rPr>
                <w:rFonts w:ascii="Times New Roman" w:hAnsi="Times New Roman" w:cs="Times New Roman"/>
                <w:color w:val="000000"/>
                <w:sz w:val="20"/>
                <w:szCs w:val="20"/>
                <w:lang w:val="ro-RO"/>
              </w:rPr>
              <w:t>1</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4FAE7B6" w14:textId="19D7B5F5"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9</w:t>
            </w:r>
            <w:r w:rsidR="00EC0D49">
              <w:rPr>
                <w:rFonts w:ascii="Times New Roman" w:hAnsi="Times New Roman" w:cs="Times New Roman"/>
                <w:color w:val="000000"/>
                <w:sz w:val="20"/>
                <w:szCs w:val="20"/>
                <w:lang w:val="ro-RO"/>
              </w:rPr>
              <w:t>6.0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89821BC" w14:textId="415C2CD0"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105.</w:t>
            </w:r>
            <w:r w:rsidR="00EC0D49">
              <w:rPr>
                <w:rFonts w:ascii="Times New Roman" w:hAnsi="Times New Roman" w:cs="Times New Roman"/>
                <w:color w:val="000000"/>
                <w:sz w:val="20"/>
                <w:szCs w:val="20"/>
                <w:lang w:val="ro-RO"/>
              </w:rPr>
              <w:t>3</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F53035C" w14:textId="29A46943"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FF0000"/>
                <w:sz w:val="20"/>
                <w:szCs w:val="20"/>
              </w:rPr>
              <w:t>81.9</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B4C6FF" w14:textId="2366FDB8" w:rsidR="000904E2" w:rsidRPr="001D14A1" w:rsidRDefault="000904E2" w:rsidP="000904E2">
            <w:pPr>
              <w:contextualSpacing/>
              <w:jc w:val="center"/>
              <w:rPr>
                <w:rFonts w:ascii="Times New Roman" w:hAnsi="Times New Roman" w:cs="Times New Roman"/>
                <w:b/>
                <w:bCs/>
                <w:sz w:val="20"/>
                <w:szCs w:val="20"/>
                <w:lang w:val="ro-RO"/>
              </w:rPr>
            </w:pPr>
            <w:r w:rsidRPr="001D14A1">
              <w:rPr>
                <w:rFonts w:ascii="Times New Roman" w:hAnsi="Times New Roman" w:cs="Times New Roman"/>
                <w:b/>
                <w:bCs/>
                <w:color w:val="000000"/>
                <w:sz w:val="20"/>
                <w:szCs w:val="20"/>
              </w:rPr>
              <w:t>698.6</w:t>
            </w:r>
          </w:p>
        </w:tc>
      </w:tr>
      <w:tr w:rsidR="000904E2" w:rsidRPr="001D14A1" w14:paraId="5E3CCF23" w14:textId="77777777" w:rsidTr="00EC0D49">
        <w:trPr>
          <w:trHeight w:val="20"/>
          <w:jc w:val="center"/>
        </w:trPr>
        <w:tc>
          <w:tcPr>
            <w:tcW w:w="229" w:type="pct"/>
            <w:vMerge/>
            <w:vAlign w:val="center"/>
          </w:tcPr>
          <w:p w14:paraId="30FD93E5"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571" w:type="pct"/>
            <w:gridSpan w:val="4"/>
            <w:vMerge/>
            <w:shd w:val="clear" w:color="auto" w:fill="auto"/>
            <w:vAlign w:val="center"/>
          </w:tcPr>
          <w:p w14:paraId="0B1F7962"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368" w:type="pct"/>
            <w:shd w:val="clear" w:color="auto" w:fill="auto"/>
            <w:vAlign w:val="center"/>
          </w:tcPr>
          <w:p w14:paraId="51805920" w14:textId="77777777" w:rsidR="000904E2" w:rsidRPr="001D14A1" w:rsidRDefault="000904E2" w:rsidP="000904E2">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mil. m</w:t>
            </w:r>
            <w:r w:rsidRPr="001D14A1">
              <w:rPr>
                <w:rFonts w:ascii="Times New Roman" w:hAnsi="Times New Roman" w:cs="Times New Roman"/>
                <w:sz w:val="20"/>
                <w:szCs w:val="20"/>
                <w:vertAlign w:val="superscript"/>
                <w:lang w:val="ro-RO"/>
              </w:rPr>
              <w:t>3</w:t>
            </w:r>
            <w:r w:rsidRPr="001D14A1">
              <w:rPr>
                <w:rFonts w:ascii="Times New Roman" w:hAnsi="Times New Roman" w:cs="Times New Roman"/>
                <w:sz w:val="20"/>
                <w:szCs w:val="20"/>
                <w:lang w:val="ro-RO"/>
              </w:rPr>
              <w:t>/zi</w:t>
            </w:r>
          </w:p>
        </w:tc>
        <w:tc>
          <w:tcPr>
            <w:tcW w:w="339" w:type="pct"/>
            <w:tcBorders>
              <w:top w:val="single" w:sz="4" w:space="0" w:color="auto"/>
              <w:left w:val="nil"/>
              <w:bottom w:val="single" w:sz="4" w:space="0" w:color="auto"/>
              <w:right w:val="single" w:sz="4" w:space="0" w:color="auto"/>
            </w:tcBorders>
            <w:shd w:val="clear" w:color="auto" w:fill="auto"/>
            <w:vAlign w:val="center"/>
          </w:tcPr>
          <w:p w14:paraId="43E80721" w14:textId="41202F2B"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3.08</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766430C" w14:textId="0ABE6EB9"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3.38</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926F6D4" w14:textId="46AA6A7A"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3.53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6D80A32" w14:textId="12C397CD" w:rsidR="000904E2" w:rsidRPr="001D14A1" w:rsidRDefault="000904E2" w:rsidP="000904E2">
            <w:pPr>
              <w:contextualSpacing/>
              <w:jc w:val="center"/>
              <w:rPr>
                <w:rFonts w:ascii="Times New Roman" w:hAnsi="Times New Roman" w:cs="Times New Roman"/>
                <w:sz w:val="20"/>
                <w:szCs w:val="20"/>
              </w:rPr>
            </w:pPr>
            <w:r w:rsidRPr="001D14A1">
              <w:rPr>
                <w:rFonts w:ascii="Times New Roman" w:hAnsi="Times New Roman" w:cs="Times New Roman"/>
                <w:color w:val="000000"/>
                <w:sz w:val="20"/>
                <w:szCs w:val="20"/>
              </w:rPr>
              <w:t>3.52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90BD835" w14:textId="74A33FE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3.43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72645C" w14:textId="35D7761B"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3.4</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D81080B" w14:textId="25DAC6F2"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2.73</w:t>
            </w:r>
          </w:p>
        </w:tc>
        <w:tc>
          <w:tcPr>
            <w:tcW w:w="405" w:type="pct"/>
            <w:vMerge/>
            <w:tcBorders>
              <w:top w:val="single" w:sz="4" w:space="0" w:color="auto"/>
              <w:left w:val="single" w:sz="4" w:space="0" w:color="auto"/>
              <w:bottom w:val="single" w:sz="4" w:space="0" w:color="auto"/>
              <w:right w:val="single" w:sz="4" w:space="0" w:color="auto"/>
            </w:tcBorders>
            <w:vAlign w:val="center"/>
          </w:tcPr>
          <w:p w14:paraId="5A1E7A0B" w14:textId="77777777" w:rsidR="000904E2" w:rsidRPr="001D14A1" w:rsidRDefault="000904E2" w:rsidP="000904E2">
            <w:pPr>
              <w:contextualSpacing/>
              <w:jc w:val="center"/>
              <w:rPr>
                <w:rFonts w:ascii="Times New Roman" w:hAnsi="Times New Roman" w:cs="Times New Roman"/>
                <w:b/>
                <w:bCs/>
                <w:sz w:val="20"/>
                <w:szCs w:val="20"/>
                <w:lang w:val="ro-RO"/>
              </w:rPr>
            </w:pPr>
          </w:p>
        </w:tc>
      </w:tr>
      <w:tr w:rsidR="000904E2" w:rsidRPr="001D14A1" w14:paraId="5EA7839E" w14:textId="77777777" w:rsidTr="00EC0D49">
        <w:trPr>
          <w:trHeight w:val="20"/>
          <w:jc w:val="center"/>
        </w:trPr>
        <w:tc>
          <w:tcPr>
            <w:tcW w:w="229" w:type="pct"/>
            <w:vMerge/>
            <w:vAlign w:val="center"/>
          </w:tcPr>
          <w:p w14:paraId="5DE35511"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754367D5" w14:textId="5A7F7532" w:rsidR="000904E2" w:rsidRPr="001D14A1" w:rsidRDefault="000904E2" w:rsidP="000904E2">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Gaze naturale livrate din alte surse, mil. m</w:t>
            </w:r>
            <w:r w:rsidRPr="001D14A1">
              <w:rPr>
                <w:rFonts w:ascii="Times New Roman" w:hAnsi="Times New Roman" w:cs="Times New Roman"/>
                <w:sz w:val="20"/>
                <w:szCs w:val="20"/>
                <w:vertAlign w:val="superscript"/>
                <w:lang w:val="ro-RO"/>
              </w:rPr>
              <w:t>3</w:t>
            </w:r>
          </w:p>
        </w:tc>
        <w:tc>
          <w:tcPr>
            <w:tcW w:w="339" w:type="pct"/>
            <w:tcBorders>
              <w:top w:val="single" w:sz="4" w:space="0" w:color="auto"/>
              <w:left w:val="nil"/>
              <w:bottom w:val="single" w:sz="4" w:space="0" w:color="auto"/>
              <w:right w:val="single" w:sz="4" w:space="0" w:color="auto"/>
            </w:tcBorders>
            <w:shd w:val="clear" w:color="auto" w:fill="auto"/>
            <w:vAlign w:val="center"/>
          </w:tcPr>
          <w:p w14:paraId="35F33D7B" w14:textId="2D56665D"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F8A6F20" w14:textId="63338336"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3</w:t>
            </w:r>
            <w:r w:rsidR="00EC0D49">
              <w:rPr>
                <w:rFonts w:ascii="Times New Roman" w:hAnsi="Times New Roman" w:cs="Times New Roman"/>
                <w:color w:val="000000"/>
                <w:sz w:val="20"/>
                <w:szCs w:val="20"/>
                <w:lang w:val="ro-RO"/>
              </w:rPr>
              <w:t>3.00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CD5F77E" w14:textId="4A3D985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62.4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7846096" w14:textId="380A26C2"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74.9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C7A1CBA" w14:textId="787DC28E"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56.3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3ACFB49" w14:textId="0B9DB8E0"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35.7</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E311921" w14:textId="0A0AA2EE"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C9DD956" w14:textId="55193FF4" w:rsidR="000904E2" w:rsidRPr="001D14A1" w:rsidRDefault="000904E2" w:rsidP="000904E2">
            <w:pPr>
              <w:contextualSpacing/>
              <w:jc w:val="center"/>
              <w:rPr>
                <w:rFonts w:ascii="Times New Roman" w:hAnsi="Times New Roman" w:cs="Times New Roman"/>
                <w:b/>
                <w:bCs/>
                <w:sz w:val="20"/>
                <w:szCs w:val="20"/>
                <w:lang w:val="ro-RO"/>
              </w:rPr>
            </w:pPr>
            <w:r w:rsidRPr="001D14A1">
              <w:rPr>
                <w:rFonts w:ascii="Times New Roman" w:hAnsi="Times New Roman" w:cs="Times New Roman"/>
                <w:b/>
                <w:bCs/>
                <w:color w:val="000000"/>
                <w:sz w:val="20"/>
                <w:szCs w:val="20"/>
              </w:rPr>
              <w:t>269.5</w:t>
            </w:r>
          </w:p>
        </w:tc>
      </w:tr>
      <w:tr w:rsidR="000904E2" w:rsidRPr="001D14A1" w14:paraId="6772E9F7" w14:textId="77777777" w:rsidTr="00EC0D49">
        <w:trPr>
          <w:trHeight w:val="20"/>
          <w:jc w:val="center"/>
        </w:trPr>
        <w:tc>
          <w:tcPr>
            <w:tcW w:w="229" w:type="pct"/>
            <w:vMerge/>
            <w:vAlign w:val="center"/>
          </w:tcPr>
          <w:p w14:paraId="5B26BF72"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788B656E" w14:textId="29BC5951" w:rsidR="000904E2" w:rsidRPr="001D14A1" w:rsidRDefault="000904E2" w:rsidP="000904E2">
            <w:pPr>
              <w:ind w:left="-85" w:right="-85"/>
              <w:contextualSpacing/>
              <w:rPr>
                <w:rFonts w:ascii="Times New Roman" w:hAnsi="Times New Roman" w:cs="Times New Roman"/>
                <w:sz w:val="20"/>
                <w:szCs w:val="20"/>
                <w:lang w:val="ro-RO"/>
              </w:rPr>
            </w:pPr>
            <w:r>
              <w:rPr>
                <w:rFonts w:ascii="Times New Roman" w:hAnsi="Times New Roman" w:cs="Times New Roman"/>
                <w:sz w:val="20"/>
                <w:szCs w:val="20"/>
                <w:lang w:val="ro-RO"/>
              </w:rPr>
              <w:t>Producția locală de energie electrică, mil. kWh</w:t>
            </w:r>
          </w:p>
        </w:tc>
        <w:tc>
          <w:tcPr>
            <w:tcW w:w="339" w:type="pct"/>
            <w:tcBorders>
              <w:top w:val="single" w:sz="4" w:space="0" w:color="auto"/>
              <w:left w:val="nil"/>
              <w:bottom w:val="single" w:sz="4" w:space="0" w:color="auto"/>
              <w:right w:val="single" w:sz="4" w:space="0" w:color="auto"/>
            </w:tcBorders>
            <w:shd w:val="clear" w:color="auto" w:fill="auto"/>
            <w:vAlign w:val="center"/>
          </w:tcPr>
          <w:p w14:paraId="16BF382E" w14:textId="72CC2BDC" w:rsidR="000904E2" w:rsidRPr="000904E2" w:rsidRDefault="000904E2" w:rsidP="000904E2">
            <w:pPr>
              <w:contextualSpacing/>
              <w:jc w:val="center"/>
              <w:rPr>
                <w:rFonts w:ascii="Times New Roman" w:hAnsi="Times New Roman" w:cs="Times New Roman"/>
                <w:color w:val="FF0000"/>
                <w:sz w:val="20"/>
                <w:szCs w:val="20"/>
                <w:lang w:val="en-US"/>
              </w:rPr>
            </w:pPr>
            <w:r w:rsidRPr="00D40C4A">
              <w:rPr>
                <w:rFonts w:ascii="Times New Roman" w:eastAsia="Times New Roman" w:hAnsi="Times New Roman" w:cs="Times New Roman"/>
                <w:color w:val="000000"/>
                <w:sz w:val="20"/>
                <w:szCs w:val="20"/>
              </w:rPr>
              <w:t>51.5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0DB0312" w14:textId="1DBB9BD9" w:rsidR="000904E2" w:rsidRPr="000904E2" w:rsidRDefault="000904E2" w:rsidP="000904E2">
            <w:pPr>
              <w:contextualSpacing/>
              <w:jc w:val="center"/>
              <w:rPr>
                <w:rFonts w:ascii="Times New Roman" w:hAnsi="Times New Roman" w:cs="Times New Roman"/>
                <w:color w:val="000000"/>
                <w:sz w:val="20"/>
                <w:szCs w:val="20"/>
                <w:lang w:val="en-US"/>
              </w:rPr>
            </w:pPr>
            <w:r w:rsidRPr="00D40C4A">
              <w:rPr>
                <w:rFonts w:ascii="Times New Roman" w:eastAsia="Times New Roman" w:hAnsi="Times New Roman" w:cs="Times New Roman"/>
                <w:color w:val="000000"/>
                <w:sz w:val="20"/>
                <w:szCs w:val="20"/>
              </w:rPr>
              <w:t>116.0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2D119285" w14:textId="4156904D" w:rsidR="000904E2" w:rsidRPr="000904E2" w:rsidRDefault="000904E2" w:rsidP="000904E2">
            <w:pPr>
              <w:contextualSpacing/>
              <w:jc w:val="center"/>
              <w:rPr>
                <w:rFonts w:ascii="Times New Roman" w:hAnsi="Times New Roman" w:cs="Times New Roman"/>
                <w:color w:val="000000"/>
                <w:sz w:val="20"/>
                <w:szCs w:val="20"/>
                <w:lang w:val="en-US"/>
              </w:rPr>
            </w:pPr>
            <w:r w:rsidRPr="00D40C4A">
              <w:rPr>
                <w:rFonts w:ascii="Times New Roman" w:eastAsia="Times New Roman" w:hAnsi="Times New Roman" w:cs="Times New Roman"/>
                <w:color w:val="000000"/>
                <w:sz w:val="20"/>
                <w:szCs w:val="20"/>
              </w:rPr>
              <w:t>132.4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62ECF03" w14:textId="30EAA3DA" w:rsidR="000904E2" w:rsidRPr="000904E2" w:rsidRDefault="000904E2" w:rsidP="000904E2">
            <w:pPr>
              <w:contextualSpacing/>
              <w:jc w:val="center"/>
              <w:rPr>
                <w:rFonts w:ascii="Times New Roman" w:hAnsi="Times New Roman" w:cs="Times New Roman"/>
                <w:color w:val="000000"/>
                <w:sz w:val="20"/>
                <w:szCs w:val="20"/>
                <w:lang w:val="en-US"/>
              </w:rPr>
            </w:pPr>
            <w:r w:rsidRPr="00D40C4A">
              <w:rPr>
                <w:rFonts w:ascii="Times New Roman" w:eastAsia="Times New Roman" w:hAnsi="Times New Roman" w:cs="Times New Roman"/>
                <w:color w:val="000000"/>
                <w:sz w:val="20"/>
                <w:szCs w:val="20"/>
              </w:rPr>
              <w:t>146.0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CC85FA3" w14:textId="349CBFC8" w:rsidR="000904E2" w:rsidRPr="000904E2" w:rsidRDefault="000904E2" w:rsidP="000904E2">
            <w:pPr>
              <w:contextualSpacing/>
              <w:jc w:val="center"/>
              <w:rPr>
                <w:rFonts w:ascii="Times New Roman" w:hAnsi="Times New Roman" w:cs="Times New Roman"/>
                <w:color w:val="000000"/>
                <w:sz w:val="20"/>
                <w:szCs w:val="20"/>
                <w:lang w:val="en-US"/>
              </w:rPr>
            </w:pPr>
            <w:r w:rsidRPr="00D40C4A">
              <w:rPr>
                <w:rFonts w:ascii="Times New Roman" w:eastAsia="Times New Roman" w:hAnsi="Times New Roman" w:cs="Times New Roman"/>
                <w:color w:val="000000"/>
                <w:sz w:val="20"/>
                <w:szCs w:val="20"/>
              </w:rPr>
              <w:t>148.6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E09B6DF" w14:textId="7C763079" w:rsidR="000904E2" w:rsidRPr="000904E2" w:rsidRDefault="000904E2" w:rsidP="000904E2">
            <w:pPr>
              <w:contextualSpacing/>
              <w:jc w:val="center"/>
              <w:rPr>
                <w:rFonts w:ascii="Times New Roman" w:hAnsi="Times New Roman" w:cs="Times New Roman"/>
                <w:color w:val="000000"/>
                <w:sz w:val="20"/>
                <w:szCs w:val="20"/>
                <w:lang w:val="en-US"/>
              </w:rPr>
            </w:pPr>
            <w:r w:rsidRPr="00D40C4A">
              <w:rPr>
                <w:rFonts w:ascii="Times New Roman" w:eastAsia="Times New Roman" w:hAnsi="Times New Roman" w:cs="Times New Roman"/>
                <w:color w:val="000000"/>
                <w:sz w:val="20"/>
                <w:szCs w:val="20"/>
              </w:rPr>
              <w:t>147.8</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5B96DDD" w14:textId="5D2E8379" w:rsidR="000904E2" w:rsidRPr="000904E2" w:rsidRDefault="000904E2" w:rsidP="000904E2">
            <w:pPr>
              <w:contextualSpacing/>
              <w:jc w:val="center"/>
              <w:rPr>
                <w:rFonts w:ascii="Times New Roman" w:hAnsi="Times New Roman" w:cs="Times New Roman"/>
                <w:color w:val="FF0000"/>
                <w:sz w:val="20"/>
                <w:szCs w:val="20"/>
                <w:lang w:val="en-US"/>
              </w:rPr>
            </w:pPr>
            <w:r w:rsidRPr="00D40C4A">
              <w:rPr>
                <w:rFonts w:ascii="Times New Roman" w:eastAsia="Times New Roman" w:hAnsi="Times New Roman" w:cs="Times New Roman"/>
                <w:color w:val="000000"/>
                <w:sz w:val="20"/>
                <w:szCs w:val="20"/>
              </w:rPr>
              <w:t>80.2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5B8A3DC" w14:textId="5C7699FD" w:rsidR="000904E2" w:rsidRPr="000904E2" w:rsidRDefault="000904E2" w:rsidP="000904E2">
            <w:pPr>
              <w:contextualSpacing/>
              <w:jc w:val="center"/>
              <w:rPr>
                <w:rFonts w:ascii="Times New Roman" w:hAnsi="Times New Roman" w:cs="Times New Roman"/>
                <w:b/>
                <w:bCs/>
                <w:color w:val="000000"/>
                <w:sz w:val="20"/>
                <w:szCs w:val="20"/>
                <w:lang w:val="en-US"/>
              </w:rPr>
            </w:pPr>
            <w:r w:rsidRPr="000904E2">
              <w:rPr>
                <w:rFonts w:ascii="Times New Roman" w:eastAsia="Times New Roman" w:hAnsi="Times New Roman" w:cs="Times New Roman"/>
                <w:b/>
                <w:bCs/>
                <w:color w:val="000000"/>
                <w:sz w:val="20"/>
                <w:szCs w:val="20"/>
              </w:rPr>
              <w:t>822.6</w:t>
            </w:r>
          </w:p>
        </w:tc>
      </w:tr>
      <w:tr w:rsidR="000904E2" w:rsidRPr="001D14A1" w14:paraId="2D645284" w14:textId="77777777" w:rsidTr="00EC0D49">
        <w:trPr>
          <w:trHeight w:val="20"/>
          <w:jc w:val="center"/>
        </w:trPr>
        <w:tc>
          <w:tcPr>
            <w:tcW w:w="229" w:type="pct"/>
            <w:vMerge/>
            <w:vAlign w:val="center"/>
          </w:tcPr>
          <w:p w14:paraId="5B713A42"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21D4EB77" w14:textId="51382C41" w:rsidR="000904E2" w:rsidRPr="001D14A1" w:rsidRDefault="000904E2" w:rsidP="000904E2">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 xml:space="preserve">Energie electrică livrată de </w:t>
            </w:r>
            <w:r>
              <w:rPr>
                <w:rFonts w:ascii="Times New Roman" w:hAnsi="Times New Roman" w:cs="Times New Roman"/>
                <w:sz w:val="20"/>
                <w:szCs w:val="20"/>
                <w:lang w:val="ro-RO"/>
              </w:rPr>
              <w:t>pe malul stâng</w:t>
            </w:r>
            <w:r w:rsidRPr="001D14A1">
              <w:rPr>
                <w:rFonts w:ascii="Times New Roman" w:hAnsi="Times New Roman" w:cs="Times New Roman"/>
                <w:sz w:val="20"/>
                <w:szCs w:val="20"/>
                <w:lang w:val="ro-RO"/>
              </w:rPr>
              <w:t>, mil. kWh</w:t>
            </w:r>
          </w:p>
        </w:tc>
        <w:tc>
          <w:tcPr>
            <w:tcW w:w="339" w:type="pct"/>
            <w:tcBorders>
              <w:top w:val="single" w:sz="4" w:space="0" w:color="auto"/>
              <w:left w:val="nil"/>
              <w:bottom w:val="single" w:sz="4" w:space="0" w:color="auto"/>
              <w:right w:val="single" w:sz="4" w:space="0" w:color="auto"/>
            </w:tcBorders>
            <w:shd w:val="clear" w:color="auto" w:fill="auto"/>
            <w:vAlign w:val="center"/>
          </w:tcPr>
          <w:p w14:paraId="005A06E1" w14:textId="44B75606" w:rsidR="000904E2" w:rsidRPr="00405F11" w:rsidRDefault="000904E2" w:rsidP="000904E2">
            <w:pPr>
              <w:contextualSpacing/>
              <w:jc w:val="center"/>
              <w:rPr>
                <w:rFonts w:ascii="Times New Roman" w:hAnsi="Times New Roman" w:cs="Times New Roman"/>
                <w:sz w:val="20"/>
                <w:szCs w:val="20"/>
                <w:lang w:val="en-US"/>
              </w:rPr>
            </w:pPr>
            <w:r w:rsidRPr="008C3886">
              <w:rPr>
                <w:rFonts w:ascii="Times New Roman" w:hAnsi="Times New Roman" w:cs="Times New Roman"/>
                <w:color w:val="FF0000"/>
                <w:sz w:val="20"/>
                <w:szCs w:val="20"/>
              </w:rPr>
              <w:t>78.6</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18C6A6A1" w14:textId="486BEA9D"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7F32D82" w14:textId="6F1458FB"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7258CDA" w14:textId="7AA68E1D"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699752C" w14:textId="62A6F554"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830ED34" w14:textId="3A1E8F0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808C406" w14:textId="4161CE85" w:rsidR="000904E2" w:rsidRPr="001D14A1" w:rsidRDefault="000904E2" w:rsidP="000904E2">
            <w:pPr>
              <w:contextualSpacing/>
              <w:jc w:val="center"/>
              <w:rPr>
                <w:rFonts w:ascii="Times New Roman" w:hAnsi="Times New Roman" w:cs="Times New Roman"/>
                <w:sz w:val="20"/>
                <w:szCs w:val="20"/>
                <w:lang w:val="ro-RO"/>
              </w:rPr>
            </w:pPr>
            <w:r w:rsidRPr="008C3886">
              <w:rPr>
                <w:rFonts w:ascii="Times New Roman" w:hAnsi="Times New Roman" w:cs="Times New Roman"/>
                <w:color w:val="FF0000"/>
                <w:sz w:val="20"/>
                <w:szCs w:val="20"/>
              </w:rPr>
              <w:t>59.7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354F5BE" w14:textId="603C8906" w:rsidR="000904E2" w:rsidRPr="00405F11" w:rsidRDefault="000904E2" w:rsidP="000904E2">
            <w:pPr>
              <w:contextualSpacing/>
              <w:jc w:val="center"/>
              <w:rPr>
                <w:rFonts w:ascii="Times New Roman" w:hAnsi="Times New Roman" w:cs="Times New Roman"/>
                <w:b/>
                <w:bCs/>
                <w:sz w:val="20"/>
                <w:szCs w:val="20"/>
                <w:lang w:val="en-US"/>
              </w:rPr>
            </w:pPr>
            <w:r w:rsidRPr="001D14A1">
              <w:rPr>
                <w:rFonts w:ascii="Times New Roman" w:hAnsi="Times New Roman" w:cs="Times New Roman"/>
                <w:b/>
                <w:bCs/>
                <w:color w:val="000000"/>
                <w:sz w:val="20"/>
                <w:szCs w:val="20"/>
              </w:rPr>
              <w:t>138.3</w:t>
            </w:r>
          </w:p>
        </w:tc>
      </w:tr>
      <w:tr w:rsidR="000904E2" w:rsidRPr="001D14A1" w14:paraId="2A693761" w14:textId="77777777" w:rsidTr="00EC0D49">
        <w:trPr>
          <w:trHeight w:val="20"/>
          <w:jc w:val="center"/>
        </w:trPr>
        <w:tc>
          <w:tcPr>
            <w:tcW w:w="229" w:type="pct"/>
            <w:vMerge/>
            <w:vAlign w:val="center"/>
          </w:tcPr>
          <w:p w14:paraId="7CBE5948"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2D741C5D" w14:textId="75706208" w:rsidR="000904E2" w:rsidRPr="001D14A1" w:rsidRDefault="000904E2" w:rsidP="000904E2">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Energie electrică livrată din alte surse externe, mil. kWh</w:t>
            </w:r>
          </w:p>
        </w:tc>
        <w:tc>
          <w:tcPr>
            <w:tcW w:w="339" w:type="pct"/>
            <w:tcBorders>
              <w:top w:val="single" w:sz="4" w:space="0" w:color="auto"/>
              <w:left w:val="nil"/>
              <w:bottom w:val="single" w:sz="4" w:space="0" w:color="auto"/>
              <w:right w:val="single" w:sz="4" w:space="0" w:color="auto"/>
            </w:tcBorders>
            <w:shd w:val="clear" w:color="auto" w:fill="auto"/>
            <w:vAlign w:val="center"/>
          </w:tcPr>
          <w:p w14:paraId="5A70E357" w14:textId="78AC8C6A"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236.</w:t>
            </w:r>
            <w:r w:rsidR="00EC0D49">
              <w:rPr>
                <w:rFonts w:ascii="Times New Roman" w:hAnsi="Times New Roman" w:cs="Times New Roman"/>
                <w:color w:val="000000"/>
                <w:sz w:val="20"/>
                <w:szCs w:val="20"/>
                <w:lang w:val="ro-RO"/>
              </w:rPr>
              <w:t>9</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37CE6C5A" w14:textId="0E93ADB4"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287.2</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51F9A2E" w14:textId="2BD33934"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309.4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86A9640" w14:textId="57650720"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260.</w:t>
            </w:r>
            <w:r w:rsidR="00EC0D49">
              <w:rPr>
                <w:rFonts w:ascii="Times New Roman" w:hAnsi="Times New Roman" w:cs="Times New Roman"/>
                <w:color w:val="000000"/>
                <w:sz w:val="20"/>
                <w:szCs w:val="20"/>
                <w:lang w:val="ro-RO"/>
              </w:rPr>
              <w:t>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C12F04A" w14:textId="59CF4298"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235.9</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D9914F6" w14:textId="194EF712" w:rsidR="000904E2" w:rsidRPr="00EC0D49"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247.</w:t>
            </w:r>
            <w:r w:rsidR="00EC0D49">
              <w:rPr>
                <w:rFonts w:ascii="Times New Roman" w:hAnsi="Times New Roman" w:cs="Times New Roman"/>
                <w:color w:val="000000"/>
                <w:sz w:val="20"/>
                <w:szCs w:val="20"/>
                <w:lang w:val="ro-RO"/>
              </w:rPr>
              <w:t>2</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4C5DF30" w14:textId="05693806"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rPr>
              <w:t>226.3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60FE24C" w14:textId="431951E8" w:rsidR="000904E2" w:rsidRPr="001D14A1" w:rsidRDefault="000904E2" w:rsidP="000904E2">
            <w:pPr>
              <w:contextualSpacing/>
              <w:jc w:val="center"/>
              <w:rPr>
                <w:rFonts w:ascii="Times New Roman" w:hAnsi="Times New Roman" w:cs="Times New Roman"/>
                <w:b/>
                <w:bCs/>
                <w:sz w:val="20"/>
                <w:szCs w:val="20"/>
                <w:lang w:val="ro-RO"/>
              </w:rPr>
            </w:pPr>
            <w:r w:rsidRPr="001D14A1">
              <w:rPr>
                <w:rFonts w:ascii="Times New Roman" w:hAnsi="Times New Roman" w:cs="Times New Roman"/>
                <w:b/>
                <w:bCs/>
                <w:color w:val="000000"/>
                <w:sz w:val="20"/>
                <w:szCs w:val="20"/>
              </w:rPr>
              <w:t>1</w:t>
            </w:r>
            <w:r w:rsidR="00EC0D49">
              <w:rPr>
                <w:rFonts w:ascii="Times New Roman" w:hAnsi="Times New Roman" w:cs="Times New Roman"/>
                <w:b/>
                <w:bCs/>
                <w:color w:val="000000"/>
                <w:sz w:val="20"/>
                <w:szCs w:val="20"/>
                <w:lang w:val="ro-RO"/>
              </w:rPr>
              <w:t xml:space="preserve"> </w:t>
            </w:r>
            <w:r w:rsidRPr="001D14A1">
              <w:rPr>
                <w:rFonts w:ascii="Times New Roman" w:hAnsi="Times New Roman" w:cs="Times New Roman"/>
                <w:b/>
                <w:bCs/>
                <w:color w:val="000000"/>
                <w:sz w:val="20"/>
                <w:szCs w:val="20"/>
              </w:rPr>
              <w:t>803.1</w:t>
            </w:r>
          </w:p>
        </w:tc>
      </w:tr>
      <w:tr w:rsidR="000904E2" w:rsidRPr="001D14A1" w14:paraId="3337C085" w14:textId="77777777" w:rsidTr="00EC0D49">
        <w:trPr>
          <w:trHeight w:val="20"/>
          <w:jc w:val="center"/>
        </w:trPr>
        <w:tc>
          <w:tcPr>
            <w:tcW w:w="229" w:type="pct"/>
            <w:vMerge/>
            <w:vAlign w:val="center"/>
          </w:tcPr>
          <w:p w14:paraId="217E5FCE"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984" w:type="pct"/>
            <w:gridSpan w:val="2"/>
            <w:shd w:val="clear" w:color="auto" w:fill="E2EFD9" w:themeFill="accent6" w:themeFillTint="33"/>
            <w:vAlign w:val="center"/>
          </w:tcPr>
          <w:p w14:paraId="082E13F7" w14:textId="23BCEC1F" w:rsidR="000904E2" w:rsidRPr="001D14A1" w:rsidRDefault="000904E2" w:rsidP="000904E2">
            <w:pPr>
              <w:ind w:left="-85" w:right="-85"/>
              <w:contextualSpacing/>
              <w:jc w:val="center"/>
              <w:rPr>
                <w:rFonts w:ascii="Times New Roman" w:hAnsi="Times New Roman" w:cs="Times New Roman"/>
                <w:sz w:val="20"/>
                <w:szCs w:val="20"/>
                <w:lang w:val="ro-RO"/>
              </w:rPr>
            </w:pPr>
            <w:r w:rsidRPr="001D14A1">
              <w:rPr>
                <w:rFonts w:ascii="Times New Roman" w:hAnsi="Times New Roman" w:cs="Times New Roman"/>
                <w:b/>
                <w:bCs/>
                <w:sz w:val="20"/>
                <w:szCs w:val="20"/>
                <w:lang w:val="ro-RO"/>
              </w:rPr>
              <w:t>Scenariul II (B)</w:t>
            </w:r>
          </w:p>
        </w:tc>
        <w:tc>
          <w:tcPr>
            <w:tcW w:w="578" w:type="pct"/>
            <w:shd w:val="clear" w:color="auto" w:fill="E2EFD9" w:themeFill="accent6" w:themeFillTint="33"/>
            <w:vAlign w:val="center"/>
          </w:tcPr>
          <w:p w14:paraId="6AC0B20F" w14:textId="77777777" w:rsidR="000904E2" w:rsidRPr="001D14A1" w:rsidRDefault="000904E2" w:rsidP="000904E2">
            <w:pPr>
              <w:ind w:left="-85" w:right="-85"/>
              <w:contextualSpacing/>
              <w:jc w:val="center"/>
              <w:rPr>
                <w:rFonts w:ascii="Times New Roman" w:hAnsi="Times New Roman" w:cs="Times New Roman"/>
                <w:sz w:val="20"/>
                <w:szCs w:val="20"/>
                <w:lang w:val="ro-RO"/>
              </w:rPr>
            </w:pPr>
            <w:r w:rsidRPr="001D14A1">
              <w:rPr>
                <w:rFonts w:ascii="Times New Roman" w:hAnsi="Times New Roman" w:cs="Times New Roman"/>
                <w:b/>
                <w:bCs/>
                <w:sz w:val="20"/>
                <w:szCs w:val="20"/>
                <w:lang w:val="ro-RO"/>
              </w:rPr>
              <w:t>Ridicată</w:t>
            </w:r>
          </w:p>
        </w:tc>
        <w:tc>
          <w:tcPr>
            <w:tcW w:w="377" w:type="pct"/>
            <w:gridSpan w:val="2"/>
            <w:shd w:val="clear" w:color="auto" w:fill="E2EFD9" w:themeFill="accent6" w:themeFillTint="33"/>
            <w:vAlign w:val="center"/>
          </w:tcPr>
          <w:p w14:paraId="7D7BE6A7" w14:textId="2D27F9A3" w:rsidR="000904E2" w:rsidRPr="001D14A1" w:rsidRDefault="000904E2" w:rsidP="000904E2">
            <w:pPr>
              <w:ind w:left="-85" w:right="-85"/>
              <w:contextualSpacing/>
              <w:jc w:val="center"/>
              <w:rPr>
                <w:rFonts w:ascii="Times New Roman" w:hAnsi="Times New Roman" w:cs="Times New Roman"/>
                <w:sz w:val="20"/>
                <w:szCs w:val="20"/>
                <w:lang w:val="ro-RO"/>
              </w:rPr>
            </w:pPr>
            <w:r w:rsidRPr="001D14A1">
              <w:rPr>
                <w:rFonts w:ascii="Times New Roman" w:hAnsi="Times New Roman" w:cs="Times New Roman"/>
                <w:b/>
                <w:bCs/>
                <w:sz w:val="20"/>
                <w:szCs w:val="20"/>
                <w:lang w:val="ro-RO"/>
              </w:rPr>
              <w:t>100 %</w:t>
            </w:r>
          </w:p>
        </w:tc>
        <w:tc>
          <w:tcPr>
            <w:tcW w:w="2832" w:type="pct"/>
            <w:gridSpan w:val="8"/>
            <w:tcBorders>
              <w:top w:val="single" w:sz="4" w:space="0" w:color="auto"/>
            </w:tcBorders>
            <w:shd w:val="clear" w:color="auto" w:fill="E2EFD9" w:themeFill="accent6" w:themeFillTint="33"/>
            <w:vAlign w:val="center"/>
          </w:tcPr>
          <w:p w14:paraId="3E11A1BB" w14:textId="721E8701" w:rsidR="000904E2" w:rsidRPr="001D14A1" w:rsidRDefault="000904E2" w:rsidP="000904E2">
            <w:pPr>
              <w:contextualSpacing/>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 xml:space="preserve">Situația în care </w:t>
            </w:r>
            <w:r w:rsidRPr="001D14A1">
              <w:rPr>
                <w:rFonts w:ascii="Times New Roman" w:hAnsi="Times New Roman" w:cs="Times New Roman"/>
                <w:b/>
                <w:bCs/>
                <w:sz w:val="20"/>
                <w:szCs w:val="20"/>
                <w:lang w:val="ro-RO"/>
              </w:rPr>
              <w:t>SA „Moldovagaz”</w:t>
            </w:r>
            <w:r>
              <w:rPr>
                <w:rFonts w:ascii="Times New Roman" w:hAnsi="Times New Roman" w:cs="Times New Roman"/>
                <w:b/>
                <w:bCs/>
                <w:sz w:val="20"/>
                <w:szCs w:val="20"/>
                <w:lang w:val="ro-RO"/>
              </w:rPr>
              <w:t xml:space="preserve"> decide alocarea</w:t>
            </w:r>
            <w:r w:rsidRPr="001D14A1">
              <w:rPr>
                <w:rFonts w:ascii="Times New Roman" w:hAnsi="Times New Roman" w:cs="Times New Roman"/>
                <w:b/>
                <w:bCs/>
                <w:sz w:val="20"/>
                <w:szCs w:val="20"/>
                <w:lang w:val="ro-RO"/>
              </w:rPr>
              <w:t xml:space="preserve"> celor 5,7 mil. m</w:t>
            </w:r>
            <w:r w:rsidRPr="001D14A1">
              <w:rPr>
                <w:rFonts w:ascii="Times New Roman" w:hAnsi="Times New Roman" w:cs="Times New Roman"/>
                <w:b/>
                <w:bCs/>
                <w:sz w:val="20"/>
                <w:szCs w:val="20"/>
                <w:vertAlign w:val="superscript"/>
                <w:lang w:val="ro-RO"/>
              </w:rPr>
              <w:t>3</w:t>
            </w:r>
            <w:r w:rsidRPr="001D14A1">
              <w:rPr>
                <w:rFonts w:ascii="Times New Roman" w:hAnsi="Times New Roman" w:cs="Times New Roman"/>
                <w:b/>
                <w:bCs/>
                <w:sz w:val="20"/>
                <w:szCs w:val="20"/>
                <w:lang w:val="ro-RO"/>
              </w:rPr>
              <w:t xml:space="preserve">/zi livrate de SAP „Gazprom” </w:t>
            </w:r>
          </w:p>
          <w:p w14:paraId="154C8284" w14:textId="5E8955AD" w:rsidR="000904E2" w:rsidRPr="001D14A1" w:rsidRDefault="000904E2" w:rsidP="000904E2">
            <w:pPr>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către consumatorii de pe malul stâng al Nistrului</w:t>
            </w:r>
            <w:r>
              <w:rPr>
                <w:rFonts w:ascii="Times New Roman" w:hAnsi="Times New Roman" w:cs="Times New Roman"/>
                <w:b/>
                <w:bCs/>
                <w:sz w:val="20"/>
                <w:szCs w:val="20"/>
                <w:lang w:val="ro-RO"/>
              </w:rPr>
              <w:t>, inclusiv</w:t>
            </w:r>
            <w:r w:rsidRPr="001D14A1">
              <w:rPr>
                <w:rFonts w:ascii="Times New Roman" w:hAnsi="Times New Roman" w:cs="Times New Roman"/>
                <w:b/>
                <w:bCs/>
                <w:sz w:val="20"/>
                <w:szCs w:val="20"/>
                <w:lang w:val="ro-RO"/>
              </w:rPr>
              <w:t xml:space="preserve"> în scopul producerii energiei electrice</w:t>
            </w:r>
          </w:p>
        </w:tc>
      </w:tr>
      <w:tr w:rsidR="000904E2" w:rsidRPr="001D14A1" w14:paraId="0853460C" w14:textId="77777777" w:rsidTr="00EC0D49">
        <w:trPr>
          <w:trHeight w:val="20"/>
          <w:jc w:val="center"/>
        </w:trPr>
        <w:tc>
          <w:tcPr>
            <w:tcW w:w="229" w:type="pct"/>
            <w:vMerge/>
            <w:vAlign w:val="center"/>
          </w:tcPr>
          <w:p w14:paraId="7CE17B7D"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714B6E0E" w14:textId="367C6D39" w:rsidR="000904E2" w:rsidRPr="001D14A1" w:rsidRDefault="000904E2" w:rsidP="000904E2">
            <w:pPr>
              <w:ind w:left="-50" w:right="-85"/>
              <w:rPr>
                <w:rFonts w:ascii="Times New Roman" w:hAnsi="Times New Roman" w:cs="Times New Roman"/>
                <w:sz w:val="20"/>
                <w:szCs w:val="20"/>
                <w:lang w:val="ro-RO"/>
              </w:rPr>
            </w:pPr>
            <w:r w:rsidRPr="001D14A1">
              <w:rPr>
                <w:rFonts w:ascii="Times New Roman" w:hAnsi="Times New Roman" w:cs="Times New Roman"/>
                <w:sz w:val="20"/>
                <w:szCs w:val="20"/>
                <w:lang w:val="ro-RO"/>
              </w:rPr>
              <w:t>Gaze naturale livrate de SAP „Gazprom”, mil. m</w:t>
            </w:r>
            <w:r w:rsidRPr="001D14A1">
              <w:rPr>
                <w:rFonts w:ascii="Times New Roman" w:hAnsi="Times New Roman" w:cs="Times New Roman"/>
                <w:sz w:val="20"/>
                <w:szCs w:val="20"/>
                <w:vertAlign w:val="superscript"/>
                <w:lang w:val="ro-RO"/>
              </w:rPr>
              <w:t>3</w:t>
            </w:r>
          </w:p>
        </w:tc>
        <w:tc>
          <w:tcPr>
            <w:tcW w:w="339" w:type="pct"/>
            <w:shd w:val="clear" w:color="auto" w:fill="FFFFFF" w:themeFill="background1"/>
            <w:vAlign w:val="center"/>
          </w:tcPr>
          <w:p w14:paraId="75CA14D4" w14:textId="5B55B604" w:rsidR="000904E2" w:rsidRPr="00DE4B0D" w:rsidRDefault="000904E2" w:rsidP="000904E2">
            <w:pPr>
              <w:contextualSpacing/>
              <w:jc w:val="center"/>
              <w:rPr>
                <w:rFonts w:ascii="Times New Roman" w:hAnsi="Times New Roman" w:cs="Times New Roman"/>
                <w:color w:val="FF0000"/>
                <w:sz w:val="20"/>
                <w:szCs w:val="20"/>
                <w:lang w:val="ro-RO"/>
              </w:rPr>
            </w:pPr>
            <w:r w:rsidRPr="00DE4B0D">
              <w:rPr>
                <w:rFonts w:ascii="Times New Roman" w:hAnsi="Times New Roman" w:cs="Times New Roman"/>
                <w:sz w:val="20"/>
                <w:szCs w:val="20"/>
                <w:lang w:val="ro-RO"/>
              </w:rPr>
              <w:t>0</w:t>
            </w:r>
          </w:p>
        </w:tc>
        <w:tc>
          <w:tcPr>
            <w:tcW w:w="344" w:type="pct"/>
            <w:shd w:val="clear" w:color="auto" w:fill="auto"/>
            <w:vAlign w:val="center"/>
          </w:tcPr>
          <w:p w14:paraId="648E120F" w14:textId="77777777" w:rsidR="000904E2" w:rsidRPr="001D14A1" w:rsidRDefault="000904E2" w:rsidP="000904E2">
            <w:pPr>
              <w:contextualSpacing/>
              <w:jc w:val="center"/>
              <w:rPr>
                <w:rFonts w:ascii="Times New Roman" w:hAnsi="Times New Roman" w:cs="Times New Roman"/>
                <w:color w:val="000000"/>
                <w:sz w:val="20"/>
                <w:szCs w:val="20"/>
                <w:lang w:val="ro-RO"/>
              </w:rPr>
            </w:pPr>
            <w:r w:rsidRPr="001D14A1">
              <w:rPr>
                <w:rFonts w:ascii="Times New Roman" w:hAnsi="Times New Roman" w:cs="Times New Roman"/>
                <w:color w:val="000000"/>
                <w:sz w:val="20"/>
                <w:szCs w:val="20"/>
                <w:lang w:val="ro-RO"/>
              </w:rPr>
              <w:t>0</w:t>
            </w:r>
          </w:p>
        </w:tc>
        <w:tc>
          <w:tcPr>
            <w:tcW w:w="347" w:type="pct"/>
            <w:shd w:val="clear" w:color="auto" w:fill="auto"/>
            <w:vAlign w:val="center"/>
          </w:tcPr>
          <w:p w14:paraId="3957ABD5" w14:textId="77777777" w:rsidR="000904E2" w:rsidRPr="001D14A1" w:rsidRDefault="000904E2" w:rsidP="000904E2">
            <w:pPr>
              <w:contextualSpacing/>
              <w:jc w:val="center"/>
              <w:rPr>
                <w:rFonts w:ascii="Times New Roman" w:hAnsi="Times New Roman" w:cs="Times New Roman"/>
                <w:color w:val="000000"/>
                <w:sz w:val="20"/>
                <w:szCs w:val="20"/>
                <w:lang w:val="ro-RO"/>
              </w:rPr>
            </w:pPr>
            <w:r w:rsidRPr="001D14A1">
              <w:rPr>
                <w:rFonts w:ascii="Times New Roman" w:hAnsi="Times New Roman" w:cs="Times New Roman"/>
                <w:color w:val="000000"/>
                <w:sz w:val="20"/>
                <w:szCs w:val="20"/>
                <w:lang w:val="ro-RO"/>
              </w:rPr>
              <w:t>0</w:t>
            </w:r>
          </w:p>
        </w:tc>
        <w:tc>
          <w:tcPr>
            <w:tcW w:w="342" w:type="pct"/>
            <w:shd w:val="clear" w:color="auto" w:fill="auto"/>
            <w:vAlign w:val="center"/>
          </w:tcPr>
          <w:p w14:paraId="7367D0CF" w14:textId="77777777" w:rsidR="000904E2" w:rsidRPr="001D14A1" w:rsidRDefault="000904E2" w:rsidP="000904E2">
            <w:pPr>
              <w:contextualSpacing/>
              <w:jc w:val="center"/>
              <w:rPr>
                <w:rFonts w:ascii="Times New Roman" w:hAnsi="Times New Roman" w:cs="Times New Roman"/>
                <w:color w:val="000000"/>
                <w:sz w:val="20"/>
                <w:szCs w:val="20"/>
                <w:lang w:val="ro-RO"/>
              </w:rPr>
            </w:pPr>
            <w:r w:rsidRPr="001D14A1">
              <w:rPr>
                <w:rFonts w:ascii="Times New Roman" w:hAnsi="Times New Roman" w:cs="Times New Roman"/>
                <w:color w:val="000000"/>
                <w:sz w:val="20"/>
                <w:szCs w:val="20"/>
                <w:lang w:val="ro-RO"/>
              </w:rPr>
              <w:t>0</w:t>
            </w:r>
          </w:p>
        </w:tc>
        <w:tc>
          <w:tcPr>
            <w:tcW w:w="343" w:type="pct"/>
            <w:shd w:val="clear" w:color="auto" w:fill="auto"/>
            <w:vAlign w:val="center"/>
          </w:tcPr>
          <w:p w14:paraId="70C28B82" w14:textId="77777777" w:rsidR="000904E2" w:rsidRPr="001D14A1" w:rsidRDefault="000904E2" w:rsidP="000904E2">
            <w:pPr>
              <w:contextualSpacing/>
              <w:jc w:val="center"/>
              <w:rPr>
                <w:rFonts w:ascii="Times New Roman" w:hAnsi="Times New Roman" w:cs="Times New Roman"/>
                <w:color w:val="000000"/>
                <w:sz w:val="20"/>
                <w:szCs w:val="20"/>
                <w:lang w:val="ro-RO"/>
              </w:rPr>
            </w:pPr>
            <w:r w:rsidRPr="001D14A1">
              <w:rPr>
                <w:rFonts w:ascii="Times New Roman" w:hAnsi="Times New Roman" w:cs="Times New Roman"/>
                <w:color w:val="000000"/>
                <w:sz w:val="20"/>
                <w:szCs w:val="20"/>
                <w:lang w:val="ro-RO"/>
              </w:rPr>
              <w:t>0</w:t>
            </w:r>
          </w:p>
        </w:tc>
        <w:tc>
          <w:tcPr>
            <w:tcW w:w="361" w:type="pct"/>
            <w:shd w:val="clear" w:color="auto" w:fill="auto"/>
            <w:vAlign w:val="center"/>
          </w:tcPr>
          <w:p w14:paraId="726EF33C" w14:textId="77777777" w:rsidR="000904E2" w:rsidRPr="001D14A1" w:rsidRDefault="000904E2" w:rsidP="000904E2">
            <w:pPr>
              <w:contextualSpacing/>
              <w:jc w:val="center"/>
              <w:rPr>
                <w:rFonts w:ascii="Times New Roman" w:hAnsi="Times New Roman" w:cs="Times New Roman"/>
                <w:color w:val="000000"/>
                <w:sz w:val="20"/>
                <w:szCs w:val="20"/>
                <w:lang w:val="ro-RO"/>
              </w:rPr>
            </w:pPr>
            <w:r w:rsidRPr="001D14A1">
              <w:rPr>
                <w:rFonts w:ascii="Times New Roman" w:hAnsi="Times New Roman" w:cs="Times New Roman"/>
                <w:color w:val="000000"/>
                <w:sz w:val="20"/>
                <w:szCs w:val="20"/>
                <w:lang w:val="ro-RO"/>
              </w:rPr>
              <w:t>0</w:t>
            </w:r>
          </w:p>
        </w:tc>
        <w:tc>
          <w:tcPr>
            <w:tcW w:w="350" w:type="pct"/>
            <w:shd w:val="clear" w:color="auto" w:fill="auto"/>
            <w:vAlign w:val="center"/>
          </w:tcPr>
          <w:p w14:paraId="25762C20" w14:textId="77777777" w:rsidR="000904E2" w:rsidRPr="001D14A1" w:rsidRDefault="000904E2" w:rsidP="000904E2">
            <w:pPr>
              <w:contextualSpacing/>
              <w:jc w:val="center"/>
              <w:rPr>
                <w:rFonts w:ascii="Times New Roman" w:hAnsi="Times New Roman" w:cs="Times New Roman"/>
                <w:color w:val="000000"/>
                <w:sz w:val="20"/>
                <w:szCs w:val="20"/>
                <w:lang w:val="ro-RO"/>
              </w:rPr>
            </w:pPr>
            <w:r w:rsidRPr="001D14A1">
              <w:rPr>
                <w:rFonts w:ascii="Times New Roman" w:hAnsi="Times New Roman" w:cs="Times New Roman"/>
                <w:color w:val="000000"/>
                <w:sz w:val="20"/>
                <w:szCs w:val="20"/>
                <w:lang w:val="ro-RO"/>
              </w:rPr>
              <w:t>0</w:t>
            </w:r>
          </w:p>
        </w:tc>
        <w:tc>
          <w:tcPr>
            <w:tcW w:w="405" w:type="pct"/>
            <w:shd w:val="clear" w:color="auto" w:fill="auto"/>
            <w:vAlign w:val="center"/>
          </w:tcPr>
          <w:p w14:paraId="41878DAF" w14:textId="6AD72B12" w:rsidR="000904E2" w:rsidRPr="00DE4B0D" w:rsidRDefault="000904E2" w:rsidP="000904E2">
            <w:pPr>
              <w:contextualSpacing/>
              <w:jc w:val="center"/>
              <w:rPr>
                <w:rFonts w:ascii="Times New Roman" w:hAnsi="Times New Roman" w:cs="Times New Roman"/>
                <w:b/>
                <w:bCs/>
                <w:color w:val="000000"/>
                <w:sz w:val="20"/>
                <w:szCs w:val="20"/>
                <w:lang w:val="ro-RO"/>
              </w:rPr>
            </w:pPr>
            <w:r>
              <w:rPr>
                <w:rFonts w:ascii="Times New Roman" w:hAnsi="Times New Roman" w:cs="Times New Roman"/>
                <w:b/>
                <w:bCs/>
                <w:color w:val="000000"/>
                <w:sz w:val="20"/>
                <w:szCs w:val="20"/>
                <w:lang w:val="ro-RO"/>
              </w:rPr>
              <w:t>0</w:t>
            </w:r>
          </w:p>
        </w:tc>
      </w:tr>
      <w:tr w:rsidR="000904E2" w:rsidRPr="001D14A1" w14:paraId="7AB54052" w14:textId="77777777" w:rsidTr="00EC0D49">
        <w:trPr>
          <w:trHeight w:val="20"/>
          <w:jc w:val="center"/>
        </w:trPr>
        <w:tc>
          <w:tcPr>
            <w:tcW w:w="229" w:type="pct"/>
            <w:vMerge/>
            <w:vAlign w:val="center"/>
          </w:tcPr>
          <w:p w14:paraId="7DB2FB2B"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565AA565" w14:textId="2890D56F" w:rsidR="000904E2" w:rsidRPr="001D14A1" w:rsidRDefault="000904E2" w:rsidP="000904E2">
            <w:pPr>
              <w:ind w:left="-50" w:right="-85"/>
              <w:rPr>
                <w:rFonts w:ascii="Times New Roman" w:hAnsi="Times New Roman" w:cs="Times New Roman"/>
                <w:sz w:val="20"/>
                <w:szCs w:val="20"/>
                <w:lang w:val="ro-RO"/>
              </w:rPr>
            </w:pPr>
            <w:r w:rsidRPr="001D14A1">
              <w:rPr>
                <w:rFonts w:ascii="Times New Roman" w:hAnsi="Times New Roman" w:cs="Times New Roman"/>
                <w:sz w:val="20"/>
                <w:szCs w:val="20"/>
                <w:lang w:val="ro-RO"/>
              </w:rPr>
              <w:t>Gaze naturale livrate din alte surse malului drept, mil. m</w:t>
            </w:r>
            <w:r w:rsidRPr="001D14A1">
              <w:rPr>
                <w:rFonts w:ascii="Times New Roman" w:hAnsi="Times New Roman" w:cs="Times New Roman"/>
                <w:sz w:val="20"/>
                <w:szCs w:val="20"/>
                <w:vertAlign w:val="superscript"/>
                <w:lang w:val="ro-RO"/>
              </w:rPr>
              <w:t>3</w:t>
            </w:r>
          </w:p>
        </w:tc>
        <w:tc>
          <w:tcPr>
            <w:tcW w:w="339" w:type="pct"/>
            <w:shd w:val="clear" w:color="auto" w:fill="auto"/>
            <w:vAlign w:val="bottom"/>
          </w:tcPr>
          <w:p w14:paraId="6E87E86F" w14:textId="237E1895" w:rsidR="000904E2" w:rsidRPr="00DE4B0D" w:rsidRDefault="000904E2" w:rsidP="000904E2">
            <w:pPr>
              <w:contextualSpacing/>
              <w:jc w:val="center"/>
              <w:rPr>
                <w:rFonts w:ascii="Times New Roman" w:hAnsi="Times New Roman" w:cs="Times New Roman"/>
                <w:sz w:val="20"/>
                <w:szCs w:val="20"/>
                <w:lang w:val="ro-RO"/>
              </w:rPr>
            </w:pPr>
            <w:r w:rsidRPr="00DE4B0D">
              <w:rPr>
                <w:rFonts w:ascii="Times New Roman" w:hAnsi="Times New Roman" w:cs="Times New Roman"/>
                <w:color w:val="000000"/>
                <w:sz w:val="20"/>
                <w:szCs w:val="20"/>
                <w:lang w:val="ro-RO"/>
              </w:rPr>
              <w:t>72.3</w:t>
            </w:r>
          </w:p>
        </w:tc>
        <w:tc>
          <w:tcPr>
            <w:tcW w:w="344" w:type="pct"/>
            <w:shd w:val="clear" w:color="auto" w:fill="auto"/>
            <w:vAlign w:val="bottom"/>
          </w:tcPr>
          <w:p w14:paraId="6EECD4DF" w14:textId="3880C1EB"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color w:val="000000"/>
                <w:sz w:val="20"/>
                <w:szCs w:val="20"/>
              </w:rPr>
              <w:t>134.4</w:t>
            </w:r>
          </w:p>
        </w:tc>
        <w:tc>
          <w:tcPr>
            <w:tcW w:w="347" w:type="pct"/>
            <w:shd w:val="clear" w:color="auto" w:fill="auto"/>
            <w:vAlign w:val="bottom"/>
          </w:tcPr>
          <w:p w14:paraId="0EAF543E" w14:textId="07948B94"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color w:val="000000"/>
                <w:sz w:val="20"/>
                <w:szCs w:val="20"/>
              </w:rPr>
              <w:t>171.9</w:t>
            </w:r>
          </w:p>
        </w:tc>
        <w:tc>
          <w:tcPr>
            <w:tcW w:w="342" w:type="pct"/>
            <w:shd w:val="clear" w:color="auto" w:fill="auto"/>
            <w:vAlign w:val="bottom"/>
          </w:tcPr>
          <w:p w14:paraId="773F9148" w14:textId="78848F64"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color w:val="000000"/>
                <w:sz w:val="20"/>
                <w:szCs w:val="20"/>
              </w:rPr>
              <w:t>184.0</w:t>
            </w:r>
          </w:p>
        </w:tc>
        <w:tc>
          <w:tcPr>
            <w:tcW w:w="343" w:type="pct"/>
            <w:shd w:val="clear" w:color="auto" w:fill="auto"/>
            <w:vAlign w:val="bottom"/>
          </w:tcPr>
          <w:p w14:paraId="5CB5714A" w14:textId="46A390E3"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color w:val="000000"/>
                <w:sz w:val="20"/>
                <w:szCs w:val="20"/>
              </w:rPr>
              <w:t>152.3</w:t>
            </w:r>
          </w:p>
        </w:tc>
        <w:tc>
          <w:tcPr>
            <w:tcW w:w="361" w:type="pct"/>
            <w:shd w:val="clear" w:color="auto" w:fill="auto"/>
            <w:vAlign w:val="bottom"/>
          </w:tcPr>
          <w:p w14:paraId="37C800B8" w14:textId="15317625"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color w:val="000000"/>
                <w:sz w:val="20"/>
                <w:szCs w:val="20"/>
              </w:rPr>
              <w:t>141.0</w:t>
            </w:r>
          </w:p>
        </w:tc>
        <w:tc>
          <w:tcPr>
            <w:tcW w:w="350" w:type="pct"/>
            <w:shd w:val="clear" w:color="auto" w:fill="auto"/>
            <w:vAlign w:val="bottom"/>
          </w:tcPr>
          <w:p w14:paraId="0ED06EB6" w14:textId="581213E1"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color w:val="000000"/>
                <w:sz w:val="20"/>
                <w:szCs w:val="20"/>
              </w:rPr>
              <w:t>64.3</w:t>
            </w:r>
          </w:p>
        </w:tc>
        <w:tc>
          <w:tcPr>
            <w:tcW w:w="405" w:type="pct"/>
            <w:shd w:val="clear" w:color="auto" w:fill="auto"/>
            <w:vAlign w:val="center"/>
          </w:tcPr>
          <w:p w14:paraId="6D33E3C0" w14:textId="2205AB73" w:rsidR="000904E2" w:rsidRPr="00DE4B0D" w:rsidRDefault="000904E2" w:rsidP="000904E2">
            <w:pPr>
              <w:contextualSpacing/>
              <w:jc w:val="center"/>
              <w:rPr>
                <w:rFonts w:ascii="Times New Roman" w:hAnsi="Times New Roman" w:cs="Times New Roman"/>
                <w:b/>
                <w:bCs/>
                <w:sz w:val="20"/>
                <w:szCs w:val="20"/>
                <w:lang w:val="ro-RO"/>
              </w:rPr>
            </w:pPr>
            <w:r w:rsidRPr="001D14A1">
              <w:rPr>
                <w:rFonts w:ascii="Times New Roman" w:hAnsi="Times New Roman" w:cs="Times New Roman"/>
                <w:b/>
                <w:bCs/>
                <w:color w:val="000000"/>
                <w:sz w:val="20"/>
                <w:szCs w:val="20"/>
              </w:rPr>
              <w:t>920.2</w:t>
            </w:r>
          </w:p>
        </w:tc>
      </w:tr>
      <w:tr w:rsidR="000904E2" w:rsidRPr="001D14A1" w14:paraId="52DCC527" w14:textId="77777777" w:rsidTr="00EC0D49">
        <w:trPr>
          <w:trHeight w:val="20"/>
          <w:jc w:val="center"/>
        </w:trPr>
        <w:tc>
          <w:tcPr>
            <w:tcW w:w="229" w:type="pct"/>
            <w:vMerge/>
            <w:vAlign w:val="center"/>
          </w:tcPr>
          <w:p w14:paraId="34BFBFEF"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3B331262" w14:textId="30CCC88F" w:rsidR="000904E2" w:rsidRPr="001D14A1" w:rsidRDefault="000904E2" w:rsidP="000904E2">
            <w:pPr>
              <w:ind w:left="-50" w:right="-85"/>
              <w:contextualSpacing/>
              <w:rPr>
                <w:rFonts w:ascii="Times New Roman" w:hAnsi="Times New Roman" w:cs="Times New Roman"/>
                <w:sz w:val="20"/>
                <w:szCs w:val="20"/>
                <w:lang w:val="ro-RO"/>
              </w:rPr>
            </w:pPr>
            <w:r>
              <w:rPr>
                <w:rFonts w:ascii="Times New Roman" w:hAnsi="Times New Roman" w:cs="Times New Roman"/>
                <w:sz w:val="20"/>
                <w:szCs w:val="20"/>
                <w:lang w:val="ro-RO"/>
              </w:rPr>
              <w:t>Producția locală de energie electrică, mil. kWh</w:t>
            </w:r>
          </w:p>
        </w:tc>
        <w:tc>
          <w:tcPr>
            <w:tcW w:w="339" w:type="pct"/>
            <w:shd w:val="clear" w:color="auto" w:fill="auto"/>
            <w:vAlign w:val="center"/>
          </w:tcPr>
          <w:p w14:paraId="31551C49" w14:textId="43F0C2E2" w:rsidR="000904E2" w:rsidRPr="001D14A1" w:rsidRDefault="000904E2" w:rsidP="000904E2">
            <w:pPr>
              <w:contextualSpacing/>
              <w:jc w:val="center"/>
              <w:rPr>
                <w:rFonts w:ascii="Times New Roman" w:hAnsi="Times New Roman" w:cs="Times New Roman"/>
                <w:color w:val="000000"/>
                <w:sz w:val="20"/>
                <w:szCs w:val="20"/>
                <w:lang w:val="ro-RO"/>
              </w:rPr>
            </w:pPr>
            <w:r w:rsidRPr="00D40C4A">
              <w:rPr>
                <w:rFonts w:ascii="Times New Roman" w:eastAsia="Times New Roman" w:hAnsi="Times New Roman" w:cs="Times New Roman"/>
                <w:color w:val="000000"/>
                <w:sz w:val="20"/>
                <w:szCs w:val="20"/>
              </w:rPr>
              <w:t>51.5</w:t>
            </w:r>
          </w:p>
        </w:tc>
        <w:tc>
          <w:tcPr>
            <w:tcW w:w="344" w:type="pct"/>
            <w:shd w:val="clear" w:color="auto" w:fill="auto"/>
            <w:vAlign w:val="center"/>
          </w:tcPr>
          <w:p w14:paraId="292AD877" w14:textId="06712D00" w:rsidR="000904E2" w:rsidRPr="006058DE" w:rsidRDefault="000904E2" w:rsidP="000904E2">
            <w:pPr>
              <w:contextualSpacing/>
              <w:jc w:val="center"/>
              <w:rPr>
                <w:rFonts w:ascii="Times New Roman" w:hAnsi="Times New Roman" w:cs="Times New Roman"/>
                <w:color w:val="000000"/>
                <w:sz w:val="20"/>
                <w:szCs w:val="20"/>
                <w:lang w:val="ro-RO"/>
              </w:rPr>
            </w:pPr>
            <w:r w:rsidRPr="00D40C4A">
              <w:rPr>
                <w:rFonts w:ascii="Times New Roman" w:eastAsia="Times New Roman" w:hAnsi="Times New Roman" w:cs="Times New Roman"/>
                <w:color w:val="000000"/>
                <w:sz w:val="20"/>
                <w:szCs w:val="20"/>
              </w:rPr>
              <w:t>116.0</w:t>
            </w:r>
          </w:p>
        </w:tc>
        <w:tc>
          <w:tcPr>
            <w:tcW w:w="347" w:type="pct"/>
            <w:shd w:val="clear" w:color="auto" w:fill="FFFFFF" w:themeFill="background1"/>
            <w:vAlign w:val="center"/>
          </w:tcPr>
          <w:p w14:paraId="6BBF0CB1" w14:textId="3ED804C2" w:rsidR="000904E2" w:rsidRPr="009D594E" w:rsidRDefault="000904E2" w:rsidP="000904E2">
            <w:pPr>
              <w:contextualSpacing/>
              <w:jc w:val="center"/>
              <w:rPr>
                <w:rFonts w:ascii="Times New Roman" w:hAnsi="Times New Roman" w:cs="Times New Roman"/>
                <w:sz w:val="20"/>
                <w:szCs w:val="20"/>
                <w:lang w:val="ro-RO"/>
              </w:rPr>
            </w:pPr>
            <w:r w:rsidRPr="00D40C4A">
              <w:rPr>
                <w:rFonts w:ascii="Times New Roman" w:eastAsia="Times New Roman" w:hAnsi="Times New Roman" w:cs="Times New Roman"/>
                <w:color w:val="000000"/>
                <w:sz w:val="20"/>
                <w:szCs w:val="20"/>
              </w:rPr>
              <w:t>132.4</w:t>
            </w:r>
          </w:p>
        </w:tc>
        <w:tc>
          <w:tcPr>
            <w:tcW w:w="342" w:type="pct"/>
            <w:shd w:val="clear" w:color="auto" w:fill="FFFFFF" w:themeFill="background1"/>
            <w:vAlign w:val="center"/>
          </w:tcPr>
          <w:p w14:paraId="1B56DCBC" w14:textId="003B6351" w:rsidR="000904E2" w:rsidRPr="009D594E" w:rsidRDefault="000904E2" w:rsidP="000904E2">
            <w:pPr>
              <w:contextualSpacing/>
              <w:jc w:val="center"/>
              <w:rPr>
                <w:rFonts w:ascii="Times New Roman" w:hAnsi="Times New Roman" w:cs="Times New Roman"/>
                <w:sz w:val="20"/>
                <w:szCs w:val="20"/>
                <w:lang w:val="ro-RO"/>
              </w:rPr>
            </w:pPr>
            <w:r w:rsidRPr="00D40C4A">
              <w:rPr>
                <w:rFonts w:ascii="Times New Roman" w:eastAsia="Times New Roman" w:hAnsi="Times New Roman" w:cs="Times New Roman"/>
                <w:color w:val="000000"/>
                <w:sz w:val="20"/>
                <w:szCs w:val="20"/>
              </w:rPr>
              <w:t>146.0</w:t>
            </w:r>
          </w:p>
        </w:tc>
        <w:tc>
          <w:tcPr>
            <w:tcW w:w="343" w:type="pct"/>
            <w:shd w:val="clear" w:color="auto" w:fill="FFFFFF" w:themeFill="background1"/>
            <w:vAlign w:val="center"/>
          </w:tcPr>
          <w:p w14:paraId="6E5EEAA4" w14:textId="015DCFEE" w:rsidR="000904E2" w:rsidRPr="009D594E" w:rsidRDefault="000904E2" w:rsidP="000904E2">
            <w:pPr>
              <w:contextualSpacing/>
              <w:jc w:val="center"/>
              <w:rPr>
                <w:rFonts w:ascii="Times New Roman" w:hAnsi="Times New Roman" w:cs="Times New Roman"/>
                <w:sz w:val="20"/>
                <w:szCs w:val="20"/>
                <w:lang w:val="ro-RO"/>
              </w:rPr>
            </w:pPr>
            <w:r w:rsidRPr="00D40C4A">
              <w:rPr>
                <w:rFonts w:ascii="Times New Roman" w:eastAsia="Times New Roman" w:hAnsi="Times New Roman" w:cs="Times New Roman"/>
                <w:color w:val="000000"/>
                <w:sz w:val="20"/>
                <w:szCs w:val="20"/>
              </w:rPr>
              <w:t>148.6</w:t>
            </w:r>
          </w:p>
        </w:tc>
        <w:tc>
          <w:tcPr>
            <w:tcW w:w="361" w:type="pct"/>
            <w:shd w:val="clear" w:color="auto" w:fill="FFFFFF" w:themeFill="background1"/>
            <w:vAlign w:val="center"/>
          </w:tcPr>
          <w:p w14:paraId="4A5C8752" w14:textId="06FE851A" w:rsidR="000904E2" w:rsidRPr="009D594E" w:rsidRDefault="000904E2" w:rsidP="000904E2">
            <w:pPr>
              <w:contextualSpacing/>
              <w:jc w:val="center"/>
              <w:rPr>
                <w:rFonts w:ascii="Times New Roman" w:hAnsi="Times New Roman" w:cs="Times New Roman"/>
                <w:sz w:val="20"/>
                <w:szCs w:val="20"/>
                <w:lang w:val="ro-RO"/>
              </w:rPr>
            </w:pPr>
            <w:r w:rsidRPr="00D40C4A">
              <w:rPr>
                <w:rFonts w:ascii="Times New Roman" w:eastAsia="Times New Roman" w:hAnsi="Times New Roman" w:cs="Times New Roman"/>
                <w:color w:val="000000"/>
                <w:sz w:val="20"/>
                <w:szCs w:val="20"/>
              </w:rPr>
              <w:t>147.8</w:t>
            </w:r>
          </w:p>
        </w:tc>
        <w:tc>
          <w:tcPr>
            <w:tcW w:w="350" w:type="pct"/>
            <w:shd w:val="clear" w:color="auto" w:fill="FFFFFF" w:themeFill="background1"/>
            <w:vAlign w:val="center"/>
          </w:tcPr>
          <w:p w14:paraId="5AC02470" w14:textId="6D44FBAA" w:rsidR="000904E2" w:rsidRPr="009D594E" w:rsidRDefault="000904E2" w:rsidP="000904E2">
            <w:pPr>
              <w:contextualSpacing/>
              <w:jc w:val="center"/>
              <w:rPr>
                <w:rFonts w:ascii="Times New Roman" w:hAnsi="Times New Roman" w:cs="Times New Roman"/>
                <w:sz w:val="20"/>
                <w:szCs w:val="20"/>
                <w:lang w:val="ro-RO"/>
              </w:rPr>
            </w:pPr>
            <w:r w:rsidRPr="00D40C4A">
              <w:rPr>
                <w:rFonts w:ascii="Times New Roman" w:eastAsia="Times New Roman" w:hAnsi="Times New Roman" w:cs="Times New Roman"/>
                <w:color w:val="000000"/>
                <w:sz w:val="20"/>
                <w:szCs w:val="20"/>
              </w:rPr>
              <w:t>80.2</w:t>
            </w:r>
          </w:p>
        </w:tc>
        <w:tc>
          <w:tcPr>
            <w:tcW w:w="405" w:type="pct"/>
            <w:shd w:val="clear" w:color="auto" w:fill="auto"/>
            <w:vAlign w:val="center"/>
          </w:tcPr>
          <w:p w14:paraId="1842B9C0" w14:textId="0A779748" w:rsidR="000904E2" w:rsidRPr="001D14A1" w:rsidRDefault="000904E2" w:rsidP="000904E2">
            <w:pPr>
              <w:contextualSpacing/>
              <w:jc w:val="center"/>
              <w:rPr>
                <w:rFonts w:ascii="Times New Roman" w:hAnsi="Times New Roman" w:cs="Times New Roman"/>
                <w:b/>
                <w:bCs/>
                <w:color w:val="000000"/>
                <w:sz w:val="20"/>
                <w:szCs w:val="20"/>
                <w:lang w:val="ro-RO"/>
              </w:rPr>
            </w:pPr>
            <w:r w:rsidRPr="000904E2">
              <w:rPr>
                <w:rFonts w:ascii="Times New Roman" w:eastAsia="Times New Roman" w:hAnsi="Times New Roman" w:cs="Times New Roman"/>
                <w:b/>
                <w:bCs/>
                <w:color w:val="000000"/>
                <w:sz w:val="20"/>
                <w:szCs w:val="20"/>
              </w:rPr>
              <w:t>822.6</w:t>
            </w:r>
          </w:p>
        </w:tc>
      </w:tr>
      <w:tr w:rsidR="000904E2" w:rsidRPr="001D14A1" w14:paraId="6BD9D671" w14:textId="77777777" w:rsidTr="00EC0D49">
        <w:trPr>
          <w:trHeight w:val="20"/>
          <w:jc w:val="center"/>
        </w:trPr>
        <w:tc>
          <w:tcPr>
            <w:tcW w:w="229" w:type="pct"/>
            <w:vMerge/>
            <w:vAlign w:val="center"/>
          </w:tcPr>
          <w:p w14:paraId="1671887F"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1C8E299C" w14:textId="78A1EE9E" w:rsidR="000904E2" w:rsidRPr="001D14A1" w:rsidRDefault="000904E2" w:rsidP="000904E2">
            <w:pPr>
              <w:ind w:left="-50"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 xml:space="preserve">Energie electrică livrată de </w:t>
            </w:r>
            <w:r>
              <w:rPr>
                <w:rFonts w:ascii="Times New Roman" w:hAnsi="Times New Roman" w:cs="Times New Roman"/>
                <w:sz w:val="20"/>
                <w:szCs w:val="20"/>
                <w:lang w:val="ro-RO"/>
              </w:rPr>
              <w:t>pe malul stâng</w:t>
            </w:r>
            <w:r w:rsidRPr="001D14A1">
              <w:rPr>
                <w:rFonts w:ascii="Times New Roman" w:hAnsi="Times New Roman" w:cs="Times New Roman"/>
                <w:sz w:val="20"/>
                <w:szCs w:val="20"/>
                <w:lang w:val="ro-RO"/>
              </w:rPr>
              <w:t>, mil. kWh (~100%)</w:t>
            </w:r>
          </w:p>
        </w:tc>
        <w:tc>
          <w:tcPr>
            <w:tcW w:w="339" w:type="pct"/>
            <w:shd w:val="clear" w:color="auto" w:fill="auto"/>
            <w:vAlign w:val="center"/>
          </w:tcPr>
          <w:p w14:paraId="14DF055D" w14:textId="6DD62EED"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lang w:val="ro-RO"/>
              </w:rPr>
              <w:t>315.</w:t>
            </w:r>
            <w:r w:rsidR="00EC0D49">
              <w:rPr>
                <w:rFonts w:ascii="Times New Roman" w:hAnsi="Times New Roman" w:cs="Times New Roman"/>
                <w:color w:val="000000"/>
                <w:sz w:val="20"/>
                <w:szCs w:val="20"/>
                <w:lang w:val="ro-RO"/>
              </w:rPr>
              <w:t>5</w:t>
            </w:r>
          </w:p>
        </w:tc>
        <w:tc>
          <w:tcPr>
            <w:tcW w:w="344" w:type="pct"/>
            <w:shd w:val="clear" w:color="auto" w:fill="auto"/>
            <w:vAlign w:val="center"/>
          </w:tcPr>
          <w:p w14:paraId="4ADD8365" w14:textId="77777777" w:rsidR="000904E2" w:rsidRPr="006058DE" w:rsidRDefault="000904E2" w:rsidP="000904E2">
            <w:pPr>
              <w:contextualSpacing/>
              <w:jc w:val="center"/>
              <w:rPr>
                <w:rFonts w:ascii="Times New Roman" w:hAnsi="Times New Roman" w:cs="Times New Roman"/>
                <w:sz w:val="20"/>
                <w:szCs w:val="20"/>
                <w:lang w:val="ro-RO"/>
              </w:rPr>
            </w:pPr>
            <w:r w:rsidRPr="006058DE">
              <w:rPr>
                <w:rFonts w:ascii="Times New Roman" w:hAnsi="Times New Roman" w:cs="Times New Roman"/>
                <w:color w:val="000000"/>
                <w:sz w:val="20"/>
                <w:szCs w:val="20"/>
                <w:lang w:val="ro-RO"/>
              </w:rPr>
              <w:t>235.5</w:t>
            </w:r>
          </w:p>
        </w:tc>
        <w:tc>
          <w:tcPr>
            <w:tcW w:w="347" w:type="pct"/>
            <w:shd w:val="clear" w:color="auto" w:fill="FFFFFF" w:themeFill="background1"/>
            <w:vAlign w:val="center"/>
          </w:tcPr>
          <w:p w14:paraId="2F06A5E4" w14:textId="77777777"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sz w:val="20"/>
                <w:szCs w:val="20"/>
                <w:lang w:val="ro-RO"/>
              </w:rPr>
              <w:t>204</w:t>
            </w:r>
          </w:p>
        </w:tc>
        <w:tc>
          <w:tcPr>
            <w:tcW w:w="342" w:type="pct"/>
            <w:shd w:val="clear" w:color="auto" w:fill="FFFFFF" w:themeFill="background1"/>
            <w:vAlign w:val="center"/>
          </w:tcPr>
          <w:p w14:paraId="2D16DA65" w14:textId="0EE6B0CD"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sz w:val="20"/>
                <w:szCs w:val="20"/>
                <w:lang w:val="ro-RO"/>
              </w:rPr>
              <w:t>26</w:t>
            </w:r>
            <w:r>
              <w:rPr>
                <w:rFonts w:ascii="Times New Roman" w:hAnsi="Times New Roman" w:cs="Times New Roman"/>
                <w:sz w:val="20"/>
                <w:szCs w:val="20"/>
                <w:lang w:val="ro-RO"/>
              </w:rPr>
              <w:t>0.</w:t>
            </w:r>
            <w:r w:rsidR="00EC0D49">
              <w:rPr>
                <w:rFonts w:ascii="Times New Roman" w:hAnsi="Times New Roman" w:cs="Times New Roman"/>
                <w:sz w:val="20"/>
                <w:szCs w:val="20"/>
                <w:lang w:val="ro-RO"/>
              </w:rPr>
              <w:t>3</w:t>
            </w:r>
          </w:p>
        </w:tc>
        <w:tc>
          <w:tcPr>
            <w:tcW w:w="343" w:type="pct"/>
            <w:shd w:val="clear" w:color="auto" w:fill="FFFFFF" w:themeFill="background1"/>
            <w:vAlign w:val="center"/>
          </w:tcPr>
          <w:p w14:paraId="60C521DE" w14:textId="77777777"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sz w:val="20"/>
                <w:szCs w:val="20"/>
                <w:lang w:val="ro-RO"/>
              </w:rPr>
              <w:t>230</w:t>
            </w:r>
          </w:p>
        </w:tc>
        <w:tc>
          <w:tcPr>
            <w:tcW w:w="361" w:type="pct"/>
            <w:shd w:val="clear" w:color="auto" w:fill="FFFFFF" w:themeFill="background1"/>
            <w:vAlign w:val="center"/>
          </w:tcPr>
          <w:p w14:paraId="05B11EF0" w14:textId="77777777"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sz w:val="20"/>
                <w:szCs w:val="20"/>
                <w:lang w:val="ro-RO"/>
              </w:rPr>
              <w:t>244</w:t>
            </w:r>
          </w:p>
        </w:tc>
        <w:tc>
          <w:tcPr>
            <w:tcW w:w="350" w:type="pct"/>
            <w:shd w:val="clear" w:color="auto" w:fill="FFFFFF" w:themeFill="background1"/>
            <w:vAlign w:val="center"/>
          </w:tcPr>
          <w:p w14:paraId="76FC9621" w14:textId="69447E12"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sz w:val="20"/>
                <w:szCs w:val="20"/>
                <w:lang w:val="ro-RO"/>
              </w:rPr>
              <w:t>282</w:t>
            </w:r>
          </w:p>
        </w:tc>
        <w:tc>
          <w:tcPr>
            <w:tcW w:w="405" w:type="pct"/>
            <w:shd w:val="clear" w:color="auto" w:fill="auto"/>
            <w:vAlign w:val="center"/>
          </w:tcPr>
          <w:p w14:paraId="531871FD" w14:textId="2238FDCB" w:rsidR="000904E2" w:rsidRPr="00EC0D49" w:rsidRDefault="000904E2" w:rsidP="000904E2">
            <w:pPr>
              <w:contextualSpacing/>
              <w:jc w:val="center"/>
              <w:rPr>
                <w:rFonts w:ascii="Times New Roman" w:hAnsi="Times New Roman" w:cs="Times New Roman"/>
                <w:b/>
                <w:bCs/>
                <w:sz w:val="20"/>
                <w:szCs w:val="20"/>
                <w:lang w:val="ro-RO"/>
              </w:rPr>
            </w:pPr>
            <w:r w:rsidRPr="00EC0D49">
              <w:rPr>
                <w:rFonts w:ascii="Times New Roman" w:hAnsi="Times New Roman" w:cs="Times New Roman"/>
                <w:b/>
                <w:bCs/>
                <w:color w:val="000000"/>
                <w:sz w:val="20"/>
                <w:szCs w:val="20"/>
                <w:lang w:val="ro-RO"/>
              </w:rPr>
              <w:t>1 771.3</w:t>
            </w:r>
          </w:p>
        </w:tc>
      </w:tr>
      <w:tr w:rsidR="000904E2" w:rsidRPr="001D14A1" w14:paraId="2266FC2B" w14:textId="77777777" w:rsidTr="00EC0D49">
        <w:trPr>
          <w:trHeight w:val="20"/>
          <w:jc w:val="center"/>
        </w:trPr>
        <w:tc>
          <w:tcPr>
            <w:tcW w:w="229" w:type="pct"/>
            <w:vMerge/>
            <w:vAlign w:val="center"/>
          </w:tcPr>
          <w:p w14:paraId="1F049D98"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0F1EA378" w14:textId="3E0874AE" w:rsidR="000904E2" w:rsidRPr="001D14A1" w:rsidRDefault="000904E2" w:rsidP="000904E2">
            <w:pPr>
              <w:ind w:left="-50" w:right="-85"/>
              <w:rPr>
                <w:rFonts w:ascii="Times New Roman" w:hAnsi="Times New Roman" w:cs="Times New Roman"/>
                <w:sz w:val="20"/>
                <w:szCs w:val="20"/>
                <w:lang w:val="ro-RO"/>
              </w:rPr>
            </w:pPr>
            <w:r w:rsidRPr="001D14A1">
              <w:rPr>
                <w:rFonts w:ascii="Times New Roman" w:hAnsi="Times New Roman" w:cs="Times New Roman"/>
                <w:sz w:val="20"/>
                <w:szCs w:val="20"/>
                <w:lang w:val="ro-RO"/>
              </w:rPr>
              <w:t>Energie electrică livrată din alte surse externe, mil. kWh</w:t>
            </w:r>
          </w:p>
        </w:tc>
        <w:tc>
          <w:tcPr>
            <w:tcW w:w="339" w:type="pct"/>
            <w:shd w:val="clear" w:color="auto" w:fill="auto"/>
            <w:vAlign w:val="center"/>
          </w:tcPr>
          <w:p w14:paraId="2571DE81"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lang w:val="ro-RO"/>
              </w:rPr>
              <w:t>0</w:t>
            </w:r>
          </w:p>
        </w:tc>
        <w:tc>
          <w:tcPr>
            <w:tcW w:w="344" w:type="pct"/>
            <w:shd w:val="clear" w:color="auto" w:fill="auto"/>
            <w:vAlign w:val="center"/>
          </w:tcPr>
          <w:p w14:paraId="1C71BF46" w14:textId="3D681C48"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color w:val="000000"/>
                <w:sz w:val="20"/>
                <w:szCs w:val="20"/>
                <w:lang w:val="ro-RO"/>
              </w:rPr>
              <w:t>51.7</w:t>
            </w:r>
          </w:p>
        </w:tc>
        <w:tc>
          <w:tcPr>
            <w:tcW w:w="347" w:type="pct"/>
            <w:shd w:val="clear" w:color="auto" w:fill="auto"/>
            <w:vAlign w:val="center"/>
          </w:tcPr>
          <w:p w14:paraId="52C3B40D" w14:textId="77777777"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sz w:val="20"/>
                <w:szCs w:val="20"/>
                <w:lang w:val="ro-RO"/>
              </w:rPr>
              <w:t>105.4</w:t>
            </w:r>
          </w:p>
        </w:tc>
        <w:tc>
          <w:tcPr>
            <w:tcW w:w="342" w:type="pct"/>
            <w:shd w:val="clear" w:color="auto" w:fill="auto"/>
            <w:vAlign w:val="center"/>
          </w:tcPr>
          <w:p w14:paraId="38DF2579" w14:textId="77777777"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sz w:val="20"/>
                <w:szCs w:val="20"/>
                <w:lang w:val="ro-RO"/>
              </w:rPr>
              <w:t>0</w:t>
            </w:r>
          </w:p>
        </w:tc>
        <w:tc>
          <w:tcPr>
            <w:tcW w:w="343" w:type="pct"/>
            <w:shd w:val="clear" w:color="auto" w:fill="auto"/>
            <w:vAlign w:val="center"/>
          </w:tcPr>
          <w:p w14:paraId="63AD691F" w14:textId="5E11B851"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sz w:val="20"/>
                <w:szCs w:val="20"/>
                <w:lang w:val="ro-RO"/>
              </w:rPr>
              <w:t>5.9</w:t>
            </w:r>
          </w:p>
        </w:tc>
        <w:tc>
          <w:tcPr>
            <w:tcW w:w="361" w:type="pct"/>
            <w:shd w:val="clear" w:color="auto" w:fill="auto"/>
            <w:vAlign w:val="center"/>
          </w:tcPr>
          <w:p w14:paraId="0EA6C61F" w14:textId="67FF8381" w:rsidR="000904E2" w:rsidRPr="009D594E" w:rsidRDefault="000904E2" w:rsidP="000904E2">
            <w:pPr>
              <w:contextualSpacing/>
              <w:jc w:val="center"/>
              <w:rPr>
                <w:rFonts w:ascii="Times New Roman" w:hAnsi="Times New Roman" w:cs="Times New Roman"/>
                <w:sz w:val="20"/>
                <w:szCs w:val="20"/>
                <w:lang w:val="ro-RO"/>
              </w:rPr>
            </w:pPr>
            <w:r w:rsidRPr="009D594E">
              <w:rPr>
                <w:rFonts w:ascii="Times New Roman" w:hAnsi="Times New Roman" w:cs="Times New Roman"/>
                <w:sz w:val="20"/>
                <w:szCs w:val="20"/>
                <w:lang w:val="ro-RO"/>
              </w:rPr>
              <w:t>3.</w:t>
            </w:r>
            <w:r w:rsidR="00EC0D49">
              <w:rPr>
                <w:rFonts w:ascii="Times New Roman" w:hAnsi="Times New Roman" w:cs="Times New Roman"/>
                <w:sz w:val="20"/>
                <w:szCs w:val="20"/>
                <w:lang w:val="ro-RO"/>
              </w:rPr>
              <w:t>2</w:t>
            </w:r>
          </w:p>
        </w:tc>
        <w:tc>
          <w:tcPr>
            <w:tcW w:w="350" w:type="pct"/>
            <w:shd w:val="clear" w:color="auto" w:fill="auto"/>
            <w:vAlign w:val="center"/>
          </w:tcPr>
          <w:p w14:paraId="2F0B5068" w14:textId="5064DE47" w:rsidR="000904E2" w:rsidRPr="009D594E" w:rsidRDefault="000904E2" w:rsidP="000904E2">
            <w:pPr>
              <w:contextualSpacing/>
              <w:jc w:val="center"/>
              <w:rPr>
                <w:rFonts w:ascii="Times New Roman" w:hAnsi="Times New Roman" w:cs="Times New Roman"/>
                <w:sz w:val="20"/>
                <w:szCs w:val="20"/>
                <w:lang w:val="ro-RO"/>
              </w:rPr>
            </w:pPr>
            <w:r>
              <w:rPr>
                <w:rFonts w:ascii="Times New Roman" w:hAnsi="Times New Roman" w:cs="Times New Roman"/>
                <w:sz w:val="20"/>
                <w:szCs w:val="20"/>
                <w:lang w:val="ro-RO"/>
              </w:rPr>
              <w:t>4.0</w:t>
            </w:r>
          </w:p>
        </w:tc>
        <w:tc>
          <w:tcPr>
            <w:tcW w:w="405" w:type="pct"/>
            <w:shd w:val="clear" w:color="auto" w:fill="auto"/>
            <w:vAlign w:val="center"/>
          </w:tcPr>
          <w:p w14:paraId="601861A6" w14:textId="7F6D2823" w:rsidR="000904E2" w:rsidRPr="00EC0D49" w:rsidRDefault="000904E2" w:rsidP="000904E2">
            <w:pPr>
              <w:contextualSpacing/>
              <w:jc w:val="center"/>
              <w:rPr>
                <w:rFonts w:ascii="Times New Roman" w:hAnsi="Times New Roman" w:cs="Times New Roman"/>
                <w:b/>
                <w:bCs/>
                <w:sz w:val="20"/>
                <w:szCs w:val="20"/>
                <w:lang w:val="ro-RO"/>
              </w:rPr>
            </w:pPr>
            <w:r w:rsidRPr="00EC0D49">
              <w:rPr>
                <w:rFonts w:ascii="Times New Roman" w:hAnsi="Times New Roman" w:cs="Times New Roman"/>
                <w:b/>
                <w:bCs/>
                <w:color w:val="000000"/>
                <w:sz w:val="20"/>
                <w:szCs w:val="20"/>
                <w:lang w:val="ro-RO"/>
              </w:rPr>
              <w:t>170.2</w:t>
            </w:r>
          </w:p>
        </w:tc>
      </w:tr>
      <w:tr w:rsidR="000904E2" w:rsidRPr="001D14A1" w14:paraId="6273A121" w14:textId="77777777" w:rsidTr="00EC0D49">
        <w:trPr>
          <w:trHeight w:val="50"/>
          <w:jc w:val="center"/>
        </w:trPr>
        <w:tc>
          <w:tcPr>
            <w:tcW w:w="229" w:type="pct"/>
            <w:vMerge w:val="restart"/>
            <w:vAlign w:val="center"/>
          </w:tcPr>
          <w:p w14:paraId="2EE5EBC3" w14:textId="77777777" w:rsidR="000904E2" w:rsidRPr="001D14A1" w:rsidRDefault="000904E2" w:rsidP="000904E2">
            <w:pPr>
              <w:ind w:left="-85" w:right="-85"/>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III</w:t>
            </w:r>
          </w:p>
        </w:tc>
        <w:tc>
          <w:tcPr>
            <w:tcW w:w="984" w:type="pct"/>
            <w:gridSpan w:val="2"/>
            <w:shd w:val="clear" w:color="auto" w:fill="DEEAF6" w:themeFill="accent1" w:themeFillTint="33"/>
            <w:vAlign w:val="center"/>
          </w:tcPr>
          <w:p w14:paraId="4592652A" w14:textId="7F9918A4" w:rsidR="000904E2" w:rsidRPr="001D14A1" w:rsidRDefault="00054825" w:rsidP="000904E2">
            <w:pPr>
              <w:ind w:left="-85" w:right="-85"/>
              <w:contextualSpacing/>
              <w:jc w:val="center"/>
              <w:rPr>
                <w:rFonts w:ascii="Times New Roman" w:hAnsi="Times New Roman" w:cs="Times New Roman"/>
                <w:sz w:val="20"/>
                <w:szCs w:val="20"/>
                <w:lang w:val="ro-RO"/>
              </w:rPr>
            </w:pPr>
            <w:r>
              <w:rPr>
                <w:rFonts w:ascii="Times New Roman" w:hAnsi="Times New Roman" w:cs="Times New Roman"/>
                <w:b/>
                <w:bCs/>
                <w:sz w:val="20"/>
                <w:szCs w:val="20"/>
                <w:lang w:val="ro-RO"/>
              </w:rPr>
              <w:t xml:space="preserve">Scenariul </w:t>
            </w:r>
            <w:r w:rsidR="000904E2" w:rsidRPr="001D14A1">
              <w:rPr>
                <w:rFonts w:ascii="Times New Roman" w:hAnsi="Times New Roman" w:cs="Times New Roman"/>
                <w:b/>
                <w:bCs/>
                <w:sz w:val="20"/>
                <w:szCs w:val="20"/>
                <w:lang w:val="ro-RO"/>
              </w:rPr>
              <w:t>III</w:t>
            </w:r>
          </w:p>
        </w:tc>
        <w:tc>
          <w:tcPr>
            <w:tcW w:w="578" w:type="pct"/>
            <w:shd w:val="clear" w:color="auto" w:fill="DEEAF6" w:themeFill="accent1" w:themeFillTint="33"/>
            <w:vAlign w:val="center"/>
          </w:tcPr>
          <w:p w14:paraId="1C3FE77C" w14:textId="77777777" w:rsidR="000904E2" w:rsidRPr="001D14A1" w:rsidRDefault="000904E2" w:rsidP="000904E2">
            <w:pPr>
              <w:ind w:left="-85" w:right="-85"/>
              <w:contextualSpacing/>
              <w:jc w:val="center"/>
              <w:rPr>
                <w:rFonts w:ascii="Times New Roman" w:hAnsi="Times New Roman" w:cs="Times New Roman"/>
                <w:sz w:val="20"/>
                <w:szCs w:val="20"/>
                <w:lang w:val="ro-RO"/>
              </w:rPr>
            </w:pPr>
            <w:r w:rsidRPr="001D14A1">
              <w:rPr>
                <w:rFonts w:ascii="Times New Roman" w:hAnsi="Times New Roman" w:cs="Times New Roman"/>
                <w:b/>
                <w:bCs/>
                <w:sz w:val="20"/>
                <w:szCs w:val="20"/>
                <w:lang w:val="ro-RO"/>
              </w:rPr>
              <w:t>Medie</w:t>
            </w:r>
          </w:p>
        </w:tc>
        <w:tc>
          <w:tcPr>
            <w:tcW w:w="377" w:type="pct"/>
            <w:gridSpan w:val="2"/>
            <w:shd w:val="clear" w:color="auto" w:fill="DEEAF6" w:themeFill="accent1" w:themeFillTint="33"/>
            <w:vAlign w:val="center"/>
          </w:tcPr>
          <w:p w14:paraId="5AA030C0" w14:textId="77777777" w:rsidR="000904E2" w:rsidRPr="001D14A1" w:rsidRDefault="000904E2" w:rsidP="000904E2">
            <w:pPr>
              <w:ind w:left="-85" w:right="-85"/>
              <w:contextualSpacing/>
              <w:jc w:val="center"/>
              <w:rPr>
                <w:rFonts w:ascii="Times New Roman" w:hAnsi="Times New Roman" w:cs="Times New Roman"/>
                <w:sz w:val="20"/>
                <w:szCs w:val="20"/>
                <w:lang w:val="ro-RO"/>
              </w:rPr>
            </w:pPr>
            <w:r w:rsidRPr="001D14A1">
              <w:rPr>
                <w:rFonts w:ascii="Times New Roman" w:hAnsi="Times New Roman" w:cs="Times New Roman"/>
                <w:b/>
                <w:bCs/>
                <w:sz w:val="20"/>
                <w:szCs w:val="20"/>
                <w:lang w:val="ro-RO"/>
              </w:rPr>
              <w:t>100 %</w:t>
            </w:r>
          </w:p>
        </w:tc>
        <w:tc>
          <w:tcPr>
            <w:tcW w:w="2832" w:type="pct"/>
            <w:gridSpan w:val="8"/>
            <w:shd w:val="clear" w:color="auto" w:fill="DEEAF6" w:themeFill="accent1" w:themeFillTint="33"/>
            <w:vAlign w:val="center"/>
          </w:tcPr>
          <w:p w14:paraId="4E7B1223" w14:textId="0B6A2CF0" w:rsidR="000904E2" w:rsidRPr="001D14A1" w:rsidRDefault="000904E2" w:rsidP="000904E2">
            <w:pPr>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Rezilierea de către SAP „Gazprom” a contractului existent privind furnizarea gazelor naturale încheiat între SA „Moldovagaz” și SAP „Gazprom”</w:t>
            </w:r>
          </w:p>
        </w:tc>
      </w:tr>
      <w:tr w:rsidR="000904E2" w:rsidRPr="001D14A1" w14:paraId="13C975C1" w14:textId="77777777" w:rsidTr="00EC0D49">
        <w:trPr>
          <w:trHeight w:val="20"/>
          <w:jc w:val="center"/>
        </w:trPr>
        <w:tc>
          <w:tcPr>
            <w:tcW w:w="229" w:type="pct"/>
            <w:vMerge/>
          </w:tcPr>
          <w:p w14:paraId="08F955B8"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605A2871" w14:textId="29828AD6" w:rsidR="000904E2" w:rsidRPr="001D14A1" w:rsidRDefault="000904E2" w:rsidP="000904E2">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 xml:space="preserve">Gaze naturale livrate de </w:t>
            </w:r>
            <w:r w:rsidR="005B27C9" w:rsidRPr="001D14A1">
              <w:rPr>
                <w:rFonts w:ascii="Times New Roman" w:hAnsi="Times New Roman" w:cs="Times New Roman"/>
                <w:sz w:val="20"/>
                <w:szCs w:val="20"/>
                <w:lang w:val="ro-RO"/>
              </w:rPr>
              <w:t>SAP „Gazprom”</w:t>
            </w:r>
            <w:r w:rsidRPr="001D14A1">
              <w:rPr>
                <w:rFonts w:ascii="Times New Roman" w:hAnsi="Times New Roman" w:cs="Times New Roman"/>
                <w:sz w:val="20"/>
                <w:szCs w:val="20"/>
                <w:lang w:val="ro-RO"/>
              </w:rPr>
              <w:t>, mil. m</w:t>
            </w:r>
            <w:r w:rsidRPr="001D14A1">
              <w:rPr>
                <w:rFonts w:ascii="Times New Roman" w:hAnsi="Times New Roman" w:cs="Times New Roman"/>
                <w:sz w:val="20"/>
                <w:szCs w:val="20"/>
                <w:vertAlign w:val="superscript"/>
                <w:lang w:val="ro-RO"/>
              </w:rPr>
              <w:t>3</w:t>
            </w:r>
          </w:p>
        </w:tc>
        <w:tc>
          <w:tcPr>
            <w:tcW w:w="339" w:type="pct"/>
            <w:shd w:val="clear" w:color="auto" w:fill="auto"/>
            <w:vAlign w:val="center"/>
          </w:tcPr>
          <w:p w14:paraId="7DCE6484"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344" w:type="pct"/>
            <w:shd w:val="clear" w:color="auto" w:fill="auto"/>
            <w:vAlign w:val="center"/>
          </w:tcPr>
          <w:p w14:paraId="71F32A9D"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347" w:type="pct"/>
            <w:shd w:val="clear" w:color="auto" w:fill="auto"/>
            <w:vAlign w:val="center"/>
          </w:tcPr>
          <w:p w14:paraId="18B6C33F"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342" w:type="pct"/>
            <w:shd w:val="clear" w:color="auto" w:fill="auto"/>
            <w:vAlign w:val="center"/>
          </w:tcPr>
          <w:p w14:paraId="366D0541"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343" w:type="pct"/>
            <w:shd w:val="clear" w:color="auto" w:fill="auto"/>
            <w:vAlign w:val="center"/>
          </w:tcPr>
          <w:p w14:paraId="0F6F5F64"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361" w:type="pct"/>
            <w:shd w:val="clear" w:color="auto" w:fill="auto"/>
            <w:vAlign w:val="center"/>
          </w:tcPr>
          <w:p w14:paraId="3EAB2B76"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350" w:type="pct"/>
            <w:shd w:val="clear" w:color="auto" w:fill="auto"/>
            <w:vAlign w:val="center"/>
          </w:tcPr>
          <w:p w14:paraId="47AF272E"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405" w:type="pct"/>
            <w:shd w:val="clear" w:color="auto" w:fill="auto"/>
            <w:vAlign w:val="center"/>
          </w:tcPr>
          <w:p w14:paraId="257EFD55" w14:textId="77777777" w:rsidR="000904E2" w:rsidRPr="008C3886" w:rsidRDefault="000904E2" w:rsidP="000904E2">
            <w:pPr>
              <w:contextualSpacing/>
              <w:jc w:val="center"/>
              <w:rPr>
                <w:rFonts w:ascii="Times New Roman" w:hAnsi="Times New Roman" w:cs="Times New Roman"/>
                <w:b/>
                <w:bCs/>
                <w:sz w:val="20"/>
                <w:szCs w:val="20"/>
                <w:lang w:val="ro-RO"/>
              </w:rPr>
            </w:pPr>
            <w:r w:rsidRPr="008C3886">
              <w:rPr>
                <w:rFonts w:ascii="Times New Roman" w:hAnsi="Times New Roman" w:cs="Times New Roman"/>
                <w:b/>
                <w:bCs/>
                <w:sz w:val="20"/>
                <w:szCs w:val="20"/>
                <w:lang w:val="ro-RO"/>
              </w:rPr>
              <w:t>0</w:t>
            </w:r>
          </w:p>
        </w:tc>
      </w:tr>
      <w:tr w:rsidR="000904E2" w:rsidRPr="001D14A1" w14:paraId="4D999E8B" w14:textId="77777777" w:rsidTr="00EC0D49">
        <w:trPr>
          <w:trHeight w:val="20"/>
          <w:jc w:val="center"/>
        </w:trPr>
        <w:tc>
          <w:tcPr>
            <w:tcW w:w="229" w:type="pct"/>
            <w:vMerge/>
          </w:tcPr>
          <w:p w14:paraId="32B738B8"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3A07A8E3" w14:textId="77777777" w:rsidR="000904E2" w:rsidRPr="001D14A1" w:rsidRDefault="000904E2" w:rsidP="000904E2">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Gaze naturale livrate din alte surse, mil. m</w:t>
            </w:r>
            <w:r w:rsidRPr="001D14A1">
              <w:rPr>
                <w:rFonts w:ascii="Times New Roman" w:hAnsi="Times New Roman" w:cs="Times New Roman"/>
                <w:sz w:val="20"/>
                <w:szCs w:val="20"/>
                <w:vertAlign w:val="superscript"/>
                <w:lang w:val="ro-RO"/>
              </w:rPr>
              <w:t>3</w:t>
            </w:r>
          </w:p>
        </w:tc>
        <w:tc>
          <w:tcPr>
            <w:tcW w:w="339" w:type="pct"/>
            <w:shd w:val="clear" w:color="auto" w:fill="auto"/>
            <w:vAlign w:val="bottom"/>
          </w:tcPr>
          <w:p w14:paraId="52E6CF3A" w14:textId="366F0841" w:rsidR="000904E2" w:rsidRPr="008C3886" w:rsidRDefault="000904E2" w:rsidP="000904E2">
            <w:pPr>
              <w:contextualSpacing/>
              <w:jc w:val="center"/>
              <w:rPr>
                <w:rFonts w:ascii="Times New Roman" w:hAnsi="Times New Roman" w:cs="Times New Roman"/>
                <w:sz w:val="20"/>
                <w:szCs w:val="20"/>
                <w:lang w:val="ro-RO"/>
              </w:rPr>
            </w:pPr>
            <w:r w:rsidRPr="008C3886">
              <w:rPr>
                <w:rFonts w:ascii="Times New Roman" w:hAnsi="Times New Roman" w:cs="Times New Roman"/>
                <w:color w:val="000000"/>
                <w:sz w:val="20"/>
                <w:szCs w:val="20"/>
              </w:rPr>
              <w:t>72.3</w:t>
            </w:r>
          </w:p>
        </w:tc>
        <w:tc>
          <w:tcPr>
            <w:tcW w:w="344" w:type="pct"/>
            <w:shd w:val="clear" w:color="auto" w:fill="auto"/>
            <w:vAlign w:val="bottom"/>
          </w:tcPr>
          <w:p w14:paraId="7BA8B7D6" w14:textId="778DDC71" w:rsidR="000904E2" w:rsidRPr="008C3886" w:rsidRDefault="000904E2" w:rsidP="000904E2">
            <w:pPr>
              <w:contextualSpacing/>
              <w:jc w:val="center"/>
              <w:rPr>
                <w:rFonts w:ascii="Times New Roman" w:hAnsi="Times New Roman" w:cs="Times New Roman"/>
                <w:sz w:val="20"/>
                <w:szCs w:val="20"/>
                <w:lang w:val="ro-RO"/>
              </w:rPr>
            </w:pPr>
            <w:r w:rsidRPr="008C3886">
              <w:rPr>
                <w:rFonts w:ascii="Times New Roman" w:hAnsi="Times New Roman" w:cs="Times New Roman"/>
                <w:color w:val="000000"/>
                <w:sz w:val="20"/>
                <w:szCs w:val="20"/>
              </w:rPr>
              <w:t>134.4</w:t>
            </w:r>
          </w:p>
        </w:tc>
        <w:tc>
          <w:tcPr>
            <w:tcW w:w="347" w:type="pct"/>
            <w:shd w:val="clear" w:color="auto" w:fill="auto"/>
            <w:vAlign w:val="bottom"/>
          </w:tcPr>
          <w:p w14:paraId="12A18FCB" w14:textId="25AB2E03" w:rsidR="000904E2" w:rsidRPr="008C3886" w:rsidRDefault="000904E2" w:rsidP="000904E2">
            <w:pPr>
              <w:contextualSpacing/>
              <w:jc w:val="center"/>
              <w:rPr>
                <w:rFonts w:ascii="Times New Roman" w:hAnsi="Times New Roman" w:cs="Times New Roman"/>
                <w:sz w:val="20"/>
                <w:szCs w:val="20"/>
                <w:lang w:val="ro-RO"/>
              </w:rPr>
            </w:pPr>
            <w:r w:rsidRPr="008C3886">
              <w:rPr>
                <w:rFonts w:ascii="Times New Roman" w:hAnsi="Times New Roman" w:cs="Times New Roman"/>
                <w:color w:val="000000"/>
                <w:sz w:val="20"/>
                <w:szCs w:val="20"/>
              </w:rPr>
              <w:t>171.9</w:t>
            </w:r>
          </w:p>
        </w:tc>
        <w:tc>
          <w:tcPr>
            <w:tcW w:w="342" w:type="pct"/>
            <w:shd w:val="clear" w:color="auto" w:fill="auto"/>
            <w:vAlign w:val="bottom"/>
          </w:tcPr>
          <w:p w14:paraId="5B162CBF" w14:textId="2CFDE967" w:rsidR="000904E2" w:rsidRPr="008C3886" w:rsidRDefault="000904E2" w:rsidP="000904E2">
            <w:pPr>
              <w:contextualSpacing/>
              <w:jc w:val="center"/>
              <w:rPr>
                <w:rFonts w:ascii="Times New Roman" w:hAnsi="Times New Roman" w:cs="Times New Roman"/>
                <w:sz w:val="20"/>
                <w:szCs w:val="20"/>
                <w:lang w:val="ro-RO"/>
              </w:rPr>
            </w:pPr>
            <w:r w:rsidRPr="008C3886">
              <w:rPr>
                <w:rFonts w:ascii="Times New Roman" w:hAnsi="Times New Roman" w:cs="Times New Roman"/>
                <w:color w:val="000000"/>
                <w:sz w:val="20"/>
                <w:szCs w:val="20"/>
              </w:rPr>
              <w:t>184.0</w:t>
            </w:r>
          </w:p>
        </w:tc>
        <w:tc>
          <w:tcPr>
            <w:tcW w:w="343" w:type="pct"/>
            <w:shd w:val="clear" w:color="auto" w:fill="auto"/>
            <w:vAlign w:val="bottom"/>
          </w:tcPr>
          <w:p w14:paraId="7CBF7898" w14:textId="468B8C09" w:rsidR="000904E2" w:rsidRPr="008C3886" w:rsidRDefault="000904E2" w:rsidP="000904E2">
            <w:pPr>
              <w:contextualSpacing/>
              <w:jc w:val="center"/>
              <w:rPr>
                <w:rFonts w:ascii="Times New Roman" w:hAnsi="Times New Roman" w:cs="Times New Roman"/>
                <w:sz w:val="20"/>
                <w:szCs w:val="20"/>
                <w:lang w:val="ro-RO"/>
              </w:rPr>
            </w:pPr>
            <w:r w:rsidRPr="008C3886">
              <w:rPr>
                <w:rFonts w:ascii="Times New Roman" w:hAnsi="Times New Roman" w:cs="Times New Roman"/>
                <w:color w:val="000000"/>
                <w:sz w:val="20"/>
                <w:szCs w:val="20"/>
              </w:rPr>
              <w:t>152.3</w:t>
            </w:r>
          </w:p>
        </w:tc>
        <w:tc>
          <w:tcPr>
            <w:tcW w:w="361" w:type="pct"/>
            <w:shd w:val="clear" w:color="auto" w:fill="auto"/>
            <w:vAlign w:val="bottom"/>
          </w:tcPr>
          <w:p w14:paraId="58825DEC" w14:textId="6A818247" w:rsidR="000904E2" w:rsidRPr="008C3886" w:rsidRDefault="000904E2" w:rsidP="000904E2">
            <w:pPr>
              <w:contextualSpacing/>
              <w:jc w:val="center"/>
              <w:rPr>
                <w:rFonts w:ascii="Times New Roman" w:hAnsi="Times New Roman" w:cs="Times New Roman"/>
                <w:sz w:val="20"/>
                <w:szCs w:val="20"/>
                <w:lang w:val="ro-RO"/>
              </w:rPr>
            </w:pPr>
            <w:r w:rsidRPr="008C3886">
              <w:rPr>
                <w:rFonts w:ascii="Times New Roman" w:hAnsi="Times New Roman" w:cs="Times New Roman"/>
                <w:color w:val="000000"/>
                <w:sz w:val="20"/>
                <w:szCs w:val="20"/>
              </w:rPr>
              <w:t>141.0</w:t>
            </w:r>
          </w:p>
        </w:tc>
        <w:tc>
          <w:tcPr>
            <w:tcW w:w="350" w:type="pct"/>
            <w:shd w:val="clear" w:color="auto" w:fill="auto"/>
            <w:vAlign w:val="bottom"/>
          </w:tcPr>
          <w:p w14:paraId="1C5A0692" w14:textId="2F201742" w:rsidR="000904E2" w:rsidRPr="008C3886" w:rsidRDefault="000904E2" w:rsidP="000904E2">
            <w:pPr>
              <w:contextualSpacing/>
              <w:jc w:val="center"/>
              <w:rPr>
                <w:rFonts w:ascii="Times New Roman" w:hAnsi="Times New Roman" w:cs="Times New Roman"/>
                <w:sz w:val="20"/>
                <w:szCs w:val="20"/>
                <w:lang w:val="ro-RO"/>
              </w:rPr>
            </w:pPr>
            <w:r w:rsidRPr="008C3886">
              <w:rPr>
                <w:rFonts w:ascii="Times New Roman" w:hAnsi="Times New Roman" w:cs="Times New Roman"/>
                <w:color w:val="000000"/>
                <w:sz w:val="20"/>
                <w:szCs w:val="20"/>
              </w:rPr>
              <w:t>64.3</w:t>
            </w:r>
          </w:p>
        </w:tc>
        <w:tc>
          <w:tcPr>
            <w:tcW w:w="405" w:type="pct"/>
            <w:shd w:val="clear" w:color="auto" w:fill="auto"/>
            <w:vAlign w:val="center"/>
          </w:tcPr>
          <w:p w14:paraId="44BACEBA" w14:textId="2C426041" w:rsidR="000904E2" w:rsidRPr="001D14A1" w:rsidRDefault="000904E2" w:rsidP="000904E2">
            <w:pPr>
              <w:contextualSpacing/>
              <w:jc w:val="center"/>
              <w:rPr>
                <w:rFonts w:ascii="Times New Roman" w:hAnsi="Times New Roman" w:cs="Times New Roman"/>
                <w:b/>
                <w:bCs/>
                <w:sz w:val="20"/>
                <w:szCs w:val="20"/>
                <w:lang w:val="ro-RO"/>
              </w:rPr>
            </w:pPr>
            <w:r w:rsidRPr="001D14A1">
              <w:rPr>
                <w:rFonts w:ascii="Times New Roman" w:hAnsi="Times New Roman" w:cs="Times New Roman"/>
                <w:b/>
                <w:bCs/>
                <w:color w:val="000000"/>
                <w:sz w:val="20"/>
                <w:szCs w:val="20"/>
              </w:rPr>
              <w:t>920.2</w:t>
            </w:r>
          </w:p>
        </w:tc>
      </w:tr>
      <w:tr w:rsidR="000904E2" w:rsidRPr="001D14A1" w14:paraId="661F7E2B" w14:textId="77777777" w:rsidTr="00EC0D49">
        <w:trPr>
          <w:trHeight w:val="20"/>
          <w:jc w:val="center"/>
        </w:trPr>
        <w:tc>
          <w:tcPr>
            <w:tcW w:w="229" w:type="pct"/>
            <w:vMerge/>
          </w:tcPr>
          <w:p w14:paraId="6C3F98D1"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5ED67572" w14:textId="1122DD79" w:rsidR="000904E2" w:rsidRPr="001D14A1" w:rsidRDefault="000904E2" w:rsidP="000904E2">
            <w:pPr>
              <w:ind w:left="-85" w:right="-85"/>
              <w:contextualSpacing/>
              <w:rPr>
                <w:rFonts w:ascii="Times New Roman" w:hAnsi="Times New Roman" w:cs="Times New Roman"/>
                <w:sz w:val="20"/>
                <w:szCs w:val="20"/>
                <w:lang w:val="ro-RO"/>
              </w:rPr>
            </w:pPr>
            <w:r>
              <w:rPr>
                <w:rFonts w:ascii="Times New Roman" w:hAnsi="Times New Roman" w:cs="Times New Roman"/>
                <w:sz w:val="20"/>
                <w:szCs w:val="20"/>
                <w:lang w:val="ro-RO"/>
              </w:rPr>
              <w:t>Producția locală de energie electrică, mil. kWh</w:t>
            </w:r>
          </w:p>
        </w:tc>
        <w:tc>
          <w:tcPr>
            <w:tcW w:w="339" w:type="pct"/>
            <w:shd w:val="clear" w:color="auto" w:fill="auto"/>
            <w:vAlign w:val="center"/>
          </w:tcPr>
          <w:p w14:paraId="6464896D" w14:textId="03C73233" w:rsidR="000904E2" w:rsidRPr="001D14A1" w:rsidRDefault="000904E2" w:rsidP="000904E2">
            <w:pPr>
              <w:contextualSpacing/>
              <w:jc w:val="center"/>
              <w:rPr>
                <w:rFonts w:ascii="Times New Roman" w:hAnsi="Times New Roman" w:cs="Times New Roman"/>
                <w:sz w:val="20"/>
                <w:szCs w:val="20"/>
                <w:lang w:val="ro-RO"/>
              </w:rPr>
            </w:pPr>
            <w:r w:rsidRPr="00D40C4A">
              <w:rPr>
                <w:rFonts w:ascii="Times New Roman" w:eastAsia="Times New Roman" w:hAnsi="Times New Roman" w:cs="Times New Roman"/>
                <w:color w:val="000000"/>
                <w:sz w:val="20"/>
                <w:szCs w:val="20"/>
              </w:rPr>
              <w:t>51.5</w:t>
            </w:r>
          </w:p>
        </w:tc>
        <w:tc>
          <w:tcPr>
            <w:tcW w:w="344" w:type="pct"/>
            <w:shd w:val="clear" w:color="auto" w:fill="auto"/>
            <w:vAlign w:val="center"/>
          </w:tcPr>
          <w:p w14:paraId="7FF913D4" w14:textId="0BDD86BA" w:rsidR="000904E2" w:rsidRPr="001D14A1" w:rsidRDefault="000904E2" w:rsidP="000904E2">
            <w:pPr>
              <w:contextualSpacing/>
              <w:jc w:val="center"/>
              <w:rPr>
                <w:rFonts w:ascii="Times New Roman" w:hAnsi="Times New Roman" w:cs="Times New Roman"/>
                <w:sz w:val="20"/>
                <w:szCs w:val="20"/>
                <w:lang w:val="ro-RO"/>
              </w:rPr>
            </w:pPr>
            <w:r w:rsidRPr="00D40C4A">
              <w:rPr>
                <w:rFonts w:ascii="Times New Roman" w:eastAsia="Times New Roman" w:hAnsi="Times New Roman" w:cs="Times New Roman"/>
                <w:color w:val="000000"/>
                <w:sz w:val="20"/>
                <w:szCs w:val="20"/>
              </w:rPr>
              <w:t>116.0</w:t>
            </w:r>
          </w:p>
        </w:tc>
        <w:tc>
          <w:tcPr>
            <w:tcW w:w="347" w:type="pct"/>
            <w:shd w:val="clear" w:color="auto" w:fill="auto"/>
            <w:vAlign w:val="center"/>
          </w:tcPr>
          <w:p w14:paraId="117AA82D" w14:textId="4C8649E3" w:rsidR="000904E2" w:rsidRPr="001D14A1" w:rsidRDefault="000904E2" w:rsidP="000904E2">
            <w:pPr>
              <w:contextualSpacing/>
              <w:jc w:val="center"/>
              <w:rPr>
                <w:rFonts w:ascii="Times New Roman" w:hAnsi="Times New Roman" w:cs="Times New Roman"/>
                <w:sz w:val="20"/>
                <w:szCs w:val="20"/>
                <w:lang w:val="ro-RO"/>
              </w:rPr>
            </w:pPr>
            <w:r w:rsidRPr="00D40C4A">
              <w:rPr>
                <w:rFonts w:ascii="Times New Roman" w:eastAsia="Times New Roman" w:hAnsi="Times New Roman" w:cs="Times New Roman"/>
                <w:color w:val="000000"/>
                <w:sz w:val="20"/>
                <w:szCs w:val="20"/>
              </w:rPr>
              <w:t>132.4</w:t>
            </w:r>
          </w:p>
        </w:tc>
        <w:tc>
          <w:tcPr>
            <w:tcW w:w="342" w:type="pct"/>
            <w:shd w:val="clear" w:color="auto" w:fill="auto"/>
            <w:vAlign w:val="center"/>
          </w:tcPr>
          <w:p w14:paraId="29927913" w14:textId="56CD6BC5" w:rsidR="000904E2" w:rsidRPr="001D14A1" w:rsidRDefault="000904E2" w:rsidP="000904E2">
            <w:pPr>
              <w:contextualSpacing/>
              <w:jc w:val="center"/>
              <w:rPr>
                <w:rFonts w:ascii="Times New Roman" w:hAnsi="Times New Roman" w:cs="Times New Roman"/>
                <w:sz w:val="20"/>
                <w:szCs w:val="20"/>
                <w:lang w:val="ro-RO"/>
              </w:rPr>
            </w:pPr>
            <w:r w:rsidRPr="00D40C4A">
              <w:rPr>
                <w:rFonts w:ascii="Times New Roman" w:eastAsia="Times New Roman" w:hAnsi="Times New Roman" w:cs="Times New Roman"/>
                <w:color w:val="000000"/>
                <w:sz w:val="20"/>
                <w:szCs w:val="20"/>
              </w:rPr>
              <w:t>146.0</w:t>
            </w:r>
          </w:p>
        </w:tc>
        <w:tc>
          <w:tcPr>
            <w:tcW w:w="343" w:type="pct"/>
            <w:shd w:val="clear" w:color="auto" w:fill="auto"/>
            <w:vAlign w:val="center"/>
          </w:tcPr>
          <w:p w14:paraId="733BA69D" w14:textId="21AC4A65" w:rsidR="000904E2" w:rsidRPr="001D14A1" w:rsidRDefault="000904E2" w:rsidP="000904E2">
            <w:pPr>
              <w:contextualSpacing/>
              <w:jc w:val="center"/>
              <w:rPr>
                <w:rFonts w:ascii="Times New Roman" w:hAnsi="Times New Roman" w:cs="Times New Roman"/>
                <w:sz w:val="20"/>
                <w:szCs w:val="20"/>
                <w:lang w:val="ro-RO"/>
              </w:rPr>
            </w:pPr>
            <w:r w:rsidRPr="00D40C4A">
              <w:rPr>
                <w:rFonts w:ascii="Times New Roman" w:eastAsia="Times New Roman" w:hAnsi="Times New Roman" w:cs="Times New Roman"/>
                <w:color w:val="000000"/>
                <w:sz w:val="20"/>
                <w:szCs w:val="20"/>
              </w:rPr>
              <w:t>148.6</w:t>
            </w:r>
          </w:p>
        </w:tc>
        <w:tc>
          <w:tcPr>
            <w:tcW w:w="361" w:type="pct"/>
            <w:shd w:val="clear" w:color="auto" w:fill="auto"/>
            <w:vAlign w:val="center"/>
          </w:tcPr>
          <w:p w14:paraId="5273D7A2" w14:textId="69AED8C2" w:rsidR="000904E2" w:rsidRPr="001D14A1" w:rsidRDefault="000904E2" w:rsidP="000904E2">
            <w:pPr>
              <w:contextualSpacing/>
              <w:jc w:val="center"/>
              <w:rPr>
                <w:rFonts w:ascii="Times New Roman" w:hAnsi="Times New Roman" w:cs="Times New Roman"/>
                <w:sz w:val="20"/>
                <w:szCs w:val="20"/>
                <w:lang w:val="ro-RO"/>
              </w:rPr>
            </w:pPr>
            <w:r w:rsidRPr="00D40C4A">
              <w:rPr>
                <w:rFonts w:ascii="Times New Roman" w:eastAsia="Times New Roman" w:hAnsi="Times New Roman" w:cs="Times New Roman"/>
                <w:color w:val="000000"/>
                <w:sz w:val="20"/>
                <w:szCs w:val="20"/>
              </w:rPr>
              <w:t>147.8</w:t>
            </w:r>
          </w:p>
        </w:tc>
        <w:tc>
          <w:tcPr>
            <w:tcW w:w="350" w:type="pct"/>
            <w:shd w:val="clear" w:color="auto" w:fill="auto"/>
            <w:vAlign w:val="center"/>
          </w:tcPr>
          <w:p w14:paraId="412452C5" w14:textId="73BE8309" w:rsidR="000904E2" w:rsidRPr="001D14A1" w:rsidRDefault="000904E2" w:rsidP="000904E2">
            <w:pPr>
              <w:contextualSpacing/>
              <w:jc w:val="center"/>
              <w:rPr>
                <w:rFonts w:ascii="Times New Roman" w:hAnsi="Times New Roman" w:cs="Times New Roman"/>
                <w:sz w:val="20"/>
                <w:szCs w:val="20"/>
                <w:lang w:val="ro-RO"/>
              </w:rPr>
            </w:pPr>
            <w:r w:rsidRPr="00D40C4A">
              <w:rPr>
                <w:rFonts w:ascii="Times New Roman" w:eastAsia="Times New Roman" w:hAnsi="Times New Roman" w:cs="Times New Roman"/>
                <w:color w:val="000000"/>
                <w:sz w:val="20"/>
                <w:szCs w:val="20"/>
              </w:rPr>
              <w:t>80.2</w:t>
            </w:r>
          </w:p>
        </w:tc>
        <w:tc>
          <w:tcPr>
            <w:tcW w:w="405" w:type="pct"/>
            <w:shd w:val="clear" w:color="auto" w:fill="auto"/>
            <w:vAlign w:val="center"/>
          </w:tcPr>
          <w:p w14:paraId="29881F24" w14:textId="6EB5D412" w:rsidR="000904E2" w:rsidRPr="001D14A1" w:rsidRDefault="000904E2" w:rsidP="000904E2">
            <w:pPr>
              <w:contextualSpacing/>
              <w:jc w:val="center"/>
              <w:rPr>
                <w:rFonts w:ascii="Times New Roman" w:hAnsi="Times New Roman" w:cs="Times New Roman"/>
                <w:b/>
                <w:bCs/>
                <w:sz w:val="20"/>
                <w:szCs w:val="20"/>
                <w:lang w:val="ro-RO"/>
              </w:rPr>
            </w:pPr>
            <w:r w:rsidRPr="000904E2">
              <w:rPr>
                <w:rFonts w:ascii="Times New Roman" w:eastAsia="Times New Roman" w:hAnsi="Times New Roman" w:cs="Times New Roman"/>
                <w:b/>
                <w:bCs/>
                <w:color w:val="000000"/>
                <w:sz w:val="20"/>
                <w:szCs w:val="20"/>
              </w:rPr>
              <w:t>822.6</w:t>
            </w:r>
          </w:p>
        </w:tc>
      </w:tr>
      <w:tr w:rsidR="000904E2" w:rsidRPr="001D14A1" w14:paraId="5731729D" w14:textId="77777777" w:rsidTr="00EC0D49">
        <w:trPr>
          <w:trHeight w:val="20"/>
          <w:jc w:val="center"/>
        </w:trPr>
        <w:tc>
          <w:tcPr>
            <w:tcW w:w="229" w:type="pct"/>
            <w:vMerge/>
          </w:tcPr>
          <w:p w14:paraId="196426B2" w14:textId="77777777" w:rsidR="000904E2" w:rsidRPr="001D14A1" w:rsidRDefault="000904E2" w:rsidP="000904E2">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322D393B" w14:textId="6FD9A01A" w:rsidR="000904E2" w:rsidRPr="001D14A1" w:rsidRDefault="000904E2" w:rsidP="000904E2">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 xml:space="preserve">Energie electrică livrată de </w:t>
            </w:r>
            <w:r>
              <w:rPr>
                <w:rFonts w:ascii="Times New Roman" w:hAnsi="Times New Roman" w:cs="Times New Roman"/>
                <w:sz w:val="20"/>
                <w:szCs w:val="20"/>
                <w:lang w:val="ro-RO"/>
              </w:rPr>
              <w:t>pe malul stâng</w:t>
            </w:r>
            <w:r w:rsidRPr="001D14A1">
              <w:rPr>
                <w:rFonts w:ascii="Times New Roman" w:hAnsi="Times New Roman" w:cs="Times New Roman"/>
                <w:sz w:val="20"/>
                <w:szCs w:val="20"/>
                <w:lang w:val="ro-RO"/>
              </w:rPr>
              <w:t>, mil. kWh</w:t>
            </w:r>
          </w:p>
        </w:tc>
        <w:tc>
          <w:tcPr>
            <w:tcW w:w="339" w:type="pct"/>
            <w:shd w:val="clear" w:color="auto" w:fill="auto"/>
            <w:vAlign w:val="center"/>
          </w:tcPr>
          <w:p w14:paraId="0BF9599D"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344" w:type="pct"/>
            <w:shd w:val="clear" w:color="auto" w:fill="auto"/>
            <w:vAlign w:val="center"/>
          </w:tcPr>
          <w:p w14:paraId="77EF92F4"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347" w:type="pct"/>
            <w:shd w:val="clear" w:color="auto" w:fill="auto"/>
            <w:vAlign w:val="center"/>
          </w:tcPr>
          <w:p w14:paraId="3CE5A050"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342" w:type="pct"/>
            <w:shd w:val="clear" w:color="auto" w:fill="auto"/>
            <w:vAlign w:val="center"/>
          </w:tcPr>
          <w:p w14:paraId="5043F8B3"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343" w:type="pct"/>
            <w:shd w:val="clear" w:color="auto" w:fill="auto"/>
            <w:vAlign w:val="center"/>
          </w:tcPr>
          <w:p w14:paraId="5AA8CA7C"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361" w:type="pct"/>
            <w:shd w:val="clear" w:color="auto" w:fill="auto"/>
            <w:vAlign w:val="center"/>
          </w:tcPr>
          <w:p w14:paraId="186CE0A0"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350" w:type="pct"/>
            <w:shd w:val="clear" w:color="auto" w:fill="auto"/>
            <w:vAlign w:val="center"/>
          </w:tcPr>
          <w:p w14:paraId="23F20AFB" w14:textId="77777777" w:rsidR="000904E2" w:rsidRPr="001D14A1" w:rsidRDefault="000904E2" w:rsidP="000904E2">
            <w:pPr>
              <w:contextualSpacing/>
              <w:jc w:val="center"/>
              <w:rPr>
                <w:rFonts w:ascii="Times New Roman" w:hAnsi="Times New Roman" w:cs="Times New Roman"/>
                <w:sz w:val="20"/>
                <w:szCs w:val="20"/>
                <w:lang w:val="ro-RO"/>
              </w:rPr>
            </w:pPr>
            <w:r w:rsidRPr="001D14A1">
              <w:rPr>
                <w:rFonts w:ascii="Times New Roman" w:hAnsi="Times New Roman" w:cs="Times New Roman"/>
                <w:sz w:val="20"/>
                <w:szCs w:val="20"/>
                <w:lang w:val="ro-RO"/>
              </w:rPr>
              <w:t>0</w:t>
            </w:r>
          </w:p>
        </w:tc>
        <w:tc>
          <w:tcPr>
            <w:tcW w:w="405" w:type="pct"/>
            <w:shd w:val="clear" w:color="auto" w:fill="auto"/>
            <w:vAlign w:val="center"/>
          </w:tcPr>
          <w:p w14:paraId="179C0325" w14:textId="77777777" w:rsidR="000904E2" w:rsidRPr="001D14A1" w:rsidRDefault="000904E2" w:rsidP="000904E2">
            <w:pPr>
              <w:contextualSpacing/>
              <w:jc w:val="center"/>
              <w:rPr>
                <w:rFonts w:ascii="Times New Roman" w:hAnsi="Times New Roman" w:cs="Times New Roman"/>
                <w:b/>
                <w:bCs/>
                <w:sz w:val="20"/>
                <w:szCs w:val="20"/>
                <w:lang w:val="ro-RO"/>
              </w:rPr>
            </w:pPr>
            <w:r w:rsidRPr="001D14A1">
              <w:rPr>
                <w:rFonts w:ascii="Times New Roman" w:hAnsi="Times New Roman" w:cs="Times New Roman"/>
                <w:b/>
                <w:bCs/>
                <w:sz w:val="20"/>
                <w:szCs w:val="20"/>
                <w:lang w:val="ro-RO"/>
              </w:rPr>
              <w:t>0</w:t>
            </w:r>
          </w:p>
        </w:tc>
      </w:tr>
      <w:tr w:rsidR="00EC0D49" w:rsidRPr="001D14A1" w14:paraId="7C8067D3" w14:textId="77777777" w:rsidTr="00EC0D49">
        <w:trPr>
          <w:trHeight w:val="20"/>
          <w:jc w:val="center"/>
        </w:trPr>
        <w:tc>
          <w:tcPr>
            <w:tcW w:w="229" w:type="pct"/>
            <w:vMerge/>
          </w:tcPr>
          <w:p w14:paraId="1F06D883" w14:textId="77777777" w:rsidR="00EC0D49" w:rsidRPr="001D14A1" w:rsidRDefault="00EC0D49" w:rsidP="00EC0D49">
            <w:pPr>
              <w:ind w:left="-85" w:right="-85"/>
              <w:contextualSpacing/>
              <w:rPr>
                <w:rFonts w:ascii="Times New Roman" w:hAnsi="Times New Roman" w:cs="Times New Roman"/>
                <w:sz w:val="20"/>
                <w:szCs w:val="20"/>
                <w:lang w:val="ro-RO"/>
              </w:rPr>
            </w:pPr>
          </w:p>
        </w:tc>
        <w:tc>
          <w:tcPr>
            <w:tcW w:w="1940" w:type="pct"/>
            <w:gridSpan w:val="5"/>
            <w:shd w:val="clear" w:color="auto" w:fill="auto"/>
            <w:vAlign w:val="center"/>
          </w:tcPr>
          <w:p w14:paraId="64ACED82" w14:textId="77777777" w:rsidR="00EC0D49" w:rsidRPr="001D14A1" w:rsidRDefault="00EC0D49" w:rsidP="00EC0D49">
            <w:pPr>
              <w:ind w:left="-85" w:right="-85"/>
              <w:contextualSpacing/>
              <w:rPr>
                <w:rFonts w:ascii="Times New Roman" w:hAnsi="Times New Roman" w:cs="Times New Roman"/>
                <w:sz w:val="20"/>
                <w:szCs w:val="20"/>
                <w:lang w:val="ro-RO"/>
              </w:rPr>
            </w:pPr>
            <w:r w:rsidRPr="001D14A1">
              <w:rPr>
                <w:rFonts w:ascii="Times New Roman" w:hAnsi="Times New Roman" w:cs="Times New Roman"/>
                <w:sz w:val="20"/>
                <w:szCs w:val="20"/>
                <w:lang w:val="ro-RO"/>
              </w:rPr>
              <w:t>Energie electrică livrată din alte surse externe, mil. kWh</w:t>
            </w:r>
          </w:p>
        </w:tc>
        <w:tc>
          <w:tcPr>
            <w:tcW w:w="339" w:type="pct"/>
            <w:shd w:val="clear" w:color="auto" w:fill="auto"/>
            <w:vAlign w:val="center"/>
          </w:tcPr>
          <w:p w14:paraId="59207ED9" w14:textId="3E77E325" w:rsidR="00EC0D49" w:rsidRPr="00EC0D49" w:rsidRDefault="00EC0D49" w:rsidP="00EC0D49">
            <w:pPr>
              <w:contextualSpacing/>
              <w:jc w:val="center"/>
              <w:rPr>
                <w:rFonts w:ascii="Times New Roman" w:hAnsi="Times New Roman" w:cs="Times New Roman"/>
                <w:sz w:val="20"/>
                <w:szCs w:val="20"/>
                <w:lang w:val="ro-RO"/>
              </w:rPr>
            </w:pPr>
            <w:r w:rsidRPr="00EC0D49">
              <w:rPr>
                <w:rFonts w:ascii="Times New Roman" w:eastAsia="Times New Roman" w:hAnsi="Times New Roman" w:cs="Times New Roman"/>
                <w:color w:val="000000"/>
                <w:sz w:val="20"/>
                <w:szCs w:val="20"/>
              </w:rPr>
              <w:t>315.5</w:t>
            </w:r>
          </w:p>
        </w:tc>
        <w:tc>
          <w:tcPr>
            <w:tcW w:w="344" w:type="pct"/>
            <w:shd w:val="clear" w:color="auto" w:fill="auto"/>
            <w:vAlign w:val="center"/>
          </w:tcPr>
          <w:p w14:paraId="4EAF36E1" w14:textId="1987B04B" w:rsidR="00EC0D49" w:rsidRPr="00EC0D49" w:rsidRDefault="00EC0D49" w:rsidP="00EC0D49">
            <w:pPr>
              <w:contextualSpacing/>
              <w:jc w:val="center"/>
              <w:rPr>
                <w:rFonts w:ascii="Times New Roman" w:hAnsi="Times New Roman" w:cs="Times New Roman"/>
                <w:sz w:val="20"/>
                <w:szCs w:val="20"/>
                <w:lang w:val="ro-RO"/>
              </w:rPr>
            </w:pPr>
            <w:r w:rsidRPr="00EC0D49">
              <w:rPr>
                <w:rFonts w:ascii="Times New Roman" w:eastAsia="Times New Roman" w:hAnsi="Times New Roman" w:cs="Times New Roman"/>
                <w:color w:val="000000"/>
                <w:sz w:val="20"/>
                <w:szCs w:val="20"/>
              </w:rPr>
              <w:t>287.2</w:t>
            </w:r>
          </w:p>
        </w:tc>
        <w:tc>
          <w:tcPr>
            <w:tcW w:w="347" w:type="pct"/>
            <w:shd w:val="clear" w:color="auto" w:fill="auto"/>
            <w:vAlign w:val="center"/>
          </w:tcPr>
          <w:p w14:paraId="32D92CBB" w14:textId="0B77CDEA" w:rsidR="00EC0D49" w:rsidRPr="00EC0D49" w:rsidRDefault="00EC0D49" w:rsidP="00EC0D49">
            <w:pPr>
              <w:contextualSpacing/>
              <w:jc w:val="center"/>
              <w:rPr>
                <w:rFonts w:ascii="Times New Roman" w:hAnsi="Times New Roman" w:cs="Times New Roman"/>
                <w:sz w:val="20"/>
                <w:szCs w:val="20"/>
                <w:lang w:val="ro-RO"/>
              </w:rPr>
            </w:pPr>
            <w:r w:rsidRPr="00EC0D49">
              <w:rPr>
                <w:rFonts w:ascii="Times New Roman" w:eastAsia="Times New Roman" w:hAnsi="Times New Roman" w:cs="Times New Roman"/>
                <w:color w:val="000000"/>
                <w:sz w:val="20"/>
                <w:szCs w:val="20"/>
              </w:rPr>
              <w:t>309.4</w:t>
            </w:r>
          </w:p>
        </w:tc>
        <w:tc>
          <w:tcPr>
            <w:tcW w:w="342" w:type="pct"/>
            <w:shd w:val="clear" w:color="auto" w:fill="auto"/>
            <w:vAlign w:val="center"/>
          </w:tcPr>
          <w:p w14:paraId="5095D75A" w14:textId="788D54A1" w:rsidR="00EC0D49" w:rsidRPr="00EC0D49" w:rsidRDefault="00EC0D49" w:rsidP="00EC0D49">
            <w:pPr>
              <w:contextualSpacing/>
              <w:jc w:val="center"/>
              <w:rPr>
                <w:rFonts w:ascii="Times New Roman" w:hAnsi="Times New Roman" w:cs="Times New Roman"/>
                <w:sz w:val="20"/>
                <w:szCs w:val="20"/>
                <w:lang w:val="ro-RO"/>
              </w:rPr>
            </w:pPr>
            <w:r w:rsidRPr="00EC0D49">
              <w:rPr>
                <w:rFonts w:ascii="Times New Roman" w:eastAsia="Times New Roman" w:hAnsi="Times New Roman" w:cs="Times New Roman"/>
                <w:color w:val="000000"/>
                <w:sz w:val="20"/>
                <w:szCs w:val="20"/>
              </w:rPr>
              <w:t>260.3</w:t>
            </w:r>
          </w:p>
        </w:tc>
        <w:tc>
          <w:tcPr>
            <w:tcW w:w="343" w:type="pct"/>
            <w:shd w:val="clear" w:color="auto" w:fill="auto"/>
            <w:vAlign w:val="center"/>
          </w:tcPr>
          <w:p w14:paraId="1F73743C" w14:textId="24C66765" w:rsidR="00EC0D49" w:rsidRPr="00EC0D49" w:rsidRDefault="00EC0D49" w:rsidP="00EC0D49">
            <w:pPr>
              <w:contextualSpacing/>
              <w:jc w:val="center"/>
              <w:rPr>
                <w:rFonts w:ascii="Times New Roman" w:hAnsi="Times New Roman" w:cs="Times New Roman"/>
                <w:sz w:val="20"/>
                <w:szCs w:val="20"/>
                <w:lang w:val="ro-RO"/>
              </w:rPr>
            </w:pPr>
            <w:r w:rsidRPr="00EC0D49">
              <w:rPr>
                <w:rFonts w:ascii="Times New Roman" w:eastAsia="Times New Roman" w:hAnsi="Times New Roman" w:cs="Times New Roman"/>
                <w:color w:val="000000"/>
                <w:sz w:val="20"/>
                <w:szCs w:val="20"/>
              </w:rPr>
              <w:t>235.9</w:t>
            </w:r>
          </w:p>
        </w:tc>
        <w:tc>
          <w:tcPr>
            <w:tcW w:w="361" w:type="pct"/>
            <w:shd w:val="clear" w:color="auto" w:fill="auto"/>
            <w:vAlign w:val="center"/>
          </w:tcPr>
          <w:p w14:paraId="2B3EE1CA" w14:textId="4A836C3F" w:rsidR="00EC0D49" w:rsidRPr="00EC0D49" w:rsidRDefault="00EC0D49" w:rsidP="00EC0D49">
            <w:pPr>
              <w:contextualSpacing/>
              <w:jc w:val="center"/>
              <w:rPr>
                <w:rFonts w:ascii="Times New Roman" w:hAnsi="Times New Roman" w:cs="Times New Roman"/>
                <w:sz w:val="20"/>
                <w:szCs w:val="20"/>
                <w:lang w:val="ro-RO"/>
              </w:rPr>
            </w:pPr>
            <w:r w:rsidRPr="00EC0D49">
              <w:rPr>
                <w:rFonts w:ascii="Times New Roman" w:eastAsia="Times New Roman" w:hAnsi="Times New Roman" w:cs="Times New Roman"/>
                <w:color w:val="000000"/>
                <w:sz w:val="20"/>
                <w:szCs w:val="20"/>
              </w:rPr>
              <w:t>247.2</w:t>
            </w:r>
          </w:p>
        </w:tc>
        <w:tc>
          <w:tcPr>
            <w:tcW w:w="350" w:type="pct"/>
            <w:shd w:val="clear" w:color="auto" w:fill="auto"/>
            <w:vAlign w:val="center"/>
          </w:tcPr>
          <w:p w14:paraId="2668BA82" w14:textId="5F1AA8DE" w:rsidR="00EC0D49" w:rsidRPr="00EC0D49" w:rsidRDefault="00EC0D49" w:rsidP="00EC0D49">
            <w:pPr>
              <w:contextualSpacing/>
              <w:jc w:val="center"/>
              <w:rPr>
                <w:rFonts w:ascii="Times New Roman" w:hAnsi="Times New Roman" w:cs="Times New Roman"/>
                <w:sz w:val="20"/>
                <w:szCs w:val="20"/>
                <w:lang w:val="ro-RO"/>
              </w:rPr>
            </w:pPr>
            <w:r w:rsidRPr="00EC0D49">
              <w:rPr>
                <w:rFonts w:ascii="Times New Roman" w:eastAsia="Times New Roman" w:hAnsi="Times New Roman" w:cs="Times New Roman"/>
                <w:color w:val="000000"/>
                <w:sz w:val="20"/>
                <w:szCs w:val="20"/>
              </w:rPr>
              <w:t>286.0</w:t>
            </w:r>
          </w:p>
        </w:tc>
        <w:tc>
          <w:tcPr>
            <w:tcW w:w="405" w:type="pct"/>
            <w:shd w:val="clear" w:color="auto" w:fill="auto"/>
            <w:vAlign w:val="bottom"/>
          </w:tcPr>
          <w:p w14:paraId="1AC7C294" w14:textId="77777777" w:rsidR="00EC0D49" w:rsidRPr="001D14A1" w:rsidRDefault="00EC0D49" w:rsidP="00EC0D49">
            <w:pPr>
              <w:contextualSpacing/>
              <w:jc w:val="center"/>
              <w:rPr>
                <w:rFonts w:ascii="Times New Roman" w:hAnsi="Times New Roman" w:cs="Times New Roman"/>
                <w:b/>
                <w:bCs/>
                <w:sz w:val="20"/>
                <w:szCs w:val="20"/>
                <w:lang w:val="ro-RO"/>
              </w:rPr>
            </w:pPr>
            <w:r w:rsidRPr="001D14A1">
              <w:rPr>
                <w:rFonts w:ascii="Times New Roman" w:hAnsi="Times New Roman" w:cs="Times New Roman"/>
                <w:b/>
                <w:bCs/>
                <w:color w:val="000000"/>
                <w:sz w:val="20"/>
                <w:szCs w:val="20"/>
              </w:rPr>
              <w:t>1,941.5</w:t>
            </w:r>
          </w:p>
        </w:tc>
      </w:tr>
    </w:tbl>
    <w:p w14:paraId="68F7BDD6" w14:textId="77777777" w:rsidR="00AD3333" w:rsidRDefault="00AD3333" w:rsidP="00AD3333">
      <w:pPr>
        <w:pStyle w:val="cb"/>
        <w:spacing w:after="120"/>
        <w:jc w:val="both"/>
        <w:rPr>
          <w:b w:val="0"/>
          <w:bCs w:val="0"/>
          <w:color w:val="000000" w:themeColor="text1"/>
          <w:lang w:val="ro-RO" w:eastAsia="ru-RU"/>
        </w:rPr>
        <w:sectPr w:rsidR="00AD3333" w:rsidSect="00AD3333">
          <w:pgSz w:w="16840" w:h="11907" w:orient="landscape" w:code="9"/>
          <w:pgMar w:top="720" w:right="562" w:bottom="1008" w:left="1138" w:header="144" w:footer="86" w:gutter="0"/>
          <w:cols w:space="720"/>
          <w:docGrid w:linePitch="360"/>
        </w:sectPr>
      </w:pPr>
    </w:p>
    <w:p w14:paraId="25B290F7" w14:textId="77777777" w:rsidR="00847DD6" w:rsidRDefault="002813FD" w:rsidP="00847DD6">
      <w:pPr>
        <w:pStyle w:val="cb"/>
        <w:rPr>
          <w:color w:val="000000" w:themeColor="text1"/>
          <w:lang w:val="ro-RO" w:eastAsia="ru-RU"/>
        </w:rPr>
      </w:pPr>
      <w:r w:rsidRPr="00563E6E">
        <w:rPr>
          <w:color w:val="000000" w:themeColor="text1"/>
          <w:lang w:val="ro-RO" w:eastAsia="ru-RU"/>
        </w:rPr>
        <w:lastRenderedPageBreak/>
        <w:t xml:space="preserve">III. </w:t>
      </w:r>
      <w:r w:rsidR="00F251D8" w:rsidRPr="00563E6E">
        <w:rPr>
          <w:color w:val="000000" w:themeColor="text1"/>
          <w:lang w:val="ro-RO" w:eastAsia="ru-RU"/>
        </w:rPr>
        <w:t xml:space="preserve">ESTIMĂRI ALE IMPACTULUI ASUPRA CONSUMULUI DE GAZE NATURALE ÎN CAZUL </w:t>
      </w:r>
      <w:r w:rsidR="00F251D8">
        <w:rPr>
          <w:color w:val="000000" w:themeColor="text1"/>
          <w:lang w:val="ro-RO" w:eastAsia="ru-RU"/>
        </w:rPr>
        <w:t>REALIZĂRII</w:t>
      </w:r>
      <w:r w:rsidR="00F251D8" w:rsidRPr="00563E6E">
        <w:rPr>
          <w:color w:val="000000" w:themeColor="text1"/>
          <w:lang w:val="ro-RO" w:eastAsia="ru-RU"/>
        </w:rPr>
        <w:t xml:space="preserve"> MĂSURILOR DE PREVENIRE ȘI ATENUARE </w:t>
      </w:r>
    </w:p>
    <w:p w14:paraId="02D738BE" w14:textId="4E70143E" w:rsidR="008D087B" w:rsidRPr="00772DCA" w:rsidRDefault="00F251D8" w:rsidP="00847DD6">
      <w:pPr>
        <w:pStyle w:val="cb"/>
        <w:spacing w:after="120"/>
        <w:rPr>
          <w:color w:val="000000" w:themeColor="text1"/>
          <w:lang w:eastAsia="ru-RU"/>
        </w:rPr>
      </w:pPr>
      <w:r w:rsidRPr="00563E6E">
        <w:rPr>
          <w:color w:val="000000" w:themeColor="text1"/>
          <w:lang w:val="ro-RO" w:eastAsia="ru-RU"/>
        </w:rPr>
        <w:t>APLICATE ÎN BAZA SCENARIILOR ANALIZATE</w:t>
      </w:r>
    </w:p>
    <w:p w14:paraId="0374B59E" w14:textId="3120A0BD" w:rsidR="00A42EBB" w:rsidRPr="001F76FE" w:rsidRDefault="0090445D" w:rsidP="001F76FE">
      <w:pPr>
        <w:pStyle w:val="cb"/>
        <w:spacing w:after="120"/>
        <w:ind w:firstLine="706"/>
        <w:jc w:val="both"/>
        <w:rPr>
          <w:rStyle w:val="Strong"/>
          <w:color w:val="000000" w:themeColor="text1"/>
          <w:lang w:val="ro-RO"/>
        </w:rPr>
      </w:pPr>
      <w:r>
        <w:rPr>
          <w:b w:val="0"/>
          <w:bCs w:val="0"/>
          <w:color w:val="000000" w:themeColor="text1"/>
          <w:lang w:val="ro-RO" w:eastAsia="ru-RU"/>
        </w:rPr>
        <w:t>Î</w:t>
      </w:r>
      <w:r w:rsidR="009371D6">
        <w:rPr>
          <w:b w:val="0"/>
          <w:bCs w:val="0"/>
          <w:color w:val="000000" w:themeColor="text1"/>
          <w:lang w:val="ro-RO" w:eastAsia="ru-RU"/>
        </w:rPr>
        <w:t xml:space="preserve">n Plan </w:t>
      </w:r>
      <w:r w:rsidR="0061632A">
        <w:rPr>
          <w:b w:val="0"/>
          <w:bCs w:val="0"/>
          <w:color w:val="000000" w:themeColor="text1"/>
          <w:lang w:val="ro-RO" w:eastAsia="ru-RU"/>
        </w:rPr>
        <w:t xml:space="preserve">sunt planificate o serie de măsuri de </w:t>
      </w:r>
      <w:r w:rsidR="0061632A">
        <w:rPr>
          <w:b w:val="0"/>
          <w:lang w:val="ro-RO"/>
        </w:rPr>
        <w:t xml:space="preserve">reducere a consumului de gaze naturale, care urmează a fi aplicate cu sau fără apariția unor limitări de furnizare a gazelor naturale, acestea fiind prezentate în tabelul </w:t>
      </w:r>
      <w:r w:rsidR="008C3886">
        <w:rPr>
          <w:b w:val="0"/>
          <w:lang w:val="ro-RO"/>
        </w:rPr>
        <w:t>6</w:t>
      </w:r>
      <w:r w:rsidR="0061632A">
        <w:rPr>
          <w:b w:val="0"/>
          <w:lang w:val="ro-RO"/>
        </w:rPr>
        <w:t>.</w:t>
      </w:r>
    </w:p>
    <w:p w14:paraId="07056CAA" w14:textId="734D6064" w:rsidR="0005217B" w:rsidRPr="005B5A6E" w:rsidRDefault="0005217B" w:rsidP="00405F11">
      <w:pPr>
        <w:pStyle w:val="cb"/>
        <w:ind w:left="1080" w:hanging="1080"/>
        <w:jc w:val="both"/>
        <w:rPr>
          <w:rStyle w:val="Strong"/>
          <w:color w:val="333333"/>
          <w:shd w:val="clear" w:color="auto" w:fill="FFFFFF"/>
          <w:lang w:val="ro-RO"/>
        </w:rPr>
      </w:pPr>
      <w:r w:rsidRPr="002C0527">
        <w:rPr>
          <w:lang w:val="ro-RO"/>
        </w:rPr>
        <w:t xml:space="preserve">Tabelul </w:t>
      </w:r>
      <w:r w:rsidR="008C3886">
        <w:rPr>
          <w:lang w:val="ro-RO"/>
        </w:rPr>
        <w:t>6</w:t>
      </w:r>
      <w:r w:rsidRPr="002C0527">
        <w:rPr>
          <w:lang w:val="ro-RO"/>
        </w:rPr>
        <w:t xml:space="preserve">. </w:t>
      </w:r>
      <w:r w:rsidRPr="00405F11">
        <w:rPr>
          <w:b w:val="0"/>
          <w:sz w:val="22"/>
          <w:szCs w:val="22"/>
          <w:lang w:val="ro-RO"/>
        </w:rPr>
        <w:t xml:space="preserve">Măsuri necesare </w:t>
      </w:r>
      <w:r w:rsidR="00EF3ADD" w:rsidRPr="00405F11">
        <w:rPr>
          <w:b w:val="0"/>
          <w:sz w:val="22"/>
          <w:szCs w:val="22"/>
          <w:lang w:val="ro-RO"/>
        </w:rPr>
        <w:t>de</w:t>
      </w:r>
      <w:r w:rsidR="00EF69DE" w:rsidRPr="00405F11">
        <w:rPr>
          <w:b w:val="0"/>
          <w:sz w:val="22"/>
          <w:szCs w:val="22"/>
          <w:lang w:val="ro-RO"/>
        </w:rPr>
        <w:t xml:space="preserve"> reducere</w:t>
      </w:r>
      <w:r w:rsidR="00EF3ADD" w:rsidRPr="00405F11">
        <w:rPr>
          <w:b w:val="0"/>
          <w:sz w:val="22"/>
          <w:szCs w:val="22"/>
          <w:lang w:val="ro-RO"/>
        </w:rPr>
        <w:t xml:space="preserve"> </w:t>
      </w:r>
      <w:r w:rsidR="00EF69DE" w:rsidRPr="00405F11">
        <w:rPr>
          <w:b w:val="0"/>
          <w:sz w:val="22"/>
          <w:szCs w:val="22"/>
          <w:lang w:val="ro-RO"/>
        </w:rPr>
        <w:t xml:space="preserve">a consumului de gaze naturale cu sau fără </w:t>
      </w:r>
      <w:r w:rsidR="00FC7B57" w:rsidRPr="00405F11">
        <w:rPr>
          <w:b w:val="0"/>
          <w:sz w:val="22"/>
          <w:szCs w:val="22"/>
          <w:lang w:val="ro-RO"/>
        </w:rPr>
        <w:t>apariția</w:t>
      </w:r>
      <w:r w:rsidR="00EF69DE" w:rsidRPr="00405F11">
        <w:rPr>
          <w:b w:val="0"/>
          <w:sz w:val="22"/>
          <w:szCs w:val="22"/>
          <w:lang w:val="ro-RO"/>
        </w:rPr>
        <w:t xml:space="preserve"> unor limitări de furnizare a gazelor naturale</w:t>
      </w:r>
    </w:p>
    <w:tbl>
      <w:tblPr>
        <w:tblStyle w:val="TableGrid"/>
        <w:tblW w:w="5000" w:type="pct"/>
        <w:tblLook w:val="04A0" w:firstRow="1" w:lastRow="0" w:firstColumn="1" w:lastColumn="0" w:noHBand="0" w:noVBand="1"/>
      </w:tblPr>
      <w:tblGrid>
        <w:gridCol w:w="3830"/>
        <w:gridCol w:w="777"/>
        <w:gridCol w:w="791"/>
        <w:gridCol w:w="781"/>
        <w:gridCol w:w="769"/>
        <w:gridCol w:w="783"/>
        <w:gridCol w:w="803"/>
        <w:gridCol w:w="791"/>
        <w:gridCol w:w="844"/>
      </w:tblGrid>
      <w:tr w:rsidR="008A1B1E" w:rsidRPr="00551185" w14:paraId="0469805F" w14:textId="77777777" w:rsidTr="00405F11">
        <w:trPr>
          <w:trHeight w:val="232"/>
        </w:trPr>
        <w:tc>
          <w:tcPr>
            <w:tcW w:w="1883" w:type="pct"/>
            <w:vMerge w:val="restart"/>
            <w:shd w:val="clear" w:color="auto" w:fill="FFE599" w:themeFill="accent4" w:themeFillTint="66"/>
            <w:vAlign w:val="center"/>
          </w:tcPr>
          <w:p w14:paraId="7DF61154" w14:textId="78698409" w:rsidR="00EF69DE" w:rsidRPr="00551185" w:rsidRDefault="00EF69DE" w:rsidP="00EF3ADD">
            <w:pPr>
              <w:spacing w:before="60"/>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Măsuri de reducere a consumului</w:t>
            </w:r>
          </w:p>
        </w:tc>
        <w:tc>
          <w:tcPr>
            <w:tcW w:w="382" w:type="pct"/>
            <w:shd w:val="clear" w:color="auto" w:fill="FFE599" w:themeFill="accent4" w:themeFillTint="66"/>
            <w:vAlign w:val="center"/>
          </w:tcPr>
          <w:p w14:paraId="6403CF2E" w14:textId="77777777" w:rsidR="00EF69DE" w:rsidRPr="00551185" w:rsidRDefault="00EF69DE" w:rsidP="006F6C95">
            <w:pPr>
              <w:spacing w:before="60"/>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Oct</w:t>
            </w:r>
          </w:p>
        </w:tc>
        <w:tc>
          <w:tcPr>
            <w:tcW w:w="389" w:type="pct"/>
            <w:shd w:val="clear" w:color="auto" w:fill="FFE599" w:themeFill="accent4" w:themeFillTint="66"/>
            <w:vAlign w:val="center"/>
          </w:tcPr>
          <w:p w14:paraId="013007BC" w14:textId="77777777" w:rsidR="00EF69DE" w:rsidRPr="00551185" w:rsidRDefault="00EF69DE" w:rsidP="006F6C95">
            <w:pPr>
              <w:spacing w:before="60"/>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Nov</w:t>
            </w:r>
          </w:p>
        </w:tc>
        <w:tc>
          <w:tcPr>
            <w:tcW w:w="384" w:type="pct"/>
            <w:shd w:val="clear" w:color="auto" w:fill="FFE599" w:themeFill="accent4" w:themeFillTint="66"/>
            <w:vAlign w:val="center"/>
          </w:tcPr>
          <w:p w14:paraId="2AA5599E" w14:textId="77777777" w:rsidR="00EF69DE" w:rsidRPr="00551185" w:rsidRDefault="00EF69DE" w:rsidP="006F6C95">
            <w:pPr>
              <w:spacing w:before="60"/>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Dec</w:t>
            </w:r>
          </w:p>
        </w:tc>
        <w:tc>
          <w:tcPr>
            <w:tcW w:w="378" w:type="pct"/>
            <w:shd w:val="clear" w:color="auto" w:fill="FFE599" w:themeFill="accent4" w:themeFillTint="66"/>
            <w:vAlign w:val="center"/>
          </w:tcPr>
          <w:p w14:paraId="246BBD38" w14:textId="77777777" w:rsidR="00EF69DE" w:rsidRPr="00551185" w:rsidRDefault="00EF69DE" w:rsidP="006F6C95">
            <w:pPr>
              <w:spacing w:before="60"/>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Ian</w:t>
            </w:r>
          </w:p>
        </w:tc>
        <w:tc>
          <w:tcPr>
            <w:tcW w:w="385" w:type="pct"/>
            <w:shd w:val="clear" w:color="auto" w:fill="FFE599" w:themeFill="accent4" w:themeFillTint="66"/>
            <w:vAlign w:val="center"/>
          </w:tcPr>
          <w:p w14:paraId="5446E2E0" w14:textId="77777777" w:rsidR="00EF69DE" w:rsidRPr="00551185" w:rsidRDefault="00EF69DE" w:rsidP="006F6C95">
            <w:pPr>
              <w:spacing w:before="60"/>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Feb</w:t>
            </w:r>
          </w:p>
        </w:tc>
        <w:tc>
          <w:tcPr>
            <w:tcW w:w="395" w:type="pct"/>
            <w:shd w:val="clear" w:color="auto" w:fill="FFE599" w:themeFill="accent4" w:themeFillTint="66"/>
            <w:vAlign w:val="center"/>
          </w:tcPr>
          <w:p w14:paraId="3E7A7F2F" w14:textId="77777777" w:rsidR="00EF69DE" w:rsidRPr="00551185" w:rsidRDefault="00EF69DE" w:rsidP="006F6C95">
            <w:pPr>
              <w:spacing w:before="60"/>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Mar</w:t>
            </w:r>
          </w:p>
        </w:tc>
        <w:tc>
          <w:tcPr>
            <w:tcW w:w="389" w:type="pct"/>
            <w:shd w:val="clear" w:color="auto" w:fill="FFE599" w:themeFill="accent4" w:themeFillTint="66"/>
            <w:vAlign w:val="center"/>
          </w:tcPr>
          <w:p w14:paraId="7C6DFB19" w14:textId="77777777" w:rsidR="00EF69DE" w:rsidRPr="00551185" w:rsidRDefault="00EF69DE" w:rsidP="006F6C95">
            <w:pPr>
              <w:spacing w:before="60"/>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Apr</w:t>
            </w:r>
          </w:p>
        </w:tc>
        <w:tc>
          <w:tcPr>
            <w:tcW w:w="415" w:type="pct"/>
            <w:shd w:val="clear" w:color="auto" w:fill="FFE599" w:themeFill="accent4" w:themeFillTint="66"/>
            <w:vAlign w:val="center"/>
          </w:tcPr>
          <w:p w14:paraId="2246E3CC" w14:textId="77777777" w:rsidR="00EF69DE" w:rsidRPr="00551185" w:rsidRDefault="00EF69DE" w:rsidP="006F6C95">
            <w:pPr>
              <w:spacing w:before="60"/>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Total</w:t>
            </w:r>
          </w:p>
        </w:tc>
      </w:tr>
      <w:tr w:rsidR="008A1B1E" w:rsidRPr="00551185" w14:paraId="7C57398F" w14:textId="77777777" w:rsidTr="00551185">
        <w:trPr>
          <w:trHeight w:val="238"/>
        </w:trPr>
        <w:tc>
          <w:tcPr>
            <w:tcW w:w="1883" w:type="pct"/>
            <w:vMerge/>
            <w:shd w:val="clear" w:color="auto" w:fill="FFE599" w:themeFill="accent4" w:themeFillTint="66"/>
            <w:vAlign w:val="center"/>
          </w:tcPr>
          <w:p w14:paraId="1D566B0E" w14:textId="043D399C" w:rsidR="00EF69DE" w:rsidRPr="00551185" w:rsidRDefault="00EF69DE" w:rsidP="006F6C95">
            <w:pPr>
              <w:spacing w:before="60"/>
              <w:jc w:val="center"/>
              <w:rPr>
                <w:rFonts w:ascii="Times New Roman" w:hAnsi="Times New Roman" w:cs="Times New Roman"/>
                <w:b/>
                <w:bCs/>
                <w:color w:val="000000" w:themeColor="text1"/>
                <w:sz w:val="20"/>
                <w:szCs w:val="20"/>
                <w:lang w:val="ro-RO"/>
              </w:rPr>
            </w:pPr>
          </w:p>
        </w:tc>
        <w:tc>
          <w:tcPr>
            <w:tcW w:w="3117" w:type="pct"/>
            <w:gridSpan w:val="8"/>
            <w:shd w:val="clear" w:color="auto" w:fill="FFE599" w:themeFill="accent4" w:themeFillTint="66"/>
            <w:vAlign w:val="center"/>
          </w:tcPr>
          <w:p w14:paraId="1755CAA9" w14:textId="0743C3DE" w:rsidR="00EF69DE" w:rsidRPr="00551185" w:rsidRDefault="005675FA" w:rsidP="006F6C95">
            <w:pPr>
              <w:spacing w:before="60"/>
              <w:jc w:val="center"/>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Consum redus</w:t>
            </w:r>
            <w:r w:rsidR="00EF69DE" w:rsidRPr="00551185">
              <w:rPr>
                <w:rFonts w:ascii="Times New Roman" w:hAnsi="Times New Roman" w:cs="Times New Roman"/>
                <w:b/>
                <w:bCs/>
                <w:color w:val="000000" w:themeColor="text1"/>
                <w:sz w:val="20"/>
                <w:szCs w:val="20"/>
                <w:lang w:val="ro-RO"/>
              </w:rPr>
              <w:t xml:space="preserve"> de gaze naturale în caz de limitare, mil m</w:t>
            </w:r>
            <w:r w:rsidR="00EF69DE" w:rsidRPr="00551185">
              <w:rPr>
                <w:rFonts w:ascii="Times New Roman" w:hAnsi="Times New Roman" w:cs="Times New Roman"/>
                <w:b/>
                <w:bCs/>
                <w:color w:val="000000" w:themeColor="text1"/>
                <w:sz w:val="20"/>
                <w:szCs w:val="20"/>
                <w:vertAlign w:val="superscript"/>
                <w:lang w:val="ro-RO"/>
              </w:rPr>
              <w:t>3</w:t>
            </w:r>
          </w:p>
        </w:tc>
      </w:tr>
      <w:tr w:rsidR="00FE6BC3" w:rsidRPr="00551185" w14:paraId="5A1C0874" w14:textId="77777777" w:rsidTr="00551185">
        <w:trPr>
          <w:trHeight w:val="443"/>
        </w:trPr>
        <w:tc>
          <w:tcPr>
            <w:tcW w:w="1883" w:type="pct"/>
            <w:shd w:val="clear" w:color="auto" w:fill="FFE599" w:themeFill="accent4" w:themeFillTint="66"/>
            <w:vAlign w:val="center"/>
          </w:tcPr>
          <w:p w14:paraId="65BF2103" w14:textId="77777777" w:rsidR="00FE6BC3" w:rsidRPr="00551185" w:rsidRDefault="00FE6BC3" w:rsidP="00FE6BC3">
            <w:pPr>
              <w:spacing w:before="60"/>
              <w:ind w:left="-85" w:right="-85"/>
              <w:jc w:val="both"/>
              <w:rPr>
                <w:rFonts w:ascii="Times New Roman" w:hAnsi="Times New Roman" w:cs="Times New Roman"/>
                <w:color w:val="000000" w:themeColor="text1"/>
                <w:sz w:val="20"/>
                <w:szCs w:val="20"/>
                <w:lang w:val="ro-RO"/>
              </w:rPr>
            </w:pPr>
            <w:r w:rsidRPr="00551185">
              <w:rPr>
                <w:rFonts w:ascii="Times New Roman" w:hAnsi="Times New Roman" w:cs="Times New Roman"/>
                <w:b/>
                <w:bCs/>
                <w:color w:val="000000" w:themeColor="text1"/>
                <w:sz w:val="20"/>
                <w:szCs w:val="20"/>
                <w:lang w:val="ro-RO"/>
              </w:rPr>
              <w:t>Măsura nr. 1:</w:t>
            </w:r>
            <w:r w:rsidRPr="00551185">
              <w:rPr>
                <w:rFonts w:ascii="Times New Roman" w:hAnsi="Times New Roman" w:cs="Times New Roman"/>
                <w:color w:val="000000" w:themeColor="text1"/>
                <w:sz w:val="20"/>
                <w:szCs w:val="20"/>
                <w:lang w:val="ro-RO"/>
              </w:rPr>
              <w:t xml:space="preserve"> Monitorizarea și asigurarea zilnică a consumului rațional de resurse energetice în cadrul clădirilor publice și comerciale, inclusiv de către persoana responsabilă desemnată pentru fiecare clădire</w:t>
            </w:r>
          </w:p>
        </w:tc>
        <w:tc>
          <w:tcPr>
            <w:tcW w:w="382" w:type="pct"/>
            <w:tcBorders>
              <w:top w:val="single" w:sz="4" w:space="0" w:color="auto"/>
              <w:left w:val="single" w:sz="4" w:space="0" w:color="FFFFFF"/>
              <w:bottom w:val="single" w:sz="4" w:space="0" w:color="auto"/>
              <w:right w:val="single" w:sz="4" w:space="0" w:color="auto"/>
            </w:tcBorders>
            <w:shd w:val="clear" w:color="auto" w:fill="FFFFFF" w:themeFill="background1"/>
            <w:vAlign w:val="center"/>
          </w:tcPr>
          <w:p w14:paraId="70626F3E" w14:textId="5CA4B07B" w:rsidR="00FE6BC3" w:rsidRPr="00551185" w:rsidRDefault="00FE6BC3" w:rsidP="00FE6BC3">
            <w:pPr>
              <w:spacing w:before="60"/>
              <w:jc w:val="center"/>
              <w:rPr>
                <w:rFonts w:ascii="Times New Roman" w:hAnsi="Times New Roman" w:cs="Times New Roman"/>
                <w:sz w:val="20"/>
                <w:szCs w:val="20"/>
                <w:highlight w:val="yellow"/>
                <w:lang w:val="ro-RO"/>
              </w:rPr>
            </w:pPr>
            <w:r w:rsidRPr="00551185">
              <w:rPr>
                <w:rFonts w:ascii="Times New Roman" w:hAnsi="Times New Roman" w:cs="Times New Roman"/>
                <w:sz w:val="20"/>
                <w:szCs w:val="20"/>
              </w:rPr>
              <w:t>2.2</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280BB" w14:textId="35134663" w:rsidR="00FE6BC3" w:rsidRPr="00551185" w:rsidRDefault="00FE6BC3" w:rsidP="00FE6BC3">
            <w:pPr>
              <w:spacing w:before="60"/>
              <w:jc w:val="center"/>
              <w:rPr>
                <w:rFonts w:ascii="Times New Roman" w:hAnsi="Times New Roman" w:cs="Times New Roman"/>
                <w:sz w:val="20"/>
                <w:szCs w:val="20"/>
                <w:highlight w:val="yellow"/>
                <w:lang w:val="ro-RO"/>
              </w:rPr>
            </w:pPr>
            <w:r w:rsidRPr="00551185">
              <w:rPr>
                <w:rFonts w:ascii="Times New Roman" w:hAnsi="Times New Roman" w:cs="Times New Roman"/>
                <w:sz w:val="20"/>
                <w:szCs w:val="20"/>
              </w:rPr>
              <w:t>2.5</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14C4A" w14:textId="3F80066D" w:rsidR="00FE6BC3" w:rsidRPr="00551185" w:rsidRDefault="00FE6BC3" w:rsidP="00FE6BC3">
            <w:pPr>
              <w:spacing w:before="60"/>
              <w:jc w:val="center"/>
              <w:rPr>
                <w:rFonts w:ascii="Times New Roman" w:hAnsi="Times New Roman" w:cs="Times New Roman"/>
                <w:sz w:val="20"/>
                <w:szCs w:val="20"/>
                <w:highlight w:val="yellow"/>
                <w:lang w:val="ro-RO"/>
              </w:rPr>
            </w:pPr>
            <w:r w:rsidRPr="00551185">
              <w:rPr>
                <w:rFonts w:ascii="Times New Roman" w:hAnsi="Times New Roman" w:cs="Times New Roman"/>
                <w:sz w:val="20"/>
                <w:szCs w:val="20"/>
              </w:rPr>
              <w:t>3.5</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8A23A" w14:textId="2D8361DC" w:rsidR="00FE6BC3" w:rsidRPr="00551185" w:rsidRDefault="00FE6BC3" w:rsidP="00FE6BC3">
            <w:pPr>
              <w:spacing w:before="60"/>
              <w:jc w:val="center"/>
              <w:rPr>
                <w:rFonts w:ascii="Times New Roman" w:hAnsi="Times New Roman" w:cs="Times New Roman"/>
                <w:sz w:val="20"/>
                <w:szCs w:val="20"/>
                <w:highlight w:val="yellow"/>
                <w:lang w:val="ro-RO"/>
              </w:rPr>
            </w:pPr>
            <w:r w:rsidRPr="00551185">
              <w:rPr>
                <w:rFonts w:ascii="Times New Roman" w:hAnsi="Times New Roman" w:cs="Times New Roman"/>
                <w:sz w:val="20"/>
                <w:szCs w:val="20"/>
              </w:rPr>
              <w:t>4.0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461E9" w14:textId="244DFBBB" w:rsidR="00FE6BC3" w:rsidRPr="00551185" w:rsidRDefault="00FE6BC3" w:rsidP="00FE6BC3">
            <w:pPr>
              <w:spacing w:before="60"/>
              <w:jc w:val="center"/>
              <w:rPr>
                <w:rFonts w:ascii="Times New Roman" w:hAnsi="Times New Roman" w:cs="Times New Roman"/>
                <w:sz w:val="20"/>
                <w:szCs w:val="20"/>
                <w:highlight w:val="yellow"/>
                <w:lang w:val="ro-RO"/>
              </w:rPr>
            </w:pPr>
            <w:r w:rsidRPr="00551185">
              <w:rPr>
                <w:rFonts w:ascii="Times New Roman" w:hAnsi="Times New Roman" w:cs="Times New Roman"/>
                <w:sz w:val="20"/>
                <w:szCs w:val="20"/>
              </w:rPr>
              <w:t>3.2</w:t>
            </w:r>
          </w:p>
        </w:tc>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D157E" w14:textId="5EBF015C" w:rsidR="00FE6BC3" w:rsidRPr="00551185" w:rsidRDefault="00FE6BC3" w:rsidP="00FE6BC3">
            <w:pPr>
              <w:spacing w:before="60"/>
              <w:jc w:val="center"/>
              <w:rPr>
                <w:rFonts w:ascii="Times New Roman" w:hAnsi="Times New Roman" w:cs="Times New Roman"/>
                <w:sz w:val="20"/>
                <w:szCs w:val="20"/>
                <w:highlight w:val="yellow"/>
                <w:lang w:val="ro-RO"/>
              </w:rPr>
            </w:pPr>
            <w:r w:rsidRPr="00551185">
              <w:rPr>
                <w:rFonts w:ascii="Times New Roman" w:hAnsi="Times New Roman" w:cs="Times New Roman"/>
                <w:sz w:val="20"/>
                <w:szCs w:val="20"/>
              </w:rPr>
              <w:t>3.0</w:t>
            </w:r>
          </w:p>
        </w:tc>
        <w:tc>
          <w:tcPr>
            <w:tcW w:w="389" w:type="pct"/>
            <w:tcBorders>
              <w:top w:val="single" w:sz="4" w:space="0" w:color="auto"/>
              <w:left w:val="single" w:sz="4" w:space="0" w:color="auto"/>
              <w:bottom w:val="single" w:sz="4" w:space="0" w:color="auto"/>
              <w:right w:val="single" w:sz="4" w:space="0" w:color="FFFFFF"/>
            </w:tcBorders>
            <w:shd w:val="clear" w:color="auto" w:fill="FFFFFF" w:themeFill="background1"/>
            <w:vAlign w:val="center"/>
          </w:tcPr>
          <w:p w14:paraId="5D0E4130" w14:textId="60A40AC0" w:rsidR="00FE6BC3" w:rsidRPr="00551185" w:rsidRDefault="00FE6BC3" w:rsidP="00FE6BC3">
            <w:pPr>
              <w:spacing w:before="60"/>
              <w:jc w:val="center"/>
              <w:rPr>
                <w:rFonts w:ascii="Times New Roman" w:hAnsi="Times New Roman" w:cs="Times New Roman"/>
                <w:sz w:val="20"/>
                <w:szCs w:val="20"/>
                <w:highlight w:val="yellow"/>
                <w:lang w:val="ro-RO"/>
              </w:rPr>
            </w:pPr>
            <w:r w:rsidRPr="00551185">
              <w:rPr>
                <w:rFonts w:ascii="Times New Roman" w:hAnsi="Times New Roman" w:cs="Times New Roman"/>
                <w:sz w:val="20"/>
                <w:szCs w:val="20"/>
              </w:rPr>
              <w:t>1.5</w:t>
            </w:r>
          </w:p>
        </w:tc>
        <w:tc>
          <w:tcPr>
            <w:tcW w:w="415" w:type="pct"/>
            <w:shd w:val="clear" w:color="auto" w:fill="FFE599" w:themeFill="accent4" w:themeFillTint="66"/>
            <w:vAlign w:val="center"/>
          </w:tcPr>
          <w:p w14:paraId="06E7B40B" w14:textId="1429420F" w:rsidR="00FE6BC3" w:rsidRPr="00551185" w:rsidRDefault="00FE6BC3" w:rsidP="00FE6BC3">
            <w:pPr>
              <w:spacing w:before="60"/>
              <w:jc w:val="center"/>
              <w:rPr>
                <w:rFonts w:ascii="Times New Roman" w:hAnsi="Times New Roman" w:cs="Times New Roman"/>
                <w:b/>
                <w:bCs/>
                <w:color w:val="000000" w:themeColor="text1"/>
                <w:sz w:val="20"/>
                <w:szCs w:val="20"/>
                <w:highlight w:val="yellow"/>
                <w:lang w:val="ro-RO"/>
              </w:rPr>
            </w:pPr>
            <w:r w:rsidRPr="00551185">
              <w:rPr>
                <w:rFonts w:ascii="Times New Roman" w:hAnsi="Times New Roman" w:cs="Times New Roman"/>
                <w:b/>
                <w:bCs/>
                <w:color w:val="000000" w:themeColor="text1"/>
                <w:sz w:val="20"/>
                <w:szCs w:val="20"/>
                <w:lang w:val="ro-RO"/>
              </w:rPr>
              <w:t>20.0</w:t>
            </w:r>
          </w:p>
        </w:tc>
      </w:tr>
      <w:tr w:rsidR="00551185" w:rsidRPr="00551185" w14:paraId="11C5E3B3" w14:textId="77777777" w:rsidTr="00551185">
        <w:trPr>
          <w:trHeight w:val="56"/>
        </w:trPr>
        <w:tc>
          <w:tcPr>
            <w:tcW w:w="1883" w:type="pct"/>
            <w:shd w:val="clear" w:color="auto" w:fill="FFE599" w:themeFill="accent4" w:themeFillTint="66"/>
            <w:vAlign w:val="center"/>
          </w:tcPr>
          <w:p w14:paraId="007D2CD4" w14:textId="77777777" w:rsidR="00551185" w:rsidRPr="00551185" w:rsidRDefault="00551185" w:rsidP="00551185">
            <w:pPr>
              <w:spacing w:before="60"/>
              <w:ind w:left="-85" w:right="-85"/>
              <w:jc w:val="both"/>
              <w:rPr>
                <w:rFonts w:ascii="Times New Roman" w:hAnsi="Times New Roman" w:cs="Times New Roman"/>
                <w:color w:val="000000" w:themeColor="text1"/>
                <w:sz w:val="20"/>
                <w:szCs w:val="20"/>
                <w:lang w:val="ro-RO"/>
              </w:rPr>
            </w:pPr>
            <w:r w:rsidRPr="00551185">
              <w:rPr>
                <w:rFonts w:ascii="Times New Roman" w:hAnsi="Times New Roman" w:cs="Times New Roman"/>
                <w:b/>
                <w:bCs/>
                <w:color w:val="000000" w:themeColor="text1"/>
                <w:sz w:val="20"/>
                <w:szCs w:val="20"/>
                <w:lang w:val="ro-RO"/>
              </w:rPr>
              <w:t>Măsura nr. 2:</w:t>
            </w:r>
            <w:r w:rsidRPr="00551185">
              <w:rPr>
                <w:rFonts w:ascii="Times New Roman" w:hAnsi="Times New Roman" w:cs="Times New Roman"/>
                <w:color w:val="000000" w:themeColor="text1"/>
                <w:sz w:val="20"/>
                <w:szCs w:val="20"/>
                <w:lang w:val="ro-RO"/>
              </w:rPr>
              <w:t xml:space="preserve"> Campanii de informare a cetățenilor privind modalitățile de reducere a consumului</w:t>
            </w:r>
          </w:p>
        </w:tc>
        <w:tc>
          <w:tcPr>
            <w:tcW w:w="382" w:type="pct"/>
            <w:tcBorders>
              <w:top w:val="single" w:sz="4" w:space="0" w:color="auto"/>
              <w:left w:val="single" w:sz="4" w:space="0" w:color="FFFFFF"/>
              <w:bottom w:val="single" w:sz="4" w:space="0" w:color="auto"/>
              <w:right w:val="single" w:sz="4" w:space="0" w:color="auto"/>
            </w:tcBorders>
            <w:shd w:val="clear" w:color="auto" w:fill="FFFFFF" w:themeFill="background1"/>
            <w:vAlign w:val="center"/>
          </w:tcPr>
          <w:p w14:paraId="5D2D6D99" w14:textId="7DE8E508"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0.9</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26358" w14:textId="6AA76AA0"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1.7</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A0753" w14:textId="33B26CBE"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2.4</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EB9E" w14:textId="5F028F16"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2.5</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FEE4" w14:textId="00382593"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1.9</w:t>
            </w:r>
          </w:p>
        </w:tc>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D3949" w14:textId="05061F12"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1.9</w:t>
            </w:r>
          </w:p>
        </w:tc>
        <w:tc>
          <w:tcPr>
            <w:tcW w:w="389" w:type="pct"/>
            <w:tcBorders>
              <w:top w:val="single" w:sz="4" w:space="0" w:color="auto"/>
              <w:left w:val="single" w:sz="4" w:space="0" w:color="auto"/>
              <w:bottom w:val="single" w:sz="4" w:space="0" w:color="auto"/>
              <w:right w:val="single" w:sz="4" w:space="0" w:color="FFFFFF"/>
            </w:tcBorders>
            <w:shd w:val="clear" w:color="auto" w:fill="FFFFFF" w:themeFill="background1"/>
            <w:vAlign w:val="center"/>
          </w:tcPr>
          <w:p w14:paraId="5C0B71CC" w14:textId="56E29E86"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0.8</w:t>
            </w:r>
          </w:p>
        </w:tc>
        <w:tc>
          <w:tcPr>
            <w:tcW w:w="415" w:type="pct"/>
            <w:shd w:val="clear" w:color="auto" w:fill="FFE599" w:themeFill="accent4" w:themeFillTint="66"/>
            <w:vAlign w:val="center"/>
          </w:tcPr>
          <w:p w14:paraId="3E197581" w14:textId="14C7C587" w:rsidR="00551185" w:rsidRPr="00551185" w:rsidRDefault="00551185" w:rsidP="00551185">
            <w:pPr>
              <w:spacing w:before="60"/>
              <w:jc w:val="center"/>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12.0</w:t>
            </w:r>
          </w:p>
        </w:tc>
      </w:tr>
      <w:tr w:rsidR="00551185" w:rsidRPr="00551185" w14:paraId="031104A2" w14:textId="77777777" w:rsidTr="00551185">
        <w:trPr>
          <w:trHeight w:val="56"/>
        </w:trPr>
        <w:tc>
          <w:tcPr>
            <w:tcW w:w="1883" w:type="pct"/>
            <w:shd w:val="clear" w:color="auto" w:fill="FFE599" w:themeFill="accent4" w:themeFillTint="66"/>
          </w:tcPr>
          <w:p w14:paraId="7418B946" w14:textId="75988045" w:rsidR="00551185" w:rsidRPr="00551185" w:rsidRDefault="00551185" w:rsidP="00551185">
            <w:pPr>
              <w:spacing w:before="60"/>
              <w:ind w:left="-85" w:right="-85"/>
              <w:jc w:val="both"/>
              <w:rPr>
                <w:rFonts w:ascii="Times New Roman" w:hAnsi="Times New Roman" w:cs="Times New Roman"/>
                <w:color w:val="000000" w:themeColor="text1"/>
                <w:sz w:val="20"/>
                <w:szCs w:val="20"/>
                <w:lang w:val="ro-RO"/>
              </w:rPr>
            </w:pPr>
            <w:r w:rsidRPr="00551185">
              <w:rPr>
                <w:rFonts w:ascii="Times New Roman" w:hAnsi="Times New Roman" w:cs="Times New Roman"/>
                <w:b/>
                <w:bCs/>
                <w:color w:val="000000" w:themeColor="text1"/>
                <w:sz w:val="20"/>
                <w:szCs w:val="20"/>
                <w:lang w:val="ro-RO"/>
              </w:rPr>
              <w:t>Măsura nr. 3:</w:t>
            </w:r>
            <w:r w:rsidRPr="00551185">
              <w:rPr>
                <w:rFonts w:ascii="Times New Roman" w:hAnsi="Times New Roman" w:cs="Times New Roman"/>
                <w:color w:val="000000" w:themeColor="text1"/>
                <w:sz w:val="20"/>
                <w:szCs w:val="20"/>
                <w:lang w:val="ro-RO"/>
              </w:rPr>
              <w:t xml:space="preserve"> Reconectarea centralelor termice pe biomasă în cadrul instituțiilor publice</w:t>
            </w:r>
          </w:p>
        </w:tc>
        <w:tc>
          <w:tcPr>
            <w:tcW w:w="382" w:type="pct"/>
            <w:tcBorders>
              <w:top w:val="single" w:sz="4" w:space="0" w:color="auto"/>
              <w:left w:val="single" w:sz="4" w:space="0" w:color="FFFFFF"/>
              <w:bottom w:val="single" w:sz="4" w:space="0" w:color="auto"/>
              <w:right w:val="single" w:sz="4" w:space="0" w:color="auto"/>
            </w:tcBorders>
            <w:shd w:val="clear" w:color="auto" w:fill="FFFFFF" w:themeFill="background1"/>
            <w:vAlign w:val="center"/>
          </w:tcPr>
          <w:p w14:paraId="7388B853" w14:textId="58B75EFF"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0.5</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438C5" w14:textId="0DC43402"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1.2</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2B7B5" w14:textId="3B0BDC43"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1.2</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E61F0" w14:textId="510DBE45"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1.2</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FFD18" w14:textId="1749454B"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1.2</w:t>
            </w:r>
          </w:p>
        </w:tc>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D5171" w14:textId="70F41B1F"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1.2</w:t>
            </w:r>
          </w:p>
        </w:tc>
        <w:tc>
          <w:tcPr>
            <w:tcW w:w="389" w:type="pct"/>
            <w:tcBorders>
              <w:top w:val="single" w:sz="4" w:space="0" w:color="auto"/>
              <w:left w:val="single" w:sz="4" w:space="0" w:color="auto"/>
              <w:bottom w:val="single" w:sz="4" w:space="0" w:color="auto"/>
              <w:right w:val="single" w:sz="4" w:space="0" w:color="FFFFFF"/>
            </w:tcBorders>
            <w:shd w:val="clear" w:color="auto" w:fill="FFFFFF" w:themeFill="background1"/>
            <w:vAlign w:val="center"/>
          </w:tcPr>
          <w:p w14:paraId="44AA4015" w14:textId="5FC15C09"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0.5</w:t>
            </w:r>
          </w:p>
        </w:tc>
        <w:tc>
          <w:tcPr>
            <w:tcW w:w="415" w:type="pct"/>
            <w:shd w:val="clear" w:color="auto" w:fill="FFE599" w:themeFill="accent4" w:themeFillTint="66"/>
            <w:vAlign w:val="center"/>
          </w:tcPr>
          <w:p w14:paraId="52692BE9" w14:textId="49C89237" w:rsidR="00551185" w:rsidRPr="00551185" w:rsidRDefault="00551185" w:rsidP="00551185">
            <w:pPr>
              <w:spacing w:before="60"/>
              <w:jc w:val="center"/>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7.0</w:t>
            </w:r>
          </w:p>
        </w:tc>
      </w:tr>
      <w:tr w:rsidR="00551185" w:rsidRPr="00551185" w14:paraId="0D7347B2" w14:textId="77777777" w:rsidTr="00551185">
        <w:trPr>
          <w:trHeight w:val="56"/>
        </w:trPr>
        <w:tc>
          <w:tcPr>
            <w:tcW w:w="1883" w:type="pct"/>
            <w:shd w:val="clear" w:color="auto" w:fill="FFE599" w:themeFill="accent4" w:themeFillTint="66"/>
          </w:tcPr>
          <w:p w14:paraId="3EEB7406" w14:textId="56F9C137" w:rsidR="00551185" w:rsidRPr="00551185" w:rsidRDefault="00551185" w:rsidP="00551185">
            <w:pPr>
              <w:spacing w:before="60"/>
              <w:ind w:left="-85" w:right="-85"/>
              <w:jc w:val="both"/>
              <w:rPr>
                <w:rFonts w:ascii="Times New Roman" w:hAnsi="Times New Roman" w:cs="Times New Roman"/>
                <w:color w:val="000000" w:themeColor="text1"/>
                <w:sz w:val="20"/>
                <w:szCs w:val="20"/>
                <w:lang w:val="ro-RO"/>
              </w:rPr>
            </w:pPr>
            <w:r w:rsidRPr="00551185">
              <w:rPr>
                <w:rFonts w:ascii="Times New Roman" w:hAnsi="Times New Roman" w:cs="Times New Roman"/>
                <w:b/>
                <w:bCs/>
                <w:color w:val="000000" w:themeColor="text1"/>
                <w:sz w:val="20"/>
                <w:szCs w:val="20"/>
                <w:lang w:val="ro-RO"/>
              </w:rPr>
              <w:t>Măsura nr. 4:</w:t>
            </w:r>
            <w:r w:rsidRPr="00551185">
              <w:rPr>
                <w:rFonts w:ascii="Times New Roman" w:hAnsi="Times New Roman" w:cs="Times New Roman"/>
                <w:color w:val="000000" w:themeColor="text1"/>
                <w:sz w:val="20"/>
                <w:szCs w:val="20"/>
                <w:lang w:val="ro-RO"/>
              </w:rPr>
              <w:t xml:space="preserve"> Estimarea creșterii cererii de lemne de foc și cărbune, urmare a prețului ridicat pentru gazele naturale</w:t>
            </w:r>
          </w:p>
        </w:tc>
        <w:tc>
          <w:tcPr>
            <w:tcW w:w="382" w:type="pct"/>
            <w:tcBorders>
              <w:top w:val="single" w:sz="4" w:space="0" w:color="auto"/>
              <w:left w:val="single" w:sz="4" w:space="0" w:color="FFFFFF"/>
              <w:bottom w:val="single" w:sz="4" w:space="0" w:color="auto"/>
              <w:right w:val="single" w:sz="4" w:space="0" w:color="auto"/>
            </w:tcBorders>
            <w:shd w:val="clear" w:color="auto" w:fill="FFFFFF" w:themeFill="background1"/>
            <w:vAlign w:val="center"/>
          </w:tcPr>
          <w:p w14:paraId="69CED45C" w14:textId="4F3A8D39"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5</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5B785" w14:textId="1448918F"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10</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E4AF2" w14:textId="3F04EA39"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10</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E19C1" w14:textId="3A9A6D4A"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ED3E9" w14:textId="515F8EE4"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10</w:t>
            </w:r>
          </w:p>
        </w:tc>
        <w:tc>
          <w:tcPr>
            <w:tcW w:w="3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6078" w14:textId="59F9A6F4"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10</w:t>
            </w:r>
          </w:p>
        </w:tc>
        <w:tc>
          <w:tcPr>
            <w:tcW w:w="389" w:type="pct"/>
            <w:tcBorders>
              <w:top w:val="single" w:sz="4" w:space="0" w:color="auto"/>
              <w:left w:val="single" w:sz="4" w:space="0" w:color="auto"/>
              <w:bottom w:val="single" w:sz="4" w:space="0" w:color="auto"/>
              <w:right w:val="single" w:sz="4" w:space="0" w:color="FFFFFF"/>
            </w:tcBorders>
            <w:shd w:val="clear" w:color="auto" w:fill="FFFFFF" w:themeFill="background1"/>
            <w:vAlign w:val="center"/>
          </w:tcPr>
          <w:p w14:paraId="6395B8BA" w14:textId="5986CE95" w:rsidR="00551185" w:rsidRPr="00551185" w:rsidRDefault="00551185" w:rsidP="00551185">
            <w:pPr>
              <w:spacing w:before="60"/>
              <w:jc w:val="center"/>
              <w:rPr>
                <w:rFonts w:ascii="Times New Roman" w:hAnsi="Times New Roman" w:cs="Times New Roman"/>
                <w:sz w:val="20"/>
                <w:szCs w:val="20"/>
                <w:lang w:val="ro-RO"/>
              </w:rPr>
            </w:pPr>
            <w:r w:rsidRPr="00551185">
              <w:rPr>
                <w:rFonts w:ascii="Times New Roman" w:hAnsi="Times New Roman" w:cs="Times New Roman"/>
                <w:sz w:val="20"/>
                <w:szCs w:val="20"/>
              </w:rPr>
              <w:t>5</w:t>
            </w:r>
          </w:p>
        </w:tc>
        <w:tc>
          <w:tcPr>
            <w:tcW w:w="415" w:type="pct"/>
            <w:shd w:val="clear" w:color="auto" w:fill="FFE599" w:themeFill="accent4" w:themeFillTint="66"/>
            <w:vAlign w:val="center"/>
          </w:tcPr>
          <w:p w14:paraId="01DCAF4F" w14:textId="7C8E2344" w:rsidR="00551185" w:rsidRPr="00551185" w:rsidRDefault="00551185" w:rsidP="00551185">
            <w:pPr>
              <w:spacing w:before="60"/>
              <w:jc w:val="center"/>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60.0</w:t>
            </w:r>
          </w:p>
        </w:tc>
      </w:tr>
      <w:tr w:rsidR="00551185" w:rsidRPr="00551185" w14:paraId="0073699E" w14:textId="77777777" w:rsidTr="00551185">
        <w:trPr>
          <w:trHeight w:val="56"/>
        </w:trPr>
        <w:tc>
          <w:tcPr>
            <w:tcW w:w="1883" w:type="pct"/>
            <w:shd w:val="clear" w:color="auto" w:fill="FFE599" w:themeFill="accent4" w:themeFillTint="66"/>
          </w:tcPr>
          <w:p w14:paraId="4DC6CF86" w14:textId="0EE233B1" w:rsidR="00551185" w:rsidRPr="00551185" w:rsidRDefault="00551185" w:rsidP="00551185">
            <w:pPr>
              <w:spacing w:before="60"/>
              <w:ind w:left="-85" w:right="-85"/>
              <w:jc w:val="both"/>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Total</w:t>
            </w:r>
          </w:p>
        </w:tc>
        <w:tc>
          <w:tcPr>
            <w:tcW w:w="382" w:type="pct"/>
            <w:tcBorders>
              <w:top w:val="single" w:sz="4" w:space="0" w:color="auto"/>
              <w:left w:val="single" w:sz="4" w:space="0" w:color="FFFFFF"/>
              <w:bottom w:val="single" w:sz="4" w:space="0" w:color="auto"/>
              <w:right w:val="single" w:sz="4" w:space="0" w:color="auto"/>
            </w:tcBorders>
            <w:shd w:val="clear" w:color="auto" w:fill="FFE599" w:themeFill="accent4" w:themeFillTint="66"/>
            <w:vAlign w:val="center"/>
          </w:tcPr>
          <w:p w14:paraId="5F143406" w14:textId="26DA3C86" w:rsidR="00551185" w:rsidRPr="00551185" w:rsidRDefault="00551185" w:rsidP="00551185">
            <w:pPr>
              <w:spacing w:before="60"/>
              <w:jc w:val="center"/>
              <w:rPr>
                <w:rFonts w:ascii="Times New Roman" w:hAnsi="Times New Roman" w:cs="Times New Roman"/>
                <w:color w:val="000000" w:themeColor="text1"/>
                <w:sz w:val="20"/>
                <w:szCs w:val="20"/>
                <w:lang w:val="ro-RO"/>
              </w:rPr>
            </w:pPr>
            <w:r w:rsidRPr="00551185">
              <w:rPr>
                <w:rFonts w:ascii="Times New Roman" w:hAnsi="Times New Roman" w:cs="Times New Roman"/>
                <w:color w:val="000000" w:themeColor="text1"/>
                <w:sz w:val="20"/>
                <w:szCs w:val="20"/>
                <w:lang w:val="ro-RO"/>
              </w:rPr>
              <w:t>8.7</w:t>
            </w:r>
          </w:p>
        </w:tc>
        <w:tc>
          <w:tcPr>
            <w:tcW w:w="389"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51CBD0C" w14:textId="434B2D74" w:rsidR="00551185" w:rsidRPr="00551185" w:rsidRDefault="00551185" w:rsidP="00551185">
            <w:pPr>
              <w:spacing w:before="60"/>
              <w:jc w:val="center"/>
              <w:rPr>
                <w:rFonts w:ascii="Times New Roman" w:hAnsi="Times New Roman" w:cs="Times New Roman"/>
                <w:color w:val="000000" w:themeColor="text1"/>
                <w:sz w:val="20"/>
                <w:szCs w:val="20"/>
                <w:lang w:val="ro-RO"/>
              </w:rPr>
            </w:pPr>
            <w:r w:rsidRPr="00551185">
              <w:rPr>
                <w:rFonts w:ascii="Times New Roman" w:hAnsi="Times New Roman" w:cs="Times New Roman"/>
                <w:color w:val="000000" w:themeColor="text1"/>
                <w:sz w:val="20"/>
                <w:szCs w:val="20"/>
                <w:lang w:val="ro-RO"/>
              </w:rPr>
              <w:t>15.4</w:t>
            </w:r>
          </w:p>
        </w:tc>
        <w:tc>
          <w:tcPr>
            <w:tcW w:w="38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A8D3A4B" w14:textId="305FB865" w:rsidR="00551185" w:rsidRPr="00551185" w:rsidRDefault="00551185" w:rsidP="00551185">
            <w:pPr>
              <w:spacing w:before="60"/>
              <w:jc w:val="center"/>
              <w:rPr>
                <w:rFonts w:ascii="Times New Roman" w:hAnsi="Times New Roman" w:cs="Times New Roman"/>
                <w:color w:val="000000" w:themeColor="text1"/>
                <w:sz w:val="20"/>
                <w:szCs w:val="20"/>
                <w:lang w:val="ro-RO"/>
              </w:rPr>
            </w:pPr>
            <w:r w:rsidRPr="00551185">
              <w:rPr>
                <w:rFonts w:ascii="Times New Roman" w:hAnsi="Times New Roman" w:cs="Times New Roman"/>
                <w:color w:val="000000" w:themeColor="text1"/>
                <w:sz w:val="20"/>
                <w:szCs w:val="20"/>
                <w:lang w:val="ro-RO"/>
              </w:rPr>
              <w:t>17.1</w:t>
            </w:r>
          </w:p>
        </w:tc>
        <w:tc>
          <w:tcPr>
            <w:tcW w:w="37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7022D47" w14:textId="22F041C3" w:rsidR="00551185" w:rsidRPr="00551185" w:rsidRDefault="00551185" w:rsidP="00551185">
            <w:pPr>
              <w:spacing w:before="60"/>
              <w:jc w:val="center"/>
              <w:rPr>
                <w:rFonts w:ascii="Times New Roman" w:hAnsi="Times New Roman" w:cs="Times New Roman"/>
                <w:color w:val="000000" w:themeColor="text1"/>
                <w:sz w:val="20"/>
                <w:szCs w:val="20"/>
                <w:lang w:val="ro-RO"/>
              </w:rPr>
            </w:pPr>
            <w:r w:rsidRPr="00551185">
              <w:rPr>
                <w:rFonts w:ascii="Times New Roman" w:hAnsi="Times New Roman" w:cs="Times New Roman"/>
                <w:color w:val="000000" w:themeColor="text1"/>
                <w:sz w:val="20"/>
                <w:szCs w:val="20"/>
                <w:lang w:val="ro-RO"/>
              </w:rPr>
              <w:t>17.7</w:t>
            </w:r>
          </w:p>
        </w:tc>
        <w:tc>
          <w:tcPr>
            <w:tcW w:w="385"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98FFB6C" w14:textId="6CA3DEC3" w:rsidR="00551185" w:rsidRPr="00551185" w:rsidRDefault="00551185" w:rsidP="00551185">
            <w:pPr>
              <w:spacing w:before="60"/>
              <w:jc w:val="center"/>
              <w:rPr>
                <w:rFonts w:ascii="Times New Roman" w:hAnsi="Times New Roman" w:cs="Times New Roman"/>
                <w:color w:val="000000" w:themeColor="text1"/>
                <w:sz w:val="20"/>
                <w:szCs w:val="20"/>
                <w:lang w:val="ro-RO"/>
              </w:rPr>
            </w:pPr>
            <w:r w:rsidRPr="00551185">
              <w:rPr>
                <w:rFonts w:ascii="Times New Roman" w:hAnsi="Times New Roman" w:cs="Times New Roman"/>
                <w:color w:val="000000" w:themeColor="text1"/>
                <w:sz w:val="20"/>
                <w:szCs w:val="20"/>
                <w:lang w:val="ro-RO"/>
              </w:rPr>
              <w:t>16.2</w:t>
            </w:r>
          </w:p>
        </w:tc>
        <w:tc>
          <w:tcPr>
            <w:tcW w:w="395"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AD372D" w14:textId="26D3E185" w:rsidR="00551185" w:rsidRPr="00551185" w:rsidRDefault="00551185" w:rsidP="00551185">
            <w:pPr>
              <w:spacing w:before="60"/>
              <w:jc w:val="center"/>
              <w:rPr>
                <w:rFonts w:ascii="Times New Roman" w:hAnsi="Times New Roman" w:cs="Times New Roman"/>
                <w:color w:val="000000" w:themeColor="text1"/>
                <w:sz w:val="20"/>
                <w:szCs w:val="20"/>
                <w:lang w:val="ro-RO"/>
              </w:rPr>
            </w:pPr>
            <w:r w:rsidRPr="00551185">
              <w:rPr>
                <w:rFonts w:ascii="Times New Roman" w:hAnsi="Times New Roman" w:cs="Times New Roman"/>
                <w:color w:val="000000" w:themeColor="text1"/>
                <w:sz w:val="20"/>
                <w:szCs w:val="20"/>
                <w:lang w:val="ro-RO"/>
              </w:rPr>
              <w:t>16.1</w:t>
            </w:r>
          </w:p>
        </w:tc>
        <w:tc>
          <w:tcPr>
            <w:tcW w:w="389"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72A8420" w14:textId="103A7CF6" w:rsidR="00551185" w:rsidRPr="00551185" w:rsidRDefault="00551185" w:rsidP="00551185">
            <w:pPr>
              <w:spacing w:before="60"/>
              <w:jc w:val="center"/>
              <w:rPr>
                <w:rFonts w:ascii="Times New Roman" w:hAnsi="Times New Roman" w:cs="Times New Roman"/>
                <w:color w:val="000000" w:themeColor="text1"/>
                <w:sz w:val="20"/>
                <w:szCs w:val="20"/>
                <w:lang w:val="ro-RO"/>
              </w:rPr>
            </w:pPr>
            <w:r w:rsidRPr="00551185">
              <w:rPr>
                <w:rFonts w:ascii="Times New Roman" w:hAnsi="Times New Roman" w:cs="Times New Roman"/>
                <w:color w:val="000000" w:themeColor="text1"/>
                <w:sz w:val="20"/>
                <w:szCs w:val="20"/>
                <w:lang w:val="ro-RO"/>
              </w:rPr>
              <w:t>7.8</w:t>
            </w:r>
          </w:p>
        </w:tc>
        <w:tc>
          <w:tcPr>
            <w:tcW w:w="415"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51BA41B" w14:textId="1F2604CF" w:rsidR="00551185" w:rsidRPr="00551185" w:rsidRDefault="00551185" w:rsidP="00551185">
            <w:pPr>
              <w:spacing w:before="60"/>
              <w:jc w:val="center"/>
              <w:rPr>
                <w:rFonts w:ascii="Times New Roman" w:hAnsi="Times New Roman" w:cs="Times New Roman"/>
                <w:b/>
                <w:bCs/>
                <w:color w:val="000000" w:themeColor="text1"/>
                <w:sz w:val="20"/>
                <w:szCs w:val="20"/>
                <w:lang w:val="ro-RO"/>
              </w:rPr>
            </w:pPr>
            <w:r w:rsidRPr="00551185">
              <w:rPr>
                <w:rFonts w:ascii="Times New Roman" w:hAnsi="Times New Roman" w:cs="Times New Roman"/>
                <w:b/>
                <w:bCs/>
                <w:color w:val="000000" w:themeColor="text1"/>
                <w:sz w:val="20"/>
                <w:szCs w:val="20"/>
                <w:lang w:val="ro-RO"/>
              </w:rPr>
              <w:t>99.0</w:t>
            </w:r>
          </w:p>
        </w:tc>
      </w:tr>
    </w:tbl>
    <w:p w14:paraId="35EA021E" w14:textId="4BC34F6C" w:rsidR="001369F6" w:rsidRPr="00201198" w:rsidRDefault="006C4183" w:rsidP="003C199E">
      <w:pPr>
        <w:pStyle w:val="cb"/>
        <w:spacing w:before="120" w:after="120"/>
        <w:ind w:firstLine="547"/>
        <w:jc w:val="both"/>
        <w:rPr>
          <w:b w:val="0"/>
          <w:bCs w:val="0"/>
          <w:color w:val="000000" w:themeColor="text1"/>
          <w:lang w:val="ro-RO" w:eastAsia="ru-RU"/>
        </w:rPr>
      </w:pPr>
      <w:r>
        <w:rPr>
          <w:b w:val="0"/>
          <w:bCs w:val="0"/>
          <w:color w:val="000000" w:themeColor="text1"/>
          <w:lang w:val="ro-RO" w:eastAsia="ru-RU"/>
        </w:rPr>
        <w:t>Î</w:t>
      </w:r>
      <w:r w:rsidR="001369F6">
        <w:rPr>
          <w:b w:val="0"/>
          <w:bCs w:val="0"/>
          <w:color w:val="000000" w:themeColor="text1"/>
          <w:lang w:val="ro-RO" w:eastAsia="ru-RU"/>
        </w:rPr>
        <w:t xml:space="preserve">n tabelul </w:t>
      </w:r>
      <w:r w:rsidR="004F505F">
        <w:rPr>
          <w:b w:val="0"/>
          <w:bCs w:val="0"/>
          <w:color w:val="000000" w:themeColor="text1"/>
          <w:lang w:val="ro-RO" w:eastAsia="ru-RU"/>
        </w:rPr>
        <w:t>7</w:t>
      </w:r>
      <w:r w:rsidR="001369F6">
        <w:rPr>
          <w:b w:val="0"/>
          <w:bCs w:val="0"/>
          <w:color w:val="000000" w:themeColor="text1"/>
          <w:lang w:val="ro-RO" w:eastAsia="ru-RU"/>
        </w:rPr>
        <w:t xml:space="preserve"> </w:t>
      </w:r>
      <w:r w:rsidR="003A3BA6">
        <w:rPr>
          <w:b w:val="0"/>
          <w:bCs w:val="0"/>
          <w:color w:val="000000" w:themeColor="text1"/>
          <w:lang w:val="ro-RO" w:eastAsia="ru-RU"/>
        </w:rPr>
        <w:t xml:space="preserve">este prezentat </w:t>
      </w:r>
      <w:r w:rsidR="00630C0D">
        <w:rPr>
          <w:b w:val="0"/>
          <w:bCs w:val="0"/>
          <w:color w:val="000000" w:themeColor="text1"/>
          <w:lang w:val="ro-RO" w:eastAsia="ru-RU"/>
        </w:rPr>
        <w:t xml:space="preserve">scenariul </w:t>
      </w:r>
      <w:r w:rsidR="004F505F">
        <w:rPr>
          <w:b w:val="0"/>
          <w:bCs w:val="0"/>
          <w:color w:val="000000" w:themeColor="text1"/>
          <w:lang w:val="ro-RO" w:eastAsia="ru-RU"/>
        </w:rPr>
        <w:t>II (A) (</w:t>
      </w:r>
      <w:r w:rsidR="004F505F" w:rsidRPr="004F505F">
        <w:rPr>
          <w:b w:val="0"/>
          <w:bCs w:val="0"/>
          <w:color w:val="000000" w:themeColor="text1"/>
          <w:lang w:val="ro-RO" w:eastAsia="ru-RU"/>
        </w:rPr>
        <w:t>SAP „Gazprom” livrează către Republica Moldova doar 5,7 mil. m</w:t>
      </w:r>
      <w:r w:rsidR="004F505F" w:rsidRPr="004F505F">
        <w:rPr>
          <w:b w:val="0"/>
          <w:bCs w:val="0"/>
          <w:color w:val="000000" w:themeColor="text1"/>
          <w:vertAlign w:val="superscript"/>
          <w:lang w:val="ro-RO" w:eastAsia="ru-RU"/>
        </w:rPr>
        <w:t>3</w:t>
      </w:r>
      <w:r w:rsidR="004F505F" w:rsidRPr="004F505F">
        <w:rPr>
          <w:b w:val="0"/>
          <w:bCs w:val="0"/>
          <w:color w:val="000000" w:themeColor="text1"/>
          <w:lang w:val="ro-RO" w:eastAsia="ru-RU"/>
        </w:rPr>
        <w:t>/zi</w:t>
      </w:r>
      <w:r w:rsidR="004F505F">
        <w:rPr>
          <w:b w:val="0"/>
          <w:bCs w:val="0"/>
          <w:color w:val="000000" w:themeColor="text1"/>
          <w:lang w:val="ro-RO" w:eastAsia="ru-RU"/>
        </w:rPr>
        <w:t xml:space="preserve">) </w:t>
      </w:r>
      <w:r w:rsidR="000005E5">
        <w:rPr>
          <w:b w:val="0"/>
          <w:bCs w:val="0"/>
          <w:color w:val="000000" w:themeColor="text1"/>
          <w:lang w:val="ro-RO" w:eastAsia="ru-RU"/>
        </w:rPr>
        <w:t xml:space="preserve">cu </w:t>
      </w:r>
      <w:r w:rsidR="000005E5" w:rsidRPr="000005E5">
        <w:rPr>
          <w:b w:val="0"/>
          <w:bCs w:val="0"/>
          <w:color w:val="000000" w:themeColor="text1"/>
          <w:lang w:val="ro-RO" w:eastAsia="ru-RU"/>
        </w:rPr>
        <w:t>probabilit</w:t>
      </w:r>
      <w:r w:rsidR="000005E5">
        <w:rPr>
          <w:b w:val="0"/>
          <w:bCs w:val="0"/>
          <w:color w:val="000000" w:themeColor="text1"/>
          <w:lang w:val="ro-RO" w:eastAsia="ru-RU"/>
        </w:rPr>
        <w:t xml:space="preserve">atea </w:t>
      </w:r>
      <w:r w:rsidR="000005E5" w:rsidRPr="000005E5">
        <w:rPr>
          <w:b w:val="0"/>
          <w:bCs w:val="0"/>
          <w:color w:val="000000" w:themeColor="text1"/>
          <w:lang w:val="ro-RO" w:eastAsia="ru-RU"/>
        </w:rPr>
        <w:t>de limitare a furnizării gazelor naturale în proporți</w:t>
      </w:r>
      <w:r w:rsidR="000005E5">
        <w:rPr>
          <w:b w:val="0"/>
          <w:bCs w:val="0"/>
          <w:color w:val="000000" w:themeColor="text1"/>
          <w:lang w:val="ro-RO" w:eastAsia="ru-RU"/>
        </w:rPr>
        <w:t>e</w:t>
      </w:r>
      <w:r w:rsidR="000005E5" w:rsidRPr="000005E5">
        <w:rPr>
          <w:b w:val="0"/>
          <w:bCs w:val="0"/>
          <w:color w:val="000000" w:themeColor="text1"/>
          <w:lang w:val="ro-RO" w:eastAsia="ru-RU"/>
        </w:rPr>
        <w:t xml:space="preserve"> de </w:t>
      </w:r>
      <w:r w:rsidR="004F505F">
        <w:rPr>
          <w:b w:val="0"/>
          <w:bCs w:val="0"/>
          <w:color w:val="000000" w:themeColor="text1"/>
          <w:lang w:val="ro-RO" w:eastAsia="ru-RU"/>
        </w:rPr>
        <w:t>0-42</w:t>
      </w:r>
      <w:r w:rsidR="000005E5" w:rsidRPr="000005E5">
        <w:rPr>
          <w:b w:val="0"/>
          <w:bCs w:val="0"/>
          <w:color w:val="000000" w:themeColor="text1"/>
          <w:lang w:val="ro-RO" w:eastAsia="ru-RU"/>
        </w:rPr>
        <w:t>%</w:t>
      </w:r>
      <w:r w:rsidR="00744A3A">
        <w:rPr>
          <w:b w:val="0"/>
          <w:bCs w:val="0"/>
          <w:color w:val="000000" w:themeColor="text1"/>
          <w:lang w:val="ro-RO" w:eastAsia="ru-RU"/>
        </w:rPr>
        <w:t xml:space="preserve">, inclusiv </w:t>
      </w:r>
      <w:r w:rsidR="001369F6">
        <w:rPr>
          <w:b w:val="0"/>
          <w:bCs w:val="0"/>
          <w:color w:val="000000" w:themeColor="text1"/>
          <w:lang w:val="ro-RO" w:eastAsia="ru-RU"/>
        </w:rPr>
        <w:t>măsuril</w:t>
      </w:r>
      <w:r w:rsidR="00744A3A">
        <w:rPr>
          <w:b w:val="0"/>
          <w:bCs w:val="0"/>
          <w:color w:val="000000" w:themeColor="text1"/>
          <w:lang w:val="ro-RO" w:eastAsia="ru-RU"/>
        </w:rPr>
        <w:t>e</w:t>
      </w:r>
      <w:r w:rsidR="00D81289">
        <w:rPr>
          <w:b w:val="0"/>
          <w:bCs w:val="0"/>
          <w:color w:val="000000" w:themeColor="text1"/>
          <w:lang w:val="ro-RO" w:eastAsia="ru-RU"/>
        </w:rPr>
        <w:t xml:space="preserve"> necesare</w:t>
      </w:r>
      <w:r w:rsidR="001369F6">
        <w:rPr>
          <w:b w:val="0"/>
          <w:bCs w:val="0"/>
          <w:color w:val="000000" w:themeColor="text1"/>
          <w:lang w:val="ro-RO" w:eastAsia="ru-RU"/>
        </w:rPr>
        <w:t xml:space="preserve"> a fi întreprinse în vederea reducerii cererii sau acoperirii </w:t>
      </w:r>
      <w:r w:rsidR="00201198">
        <w:rPr>
          <w:b w:val="0"/>
          <w:bCs w:val="0"/>
          <w:color w:val="000000" w:themeColor="text1"/>
          <w:lang w:val="ro-RO" w:eastAsia="ru-RU"/>
        </w:rPr>
        <w:t xml:space="preserve">unui eventual </w:t>
      </w:r>
      <w:r w:rsidR="001369F6">
        <w:rPr>
          <w:b w:val="0"/>
          <w:bCs w:val="0"/>
          <w:color w:val="000000" w:themeColor="text1"/>
          <w:lang w:val="ro-RO" w:eastAsia="ru-RU"/>
        </w:rPr>
        <w:t>deficit de gaze naturale.</w:t>
      </w:r>
      <w:r w:rsidR="00D81289">
        <w:rPr>
          <w:b w:val="0"/>
          <w:bCs w:val="0"/>
          <w:color w:val="000000" w:themeColor="text1"/>
          <w:lang w:val="ro-RO" w:eastAsia="ru-RU"/>
        </w:rPr>
        <w:t xml:space="preserve"> În acest s</w:t>
      </w:r>
      <w:r w:rsidR="00FC4690">
        <w:rPr>
          <w:b w:val="0"/>
          <w:bCs w:val="0"/>
          <w:color w:val="000000" w:themeColor="text1"/>
          <w:lang w:val="ro-RO" w:eastAsia="ru-RU"/>
        </w:rPr>
        <w:t>cenariu, sunt considerate</w:t>
      </w:r>
      <w:r w:rsidR="006E0EA6">
        <w:rPr>
          <w:b w:val="0"/>
          <w:bCs w:val="0"/>
          <w:color w:val="000000" w:themeColor="text1"/>
          <w:lang w:val="ro-RO" w:eastAsia="ru-RU"/>
        </w:rPr>
        <w:t xml:space="preserve"> a fi aplicat</w:t>
      </w:r>
      <w:r w:rsidR="00245BA8">
        <w:rPr>
          <w:b w:val="0"/>
          <w:bCs w:val="0"/>
          <w:color w:val="000000" w:themeColor="text1"/>
          <w:lang w:val="ro-RO" w:eastAsia="ru-RU"/>
        </w:rPr>
        <w:t>e măsurile 1-</w:t>
      </w:r>
      <w:r w:rsidR="004F505F">
        <w:rPr>
          <w:b w:val="0"/>
          <w:bCs w:val="0"/>
          <w:color w:val="000000" w:themeColor="text1"/>
          <w:lang w:val="ro-RO" w:eastAsia="ru-RU"/>
        </w:rPr>
        <w:t>4</w:t>
      </w:r>
      <w:r w:rsidR="00245BA8">
        <w:rPr>
          <w:b w:val="0"/>
          <w:bCs w:val="0"/>
          <w:color w:val="000000" w:themeColor="text1"/>
          <w:lang w:val="ro-RO" w:eastAsia="ru-RU"/>
        </w:rPr>
        <w:t xml:space="preserve"> </w:t>
      </w:r>
      <w:r>
        <w:rPr>
          <w:b w:val="0"/>
          <w:bCs w:val="0"/>
          <w:color w:val="000000" w:themeColor="text1"/>
          <w:lang w:val="ro-RO" w:eastAsia="ru-RU"/>
        </w:rPr>
        <w:t xml:space="preserve">cu </w:t>
      </w:r>
      <w:r w:rsidR="00245BA8">
        <w:rPr>
          <w:b w:val="0"/>
          <w:bCs w:val="0"/>
          <w:color w:val="000000" w:themeColor="text1"/>
          <w:lang w:val="ro-RO" w:eastAsia="ru-RU"/>
        </w:rPr>
        <w:t>aplicare</w:t>
      </w:r>
      <w:r w:rsidR="007762C3">
        <w:rPr>
          <w:b w:val="0"/>
          <w:bCs w:val="0"/>
          <w:color w:val="000000" w:themeColor="text1"/>
          <w:lang w:val="ro-RO" w:eastAsia="ru-RU"/>
        </w:rPr>
        <w:t>a</w:t>
      </w:r>
      <w:r w:rsidR="00245BA8">
        <w:rPr>
          <w:b w:val="0"/>
          <w:bCs w:val="0"/>
          <w:color w:val="000000" w:themeColor="text1"/>
          <w:lang w:val="ro-RO" w:eastAsia="ru-RU"/>
        </w:rPr>
        <w:t xml:space="preserve"> </w:t>
      </w:r>
      <w:r>
        <w:rPr>
          <w:b w:val="0"/>
          <w:bCs w:val="0"/>
          <w:color w:val="000000" w:themeColor="text1"/>
          <w:lang w:val="ro-RO" w:eastAsia="ru-RU"/>
        </w:rPr>
        <w:t xml:space="preserve">adițională </w:t>
      </w:r>
      <w:r w:rsidR="00201198">
        <w:rPr>
          <w:b w:val="0"/>
          <w:bCs w:val="0"/>
          <w:color w:val="000000" w:themeColor="text1"/>
          <w:lang w:val="ro-RO" w:eastAsia="ru-RU"/>
        </w:rPr>
        <w:br/>
      </w:r>
      <w:r>
        <w:rPr>
          <w:b w:val="0"/>
          <w:bCs w:val="0"/>
          <w:color w:val="000000" w:themeColor="text1"/>
          <w:lang w:val="ro-RO" w:eastAsia="ru-RU"/>
        </w:rPr>
        <w:t xml:space="preserve">a </w:t>
      </w:r>
      <w:r w:rsidR="007762C3">
        <w:rPr>
          <w:b w:val="0"/>
          <w:bCs w:val="0"/>
          <w:color w:val="000000" w:themeColor="text1"/>
          <w:lang w:val="ro-RO" w:eastAsia="ru-RU"/>
        </w:rPr>
        <w:t xml:space="preserve">măsurilor </w:t>
      </w:r>
      <w:r w:rsidR="004F505F">
        <w:rPr>
          <w:b w:val="0"/>
          <w:bCs w:val="0"/>
          <w:color w:val="000000" w:themeColor="text1"/>
          <w:lang w:val="ro-RO" w:eastAsia="ru-RU"/>
        </w:rPr>
        <w:t>5</w:t>
      </w:r>
      <w:r w:rsidR="007762C3">
        <w:rPr>
          <w:b w:val="0"/>
          <w:bCs w:val="0"/>
          <w:color w:val="000000" w:themeColor="text1"/>
          <w:lang w:val="ro-RO" w:eastAsia="ru-RU"/>
        </w:rPr>
        <w:t>-</w:t>
      </w:r>
      <w:r w:rsidR="003C199E">
        <w:rPr>
          <w:b w:val="0"/>
          <w:bCs w:val="0"/>
          <w:color w:val="000000" w:themeColor="text1"/>
          <w:lang w:val="ro-RO" w:eastAsia="ru-RU"/>
        </w:rPr>
        <w:t>9</w:t>
      </w:r>
      <w:r w:rsidR="007762C3">
        <w:rPr>
          <w:b w:val="0"/>
          <w:bCs w:val="0"/>
          <w:color w:val="000000" w:themeColor="text1"/>
          <w:lang w:val="ro-RO" w:eastAsia="ru-RU"/>
        </w:rPr>
        <w:t>.</w:t>
      </w:r>
    </w:p>
    <w:p w14:paraId="2F682971" w14:textId="2FCC1A48" w:rsidR="00A42EBB" w:rsidRPr="007B4D47" w:rsidRDefault="00A42EBB" w:rsidP="00405F11">
      <w:pPr>
        <w:pStyle w:val="cb"/>
        <w:ind w:left="1080" w:hanging="1080"/>
        <w:jc w:val="left"/>
        <w:rPr>
          <w:rStyle w:val="Strong"/>
          <w:color w:val="333333"/>
          <w:shd w:val="clear" w:color="auto" w:fill="FFFFFF"/>
          <w:lang w:val="ro-RO"/>
        </w:rPr>
      </w:pPr>
      <w:r w:rsidRPr="002C0527">
        <w:rPr>
          <w:lang w:val="ro-RO"/>
        </w:rPr>
        <w:t xml:space="preserve">Tabelul </w:t>
      </w:r>
      <w:r w:rsidR="004F505F">
        <w:rPr>
          <w:lang w:val="ro-RO"/>
        </w:rPr>
        <w:t>7</w:t>
      </w:r>
      <w:r w:rsidRPr="002C0527">
        <w:rPr>
          <w:lang w:val="ro-RO"/>
        </w:rPr>
        <w:t xml:space="preserve">. </w:t>
      </w:r>
      <w:r w:rsidRPr="00405F11">
        <w:rPr>
          <w:b w:val="0"/>
          <w:bCs w:val="0"/>
          <w:sz w:val="22"/>
          <w:szCs w:val="22"/>
          <w:lang w:val="ro-RO"/>
        </w:rPr>
        <w:t>Scenari</w:t>
      </w:r>
      <w:r w:rsidR="007B4D47" w:rsidRPr="00405F11">
        <w:rPr>
          <w:b w:val="0"/>
          <w:bCs w:val="0"/>
          <w:sz w:val="22"/>
          <w:szCs w:val="22"/>
          <w:lang w:val="ro-RO"/>
        </w:rPr>
        <w:t>ul</w:t>
      </w:r>
      <w:r w:rsidRPr="00405F11">
        <w:rPr>
          <w:b w:val="0"/>
          <w:bCs w:val="0"/>
          <w:sz w:val="22"/>
          <w:szCs w:val="22"/>
          <w:lang w:val="ro-RO"/>
        </w:rPr>
        <w:t xml:space="preserve"> cu probabilit</w:t>
      </w:r>
      <w:r w:rsidR="007B4D47" w:rsidRPr="00405F11">
        <w:rPr>
          <w:b w:val="0"/>
          <w:bCs w:val="0"/>
          <w:sz w:val="22"/>
          <w:szCs w:val="22"/>
          <w:lang w:val="ro-RO"/>
        </w:rPr>
        <w:t>atea</w:t>
      </w:r>
      <w:r w:rsidRPr="00405F11">
        <w:rPr>
          <w:b w:val="0"/>
          <w:bCs w:val="0"/>
          <w:sz w:val="22"/>
          <w:szCs w:val="22"/>
          <w:lang w:val="ro-RO"/>
        </w:rPr>
        <w:t xml:space="preserve"> de limitare a furnizării gazelor naturale</w:t>
      </w:r>
      <w:r w:rsidR="007B4D47" w:rsidRPr="00405F11">
        <w:rPr>
          <w:b w:val="0"/>
          <w:bCs w:val="0"/>
          <w:sz w:val="22"/>
          <w:szCs w:val="22"/>
          <w:lang w:val="ro-RO"/>
        </w:rPr>
        <w:t xml:space="preserve"> cu </w:t>
      </w:r>
      <w:r w:rsidR="00A53BA5" w:rsidRPr="00405F11">
        <w:rPr>
          <w:b w:val="0"/>
          <w:bCs w:val="0"/>
          <w:sz w:val="22"/>
          <w:szCs w:val="22"/>
          <w:lang w:val="ro-RO"/>
        </w:rPr>
        <w:t xml:space="preserve">până la </w:t>
      </w:r>
      <w:r w:rsidR="00201198">
        <w:rPr>
          <w:b w:val="0"/>
          <w:bCs w:val="0"/>
          <w:sz w:val="22"/>
          <w:szCs w:val="22"/>
          <w:lang w:val="ro-RO"/>
        </w:rPr>
        <w:t>42%</w:t>
      </w:r>
      <w:r w:rsidR="007B4D47" w:rsidRPr="00405F11">
        <w:rPr>
          <w:b w:val="0"/>
          <w:bCs w:val="0"/>
          <w:sz w:val="22"/>
          <w:szCs w:val="22"/>
          <w:lang w:val="ro-RO"/>
        </w:rPr>
        <w:t xml:space="preserve"> </w:t>
      </w:r>
      <w:r w:rsidR="005B5A6E" w:rsidRPr="00405F11">
        <w:rPr>
          <w:b w:val="0"/>
          <w:bCs w:val="0"/>
          <w:sz w:val="22"/>
          <w:szCs w:val="22"/>
          <w:lang w:val="ro-RO"/>
        </w:rPr>
        <w:t>și măsuri necesare a fi întreprinse</w:t>
      </w:r>
      <w:r w:rsidR="007513FA" w:rsidRPr="00405F11">
        <w:rPr>
          <w:b w:val="0"/>
          <w:bCs w:val="0"/>
          <w:sz w:val="22"/>
          <w:szCs w:val="22"/>
          <w:lang w:val="ro-RO"/>
        </w:rPr>
        <w:t>.</w:t>
      </w:r>
    </w:p>
    <w:tbl>
      <w:tblPr>
        <w:tblStyle w:val="TableGrid"/>
        <w:tblW w:w="5000" w:type="pct"/>
        <w:tblLook w:val="04A0" w:firstRow="1" w:lastRow="0" w:firstColumn="1" w:lastColumn="0" w:noHBand="0" w:noVBand="1"/>
      </w:tblPr>
      <w:tblGrid>
        <w:gridCol w:w="2047"/>
        <w:gridCol w:w="1671"/>
        <w:gridCol w:w="862"/>
        <w:gridCol w:w="527"/>
        <w:gridCol w:w="566"/>
        <w:gridCol w:w="571"/>
        <w:gridCol w:w="576"/>
        <w:gridCol w:w="578"/>
        <w:gridCol w:w="594"/>
        <w:gridCol w:w="578"/>
        <w:gridCol w:w="683"/>
        <w:gridCol w:w="916"/>
      </w:tblGrid>
      <w:tr w:rsidR="00551185" w:rsidRPr="003C199E" w14:paraId="3F499B30" w14:textId="77777777" w:rsidTr="003C199E">
        <w:tc>
          <w:tcPr>
            <w:tcW w:w="1007" w:type="pct"/>
            <w:vMerge w:val="restart"/>
            <w:shd w:val="clear" w:color="auto" w:fill="E2EFD9" w:themeFill="accent6" w:themeFillTint="33"/>
            <w:vAlign w:val="center"/>
          </w:tcPr>
          <w:p w14:paraId="4A0AB2FC"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Scenarii limitarea furnizării gazelor naturale</w:t>
            </w:r>
          </w:p>
        </w:tc>
        <w:tc>
          <w:tcPr>
            <w:tcW w:w="822" w:type="pct"/>
            <w:vMerge w:val="restart"/>
            <w:shd w:val="clear" w:color="auto" w:fill="E2EFD9" w:themeFill="accent6" w:themeFillTint="33"/>
            <w:vAlign w:val="center"/>
          </w:tcPr>
          <w:p w14:paraId="17814CB5"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Probabilitatea</w:t>
            </w:r>
          </w:p>
        </w:tc>
        <w:tc>
          <w:tcPr>
            <w:tcW w:w="423" w:type="pct"/>
            <w:vMerge w:val="restart"/>
            <w:shd w:val="clear" w:color="auto" w:fill="E2EFD9" w:themeFill="accent6" w:themeFillTint="33"/>
            <w:vAlign w:val="center"/>
          </w:tcPr>
          <w:p w14:paraId="56688974" w14:textId="77777777" w:rsidR="00A42EBB" w:rsidRPr="003C199E" w:rsidRDefault="00A42EBB" w:rsidP="00C95C78">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 limitări</w:t>
            </w:r>
          </w:p>
        </w:tc>
        <w:tc>
          <w:tcPr>
            <w:tcW w:w="259" w:type="pct"/>
            <w:shd w:val="clear" w:color="auto" w:fill="E2EFD9" w:themeFill="accent6" w:themeFillTint="33"/>
            <w:vAlign w:val="center"/>
          </w:tcPr>
          <w:p w14:paraId="036E0ED8"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Oct</w:t>
            </w:r>
          </w:p>
        </w:tc>
        <w:tc>
          <w:tcPr>
            <w:tcW w:w="278" w:type="pct"/>
            <w:shd w:val="clear" w:color="auto" w:fill="E2EFD9" w:themeFill="accent6" w:themeFillTint="33"/>
            <w:vAlign w:val="center"/>
          </w:tcPr>
          <w:p w14:paraId="303C36EE" w14:textId="69E29DD3" w:rsidR="00A42EBB" w:rsidRPr="003C199E" w:rsidRDefault="00A42EBB" w:rsidP="002F59D2">
            <w:pPr>
              <w:spacing w:before="60"/>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No</w:t>
            </w:r>
            <w:r w:rsidR="002F59D2" w:rsidRPr="003C199E">
              <w:rPr>
                <w:rFonts w:ascii="Times New Roman" w:hAnsi="Times New Roman" w:cs="Times New Roman"/>
                <w:b/>
                <w:bCs/>
                <w:color w:val="000000" w:themeColor="text1"/>
                <w:sz w:val="20"/>
                <w:szCs w:val="20"/>
                <w:lang w:val="ro-RO"/>
              </w:rPr>
              <w:t>v</w:t>
            </w:r>
          </w:p>
        </w:tc>
        <w:tc>
          <w:tcPr>
            <w:tcW w:w="281" w:type="pct"/>
            <w:shd w:val="clear" w:color="auto" w:fill="E2EFD9" w:themeFill="accent6" w:themeFillTint="33"/>
            <w:vAlign w:val="center"/>
          </w:tcPr>
          <w:p w14:paraId="111426B9"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Dec</w:t>
            </w:r>
          </w:p>
        </w:tc>
        <w:tc>
          <w:tcPr>
            <w:tcW w:w="283" w:type="pct"/>
            <w:shd w:val="clear" w:color="auto" w:fill="E2EFD9" w:themeFill="accent6" w:themeFillTint="33"/>
            <w:vAlign w:val="center"/>
          </w:tcPr>
          <w:p w14:paraId="4D1E4E04"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Ian</w:t>
            </w:r>
          </w:p>
        </w:tc>
        <w:tc>
          <w:tcPr>
            <w:tcW w:w="284" w:type="pct"/>
            <w:shd w:val="clear" w:color="auto" w:fill="E2EFD9" w:themeFill="accent6" w:themeFillTint="33"/>
            <w:vAlign w:val="center"/>
          </w:tcPr>
          <w:p w14:paraId="1EA3BBE2"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Feb</w:t>
            </w:r>
          </w:p>
        </w:tc>
        <w:tc>
          <w:tcPr>
            <w:tcW w:w="292" w:type="pct"/>
            <w:shd w:val="clear" w:color="auto" w:fill="E2EFD9" w:themeFill="accent6" w:themeFillTint="33"/>
            <w:vAlign w:val="center"/>
          </w:tcPr>
          <w:p w14:paraId="0A6B8B12"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Mar</w:t>
            </w:r>
          </w:p>
        </w:tc>
        <w:tc>
          <w:tcPr>
            <w:tcW w:w="284" w:type="pct"/>
            <w:shd w:val="clear" w:color="auto" w:fill="E2EFD9" w:themeFill="accent6" w:themeFillTint="33"/>
            <w:vAlign w:val="center"/>
          </w:tcPr>
          <w:p w14:paraId="5AC2ED55"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Apr</w:t>
            </w:r>
          </w:p>
        </w:tc>
        <w:tc>
          <w:tcPr>
            <w:tcW w:w="335" w:type="pct"/>
            <w:shd w:val="clear" w:color="auto" w:fill="E2EFD9" w:themeFill="accent6" w:themeFillTint="33"/>
            <w:vAlign w:val="center"/>
          </w:tcPr>
          <w:p w14:paraId="0317ADC6"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Total</w:t>
            </w:r>
          </w:p>
        </w:tc>
        <w:tc>
          <w:tcPr>
            <w:tcW w:w="450" w:type="pct"/>
            <w:vMerge w:val="restart"/>
            <w:shd w:val="clear" w:color="auto" w:fill="E2EFD9" w:themeFill="accent6" w:themeFillTint="33"/>
            <w:vAlign w:val="center"/>
          </w:tcPr>
          <w:p w14:paraId="3E723AE1"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Rezerva</w:t>
            </w:r>
          </w:p>
        </w:tc>
      </w:tr>
      <w:tr w:rsidR="00B67090" w:rsidRPr="003C199E" w14:paraId="145E6CAE" w14:textId="77777777" w:rsidTr="003C199E">
        <w:trPr>
          <w:trHeight w:val="391"/>
        </w:trPr>
        <w:tc>
          <w:tcPr>
            <w:tcW w:w="1007" w:type="pct"/>
            <w:vMerge/>
            <w:shd w:val="clear" w:color="auto" w:fill="E2EFD9" w:themeFill="accent6" w:themeFillTint="33"/>
            <w:vAlign w:val="center"/>
          </w:tcPr>
          <w:p w14:paraId="05D35BEE"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p>
        </w:tc>
        <w:tc>
          <w:tcPr>
            <w:tcW w:w="822" w:type="pct"/>
            <w:vMerge/>
            <w:shd w:val="clear" w:color="auto" w:fill="E2EFD9" w:themeFill="accent6" w:themeFillTint="33"/>
            <w:vAlign w:val="center"/>
          </w:tcPr>
          <w:p w14:paraId="187A649F"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p>
        </w:tc>
        <w:tc>
          <w:tcPr>
            <w:tcW w:w="423" w:type="pct"/>
            <w:vMerge/>
            <w:shd w:val="clear" w:color="auto" w:fill="E2EFD9" w:themeFill="accent6" w:themeFillTint="33"/>
            <w:vAlign w:val="center"/>
          </w:tcPr>
          <w:p w14:paraId="2A72F337" w14:textId="77777777" w:rsidR="00A42EBB" w:rsidRPr="003C199E" w:rsidRDefault="00A42EBB" w:rsidP="00C95C78">
            <w:pPr>
              <w:spacing w:before="60"/>
              <w:rPr>
                <w:rFonts w:ascii="Times New Roman" w:hAnsi="Times New Roman" w:cs="Times New Roman"/>
                <w:b/>
                <w:bCs/>
                <w:color w:val="000000" w:themeColor="text1"/>
                <w:sz w:val="20"/>
                <w:szCs w:val="20"/>
                <w:lang w:val="ro-RO"/>
              </w:rPr>
            </w:pPr>
          </w:p>
        </w:tc>
        <w:tc>
          <w:tcPr>
            <w:tcW w:w="2297" w:type="pct"/>
            <w:gridSpan w:val="8"/>
            <w:shd w:val="clear" w:color="auto" w:fill="E2EFD9" w:themeFill="accent6" w:themeFillTint="33"/>
            <w:vAlign w:val="center"/>
          </w:tcPr>
          <w:p w14:paraId="16E95B73" w14:textId="2A345AC7" w:rsidR="00A42EBB" w:rsidRPr="003C199E" w:rsidRDefault="00A42EBB" w:rsidP="00C95C78">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Deficit volume de gaze naturale în caz de limitare, mil m</w:t>
            </w:r>
            <w:r w:rsidRPr="003C199E">
              <w:rPr>
                <w:rFonts w:ascii="Times New Roman" w:hAnsi="Times New Roman" w:cs="Times New Roman"/>
                <w:b/>
                <w:bCs/>
                <w:color w:val="000000" w:themeColor="text1"/>
                <w:sz w:val="20"/>
                <w:szCs w:val="20"/>
                <w:vertAlign w:val="superscript"/>
                <w:lang w:val="ro-RO"/>
              </w:rPr>
              <w:t>3</w:t>
            </w:r>
          </w:p>
        </w:tc>
        <w:tc>
          <w:tcPr>
            <w:tcW w:w="450" w:type="pct"/>
            <w:vMerge/>
            <w:shd w:val="clear" w:color="auto" w:fill="E2EFD9" w:themeFill="accent6" w:themeFillTint="33"/>
          </w:tcPr>
          <w:p w14:paraId="116615C9" w14:textId="77777777" w:rsidR="00A42EBB" w:rsidRPr="003C199E" w:rsidRDefault="00A42EBB" w:rsidP="00C95C78">
            <w:pPr>
              <w:spacing w:before="60"/>
              <w:jc w:val="center"/>
              <w:rPr>
                <w:rFonts w:ascii="Times New Roman" w:hAnsi="Times New Roman" w:cs="Times New Roman"/>
                <w:b/>
                <w:bCs/>
                <w:color w:val="000000" w:themeColor="text1"/>
                <w:sz w:val="20"/>
                <w:szCs w:val="20"/>
                <w:lang w:val="ro-RO"/>
              </w:rPr>
            </w:pPr>
          </w:p>
        </w:tc>
      </w:tr>
      <w:tr w:rsidR="00551185" w:rsidRPr="003C199E" w14:paraId="19E140C3" w14:textId="77777777" w:rsidTr="003C199E">
        <w:trPr>
          <w:trHeight w:val="68"/>
        </w:trPr>
        <w:tc>
          <w:tcPr>
            <w:tcW w:w="1007" w:type="pct"/>
            <w:shd w:val="clear" w:color="auto" w:fill="E2EFD9" w:themeFill="accent6" w:themeFillTint="33"/>
            <w:vAlign w:val="center"/>
          </w:tcPr>
          <w:p w14:paraId="057C0C95" w14:textId="64919CD8" w:rsidR="001C11F6" w:rsidRPr="003C199E" w:rsidRDefault="001C11F6" w:rsidP="001C11F6">
            <w:pPr>
              <w:pStyle w:val="ListParagraph"/>
              <w:spacing w:before="60"/>
              <w:ind w:left="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II (A)</w:t>
            </w:r>
          </w:p>
        </w:tc>
        <w:tc>
          <w:tcPr>
            <w:tcW w:w="822" w:type="pct"/>
            <w:shd w:val="clear" w:color="auto" w:fill="E2EFD9" w:themeFill="accent6" w:themeFillTint="33"/>
            <w:vAlign w:val="center"/>
          </w:tcPr>
          <w:p w14:paraId="02FB5A8B" w14:textId="6EF74F49" w:rsidR="001C11F6" w:rsidRPr="003C199E" w:rsidRDefault="009E0458" w:rsidP="001C11F6">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R</w:t>
            </w:r>
            <w:r w:rsidR="001C11F6" w:rsidRPr="003C199E">
              <w:rPr>
                <w:rFonts w:ascii="Times New Roman" w:hAnsi="Times New Roman" w:cs="Times New Roman"/>
                <w:b/>
                <w:bCs/>
                <w:color w:val="000000" w:themeColor="text1"/>
                <w:sz w:val="20"/>
                <w:szCs w:val="20"/>
                <w:lang w:val="ro-RO"/>
              </w:rPr>
              <w:t>idicată</w:t>
            </w:r>
          </w:p>
        </w:tc>
        <w:tc>
          <w:tcPr>
            <w:tcW w:w="423" w:type="pct"/>
            <w:shd w:val="clear" w:color="auto" w:fill="E2EFD9" w:themeFill="accent6" w:themeFillTint="33"/>
            <w:vAlign w:val="center"/>
          </w:tcPr>
          <w:p w14:paraId="7FCD32A0" w14:textId="1832E4ED" w:rsidR="001C11F6" w:rsidRPr="003C199E" w:rsidRDefault="001C11F6" w:rsidP="001C11F6">
            <w:pPr>
              <w:spacing w:before="60"/>
              <w:jc w:val="center"/>
              <w:rPr>
                <w:rFonts w:ascii="Times New Roman" w:hAnsi="Times New Roman" w:cs="Times New Roman"/>
                <w:color w:val="000000" w:themeColor="text1"/>
                <w:sz w:val="20"/>
                <w:szCs w:val="20"/>
                <w:lang w:val="ro-RO"/>
              </w:rPr>
            </w:pPr>
            <w:r w:rsidRPr="003C199E">
              <w:rPr>
                <w:rFonts w:ascii="Times New Roman" w:hAnsi="Times New Roman" w:cs="Times New Roman"/>
                <w:color w:val="000000" w:themeColor="text1"/>
                <w:sz w:val="20"/>
                <w:szCs w:val="20"/>
                <w:lang w:val="ro-RO"/>
              </w:rPr>
              <w:t>0-42 %</w:t>
            </w:r>
          </w:p>
        </w:tc>
        <w:tc>
          <w:tcPr>
            <w:tcW w:w="259" w:type="pct"/>
            <w:shd w:val="clear" w:color="auto" w:fill="FFFFFF" w:themeFill="background1"/>
            <w:vAlign w:val="center"/>
          </w:tcPr>
          <w:p w14:paraId="7E1C23CD" w14:textId="3A703EA3" w:rsidR="001C11F6" w:rsidRPr="003C199E" w:rsidRDefault="001C11F6" w:rsidP="001C11F6">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sz w:val="20"/>
                <w:szCs w:val="20"/>
              </w:rPr>
              <w:t>0.0</w:t>
            </w:r>
          </w:p>
        </w:tc>
        <w:tc>
          <w:tcPr>
            <w:tcW w:w="278" w:type="pct"/>
            <w:shd w:val="clear" w:color="auto" w:fill="FFFFFF" w:themeFill="background1"/>
            <w:vAlign w:val="center"/>
          </w:tcPr>
          <w:p w14:paraId="1896742C" w14:textId="7FEB1C32" w:rsidR="001C11F6" w:rsidRPr="003C199E" w:rsidRDefault="001C11F6" w:rsidP="001C11F6">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sz w:val="20"/>
                <w:szCs w:val="20"/>
              </w:rPr>
              <w:t>33.0</w:t>
            </w:r>
          </w:p>
        </w:tc>
        <w:tc>
          <w:tcPr>
            <w:tcW w:w="281" w:type="pct"/>
            <w:shd w:val="clear" w:color="auto" w:fill="FFFFFF" w:themeFill="background1"/>
            <w:vAlign w:val="center"/>
          </w:tcPr>
          <w:p w14:paraId="5EF389D5" w14:textId="6534D67F" w:rsidR="001C11F6" w:rsidRPr="003C199E" w:rsidRDefault="001C11F6" w:rsidP="001C11F6">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sz w:val="20"/>
                <w:szCs w:val="20"/>
              </w:rPr>
              <w:t>62.4</w:t>
            </w:r>
          </w:p>
        </w:tc>
        <w:tc>
          <w:tcPr>
            <w:tcW w:w="283" w:type="pct"/>
            <w:shd w:val="clear" w:color="auto" w:fill="FFFFFF" w:themeFill="background1"/>
            <w:vAlign w:val="center"/>
          </w:tcPr>
          <w:p w14:paraId="3FFBA604" w14:textId="53FD479D" w:rsidR="001C11F6" w:rsidRPr="003C199E" w:rsidRDefault="001C11F6" w:rsidP="001C11F6">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sz w:val="20"/>
                <w:szCs w:val="20"/>
              </w:rPr>
              <w:t>74.9</w:t>
            </w:r>
          </w:p>
        </w:tc>
        <w:tc>
          <w:tcPr>
            <w:tcW w:w="284" w:type="pct"/>
            <w:shd w:val="clear" w:color="auto" w:fill="FFFFFF" w:themeFill="background1"/>
            <w:vAlign w:val="center"/>
          </w:tcPr>
          <w:p w14:paraId="341CC809" w14:textId="44941191" w:rsidR="001C11F6" w:rsidRPr="003C199E" w:rsidRDefault="001C11F6" w:rsidP="001C11F6">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sz w:val="20"/>
                <w:szCs w:val="20"/>
              </w:rPr>
              <w:t>56.3</w:t>
            </w:r>
          </w:p>
        </w:tc>
        <w:tc>
          <w:tcPr>
            <w:tcW w:w="292" w:type="pct"/>
            <w:shd w:val="clear" w:color="auto" w:fill="FFFFFF" w:themeFill="background1"/>
            <w:vAlign w:val="center"/>
          </w:tcPr>
          <w:p w14:paraId="4F32E047" w14:textId="6FC47EA4" w:rsidR="001C11F6" w:rsidRPr="003C199E" w:rsidRDefault="001C11F6" w:rsidP="001C11F6">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sz w:val="20"/>
                <w:szCs w:val="20"/>
              </w:rPr>
              <w:t>35.7</w:t>
            </w:r>
          </w:p>
        </w:tc>
        <w:tc>
          <w:tcPr>
            <w:tcW w:w="284" w:type="pct"/>
            <w:shd w:val="clear" w:color="auto" w:fill="FFFFFF" w:themeFill="background1"/>
            <w:vAlign w:val="center"/>
          </w:tcPr>
          <w:p w14:paraId="6DD2E9EB" w14:textId="5DEAB6AE" w:rsidR="001C11F6" w:rsidRPr="003C199E" w:rsidRDefault="001C11F6" w:rsidP="001C11F6">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sz w:val="20"/>
                <w:szCs w:val="20"/>
              </w:rPr>
              <w:t>0.0</w:t>
            </w:r>
          </w:p>
        </w:tc>
        <w:tc>
          <w:tcPr>
            <w:tcW w:w="335" w:type="pct"/>
            <w:shd w:val="clear" w:color="auto" w:fill="E2EFD9" w:themeFill="accent6" w:themeFillTint="33"/>
            <w:vAlign w:val="center"/>
          </w:tcPr>
          <w:p w14:paraId="4F64CC50" w14:textId="4D344225" w:rsidR="001C11F6" w:rsidRPr="003C199E" w:rsidRDefault="009E0458" w:rsidP="001C11F6">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262.3</w:t>
            </w:r>
          </w:p>
        </w:tc>
        <w:tc>
          <w:tcPr>
            <w:tcW w:w="450" w:type="pct"/>
            <w:shd w:val="clear" w:color="auto" w:fill="E2EFD9" w:themeFill="accent6" w:themeFillTint="33"/>
          </w:tcPr>
          <w:p w14:paraId="68FF0149" w14:textId="77777777" w:rsidR="001C11F6" w:rsidRPr="003C199E" w:rsidRDefault="001C11F6" w:rsidP="001C11F6">
            <w:pPr>
              <w:spacing w:before="60"/>
              <w:jc w:val="center"/>
              <w:rPr>
                <w:rFonts w:ascii="Times New Roman" w:hAnsi="Times New Roman" w:cs="Times New Roman"/>
                <w:b/>
                <w:bCs/>
                <w:color w:val="000000" w:themeColor="text1"/>
                <w:sz w:val="20"/>
                <w:szCs w:val="20"/>
                <w:lang w:val="ro-RO"/>
              </w:rPr>
            </w:pPr>
          </w:p>
        </w:tc>
      </w:tr>
      <w:tr w:rsidR="00387EFA" w:rsidRPr="003C199E" w14:paraId="5FDB0633" w14:textId="77777777" w:rsidTr="003C199E">
        <w:trPr>
          <w:trHeight w:val="382"/>
        </w:trPr>
        <w:tc>
          <w:tcPr>
            <w:tcW w:w="2253" w:type="pct"/>
            <w:gridSpan w:val="3"/>
            <w:shd w:val="clear" w:color="auto" w:fill="E2EFD9" w:themeFill="accent6" w:themeFillTint="33"/>
            <w:vAlign w:val="center"/>
          </w:tcPr>
          <w:p w14:paraId="717E3A40" w14:textId="5126BA53" w:rsidR="00551185" w:rsidRPr="003C199E" w:rsidRDefault="00551185" w:rsidP="00551185">
            <w:pPr>
              <w:spacing w:before="60"/>
              <w:ind w:left="-85" w:right="-85"/>
              <w:jc w:val="both"/>
              <w:rPr>
                <w:rFonts w:ascii="Times New Roman" w:hAnsi="Times New Roman" w:cs="Times New Roman"/>
                <w:color w:val="000000" w:themeColor="text1"/>
                <w:sz w:val="20"/>
                <w:szCs w:val="20"/>
                <w:lang w:val="ro-RO"/>
              </w:rPr>
            </w:pPr>
            <w:r w:rsidRPr="003C199E">
              <w:rPr>
                <w:rFonts w:ascii="Times New Roman" w:hAnsi="Times New Roman" w:cs="Times New Roman"/>
                <w:b/>
                <w:bCs/>
                <w:color w:val="000000" w:themeColor="text1"/>
                <w:sz w:val="20"/>
                <w:szCs w:val="20"/>
                <w:lang w:val="ro-RO"/>
              </w:rPr>
              <w:t>Măsurile nr. 1-4</w:t>
            </w:r>
          </w:p>
        </w:tc>
        <w:tc>
          <w:tcPr>
            <w:tcW w:w="259" w:type="pct"/>
            <w:shd w:val="clear" w:color="auto" w:fill="FFFFFF" w:themeFill="background1"/>
            <w:vAlign w:val="center"/>
          </w:tcPr>
          <w:p w14:paraId="128D990C" w14:textId="0B69AC4C" w:rsidR="00551185" w:rsidRPr="003C199E" w:rsidRDefault="00387EFA" w:rsidP="00551185">
            <w:pPr>
              <w:spacing w:before="60"/>
              <w:jc w:val="center"/>
              <w:rPr>
                <w:rFonts w:ascii="Times New Roman" w:hAnsi="Times New Roman" w:cs="Times New Roman"/>
                <w:color w:val="000000" w:themeColor="text1"/>
                <w:sz w:val="20"/>
                <w:szCs w:val="20"/>
                <w:highlight w:val="yellow"/>
                <w:lang w:val="ro-RO"/>
              </w:rPr>
            </w:pPr>
            <w:r w:rsidRPr="003C199E">
              <w:rPr>
                <w:rFonts w:ascii="Times New Roman" w:hAnsi="Times New Roman" w:cs="Times New Roman"/>
                <w:color w:val="000000" w:themeColor="text1"/>
                <w:sz w:val="20"/>
                <w:szCs w:val="20"/>
                <w:lang w:val="ro-RO"/>
              </w:rPr>
              <w:t>-</w:t>
            </w:r>
          </w:p>
        </w:tc>
        <w:tc>
          <w:tcPr>
            <w:tcW w:w="278" w:type="pct"/>
            <w:shd w:val="clear" w:color="auto" w:fill="FFFFFF" w:themeFill="background1"/>
            <w:vAlign w:val="center"/>
          </w:tcPr>
          <w:p w14:paraId="5D351522" w14:textId="6675E68A" w:rsidR="00551185" w:rsidRPr="003C199E" w:rsidRDefault="00551185" w:rsidP="00551185">
            <w:pPr>
              <w:spacing w:before="60"/>
              <w:jc w:val="center"/>
              <w:rPr>
                <w:rFonts w:ascii="Times New Roman" w:hAnsi="Times New Roman" w:cs="Times New Roman"/>
                <w:color w:val="000000" w:themeColor="text1"/>
                <w:sz w:val="20"/>
                <w:szCs w:val="20"/>
                <w:highlight w:val="yellow"/>
                <w:lang w:val="ro-RO"/>
              </w:rPr>
            </w:pPr>
            <w:r w:rsidRPr="003C199E">
              <w:rPr>
                <w:rFonts w:ascii="Times New Roman" w:hAnsi="Times New Roman" w:cs="Times New Roman"/>
                <w:color w:val="000000" w:themeColor="text1"/>
                <w:sz w:val="20"/>
                <w:szCs w:val="20"/>
                <w:lang w:val="ro-RO"/>
              </w:rPr>
              <w:t>15.4</w:t>
            </w:r>
          </w:p>
        </w:tc>
        <w:tc>
          <w:tcPr>
            <w:tcW w:w="281" w:type="pct"/>
            <w:shd w:val="clear" w:color="auto" w:fill="FFFFFF" w:themeFill="background1"/>
            <w:vAlign w:val="center"/>
          </w:tcPr>
          <w:p w14:paraId="5878A6E5" w14:textId="541A3837" w:rsidR="00551185" w:rsidRPr="003C199E" w:rsidRDefault="00551185" w:rsidP="00551185">
            <w:pPr>
              <w:spacing w:before="60"/>
              <w:jc w:val="center"/>
              <w:rPr>
                <w:rFonts w:ascii="Times New Roman" w:hAnsi="Times New Roman" w:cs="Times New Roman"/>
                <w:color w:val="000000" w:themeColor="text1"/>
                <w:sz w:val="20"/>
                <w:szCs w:val="20"/>
                <w:highlight w:val="yellow"/>
                <w:lang w:val="ro-RO"/>
              </w:rPr>
            </w:pPr>
            <w:r w:rsidRPr="003C199E">
              <w:rPr>
                <w:rFonts w:ascii="Times New Roman" w:hAnsi="Times New Roman" w:cs="Times New Roman"/>
                <w:color w:val="000000" w:themeColor="text1"/>
                <w:sz w:val="20"/>
                <w:szCs w:val="20"/>
                <w:lang w:val="ro-RO"/>
              </w:rPr>
              <w:t>17.1</w:t>
            </w:r>
          </w:p>
        </w:tc>
        <w:tc>
          <w:tcPr>
            <w:tcW w:w="283" w:type="pct"/>
            <w:shd w:val="clear" w:color="auto" w:fill="FFFFFF" w:themeFill="background1"/>
            <w:vAlign w:val="center"/>
          </w:tcPr>
          <w:p w14:paraId="27A78E76" w14:textId="0CEB6808" w:rsidR="00551185" w:rsidRPr="003C199E" w:rsidRDefault="00551185" w:rsidP="00551185">
            <w:pPr>
              <w:spacing w:before="60"/>
              <w:jc w:val="center"/>
              <w:rPr>
                <w:rFonts w:ascii="Times New Roman" w:hAnsi="Times New Roman" w:cs="Times New Roman"/>
                <w:color w:val="000000" w:themeColor="text1"/>
                <w:sz w:val="20"/>
                <w:szCs w:val="20"/>
                <w:highlight w:val="yellow"/>
                <w:lang w:val="ro-RO"/>
              </w:rPr>
            </w:pPr>
            <w:r w:rsidRPr="003C199E">
              <w:rPr>
                <w:rFonts w:ascii="Times New Roman" w:hAnsi="Times New Roman" w:cs="Times New Roman"/>
                <w:color w:val="000000" w:themeColor="text1"/>
                <w:sz w:val="20"/>
                <w:szCs w:val="20"/>
                <w:lang w:val="ro-RO"/>
              </w:rPr>
              <w:t>17.7</w:t>
            </w:r>
          </w:p>
        </w:tc>
        <w:tc>
          <w:tcPr>
            <w:tcW w:w="284" w:type="pct"/>
            <w:shd w:val="clear" w:color="auto" w:fill="FFFFFF" w:themeFill="background1"/>
            <w:vAlign w:val="center"/>
          </w:tcPr>
          <w:p w14:paraId="62111497" w14:textId="3E02AA69" w:rsidR="00551185" w:rsidRPr="003C199E" w:rsidRDefault="00551185" w:rsidP="00551185">
            <w:pPr>
              <w:spacing w:before="60"/>
              <w:jc w:val="center"/>
              <w:rPr>
                <w:rFonts w:ascii="Times New Roman" w:hAnsi="Times New Roman" w:cs="Times New Roman"/>
                <w:color w:val="000000" w:themeColor="text1"/>
                <w:sz w:val="20"/>
                <w:szCs w:val="20"/>
                <w:highlight w:val="yellow"/>
                <w:lang w:val="ro-RO"/>
              </w:rPr>
            </w:pPr>
            <w:r w:rsidRPr="003C199E">
              <w:rPr>
                <w:rFonts w:ascii="Times New Roman" w:hAnsi="Times New Roman" w:cs="Times New Roman"/>
                <w:color w:val="000000" w:themeColor="text1"/>
                <w:sz w:val="20"/>
                <w:szCs w:val="20"/>
                <w:lang w:val="ro-RO"/>
              </w:rPr>
              <w:t>16.2</w:t>
            </w:r>
          </w:p>
        </w:tc>
        <w:tc>
          <w:tcPr>
            <w:tcW w:w="292" w:type="pct"/>
            <w:shd w:val="clear" w:color="auto" w:fill="FFFFFF" w:themeFill="background1"/>
            <w:vAlign w:val="center"/>
          </w:tcPr>
          <w:p w14:paraId="444FC8E3" w14:textId="07505E22" w:rsidR="00551185" w:rsidRPr="003C199E" w:rsidRDefault="00551185" w:rsidP="00551185">
            <w:pPr>
              <w:spacing w:before="60"/>
              <w:jc w:val="center"/>
              <w:rPr>
                <w:rFonts w:ascii="Times New Roman" w:hAnsi="Times New Roman" w:cs="Times New Roman"/>
                <w:color w:val="000000" w:themeColor="text1"/>
                <w:sz w:val="20"/>
                <w:szCs w:val="20"/>
                <w:highlight w:val="yellow"/>
                <w:lang w:val="ro-RO"/>
              </w:rPr>
            </w:pPr>
            <w:r w:rsidRPr="003C199E">
              <w:rPr>
                <w:rFonts w:ascii="Times New Roman" w:hAnsi="Times New Roman" w:cs="Times New Roman"/>
                <w:color w:val="000000" w:themeColor="text1"/>
                <w:sz w:val="20"/>
                <w:szCs w:val="20"/>
                <w:lang w:val="ro-RO"/>
              </w:rPr>
              <w:t>16.1</w:t>
            </w:r>
          </w:p>
        </w:tc>
        <w:tc>
          <w:tcPr>
            <w:tcW w:w="284" w:type="pct"/>
            <w:shd w:val="clear" w:color="auto" w:fill="FFFFFF" w:themeFill="background1"/>
            <w:vAlign w:val="center"/>
          </w:tcPr>
          <w:p w14:paraId="43DA72BF" w14:textId="7060E1B6" w:rsidR="00551185" w:rsidRPr="003C199E" w:rsidRDefault="0023596B" w:rsidP="00551185">
            <w:pPr>
              <w:spacing w:before="60"/>
              <w:jc w:val="center"/>
              <w:rPr>
                <w:rFonts w:ascii="Times New Roman" w:hAnsi="Times New Roman" w:cs="Times New Roman"/>
                <w:color w:val="000000" w:themeColor="text1"/>
                <w:sz w:val="20"/>
                <w:szCs w:val="20"/>
                <w:highlight w:val="yellow"/>
                <w:lang w:val="ro-RO"/>
              </w:rPr>
            </w:pPr>
            <w:r w:rsidRPr="003C199E">
              <w:rPr>
                <w:rFonts w:ascii="Times New Roman" w:hAnsi="Times New Roman" w:cs="Times New Roman"/>
                <w:color w:val="000000" w:themeColor="text1"/>
                <w:sz w:val="20"/>
                <w:szCs w:val="20"/>
                <w:lang w:val="ro-RO"/>
              </w:rPr>
              <w:t>-</w:t>
            </w:r>
          </w:p>
        </w:tc>
        <w:tc>
          <w:tcPr>
            <w:tcW w:w="335" w:type="pct"/>
            <w:shd w:val="clear" w:color="000000" w:fill="E2EFD9"/>
            <w:vAlign w:val="center"/>
          </w:tcPr>
          <w:p w14:paraId="2E70F1C3" w14:textId="00D31418" w:rsidR="00551185" w:rsidRPr="003C199E" w:rsidRDefault="0023596B" w:rsidP="00551185">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82.5</w:t>
            </w:r>
          </w:p>
        </w:tc>
        <w:tc>
          <w:tcPr>
            <w:tcW w:w="450" w:type="pct"/>
            <w:shd w:val="clear" w:color="auto" w:fill="E2EFD9" w:themeFill="accent6" w:themeFillTint="33"/>
            <w:vAlign w:val="center"/>
          </w:tcPr>
          <w:p w14:paraId="3DF7A0A7" w14:textId="1431E84C" w:rsidR="00551185" w:rsidRPr="003C199E" w:rsidRDefault="003C199E" w:rsidP="00551185">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16.5</w:t>
            </w:r>
          </w:p>
        </w:tc>
      </w:tr>
      <w:tr w:rsidR="00551185" w:rsidRPr="003C199E" w14:paraId="26C37858" w14:textId="77777777" w:rsidTr="003C199E">
        <w:trPr>
          <w:trHeight w:val="68"/>
        </w:trPr>
        <w:tc>
          <w:tcPr>
            <w:tcW w:w="2253" w:type="pct"/>
            <w:gridSpan w:val="3"/>
            <w:shd w:val="clear" w:color="auto" w:fill="E2EFD9" w:themeFill="accent6" w:themeFillTint="33"/>
            <w:vAlign w:val="center"/>
          </w:tcPr>
          <w:p w14:paraId="54398857" w14:textId="4D209386" w:rsidR="00551185" w:rsidRPr="003C199E" w:rsidRDefault="00551185" w:rsidP="00551185">
            <w:pPr>
              <w:spacing w:before="60"/>
              <w:ind w:left="-85" w:right="-85"/>
              <w:jc w:val="both"/>
              <w:rPr>
                <w:rFonts w:ascii="Times New Roman" w:hAnsi="Times New Roman" w:cs="Times New Roman"/>
                <w:color w:val="000000" w:themeColor="text1"/>
                <w:sz w:val="20"/>
                <w:szCs w:val="20"/>
                <w:lang w:val="ro-RO"/>
              </w:rPr>
            </w:pPr>
            <w:r w:rsidRPr="003C199E">
              <w:rPr>
                <w:rFonts w:ascii="Times New Roman" w:hAnsi="Times New Roman" w:cs="Times New Roman"/>
                <w:b/>
                <w:bCs/>
                <w:color w:val="000000" w:themeColor="text1"/>
                <w:sz w:val="20"/>
                <w:szCs w:val="20"/>
                <w:lang w:val="ro-RO"/>
              </w:rPr>
              <w:t>Măsura nr. 5:</w:t>
            </w:r>
            <w:r w:rsidRPr="003C199E">
              <w:rPr>
                <w:rFonts w:ascii="Times New Roman" w:hAnsi="Times New Roman" w:cs="Times New Roman"/>
                <w:color w:val="000000" w:themeColor="text1"/>
                <w:sz w:val="20"/>
                <w:szCs w:val="20"/>
                <w:lang w:val="ro-RO"/>
              </w:rPr>
              <w:t xml:space="preserve"> Reducerea temperaturii agentului termic livrat în sistemele de alimentare centralizată cu energie termică cu 10%</w:t>
            </w:r>
          </w:p>
        </w:tc>
        <w:tc>
          <w:tcPr>
            <w:tcW w:w="259" w:type="pct"/>
            <w:shd w:val="clear" w:color="auto" w:fill="auto"/>
            <w:vAlign w:val="center"/>
          </w:tcPr>
          <w:p w14:paraId="3E30624C" w14:textId="51E6FEEB" w:rsidR="00551185" w:rsidRPr="003C199E" w:rsidRDefault="00387EFA" w:rsidP="00551185">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lang w:val="ro-RO"/>
              </w:rPr>
              <w:t>-</w:t>
            </w:r>
          </w:p>
        </w:tc>
        <w:tc>
          <w:tcPr>
            <w:tcW w:w="278" w:type="pct"/>
            <w:shd w:val="clear" w:color="auto" w:fill="auto"/>
            <w:vAlign w:val="center"/>
          </w:tcPr>
          <w:p w14:paraId="6137DEA4" w14:textId="00C4E210" w:rsidR="00551185" w:rsidRPr="003C199E" w:rsidRDefault="00551185" w:rsidP="00551185">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rPr>
              <w:t>2.4</w:t>
            </w:r>
          </w:p>
        </w:tc>
        <w:tc>
          <w:tcPr>
            <w:tcW w:w="281" w:type="pct"/>
            <w:shd w:val="clear" w:color="auto" w:fill="auto"/>
            <w:vAlign w:val="center"/>
          </w:tcPr>
          <w:p w14:paraId="37651C09" w14:textId="1C213AEF" w:rsidR="00551185" w:rsidRPr="003C199E" w:rsidRDefault="00551185" w:rsidP="00551185">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rPr>
              <w:t>2.4</w:t>
            </w:r>
          </w:p>
        </w:tc>
        <w:tc>
          <w:tcPr>
            <w:tcW w:w="283" w:type="pct"/>
            <w:shd w:val="clear" w:color="auto" w:fill="auto"/>
            <w:vAlign w:val="center"/>
          </w:tcPr>
          <w:p w14:paraId="3CF152AC" w14:textId="41DEA25D" w:rsidR="00551185" w:rsidRPr="003C199E" w:rsidRDefault="00551185" w:rsidP="00551185">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rPr>
              <w:t>2.4</w:t>
            </w:r>
          </w:p>
        </w:tc>
        <w:tc>
          <w:tcPr>
            <w:tcW w:w="284" w:type="pct"/>
            <w:shd w:val="clear" w:color="auto" w:fill="auto"/>
            <w:vAlign w:val="center"/>
          </w:tcPr>
          <w:p w14:paraId="10FD5C51" w14:textId="1507B054" w:rsidR="00551185" w:rsidRPr="003C199E" w:rsidRDefault="00551185" w:rsidP="00551185">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rPr>
              <w:t>2.4</w:t>
            </w:r>
          </w:p>
        </w:tc>
        <w:tc>
          <w:tcPr>
            <w:tcW w:w="292" w:type="pct"/>
            <w:shd w:val="clear" w:color="auto" w:fill="auto"/>
            <w:vAlign w:val="center"/>
          </w:tcPr>
          <w:p w14:paraId="62CB3C02" w14:textId="63043CE9" w:rsidR="00551185" w:rsidRPr="003C199E" w:rsidRDefault="00551185" w:rsidP="00551185">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rPr>
              <w:t>2.4</w:t>
            </w:r>
          </w:p>
        </w:tc>
        <w:tc>
          <w:tcPr>
            <w:tcW w:w="284" w:type="pct"/>
            <w:shd w:val="clear" w:color="auto" w:fill="auto"/>
            <w:vAlign w:val="center"/>
          </w:tcPr>
          <w:p w14:paraId="29C9F57D" w14:textId="28C1F35E" w:rsidR="00551185" w:rsidRPr="003C199E" w:rsidRDefault="0023596B" w:rsidP="00551185">
            <w:pPr>
              <w:spacing w:before="60"/>
              <w:jc w:val="center"/>
              <w:rPr>
                <w:rFonts w:ascii="Times New Roman" w:hAnsi="Times New Roman" w:cs="Times New Roman"/>
                <w:sz w:val="20"/>
                <w:szCs w:val="20"/>
                <w:lang w:val="en-US"/>
              </w:rPr>
            </w:pPr>
            <w:r w:rsidRPr="003C199E">
              <w:rPr>
                <w:rFonts w:ascii="Times New Roman" w:hAnsi="Times New Roman" w:cs="Times New Roman"/>
                <w:sz w:val="20"/>
                <w:szCs w:val="20"/>
                <w:lang w:val="en-US"/>
              </w:rPr>
              <w:t>-</w:t>
            </w:r>
          </w:p>
        </w:tc>
        <w:tc>
          <w:tcPr>
            <w:tcW w:w="335" w:type="pct"/>
            <w:shd w:val="clear" w:color="000000" w:fill="E2EFD9"/>
            <w:vAlign w:val="center"/>
          </w:tcPr>
          <w:p w14:paraId="43DB914E" w14:textId="43399AAA" w:rsidR="00551185" w:rsidRPr="003C199E" w:rsidRDefault="0023596B" w:rsidP="00551185">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12</w:t>
            </w:r>
          </w:p>
        </w:tc>
        <w:tc>
          <w:tcPr>
            <w:tcW w:w="450" w:type="pct"/>
            <w:shd w:val="clear" w:color="auto" w:fill="E2EFD9" w:themeFill="accent6" w:themeFillTint="33"/>
            <w:vAlign w:val="center"/>
          </w:tcPr>
          <w:p w14:paraId="59622F75" w14:textId="52837739" w:rsidR="00551185" w:rsidRPr="003C199E" w:rsidRDefault="003C199E" w:rsidP="00551185">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1</w:t>
            </w:r>
          </w:p>
        </w:tc>
      </w:tr>
      <w:tr w:rsidR="000C0822" w:rsidRPr="003C199E" w14:paraId="78271DF3" w14:textId="77777777" w:rsidTr="003C199E">
        <w:trPr>
          <w:trHeight w:val="68"/>
        </w:trPr>
        <w:tc>
          <w:tcPr>
            <w:tcW w:w="2253" w:type="pct"/>
            <w:gridSpan w:val="3"/>
            <w:shd w:val="clear" w:color="auto" w:fill="E2EFD9" w:themeFill="accent6" w:themeFillTint="33"/>
            <w:vAlign w:val="center"/>
          </w:tcPr>
          <w:p w14:paraId="2F4A2853" w14:textId="1D23D960" w:rsidR="000C0822" w:rsidRPr="003C199E" w:rsidRDefault="000C0822" w:rsidP="000C0822">
            <w:pPr>
              <w:spacing w:before="60"/>
              <w:ind w:left="-85" w:right="-85"/>
              <w:jc w:val="both"/>
              <w:rPr>
                <w:rFonts w:ascii="Times New Roman" w:hAnsi="Times New Roman" w:cs="Times New Roman"/>
                <w:color w:val="000000" w:themeColor="text1"/>
                <w:sz w:val="20"/>
                <w:szCs w:val="20"/>
                <w:lang w:val="ro-RO"/>
              </w:rPr>
            </w:pPr>
            <w:r w:rsidRPr="003C199E">
              <w:rPr>
                <w:rFonts w:ascii="Times New Roman" w:hAnsi="Times New Roman" w:cs="Times New Roman"/>
                <w:b/>
                <w:bCs/>
                <w:color w:val="000000" w:themeColor="text1"/>
                <w:sz w:val="20"/>
                <w:szCs w:val="20"/>
                <w:lang w:val="ro-RO"/>
              </w:rPr>
              <w:t>Măsura nr. 6:</w:t>
            </w:r>
            <w:r w:rsidRPr="003C199E">
              <w:rPr>
                <w:rFonts w:ascii="Times New Roman" w:hAnsi="Times New Roman" w:cs="Times New Roman"/>
                <w:color w:val="000000" w:themeColor="text1"/>
                <w:sz w:val="20"/>
                <w:szCs w:val="20"/>
                <w:lang w:val="ro-RO"/>
              </w:rPr>
              <w:t xml:space="preserve"> Trecerea centralelor electrice cu termoficare (CET) a fabricilor de zahăr la combustibil alternativ, ICS „Moldova-Zahar” SRL și </w:t>
            </w:r>
            <w:r w:rsidRPr="003C199E">
              <w:rPr>
                <w:rFonts w:ascii="Times New Roman" w:hAnsi="Times New Roman" w:cs="Times New Roman"/>
                <w:color w:val="000000" w:themeColor="text1"/>
                <w:sz w:val="20"/>
                <w:szCs w:val="20"/>
                <w:lang w:val="ro-RO"/>
              </w:rPr>
              <w:br/>
              <w:t>IM „Südzucker Moldova” SA</w:t>
            </w:r>
          </w:p>
        </w:tc>
        <w:tc>
          <w:tcPr>
            <w:tcW w:w="259" w:type="pct"/>
            <w:shd w:val="clear" w:color="auto" w:fill="auto"/>
            <w:vAlign w:val="center"/>
          </w:tcPr>
          <w:p w14:paraId="4AF9D669" w14:textId="3B6D5B77" w:rsidR="000C0822" w:rsidRPr="003C199E" w:rsidRDefault="00BF6F2F" w:rsidP="000C0822">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lang w:val="ro-RO"/>
              </w:rPr>
              <w:t>-</w:t>
            </w:r>
          </w:p>
        </w:tc>
        <w:tc>
          <w:tcPr>
            <w:tcW w:w="278" w:type="pct"/>
            <w:shd w:val="clear" w:color="auto" w:fill="auto"/>
            <w:vAlign w:val="center"/>
          </w:tcPr>
          <w:p w14:paraId="6DA36750" w14:textId="54ABA6B5" w:rsidR="000C0822" w:rsidRPr="003C199E" w:rsidRDefault="000C0822" w:rsidP="000C0822">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rPr>
              <w:t>8.0</w:t>
            </w:r>
          </w:p>
        </w:tc>
        <w:tc>
          <w:tcPr>
            <w:tcW w:w="281" w:type="pct"/>
            <w:shd w:val="clear" w:color="auto" w:fill="auto"/>
            <w:vAlign w:val="center"/>
          </w:tcPr>
          <w:p w14:paraId="30BF5ADB" w14:textId="58274F76" w:rsidR="000C0822" w:rsidRPr="003C199E" w:rsidRDefault="000C0822" w:rsidP="000C0822">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rPr>
              <w:t>1.0</w:t>
            </w:r>
          </w:p>
        </w:tc>
        <w:tc>
          <w:tcPr>
            <w:tcW w:w="283" w:type="pct"/>
            <w:shd w:val="clear" w:color="auto" w:fill="auto"/>
            <w:vAlign w:val="center"/>
          </w:tcPr>
          <w:p w14:paraId="380D4186" w14:textId="7720364F" w:rsidR="000C0822" w:rsidRPr="003C199E" w:rsidRDefault="000C0822" w:rsidP="000C0822">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rPr>
              <w:t>0.5</w:t>
            </w:r>
          </w:p>
        </w:tc>
        <w:tc>
          <w:tcPr>
            <w:tcW w:w="284" w:type="pct"/>
            <w:shd w:val="clear" w:color="auto" w:fill="auto"/>
            <w:vAlign w:val="center"/>
          </w:tcPr>
          <w:p w14:paraId="6F9793D5" w14:textId="00566779" w:rsidR="000C0822" w:rsidRPr="003C199E" w:rsidRDefault="000C0822" w:rsidP="000C0822">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lang w:val="ro-RO"/>
              </w:rPr>
              <w:t>-</w:t>
            </w:r>
          </w:p>
        </w:tc>
        <w:tc>
          <w:tcPr>
            <w:tcW w:w="292" w:type="pct"/>
            <w:shd w:val="clear" w:color="auto" w:fill="auto"/>
            <w:vAlign w:val="center"/>
          </w:tcPr>
          <w:p w14:paraId="250F50A3" w14:textId="7220D95B" w:rsidR="000C0822" w:rsidRPr="003C199E" w:rsidRDefault="000C0822" w:rsidP="000C0822">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lang w:val="ro-RO"/>
              </w:rPr>
              <w:t>-</w:t>
            </w:r>
          </w:p>
        </w:tc>
        <w:tc>
          <w:tcPr>
            <w:tcW w:w="284" w:type="pct"/>
            <w:shd w:val="clear" w:color="auto" w:fill="auto"/>
            <w:vAlign w:val="center"/>
          </w:tcPr>
          <w:p w14:paraId="5795333D" w14:textId="268DEEC3" w:rsidR="000C0822" w:rsidRPr="003C199E" w:rsidRDefault="000C0822" w:rsidP="000C0822">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lang w:val="ro-RO"/>
              </w:rPr>
              <w:t>-</w:t>
            </w:r>
          </w:p>
        </w:tc>
        <w:tc>
          <w:tcPr>
            <w:tcW w:w="335" w:type="pct"/>
            <w:shd w:val="clear" w:color="000000" w:fill="E2EFD9"/>
            <w:vAlign w:val="center"/>
          </w:tcPr>
          <w:p w14:paraId="11DB8394" w14:textId="65DB158C" w:rsidR="000C0822" w:rsidRPr="003C199E" w:rsidRDefault="0023596B" w:rsidP="000C0822">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9.5</w:t>
            </w:r>
          </w:p>
        </w:tc>
        <w:tc>
          <w:tcPr>
            <w:tcW w:w="450" w:type="pct"/>
            <w:shd w:val="clear" w:color="auto" w:fill="E2EFD9" w:themeFill="accent6" w:themeFillTint="33"/>
            <w:vAlign w:val="center"/>
          </w:tcPr>
          <w:p w14:paraId="2D538521" w14:textId="1D1A388B" w:rsidR="000C0822" w:rsidRPr="003C199E" w:rsidRDefault="003C199E" w:rsidP="000C0822">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0.5</w:t>
            </w:r>
          </w:p>
        </w:tc>
      </w:tr>
      <w:tr w:rsidR="0023596B" w:rsidRPr="003C199E" w14:paraId="7893EB79" w14:textId="77777777" w:rsidTr="003C199E">
        <w:trPr>
          <w:trHeight w:val="68"/>
        </w:trPr>
        <w:tc>
          <w:tcPr>
            <w:tcW w:w="2253" w:type="pct"/>
            <w:gridSpan w:val="3"/>
            <w:shd w:val="clear" w:color="auto" w:fill="E2EFD9" w:themeFill="accent6" w:themeFillTint="33"/>
            <w:vAlign w:val="center"/>
          </w:tcPr>
          <w:p w14:paraId="36544C29" w14:textId="1466C76F" w:rsidR="0023596B" w:rsidRPr="003C199E" w:rsidRDefault="0023596B" w:rsidP="0023596B">
            <w:pPr>
              <w:spacing w:before="60"/>
              <w:ind w:left="-85" w:right="-85"/>
              <w:jc w:val="both"/>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Măsura nr. 7:</w:t>
            </w:r>
            <w:r w:rsidRPr="003C199E">
              <w:rPr>
                <w:rFonts w:ascii="Times New Roman" w:hAnsi="Times New Roman" w:cs="Times New Roman"/>
                <w:color w:val="000000" w:themeColor="text1"/>
                <w:sz w:val="20"/>
                <w:szCs w:val="20"/>
                <w:lang w:val="ro-RO"/>
              </w:rPr>
              <w:t xml:space="preserve"> Utilizarea stocurilor de gaze naturale create în perioada precedentă de SA „Energocom” în baza Acordului de împrumut dintre Republica Moldova și BERD ratificat, în vederea realizării proiectului „Securitatea Furnizării Gazelor Naturale”</w:t>
            </w:r>
          </w:p>
        </w:tc>
        <w:tc>
          <w:tcPr>
            <w:tcW w:w="259" w:type="pct"/>
            <w:shd w:val="clear" w:color="auto" w:fill="auto"/>
            <w:vAlign w:val="center"/>
          </w:tcPr>
          <w:p w14:paraId="5AFA92B7" w14:textId="20CF90E9" w:rsidR="0023596B" w:rsidRPr="003C199E" w:rsidRDefault="00D5216E" w:rsidP="0023596B">
            <w:pPr>
              <w:spacing w:before="6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78" w:type="pct"/>
            <w:shd w:val="clear" w:color="auto" w:fill="auto"/>
            <w:vAlign w:val="center"/>
          </w:tcPr>
          <w:p w14:paraId="59DB5DCE" w14:textId="5252986C" w:rsidR="0023596B" w:rsidRPr="003C199E" w:rsidRDefault="0023596B" w:rsidP="0023596B">
            <w:pPr>
              <w:spacing w:before="60"/>
              <w:jc w:val="center"/>
              <w:rPr>
                <w:rFonts w:ascii="Times New Roman" w:hAnsi="Times New Roman" w:cs="Times New Roman"/>
                <w:sz w:val="20"/>
                <w:szCs w:val="20"/>
                <w:lang w:val="en-US"/>
              </w:rPr>
            </w:pPr>
            <w:r w:rsidRPr="003C199E">
              <w:rPr>
                <w:rFonts w:ascii="Times New Roman" w:hAnsi="Times New Roman" w:cs="Times New Roman"/>
                <w:sz w:val="20"/>
                <w:szCs w:val="20"/>
              </w:rPr>
              <w:t>7.2</w:t>
            </w:r>
          </w:p>
        </w:tc>
        <w:tc>
          <w:tcPr>
            <w:tcW w:w="281" w:type="pct"/>
            <w:shd w:val="clear" w:color="auto" w:fill="auto"/>
            <w:vAlign w:val="center"/>
          </w:tcPr>
          <w:p w14:paraId="4FAA942E" w14:textId="45AE4C8A" w:rsidR="0023596B" w:rsidRPr="003C199E" w:rsidRDefault="0023596B" w:rsidP="0023596B">
            <w:pPr>
              <w:spacing w:before="60"/>
              <w:jc w:val="center"/>
              <w:rPr>
                <w:rFonts w:ascii="Times New Roman" w:hAnsi="Times New Roman" w:cs="Times New Roman"/>
                <w:sz w:val="20"/>
                <w:szCs w:val="20"/>
                <w:lang w:val="en-US"/>
              </w:rPr>
            </w:pPr>
            <w:r w:rsidRPr="003C199E">
              <w:rPr>
                <w:rFonts w:ascii="Times New Roman" w:hAnsi="Times New Roman" w:cs="Times New Roman"/>
                <w:sz w:val="20"/>
                <w:szCs w:val="20"/>
              </w:rPr>
              <w:t>41.9</w:t>
            </w:r>
          </w:p>
        </w:tc>
        <w:tc>
          <w:tcPr>
            <w:tcW w:w="283" w:type="pct"/>
            <w:shd w:val="clear" w:color="auto" w:fill="auto"/>
            <w:vAlign w:val="center"/>
          </w:tcPr>
          <w:p w14:paraId="5E039B93" w14:textId="4ABB13C9" w:rsidR="0023596B" w:rsidRPr="003C199E" w:rsidRDefault="0023596B" w:rsidP="0023596B">
            <w:pPr>
              <w:spacing w:before="60"/>
              <w:jc w:val="center"/>
              <w:rPr>
                <w:rFonts w:ascii="Times New Roman" w:hAnsi="Times New Roman" w:cs="Times New Roman"/>
                <w:sz w:val="20"/>
                <w:szCs w:val="20"/>
                <w:lang w:val="en-US"/>
              </w:rPr>
            </w:pPr>
            <w:r w:rsidRPr="003C199E">
              <w:rPr>
                <w:rFonts w:ascii="Times New Roman" w:hAnsi="Times New Roman" w:cs="Times New Roman"/>
                <w:sz w:val="20"/>
                <w:szCs w:val="20"/>
              </w:rPr>
              <w:t>54.3</w:t>
            </w:r>
          </w:p>
        </w:tc>
        <w:tc>
          <w:tcPr>
            <w:tcW w:w="284" w:type="pct"/>
            <w:shd w:val="clear" w:color="auto" w:fill="auto"/>
            <w:vAlign w:val="center"/>
          </w:tcPr>
          <w:p w14:paraId="4B7441B3" w14:textId="05F2F511" w:rsidR="0023596B" w:rsidRPr="003C199E" w:rsidRDefault="0023596B" w:rsidP="0023596B">
            <w:pPr>
              <w:spacing w:before="60"/>
              <w:jc w:val="center"/>
              <w:rPr>
                <w:rFonts w:ascii="Times New Roman" w:hAnsi="Times New Roman" w:cs="Times New Roman"/>
                <w:sz w:val="20"/>
                <w:szCs w:val="20"/>
                <w:lang w:val="ro-RO"/>
              </w:rPr>
            </w:pPr>
            <w:r w:rsidRPr="003C199E">
              <w:rPr>
                <w:rFonts w:ascii="Times New Roman" w:hAnsi="Times New Roman" w:cs="Times New Roman"/>
                <w:sz w:val="20"/>
                <w:szCs w:val="20"/>
              </w:rPr>
              <w:t>21.6</w:t>
            </w:r>
          </w:p>
        </w:tc>
        <w:tc>
          <w:tcPr>
            <w:tcW w:w="292" w:type="pct"/>
            <w:shd w:val="clear" w:color="auto" w:fill="auto"/>
            <w:vAlign w:val="center"/>
          </w:tcPr>
          <w:p w14:paraId="46094E10" w14:textId="00C022E8" w:rsidR="0023596B" w:rsidRPr="00D5216E" w:rsidRDefault="00D5216E" w:rsidP="0023596B">
            <w:pPr>
              <w:spacing w:before="60"/>
              <w:jc w:val="center"/>
              <w:rPr>
                <w:rFonts w:ascii="Times New Roman" w:hAnsi="Times New Roman" w:cs="Times New Roman"/>
                <w:sz w:val="20"/>
                <w:szCs w:val="20"/>
                <w:lang w:val="ro-RO"/>
              </w:rPr>
            </w:pPr>
            <w:r>
              <w:rPr>
                <w:rFonts w:ascii="Times New Roman" w:hAnsi="Times New Roman" w:cs="Times New Roman"/>
                <w:sz w:val="20"/>
                <w:szCs w:val="20"/>
                <w:lang w:val="ro-RO"/>
              </w:rPr>
              <w:t>-</w:t>
            </w:r>
          </w:p>
        </w:tc>
        <w:tc>
          <w:tcPr>
            <w:tcW w:w="284" w:type="pct"/>
            <w:shd w:val="clear" w:color="auto" w:fill="auto"/>
            <w:vAlign w:val="center"/>
          </w:tcPr>
          <w:p w14:paraId="6E049413" w14:textId="5576EC1B" w:rsidR="0023596B" w:rsidRPr="00D5216E" w:rsidRDefault="00D5216E" w:rsidP="0023596B">
            <w:pPr>
              <w:spacing w:before="60"/>
              <w:jc w:val="center"/>
              <w:rPr>
                <w:rFonts w:ascii="Times New Roman" w:hAnsi="Times New Roman" w:cs="Times New Roman"/>
                <w:sz w:val="20"/>
                <w:szCs w:val="20"/>
                <w:lang w:val="ro-RO"/>
              </w:rPr>
            </w:pPr>
            <w:r>
              <w:rPr>
                <w:rFonts w:ascii="Times New Roman" w:hAnsi="Times New Roman" w:cs="Times New Roman"/>
                <w:sz w:val="20"/>
                <w:szCs w:val="20"/>
                <w:lang w:val="ro-RO"/>
              </w:rPr>
              <w:t>-</w:t>
            </w:r>
          </w:p>
        </w:tc>
        <w:tc>
          <w:tcPr>
            <w:tcW w:w="335" w:type="pct"/>
            <w:shd w:val="clear" w:color="000000" w:fill="E2EFD9"/>
            <w:vAlign w:val="center"/>
          </w:tcPr>
          <w:p w14:paraId="40B19C0E" w14:textId="2A802448" w:rsidR="0023596B" w:rsidRPr="003C199E" w:rsidRDefault="0023596B" w:rsidP="0023596B">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sz w:val="20"/>
                <w:szCs w:val="20"/>
              </w:rPr>
              <w:t>125</w:t>
            </w:r>
          </w:p>
        </w:tc>
        <w:tc>
          <w:tcPr>
            <w:tcW w:w="450" w:type="pct"/>
            <w:shd w:val="clear" w:color="auto" w:fill="E2EFD9" w:themeFill="accent6" w:themeFillTint="33"/>
            <w:vAlign w:val="center"/>
          </w:tcPr>
          <w:p w14:paraId="78BCA85D" w14:textId="11F7FCAC" w:rsidR="0023596B" w:rsidRPr="003C199E" w:rsidRDefault="003C199E" w:rsidP="0023596B">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themeColor="text1"/>
                <w:sz w:val="20"/>
                <w:szCs w:val="20"/>
                <w:lang w:val="ro-RO"/>
              </w:rPr>
              <w:t>-</w:t>
            </w:r>
          </w:p>
        </w:tc>
      </w:tr>
      <w:tr w:rsidR="0023596B" w:rsidRPr="003C199E" w14:paraId="79164050" w14:textId="77777777" w:rsidTr="003C199E">
        <w:trPr>
          <w:trHeight w:val="68"/>
        </w:trPr>
        <w:tc>
          <w:tcPr>
            <w:tcW w:w="2253" w:type="pct"/>
            <w:gridSpan w:val="3"/>
            <w:shd w:val="clear" w:color="auto" w:fill="E2EFD9" w:themeFill="accent6" w:themeFillTint="33"/>
            <w:vAlign w:val="center"/>
          </w:tcPr>
          <w:p w14:paraId="20776BAB" w14:textId="13725B10" w:rsidR="0023596B" w:rsidRPr="003C199E" w:rsidRDefault="0023596B" w:rsidP="0023596B">
            <w:pPr>
              <w:spacing w:before="60"/>
              <w:ind w:left="-85" w:right="-85"/>
              <w:jc w:val="both"/>
              <w:rPr>
                <w:rFonts w:ascii="Times New Roman" w:hAnsi="Times New Roman" w:cs="Times New Roman"/>
                <w:color w:val="000000" w:themeColor="text1"/>
                <w:sz w:val="20"/>
                <w:szCs w:val="20"/>
                <w:lang w:val="ro-RO"/>
              </w:rPr>
            </w:pPr>
            <w:r w:rsidRPr="003C199E">
              <w:rPr>
                <w:rFonts w:ascii="Times New Roman" w:hAnsi="Times New Roman" w:cs="Times New Roman"/>
                <w:b/>
                <w:bCs/>
                <w:color w:val="000000" w:themeColor="text1"/>
                <w:sz w:val="20"/>
                <w:szCs w:val="20"/>
                <w:lang w:val="ro-RO"/>
              </w:rPr>
              <w:t>Măsura nr. 8*:</w:t>
            </w:r>
            <w:r w:rsidRPr="003C199E">
              <w:rPr>
                <w:rFonts w:ascii="Times New Roman" w:hAnsi="Times New Roman" w:cs="Times New Roman"/>
                <w:color w:val="000000" w:themeColor="text1"/>
                <w:sz w:val="20"/>
                <w:szCs w:val="20"/>
                <w:lang w:val="ro-RO"/>
              </w:rPr>
              <w:t xml:space="preserve"> Trecerea Termoelectrica (CET sursa 1) la funcționarea combinată pe bază de păcură 50% și gaze naturale 50%</w:t>
            </w:r>
          </w:p>
        </w:tc>
        <w:tc>
          <w:tcPr>
            <w:tcW w:w="259" w:type="pct"/>
            <w:shd w:val="clear" w:color="auto" w:fill="auto"/>
            <w:vAlign w:val="center"/>
          </w:tcPr>
          <w:p w14:paraId="206A3453" w14:textId="4E4CA565" w:rsidR="0023596B" w:rsidRPr="003C199E" w:rsidRDefault="00D5216E" w:rsidP="0023596B">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278" w:type="pct"/>
            <w:shd w:val="clear" w:color="auto" w:fill="FFFFFF" w:themeFill="background1"/>
            <w:vAlign w:val="center"/>
          </w:tcPr>
          <w:p w14:paraId="25660648" w14:textId="6D71E882" w:rsidR="0023596B" w:rsidRPr="003C199E" w:rsidRDefault="00D5216E" w:rsidP="0023596B">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281" w:type="pct"/>
            <w:shd w:val="clear" w:color="auto" w:fill="FFFFFF" w:themeFill="background1"/>
            <w:vAlign w:val="center"/>
          </w:tcPr>
          <w:p w14:paraId="560BBF7D" w14:textId="45F1B4BE" w:rsidR="0023596B" w:rsidRPr="003C199E" w:rsidRDefault="00D5216E" w:rsidP="0023596B">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283" w:type="pct"/>
            <w:shd w:val="clear" w:color="auto" w:fill="FFFFFF" w:themeFill="background1"/>
            <w:vAlign w:val="center"/>
          </w:tcPr>
          <w:p w14:paraId="1BBDF541" w14:textId="64AFBE0E" w:rsidR="0023596B" w:rsidRPr="003C199E" w:rsidRDefault="00D5216E" w:rsidP="0023596B">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284" w:type="pct"/>
            <w:shd w:val="clear" w:color="000000" w:fill="FFFFFF"/>
            <w:vAlign w:val="center"/>
          </w:tcPr>
          <w:p w14:paraId="61768618" w14:textId="41706F6F" w:rsidR="0023596B" w:rsidRPr="003C199E" w:rsidRDefault="0023596B" w:rsidP="0023596B">
            <w:pPr>
              <w:spacing w:before="60"/>
              <w:jc w:val="center"/>
              <w:rPr>
                <w:rFonts w:ascii="Times New Roman" w:hAnsi="Times New Roman" w:cs="Times New Roman"/>
                <w:color w:val="000000" w:themeColor="text1"/>
                <w:sz w:val="20"/>
                <w:szCs w:val="20"/>
                <w:lang w:val="ro-RO"/>
              </w:rPr>
            </w:pPr>
            <w:r w:rsidRPr="003C199E">
              <w:rPr>
                <w:rFonts w:ascii="Times New Roman" w:hAnsi="Times New Roman" w:cs="Times New Roman"/>
                <w:color w:val="000000"/>
                <w:sz w:val="20"/>
                <w:szCs w:val="20"/>
              </w:rPr>
              <w:t>16.1</w:t>
            </w:r>
          </w:p>
        </w:tc>
        <w:tc>
          <w:tcPr>
            <w:tcW w:w="292" w:type="pct"/>
            <w:shd w:val="clear" w:color="000000" w:fill="FFFFFF"/>
            <w:vAlign w:val="center"/>
          </w:tcPr>
          <w:p w14:paraId="1B032B80" w14:textId="116FBB29" w:rsidR="0023596B" w:rsidRPr="003C199E" w:rsidRDefault="0023596B" w:rsidP="0023596B">
            <w:pPr>
              <w:spacing w:before="60"/>
              <w:jc w:val="center"/>
              <w:rPr>
                <w:rFonts w:ascii="Times New Roman" w:hAnsi="Times New Roman" w:cs="Times New Roman"/>
                <w:color w:val="000000" w:themeColor="text1"/>
                <w:sz w:val="20"/>
                <w:szCs w:val="20"/>
                <w:lang w:val="ro-RO"/>
              </w:rPr>
            </w:pPr>
            <w:r w:rsidRPr="003C199E">
              <w:rPr>
                <w:rFonts w:ascii="Times New Roman" w:hAnsi="Times New Roman" w:cs="Times New Roman"/>
                <w:color w:val="000000"/>
                <w:sz w:val="20"/>
                <w:szCs w:val="20"/>
              </w:rPr>
              <w:t>16.8</w:t>
            </w:r>
          </w:p>
        </w:tc>
        <w:tc>
          <w:tcPr>
            <w:tcW w:w="284" w:type="pct"/>
            <w:shd w:val="clear" w:color="auto" w:fill="auto"/>
            <w:vAlign w:val="center"/>
          </w:tcPr>
          <w:p w14:paraId="63A88CBD" w14:textId="3816FEE6" w:rsidR="0023596B" w:rsidRPr="00D5216E" w:rsidRDefault="00D5216E" w:rsidP="0023596B">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sz w:val="20"/>
                <w:szCs w:val="20"/>
                <w:lang w:val="ro-RO"/>
              </w:rPr>
              <w:t>-</w:t>
            </w:r>
          </w:p>
        </w:tc>
        <w:tc>
          <w:tcPr>
            <w:tcW w:w="335" w:type="pct"/>
            <w:shd w:val="clear" w:color="000000" w:fill="E2EFD9"/>
            <w:vAlign w:val="center"/>
          </w:tcPr>
          <w:p w14:paraId="542C1430" w14:textId="7175C60A" w:rsidR="0023596B" w:rsidRPr="003C199E" w:rsidRDefault="0023596B" w:rsidP="0023596B">
            <w:pPr>
              <w:spacing w:before="60"/>
              <w:jc w:val="center"/>
              <w:rPr>
                <w:rFonts w:ascii="Times New Roman" w:hAnsi="Times New Roman" w:cs="Times New Roman"/>
                <w:b/>
                <w:bCs/>
                <w:color w:val="000000" w:themeColor="text1"/>
                <w:sz w:val="20"/>
                <w:szCs w:val="20"/>
                <w:lang w:val="en-US"/>
              </w:rPr>
            </w:pPr>
            <w:r w:rsidRPr="003C199E">
              <w:rPr>
                <w:rFonts w:ascii="Times New Roman" w:hAnsi="Times New Roman" w:cs="Times New Roman"/>
                <w:b/>
                <w:bCs/>
                <w:color w:val="000000"/>
                <w:sz w:val="20"/>
                <w:szCs w:val="20"/>
              </w:rPr>
              <w:t>32.9</w:t>
            </w:r>
          </w:p>
        </w:tc>
        <w:tc>
          <w:tcPr>
            <w:tcW w:w="450" w:type="pct"/>
            <w:shd w:val="clear" w:color="000000" w:fill="E2EFD9"/>
            <w:vAlign w:val="center"/>
          </w:tcPr>
          <w:p w14:paraId="3A0F53FF" w14:textId="4E3B7148" w:rsidR="0023596B" w:rsidRPr="003C199E" w:rsidRDefault="0023596B" w:rsidP="0023596B">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sz w:val="20"/>
                <w:szCs w:val="20"/>
              </w:rPr>
              <w:t>70.9</w:t>
            </w:r>
          </w:p>
        </w:tc>
      </w:tr>
      <w:tr w:rsidR="003C199E" w:rsidRPr="003C199E" w14:paraId="117F902C" w14:textId="77777777" w:rsidTr="003C199E">
        <w:trPr>
          <w:trHeight w:val="68"/>
        </w:trPr>
        <w:tc>
          <w:tcPr>
            <w:tcW w:w="2253" w:type="pct"/>
            <w:gridSpan w:val="3"/>
            <w:shd w:val="clear" w:color="auto" w:fill="E2EFD9" w:themeFill="accent6" w:themeFillTint="33"/>
            <w:vAlign w:val="center"/>
          </w:tcPr>
          <w:p w14:paraId="0146685D" w14:textId="47FFA57D" w:rsidR="0023596B" w:rsidRPr="003C199E" w:rsidRDefault="0023596B" w:rsidP="0023596B">
            <w:pPr>
              <w:spacing w:before="60"/>
              <w:ind w:left="-85" w:right="-85"/>
              <w:jc w:val="both"/>
              <w:rPr>
                <w:rFonts w:ascii="Times New Roman" w:hAnsi="Times New Roman" w:cs="Times New Roman"/>
                <w:color w:val="000000" w:themeColor="text1"/>
                <w:sz w:val="20"/>
                <w:szCs w:val="20"/>
                <w:lang w:val="ro-RO"/>
              </w:rPr>
            </w:pPr>
            <w:r w:rsidRPr="003C199E">
              <w:rPr>
                <w:rFonts w:ascii="Times New Roman" w:hAnsi="Times New Roman" w:cs="Times New Roman"/>
                <w:b/>
                <w:bCs/>
                <w:color w:val="000000" w:themeColor="text1"/>
                <w:sz w:val="20"/>
                <w:szCs w:val="20"/>
                <w:lang w:val="ro-RO"/>
              </w:rPr>
              <w:t>Măsura nr. 9:</w:t>
            </w:r>
            <w:r w:rsidRPr="003C199E">
              <w:rPr>
                <w:rFonts w:ascii="Times New Roman" w:hAnsi="Times New Roman" w:cs="Times New Roman"/>
                <w:color w:val="000000" w:themeColor="text1"/>
                <w:sz w:val="20"/>
                <w:szCs w:val="20"/>
                <w:lang w:val="ro-RO"/>
              </w:rPr>
              <w:t xml:space="preserve"> Utilizarea mecanismelor stabilite în Acordurile de Interconectare între operatorii sistemelor </w:t>
            </w:r>
            <w:r w:rsidRPr="003C199E">
              <w:rPr>
                <w:rFonts w:ascii="Times New Roman" w:hAnsi="Times New Roman" w:cs="Times New Roman"/>
                <w:color w:val="000000" w:themeColor="text1"/>
                <w:sz w:val="20"/>
                <w:szCs w:val="20"/>
                <w:lang w:val="ro-RO"/>
              </w:rPr>
              <w:lastRenderedPageBreak/>
              <w:t>de transport adiacenți din Ucraina și Republica Moldova, România și Republica Moldova</w:t>
            </w:r>
          </w:p>
        </w:tc>
        <w:tc>
          <w:tcPr>
            <w:tcW w:w="259" w:type="pct"/>
            <w:shd w:val="clear" w:color="auto" w:fill="auto"/>
            <w:vAlign w:val="center"/>
          </w:tcPr>
          <w:p w14:paraId="051E692B" w14:textId="55298439" w:rsidR="0023596B" w:rsidRPr="003C199E" w:rsidRDefault="00D5216E" w:rsidP="0023596B">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lastRenderedPageBreak/>
              <w:t>-</w:t>
            </w:r>
          </w:p>
        </w:tc>
        <w:tc>
          <w:tcPr>
            <w:tcW w:w="278" w:type="pct"/>
            <w:shd w:val="clear" w:color="auto" w:fill="FFFFFF" w:themeFill="background1"/>
            <w:vAlign w:val="center"/>
          </w:tcPr>
          <w:p w14:paraId="7AB53EA1" w14:textId="7B826A00" w:rsidR="0023596B" w:rsidRPr="003C199E" w:rsidRDefault="00D5216E" w:rsidP="0023596B">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281" w:type="pct"/>
            <w:shd w:val="clear" w:color="auto" w:fill="FFFFFF" w:themeFill="background1"/>
            <w:vAlign w:val="center"/>
          </w:tcPr>
          <w:p w14:paraId="1630B20A" w14:textId="4F293927" w:rsidR="0023596B" w:rsidRPr="003C199E" w:rsidRDefault="00D5216E" w:rsidP="0023596B">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283" w:type="pct"/>
            <w:shd w:val="clear" w:color="auto" w:fill="FFFFFF" w:themeFill="background1"/>
            <w:vAlign w:val="center"/>
          </w:tcPr>
          <w:p w14:paraId="652AF47C" w14:textId="0A2882A9" w:rsidR="0023596B" w:rsidRPr="003C199E" w:rsidRDefault="00D5216E" w:rsidP="0023596B">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284" w:type="pct"/>
            <w:shd w:val="clear" w:color="auto" w:fill="FFFFFF" w:themeFill="background1"/>
            <w:vAlign w:val="center"/>
          </w:tcPr>
          <w:p w14:paraId="3BF2247F" w14:textId="2BE1A29F" w:rsidR="0023596B" w:rsidRPr="003C199E" w:rsidRDefault="00D5216E" w:rsidP="0023596B">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292" w:type="pct"/>
            <w:shd w:val="clear" w:color="000000" w:fill="FFFFFF"/>
            <w:vAlign w:val="center"/>
          </w:tcPr>
          <w:p w14:paraId="536EE1BF" w14:textId="633D2A62" w:rsidR="0023596B" w:rsidRPr="003C199E" w:rsidRDefault="0023596B" w:rsidP="0023596B">
            <w:pPr>
              <w:spacing w:before="60"/>
              <w:jc w:val="center"/>
              <w:rPr>
                <w:rFonts w:ascii="Times New Roman" w:hAnsi="Times New Roman" w:cs="Times New Roman"/>
                <w:color w:val="000000" w:themeColor="text1"/>
                <w:sz w:val="20"/>
                <w:szCs w:val="20"/>
                <w:lang w:val="ro-RO"/>
              </w:rPr>
            </w:pPr>
            <w:r w:rsidRPr="003C199E">
              <w:rPr>
                <w:rFonts w:ascii="Times New Roman" w:hAnsi="Times New Roman" w:cs="Times New Roman"/>
                <w:color w:val="000000"/>
                <w:sz w:val="20"/>
                <w:szCs w:val="20"/>
              </w:rPr>
              <w:t>0.4</w:t>
            </w:r>
          </w:p>
        </w:tc>
        <w:tc>
          <w:tcPr>
            <w:tcW w:w="284" w:type="pct"/>
            <w:shd w:val="clear" w:color="auto" w:fill="auto"/>
            <w:vAlign w:val="center"/>
          </w:tcPr>
          <w:p w14:paraId="5FD72C69" w14:textId="04CC478D" w:rsidR="0023596B" w:rsidRPr="00D5216E" w:rsidRDefault="00D5216E" w:rsidP="0023596B">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sz w:val="20"/>
                <w:szCs w:val="20"/>
                <w:lang w:val="ro-RO"/>
              </w:rPr>
              <w:t>-</w:t>
            </w:r>
          </w:p>
        </w:tc>
        <w:tc>
          <w:tcPr>
            <w:tcW w:w="335" w:type="pct"/>
            <w:shd w:val="clear" w:color="000000" w:fill="E2EFD9"/>
            <w:vAlign w:val="center"/>
          </w:tcPr>
          <w:p w14:paraId="5CCF91AF" w14:textId="54A9DE85" w:rsidR="0023596B" w:rsidRPr="00D5216E" w:rsidRDefault="00D5216E" w:rsidP="0023596B">
            <w:pPr>
              <w:spacing w:before="60"/>
              <w:jc w:val="center"/>
              <w:rPr>
                <w:rFonts w:ascii="Times New Roman" w:hAnsi="Times New Roman" w:cs="Times New Roman"/>
                <w:b/>
                <w:bCs/>
                <w:color w:val="000000" w:themeColor="text1"/>
                <w:sz w:val="20"/>
                <w:szCs w:val="20"/>
                <w:lang w:val="ro-RO"/>
              </w:rPr>
            </w:pPr>
            <w:r>
              <w:rPr>
                <w:rFonts w:ascii="Times New Roman" w:hAnsi="Times New Roman" w:cs="Times New Roman"/>
                <w:b/>
                <w:bCs/>
                <w:color w:val="000000"/>
                <w:sz w:val="20"/>
                <w:szCs w:val="20"/>
                <w:lang w:val="ro-RO"/>
              </w:rPr>
              <w:t>0.4</w:t>
            </w:r>
          </w:p>
        </w:tc>
        <w:tc>
          <w:tcPr>
            <w:tcW w:w="450" w:type="pct"/>
            <w:shd w:val="clear" w:color="000000" w:fill="E2EFD9"/>
            <w:vAlign w:val="center"/>
          </w:tcPr>
          <w:p w14:paraId="2214C2BD" w14:textId="178CF20C" w:rsidR="0023596B" w:rsidRPr="003C199E" w:rsidRDefault="0023596B" w:rsidP="0023596B">
            <w:pPr>
              <w:spacing w:before="60"/>
              <w:jc w:val="center"/>
              <w:rPr>
                <w:rFonts w:ascii="Times New Roman" w:hAnsi="Times New Roman" w:cs="Times New Roman"/>
                <w:b/>
                <w:bCs/>
                <w:color w:val="000000" w:themeColor="text1"/>
                <w:sz w:val="20"/>
                <w:szCs w:val="20"/>
                <w:lang w:val="ro-RO"/>
              </w:rPr>
            </w:pPr>
            <w:r w:rsidRPr="003C199E">
              <w:rPr>
                <w:rFonts w:ascii="Times New Roman" w:hAnsi="Times New Roman" w:cs="Times New Roman"/>
                <w:b/>
                <w:bCs/>
                <w:color w:val="000000"/>
                <w:sz w:val="20"/>
                <w:szCs w:val="20"/>
              </w:rPr>
              <w:t>16.6</w:t>
            </w:r>
          </w:p>
        </w:tc>
      </w:tr>
    </w:tbl>
    <w:p w14:paraId="2B0B4B48" w14:textId="4D1CA36E" w:rsidR="0090445D" w:rsidRPr="0090445D" w:rsidRDefault="0090445D" w:rsidP="0090445D">
      <w:pPr>
        <w:pStyle w:val="cb"/>
        <w:ind w:firstLine="708"/>
        <w:jc w:val="both"/>
        <w:rPr>
          <w:b w:val="0"/>
          <w:bCs w:val="0"/>
          <w:color w:val="000000" w:themeColor="text1"/>
          <w:sz w:val="20"/>
          <w:szCs w:val="20"/>
          <w:lang w:val="ro-RO" w:eastAsia="ru-RU"/>
        </w:rPr>
      </w:pPr>
      <w:r w:rsidRPr="003070EA">
        <w:rPr>
          <w:b w:val="0"/>
          <w:bCs w:val="0"/>
          <w:color w:val="000000" w:themeColor="text1"/>
          <w:sz w:val="20"/>
          <w:szCs w:val="20"/>
          <w:lang w:eastAsia="ru-RU"/>
        </w:rPr>
        <w:t>*</w:t>
      </w:r>
      <w:r w:rsidRPr="003070EA">
        <w:rPr>
          <w:b w:val="0"/>
          <w:bCs w:val="0"/>
          <w:color w:val="000000" w:themeColor="text1"/>
          <w:sz w:val="20"/>
          <w:szCs w:val="20"/>
          <w:lang w:val="ro-RO" w:eastAsia="ru-RU"/>
        </w:rPr>
        <w:t xml:space="preserve"> Măsura nr. </w:t>
      </w:r>
      <w:r w:rsidR="00387EFA">
        <w:rPr>
          <w:b w:val="0"/>
          <w:bCs w:val="0"/>
          <w:color w:val="000000" w:themeColor="text1"/>
          <w:sz w:val="20"/>
          <w:szCs w:val="20"/>
          <w:lang w:val="ro-RO" w:eastAsia="ru-RU"/>
        </w:rPr>
        <w:t>8</w:t>
      </w:r>
      <w:r w:rsidRPr="003070EA">
        <w:rPr>
          <w:b w:val="0"/>
          <w:bCs w:val="0"/>
          <w:color w:val="000000" w:themeColor="text1"/>
          <w:sz w:val="20"/>
          <w:szCs w:val="20"/>
          <w:lang w:val="ro-RO" w:eastAsia="ru-RU"/>
        </w:rPr>
        <w:t xml:space="preserve"> se va aplica în dependență de evoluțiile prețurilor la resursele energetice</w:t>
      </w:r>
      <w:r>
        <w:rPr>
          <w:b w:val="0"/>
          <w:bCs w:val="0"/>
          <w:color w:val="000000" w:themeColor="text1"/>
          <w:sz w:val="20"/>
          <w:szCs w:val="20"/>
          <w:lang w:val="ro-RO" w:eastAsia="ru-RU"/>
        </w:rPr>
        <w:t xml:space="preserve"> și se va considera funcționarea CET sursa 1 pe bază de păcură 50% și gaze naturale 50%, având în vedere impactul asupra instalației de termoficare în cazul funcționării 100% pe bază de păcură</w:t>
      </w:r>
      <w:r w:rsidRPr="003070EA">
        <w:rPr>
          <w:b w:val="0"/>
          <w:bCs w:val="0"/>
          <w:color w:val="000000" w:themeColor="text1"/>
          <w:sz w:val="20"/>
          <w:szCs w:val="20"/>
          <w:lang w:val="ro-RO" w:eastAsia="ru-RU"/>
        </w:rPr>
        <w:t>.</w:t>
      </w:r>
    </w:p>
    <w:p w14:paraId="456CB43A" w14:textId="1ECAB721" w:rsidR="004F505F" w:rsidRDefault="004F505F" w:rsidP="004F505F">
      <w:pPr>
        <w:pStyle w:val="cb"/>
        <w:spacing w:before="120"/>
        <w:ind w:firstLine="540"/>
        <w:jc w:val="both"/>
        <w:rPr>
          <w:b w:val="0"/>
          <w:bCs w:val="0"/>
          <w:color w:val="000000" w:themeColor="text1"/>
          <w:lang w:val="ro-RO" w:eastAsia="ru-RU"/>
        </w:rPr>
      </w:pPr>
      <w:r>
        <w:rPr>
          <w:b w:val="0"/>
          <w:bCs w:val="0"/>
          <w:color w:val="000000" w:themeColor="text1"/>
          <w:lang w:val="ro-RO" w:eastAsia="ru-RU"/>
        </w:rPr>
        <w:t xml:space="preserve">În tabelul 8 </w:t>
      </w:r>
      <w:r w:rsidR="00201198">
        <w:rPr>
          <w:b w:val="0"/>
          <w:bCs w:val="0"/>
          <w:color w:val="000000" w:themeColor="text1"/>
          <w:lang w:val="ro-RO" w:eastAsia="ru-RU"/>
        </w:rPr>
        <w:t>sunt</w:t>
      </w:r>
      <w:r>
        <w:rPr>
          <w:b w:val="0"/>
          <w:bCs w:val="0"/>
          <w:color w:val="000000" w:themeColor="text1"/>
          <w:lang w:val="ro-RO" w:eastAsia="ru-RU"/>
        </w:rPr>
        <w:t xml:space="preserve"> prezentat</w:t>
      </w:r>
      <w:r w:rsidR="00201198">
        <w:rPr>
          <w:b w:val="0"/>
          <w:bCs w:val="0"/>
          <w:color w:val="000000" w:themeColor="text1"/>
          <w:lang w:val="ro-RO" w:eastAsia="ru-RU"/>
        </w:rPr>
        <w:t>e</w:t>
      </w:r>
      <w:r>
        <w:rPr>
          <w:b w:val="0"/>
          <w:bCs w:val="0"/>
          <w:color w:val="000000" w:themeColor="text1"/>
          <w:lang w:val="ro-RO" w:eastAsia="ru-RU"/>
        </w:rPr>
        <w:t xml:space="preserve"> </w:t>
      </w:r>
      <w:r w:rsidR="00201198">
        <w:rPr>
          <w:b w:val="0"/>
          <w:bCs w:val="0"/>
          <w:color w:val="000000" w:themeColor="text1"/>
          <w:lang w:val="ro-RO" w:eastAsia="ru-RU"/>
        </w:rPr>
        <w:t>S</w:t>
      </w:r>
      <w:r>
        <w:rPr>
          <w:b w:val="0"/>
          <w:bCs w:val="0"/>
          <w:color w:val="000000" w:themeColor="text1"/>
          <w:lang w:val="ro-RO" w:eastAsia="ru-RU"/>
        </w:rPr>
        <w:t>cenari</w:t>
      </w:r>
      <w:r w:rsidR="00201198">
        <w:rPr>
          <w:b w:val="0"/>
          <w:bCs w:val="0"/>
          <w:color w:val="000000" w:themeColor="text1"/>
          <w:lang w:val="ro-RO" w:eastAsia="ru-RU"/>
        </w:rPr>
        <w:t>ile</w:t>
      </w:r>
      <w:r>
        <w:rPr>
          <w:b w:val="0"/>
          <w:bCs w:val="0"/>
          <w:color w:val="000000" w:themeColor="text1"/>
          <w:lang w:val="ro-RO" w:eastAsia="ru-RU"/>
        </w:rPr>
        <w:t xml:space="preserve"> II (B) </w:t>
      </w:r>
      <w:r w:rsidR="00201198">
        <w:rPr>
          <w:b w:val="0"/>
          <w:bCs w:val="0"/>
          <w:color w:val="000000" w:themeColor="text1"/>
          <w:lang w:val="ro-RO" w:eastAsia="ru-RU"/>
        </w:rPr>
        <w:t xml:space="preserve">și III </w:t>
      </w:r>
      <w:r>
        <w:rPr>
          <w:b w:val="0"/>
          <w:bCs w:val="0"/>
          <w:color w:val="000000" w:themeColor="text1"/>
          <w:lang w:val="ro-RO" w:eastAsia="ru-RU"/>
        </w:rPr>
        <w:t xml:space="preserve">cu </w:t>
      </w:r>
      <w:r w:rsidRPr="000005E5">
        <w:rPr>
          <w:b w:val="0"/>
          <w:bCs w:val="0"/>
          <w:color w:val="000000" w:themeColor="text1"/>
          <w:lang w:val="ro-RO" w:eastAsia="ru-RU"/>
        </w:rPr>
        <w:t>probabilit</w:t>
      </w:r>
      <w:r>
        <w:rPr>
          <w:b w:val="0"/>
          <w:bCs w:val="0"/>
          <w:color w:val="000000" w:themeColor="text1"/>
          <w:lang w:val="ro-RO" w:eastAsia="ru-RU"/>
        </w:rPr>
        <w:t xml:space="preserve">atea </w:t>
      </w:r>
      <w:r w:rsidRPr="000005E5">
        <w:rPr>
          <w:b w:val="0"/>
          <w:bCs w:val="0"/>
          <w:color w:val="000000" w:themeColor="text1"/>
          <w:lang w:val="ro-RO" w:eastAsia="ru-RU"/>
        </w:rPr>
        <w:t>de limitare a furnizării gazelor naturale în proporți</w:t>
      </w:r>
      <w:r>
        <w:rPr>
          <w:b w:val="0"/>
          <w:bCs w:val="0"/>
          <w:color w:val="000000" w:themeColor="text1"/>
          <w:lang w:val="ro-RO" w:eastAsia="ru-RU"/>
        </w:rPr>
        <w:t>e</w:t>
      </w:r>
      <w:r w:rsidRPr="000005E5">
        <w:rPr>
          <w:b w:val="0"/>
          <w:bCs w:val="0"/>
          <w:color w:val="000000" w:themeColor="text1"/>
          <w:lang w:val="ro-RO" w:eastAsia="ru-RU"/>
        </w:rPr>
        <w:t xml:space="preserve"> de </w:t>
      </w:r>
      <w:r w:rsidR="00A53BA5">
        <w:rPr>
          <w:b w:val="0"/>
          <w:bCs w:val="0"/>
          <w:color w:val="000000" w:themeColor="text1"/>
          <w:lang w:val="ro-RO" w:eastAsia="ru-RU"/>
        </w:rPr>
        <w:t>100</w:t>
      </w:r>
      <w:r w:rsidRPr="000005E5">
        <w:rPr>
          <w:b w:val="0"/>
          <w:bCs w:val="0"/>
          <w:color w:val="000000" w:themeColor="text1"/>
          <w:lang w:val="ro-RO" w:eastAsia="ru-RU"/>
        </w:rPr>
        <w:t>%</w:t>
      </w:r>
      <w:r>
        <w:rPr>
          <w:b w:val="0"/>
          <w:bCs w:val="0"/>
          <w:color w:val="000000" w:themeColor="text1"/>
          <w:lang w:val="ro-RO" w:eastAsia="ru-RU"/>
        </w:rPr>
        <w:t xml:space="preserve">, inclusiv măsurile necesare a fi întreprinse în vederea reducerii cererii sau acoperirii </w:t>
      </w:r>
      <w:r w:rsidR="00201198">
        <w:rPr>
          <w:b w:val="0"/>
          <w:bCs w:val="0"/>
          <w:color w:val="000000" w:themeColor="text1"/>
          <w:lang w:val="ro-RO" w:eastAsia="ru-RU"/>
        </w:rPr>
        <w:t xml:space="preserve">unui eventual </w:t>
      </w:r>
      <w:r>
        <w:rPr>
          <w:b w:val="0"/>
          <w:bCs w:val="0"/>
          <w:color w:val="000000" w:themeColor="text1"/>
          <w:lang w:val="ro-RO" w:eastAsia="ru-RU"/>
        </w:rPr>
        <w:t>deficit de gaze naturale. În acest scenariu, sunt considerate a fi aplicate măsurile 1-</w:t>
      </w:r>
      <w:r w:rsidR="00201198">
        <w:rPr>
          <w:b w:val="0"/>
          <w:bCs w:val="0"/>
          <w:color w:val="000000" w:themeColor="text1"/>
          <w:lang w:val="ro-RO" w:eastAsia="ru-RU"/>
        </w:rPr>
        <w:t>6</w:t>
      </w:r>
      <w:r>
        <w:rPr>
          <w:b w:val="0"/>
          <w:bCs w:val="0"/>
          <w:color w:val="000000" w:themeColor="text1"/>
          <w:lang w:val="ro-RO" w:eastAsia="ru-RU"/>
        </w:rPr>
        <w:t xml:space="preserve"> cu aplicarea adițională a măsuri</w:t>
      </w:r>
      <w:r w:rsidR="00201198">
        <w:rPr>
          <w:b w:val="0"/>
          <w:bCs w:val="0"/>
          <w:color w:val="000000" w:themeColor="text1"/>
          <w:lang w:val="ro-RO" w:eastAsia="ru-RU"/>
        </w:rPr>
        <w:t>lor</w:t>
      </w:r>
      <w:r>
        <w:rPr>
          <w:b w:val="0"/>
          <w:bCs w:val="0"/>
          <w:color w:val="000000" w:themeColor="text1"/>
          <w:lang w:val="ro-RO" w:eastAsia="ru-RU"/>
        </w:rPr>
        <w:t xml:space="preserve"> </w:t>
      </w:r>
      <w:r w:rsidR="00201198">
        <w:rPr>
          <w:b w:val="0"/>
          <w:bCs w:val="0"/>
          <w:color w:val="000000" w:themeColor="text1"/>
          <w:lang w:val="ro-RO" w:eastAsia="ru-RU"/>
        </w:rPr>
        <w:t>7-1</w:t>
      </w:r>
      <w:r w:rsidR="00BF6F2F">
        <w:rPr>
          <w:b w:val="0"/>
          <w:bCs w:val="0"/>
          <w:color w:val="000000" w:themeColor="text1"/>
          <w:lang w:val="ro-RO" w:eastAsia="ru-RU"/>
        </w:rPr>
        <w:t>2</w:t>
      </w:r>
      <w:r>
        <w:rPr>
          <w:b w:val="0"/>
          <w:bCs w:val="0"/>
          <w:color w:val="000000" w:themeColor="text1"/>
          <w:lang w:val="ro-RO" w:eastAsia="ru-RU"/>
        </w:rPr>
        <w:t>.</w:t>
      </w:r>
    </w:p>
    <w:p w14:paraId="623AADF7" w14:textId="77777777" w:rsidR="004F505F" w:rsidRDefault="004F505F" w:rsidP="007B4D47">
      <w:pPr>
        <w:pStyle w:val="cb"/>
        <w:jc w:val="left"/>
        <w:rPr>
          <w:lang w:val="ro-RO"/>
        </w:rPr>
      </w:pPr>
    </w:p>
    <w:p w14:paraId="543C980B" w14:textId="1372CBC4" w:rsidR="007B4D47" w:rsidRPr="007B4D47" w:rsidRDefault="007B4D47" w:rsidP="00201198">
      <w:pPr>
        <w:pStyle w:val="cb"/>
        <w:ind w:left="1170" w:hanging="1170"/>
        <w:jc w:val="both"/>
        <w:rPr>
          <w:rStyle w:val="Strong"/>
          <w:color w:val="333333"/>
          <w:shd w:val="clear" w:color="auto" w:fill="FFFFFF"/>
          <w:lang w:val="ro-RO"/>
        </w:rPr>
      </w:pPr>
      <w:r w:rsidRPr="002C0527">
        <w:rPr>
          <w:lang w:val="ro-RO"/>
        </w:rPr>
        <w:t xml:space="preserve">Tabelul </w:t>
      </w:r>
      <w:r w:rsidR="004F505F">
        <w:rPr>
          <w:lang w:val="ro-RO"/>
        </w:rPr>
        <w:t>8</w:t>
      </w:r>
      <w:r w:rsidRPr="002C0527">
        <w:rPr>
          <w:lang w:val="ro-RO"/>
        </w:rPr>
        <w:t xml:space="preserve">. </w:t>
      </w:r>
      <w:r w:rsidRPr="00201198">
        <w:rPr>
          <w:b w:val="0"/>
          <w:bCs w:val="0"/>
          <w:sz w:val="22"/>
          <w:szCs w:val="22"/>
          <w:lang w:val="ro-RO"/>
        </w:rPr>
        <w:t>Scenari</w:t>
      </w:r>
      <w:r w:rsidR="00201198">
        <w:rPr>
          <w:b w:val="0"/>
          <w:bCs w:val="0"/>
          <w:sz w:val="22"/>
          <w:szCs w:val="22"/>
          <w:lang w:val="ro-RO"/>
        </w:rPr>
        <w:t>i</w:t>
      </w:r>
      <w:r w:rsidRPr="00201198">
        <w:rPr>
          <w:b w:val="0"/>
          <w:bCs w:val="0"/>
          <w:sz w:val="22"/>
          <w:szCs w:val="22"/>
          <w:lang w:val="ro-RO"/>
        </w:rPr>
        <w:t>l</w:t>
      </w:r>
      <w:r w:rsidR="00201198">
        <w:rPr>
          <w:b w:val="0"/>
          <w:bCs w:val="0"/>
          <w:sz w:val="22"/>
          <w:szCs w:val="22"/>
          <w:lang w:val="ro-RO"/>
        </w:rPr>
        <w:t>e</w:t>
      </w:r>
      <w:r w:rsidRPr="00201198">
        <w:rPr>
          <w:b w:val="0"/>
          <w:bCs w:val="0"/>
          <w:sz w:val="22"/>
          <w:szCs w:val="22"/>
          <w:lang w:val="ro-RO"/>
        </w:rPr>
        <w:t xml:space="preserve"> cu probabilitatea de limitare a furnizării gazelor naturale cu </w:t>
      </w:r>
      <w:r w:rsidR="00A53BA5" w:rsidRPr="00201198">
        <w:rPr>
          <w:b w:val="0"/>
          <w:bCs w:val="0"/>
          <w:sz w:val="22"/>
          <w:szCs w:val="22"/>
          <w:lang w:val="ro-RO"/>
        </w:rPr>
        <w:t>100</w:t>
      </w:r>
      <w:r w:rsidRPr="00201198">
        <w:rPr>
          <w:b w:val="0"/>
          <w:bCs w:val="0"/>
          <w:sz w:val="22"/>
          <w:szCs w:val="22"/>
          <w:lang w:val="ro-RO"/>
        </w:rPr>
        <w:t>% și măsuri</w:t>
      </w:r>
      <w:r w:rsidR="00A53BA5" w:rsidRPr="00201198">
        <w:rPr>
          <w:b w:val="0"/>
          <w:bCs w:val="0"/>
          <w:sz w:val="22"/>
          <w:szCs w:val="22"/>
          <w:lang w:val="ro-RO"/>
        </w:rPr>
        <w:t xml:space="preserve"> </w:t>
      </w:r>
      <w:r w:rsidRPr="00201198">
        <w:rPr>
          <w:b w:val="0"/>
          <w:bCs w:val="0"/>
          <w:sz w:val="22"/>
          <w:szCs w:val="22"/>
          <w:lang w:val="ro-RO"/>
        </w:rPr>
        <w:t>necesare a fi întreprinse.</w:t>
      </w:r>
    </w:p>
    <w:tbl>
      <w:tblPr>
        <w:tblStyle w:val="TableGrid"/>
        <w:tblW w:w="5000" w:type="pct"/>
        <w:tblLook w:val="04A0" w:firstRow="1" w:lastRow="0" w:firstColumn="1" w:lastColumn="0" w:noHBand="0" w:noVBand="1"/>
      </w:tblPr>
      <w:tblGrid>
        <w:gridCol w:w="1055"/>
        <w:gridCol w:w="1439"/>
        <w:gridCol w:w="861"/>
        <w:gridCol w:w="566"/>
        <w:gridCol w:w="666"/>
        <w:gridCol w:w="666"/>
        <w:gridCol w:w="666"/>
        <w:gridCol w:w="1162"/>
        <w:gridCol w:w="800"/>
        <w:gridCol w:w="700"/>
        <w:gridCol w:w="672"/>
        <w:gridCol w:w="916"/>
      </w:tblGrid>
      <w:tr w:rsidR="00682C77" w:rsidRPr="00682C77" w14:paraId="1953A2CC" w14:textId="77777777" w:rsidTr="00844F82">
        <w:tc>
          <w:tcPr>
            <w:tcW w:w="589" w:type="pct"/>
            <w:vMerge w:val="restart"/>
            <w:shd w:val="clear" w:color="auto" w:fill="A8D08D" w:themeFill="accent6" w:themeFillTint="99"/>
            <w:vAlign w:val="center"/>
          </w:tcPr>
          <w:p w14:paraId="1CCDC67F"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Scenarii limitarea furnizării gazelor naturale</w:t>
            </w:r>
          </w:p>
        </w:tc>
        <w:tc>
          <w:tcPr>
            <w:tcW w:w="725" w:type="pct"/>
            <w:vMerge w:val="restart"/>
            <w:shd w:val="clear" w:color="auto" w:fill="A8D08D" w:themeFill="accent6" w:themeFillTint="99"/>
            <w:vAlign w:val="center"/>
          </w:tcPr>
          <w:p w14:paraId="1D44C770"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Probabilitatea</w:t>
            </w:r>
          </w:p>
        </w:tc>
        <w:tc>
          <w:tcPr>
            <w:tcW w:w="434" w:type="pct"/>
            <w:vMerge w:val="restart"/>
            <w:shd w:val="clear" w:color="auto" w:fill="A8D08D" w:themeFill="accent6" w:themeFillTint="99"/>
            <w:vAlign w:val="center"/>
          </w:tcPr>
          <w:p w14:paraId="72A3E13C" w14:textId="77777777" w:rsidR="001B280E" w:rsidRPr="00682C77" w:rsidRDefault="001B280E" w:rsidP="00A5677A">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 limitări</w:t>
            </w:r>
          </w:p>
        </w:tc>
        <w:tc>
          <w:tcPr>
            <w:tcW w:w="345" w:type="pct"/>
            <w:shd w:val="clear" w:color="auto" w:fill="A8D08D" w:themeFill="accent6" w:themeFillTint="99"/>
            <w:vAlign w:val="center"/>
          </w:tcPr>
          <w:p w14:paraId="1404BAED"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Oct</w:t>
            </w:r>
          </w:p>
        </w:tc>
        <w:tc>
          <w:tcPr>
            <w:tcW w:w="345" w:type="pct"/>
            <w:shd w:val="clear" w:color="auto" w:fill="A8D08D" w:themeFill="accent6" w:themeFillTint="99"/>
            <w:vAlign w:val="center"/>
          </w:tcPr>
          <w:p w14:paraId="1483E0F4"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Nov</w:t>
            </w:r>
          </w:p>
        </w:tc>
        <w:tc>
          <w:tcPr>
            <w:tcW w:w="345" w:type="pct"/>
            <w:shd w:val="clear" w:color="auto" w:fill="A8D08D" w:themeFill="accent6" w:themeFillTint="99"/>
            <w:vAlign w:val="center"/>
          </w:tcPr>
          <w:p w14:paraId="2259B5BA"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Dec</w:t>
            </w:r>
          </w:p>
        </w:tc>
        <w:tc>
          <w:tcPr>
            <w:tcW w:w="345" w:type="pct"/>
            <w:shd w:val="clear" w:color="auto" w:fill="A8D08D" w:themeFill="accent6" w:themeFillTint="99"/>
            <w:vAlign w:val="center"/>
          </w:tcPr>
          <w:p w14:paraId="669D662D"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Ian</w:t>
            </w:r>
          </w:p>
        </w:tc>
        <w:tc>
          <w:tcPr>
            <w:tcW w:w="345" w:type="pct"/>
            <w:shd w:val="clear" w:color="auto" w:fill="A8D08D" w:themeFill="accent6" w:themeFillTint="99"/>
            <w:vAlign w:val="center"/>
          </w:tcPr>
          <w:p w14:paraId="3F65C2BC" w14:textId="77777777" w:rsidR="001B280E" w:rsidRPr="00682C77" w:rsidRDefault="001B280E" w:rsidP="00682C77">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Feb</w:t>
            </w:r>
          </w:p>
        </w:tc>
        <w:tc>
          <w:tcPr>
            <w:tcW w:w="345" w:type="pct"/>
            <w:shd w:val="clear" w:color="auto" w:fill="A8D08D" w:themeFill="accent6" w:themeFillTint="99"/>
            <w:vAlign w:val="center"/>
          </w:tcPr>
          <w:p w14:paraId="3DEC7FD6"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Mar</w:t>
            </w:r>
          </w:p>
        </w:tc>
        <w:tc>
          <w:tcPr>
            <w:tcW w:w="345" w:type="pct"/>
            <w:shd w:val="clear" w:color="auto" w:fill="A8D08D" w:themeFill="accent6" w:themeFillTint="99"/>
            <w:vAlign w:val="center"/>
          </w:tcPr>
          <w:p w14:paraId="34F110E8"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Apr</w:t>
            </w:r>
          </w:p>
        </w:tc>
        <w:tc>
          <w:tcPr>
            <w:tcW w:w="381" w:type="pct"/>
            <w:shd w:val="clear" w:color="auto" w:fill="A8D08D" w:themeFill="accent6" w:themeFillTint="99"/>
            <w:vAlign w:val="center"/>
          </w:tcPr>
          <w:p w14:paraId="1F2257CB"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Total</w:t>
            </w:r>
          </w:p>
        </w:tc>
        <w:tc>
          <w:tcPr>
            <w:tcW w:w="456" w:type="pct"/>
            <w:vMerge w:val="restart"/>
            <w:shd w:val="clear" w:color="auto" w:fill="A8D08D" w:themeFill="accent6" w:themeFillTint="99"/>
            <w:vAlign w:val="center"/>
          </w:tcPr>
          <w:p w14:paraId="038ED37A"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Rezerva</w:t>
            </w:r>
          </w:p>
        </w:tc>
      </w:tr>
      <w:tr w:rsidR="001B280E" w:rsidRPr="00682C77" w14:paraId="3D3FAE2B" w14:textId="77777777" w:rsidTr="00844F82">
        <w:tc>
          <w:tcPr>
            <w:tcW w:w="589" w:type="pct"/>
            <w:vMerge/>
            <w:shd w:val="clear" w:color="auto" w:fill="A8D08D" w:themeFill="accent6" w:themeFillTint="99"/>
            <w:vAlign w:val="center"/>
          </w:tcPr>
          <w:p w14:paraId="38993DC8"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p>
        </w:tc>
        <w:tc>
          <w:tcPr>
            <w:tcW w:w="725" w:type="pct"/>
            <w:vMerge/>
            <w:shd w:val="clear" w:color="auto" w:fill="A8D08D" w:themeFill="accent6" w:themeFillTint="99"/>
            <w:vAlign w:val="center"/>
          </w:tcPr>
          <w:p w14:paraId="69E3FB0B"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p>
        </w:tc>
        <w:tc>
          <w:tcPr>
            <w:tcW w:w="434" w:type="pct"/>
            <w:vMerge/>
            <w:shd w:val="clear" w:color="auto" w:fill="A8D08D" w:themeFill="accent6" w:themeFillTint="99"/>
            <w:vAlign w:val="center"/>
          </w:tcPr>
          <w:p w14:paraId="6A22C995" w14:textId="77777777" w:rsidR="001B280E" w:rsidRPr="00682C77" w:rsidRDefault="001B280E" w:rsidP="00A5677A">
            <w:pPr>
              <w:spacing w:before="60"/>
              <w:rPr>
                <w:rFonts w:ascii="Times New Roman" w:hAnsi="Times New Roman" w:cs="Times New Roman"/>
                <w:b/>
                <w:bCs/>
                <w:color w:val="000000" w:themeColor="text1"/>
                <w:sz w:val="20"/>
                <w:szCs w:val="20"/>
                <w:lang w:val="ro-RO"/>
              </w:rPr>
            </w:pPr>
          </w:p>
        </w:tc>
        <w:tc>
          <w:tcPr>
            <w:tcW w:w="2797" w:type="pct"/>
            <w:gridSpan w:val="8"/>
            <w:shd w:val="clear" w:color="auto" w:fill="A8D08D" w:themeFill="accent6" w:themeFillTint="99"/>
            <w:vAlign w:val="center"/>
          </w:tcPr>
          <w:p w14:paraId="539C4B3E" w14:textId="77777777" w:rsidR="001B280E" w:rsidRPr="00682C77" w:rsidRDefault="001B280E" w:rsidP="00A5677A">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 xml:space="preserve">Deficit volume de gaze naturale în caz de limitare, </w:t>
            </w:r>
            <w:r w:rsidRPr="00682C77">
              <w:rPr>
                <w:rFonts w:ascii="Times New Roman" w:hAnsi="Times New Roman" w:cs="Times New Roman"/>
                <w:b/>
                <w:bCs/>
                <w:color w:val="000000" w:themeColor="text1"/>
                <w:sz w:val="20"/>
                <w:szCs w:val="20"/>
                <w:lang w:val="ro-RO"/>
              </w:rPr>
              <w:br/>
              <w:t>mil m</w:t>
            </w:r>
            <w:r w:rsidRPr="00682C77">
              <w:rPr>
                <w:rFonts w:ascii="Times New Roman" w:hAnsi="Times New Roman" w:cs="Times New Roman"/>
                <w:b/>
                <w:bCs/>
                <w:color w:val="000000" w:themeColor="text1"/>
                <w:sz w:val="20"/>
                <w:szCs w:val="20"/>
                <w:vertAlign w:val="superscript"/>
                <w:lang w:val="ro-RO"/>
              </w:rPr>
              <w:t>3</w:t>
            </w:r>
          </w:p>
        </w:tc>
        <w:tc>
          <w:tcPr>
            <w:tcW w:w="456" w:type="pct"/>
            <w:vMerge/>
            <w:shd w:val="clear" w:color="auto" w:fill="E2EFD9" w:themeFill="accent6" w:themeFillTint="33"/>
          </w:tcPr>
          <w:p w14:paraId="2DFF7BDE" w14:textId="77777777" w:rsidR="001B280E" w:rsidRPr="00682C77" w:rsidRDefault="001B280E" w:rsidP="00A5677A">
            <w:pPr>
              <w:spacing w:before="60"/>
              <w:jc w:val="center"/>
              <w:rPr>
                <w:rFonts w:ascii="Times New Roman" w:hAnsi="Times New Roman" w:cs="Times New Roman"/>
                <w:b/>
                <w:bCs/>
                <w:color w:val="000000" w:themeColor="text1"/>
                <w:sz w:val="20"/>
                <w:szCs w:val="20"/>
                <w:lang w:val="ro-RO"/>
              </w:rPr>
            </w:pPr>
          </w:p>
        </w:tc>
      </w:tr>
      <w:tr w:rsidR="00682C77" w:rsidRPr="00682C77" w14:paraId="0C709E8D" w14:textId="77777777" w:rsidTr="00844F82">
        <w:trPr>
          <w:trHeight w:val="68"/>
        </w:trPr>
        <w:tc>
          <w:tcPr>
            <w:tcW w:w="589" w:type="pct"/>
            <w:shd w:val="clear" w:color="auto" w:fill="A8D08D" w:themeFill="accent6" w:themeFillTint="99"/>
            <w:vAlign w:val="center"/>
          </w:tcPr>
          <w:p w14:paraId="4F097C24" w14:textId="24BF2672" w:rsidR="00C23E81" w:rsidRPr="00682C77" w:rsidRDefault="00C23E81" w:rsidP="00C23E81">
            <w:pPr>
              <w:pStyle w:val="ListParagraph"/>
              <w:spacing w:before="60"/>
              <w:ind w:left="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II (B)</w:t>
            </w:r>
            <w:r w:rsidR="00682C77" w:rsidRPr="00682C77">
              <w:rPr>
                <w:rFonts w:ascii="Times New Roman" w:hAnsi="Times New Roman" w:cs="Times New Roman"/>
                <w:b/>
                <w:bCs/>
                <w:color w:val="000000" w:themeColor="text1"/>
                <w:sz w:val="20"/>
                <w:szCs w:val="20"/>
                <w:lang w:val="ro-RO"/>
              </w:rPr>
              <w:t xml:space="preserve"> și III</w:t>
            </w:r>
          </w:p>
        </w:tc>
        <w:tc>
          <w:tcPr>
            <w:tcW w:w="725" w:type="pct"/>
            <w:shd w:val="clear" w:color="auto" w:fill="A8D08D" w:themeFill="accent6" w:themeFillTint="99"/>
            <w:vAlign w:val="center"/>
          </w:tcPr>
          <w:p w14:paraId="39EC46B9" w14:textId="77777777" w:rsidR="00C23E81" w:rsidRPr="00682C77" w:rsidRDefault="00C23E81" w:rsidP="00C23E81">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Ridicată</w:t>
            </w:r>
          </w:p>
        </w:tc>
        <w:tc>
          <w:tcPr>
            <w:tcW w:w="434" w:type="pct"/>
            <w:shd w:val="clear" w:color="auto" w:fill="A8D08D" w:themeFill="accent6" w:themeFillTint="99"/>
            <w:vAlign w:val="center"/>
          </w:tcPr>
          <w:p w14:paraId="3861F249" w14:textId="62509B23" w:rsidR="00C23E81" w:rsidRPr="00682C77" w:rsidRDefault="00C23E81" w:rsidP="00C23E81">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themeColor="text1"/>
                <w:sz w:val="20"/>
                <w:szCs w:val="20"/>
                <w:lang w:val="ro-RO"/>
              </w:rPr>
              <w:t>100 %</w:t>
            </w:r>
          </w:p>
        </w:tc>
        <w:tc>
          <w:tcPr>
            <w:tcW w:w="345" w:type="pct"/>
            <w:shd w:val="clear" w:color="auto" w:fill="auto"/>
            <w:vAlign w:val="center"/>
          </w:tcPr>
          <w:p w14:paraId="2098B483" w14:textId="310155BD" w:rsidR="00C23E81" w:rsidRPr="00682C77" w:rsidRDefault="00C23E81" w:rsidP="00C23E81">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sz w:val="20"/>
                <w:szCs w:val="20"/>
                <w:lang w:val="ro-RO"/>
              </w:rPr>
              <w:t>72.3</w:t>
            </w:r>
          </w:p>
        </w:tc>
        <w:tc>
          <w:tcPr>
            <w:tcW w:w="345" w:type="pct"/>
            <w:shd w:val="clear" w:color="auto" w:fill="auto"/>
            <w:vAlign w:val="center"/>
          </w:tcPr>
          <w:p w14:paraId="1D51BED6" w14:textId="72EBC164" w:rsidR="00C23E81" w:rsidRPr="00682C77" w:rsidRDefault="00C23E81" w:rsidP="00C23E81">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sz w:val="20"/>
                <w:szCs w:val="20"/>
              </w:rPr>
              <w:t>134.4</w:t>
            </w:r>
          </w:p>
        </w:tc>
        <w:tc>
          <w:tcPr>
            <w:tcW w:w="345" w:type="pct"/>
            <w:shd w:val="clear" w:color="auto" w:fill="auto"/>
            <w:vAlign w:val="center"/>
          </w:tcPr>
          <w:p w14:paraId="6412E8E3" w14:textId="5FD31030" w:rsidR="00C23E81" w:rsidRPr="00682C77" w:rsidRDefault="00C23E81" w:rsidP="00C23E81">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sz w:val="20"/>
                <w:szCs w:val="20"/>
              </w:rPr>
              <w:t>171.9</w:t>
            </w:r>
          </w:p>
        </w:tc>
        <w:tc>
          <w:tcPr>
            <w:tcW w:w="345" w:type="pct"/>
            <w:shd w:val="clear" w:color="auto" w:fill="auto"/>
            <w:vAlign w:val="center"/>
          </w:tcPr>
          <w:p w14:paraId="447D41CD" w14:textId="6548FC32" w:rsidR="00C23E81" w:rsidRPr="00682C77" w:rsidRDefault="00C23E81" w:rsidP="00C23E81">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sz w:val="20"/>
                <w:szCs w:val="20"/>
              </w:rPr>
              <w:t>184</w:t>
            </w:r>
            <w:r w:rsidR="00682C77">
              <w:rPr>
                <w:rFonts w:ascii="Times New Roman" w:hAnsi="Times New Roman" w:cs="Times New Roman"/>
                <w:b/>
                <w:bCs/>
                <w:color w:val="000000"/>
                <w:sz w:val="20"/>
                <w:szCs w:val="20"/>
                <w:lang w:val="ro-RO"/>
              </w:rPr>
              <w:t>.0</w:t>
            </w:r>
          </w:p>
        </w:tc>
        <w:tc>
          <w:tcPr>
            <w:tcW w:w="345" w:type="pct"/>
            <w:shd w:val="clear" w:color="auto" w:fill="auto"/>
            <w:vAlign w:val="center"/>
          </w:tcPr>
          <w:p w14:paraId="1452408C" w14:textId="64D1648F" w:rsidR="00C23E81" w:rsidRPr="00682C77" w:rsidRDefault="00C23E81" w:rsidP="00C23E81">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sz w:val="20"/>
                <w:szCs w:val="20"/>
              </w:rPr>
              <w:t>152.3</w:t>
            </w:r>
          </w:p>
        </w:tc>
        <w:tc>
          <w:tcPr>
            <w:tcW w:w="345" w:type="pct"/>
            <w:shd w:val="clear" w:color="auto" w:fill="auto"/>
            <w:vAlign w:val="center"/>
          </w:tcPr>
          <w:p w14:paraId="328303FE" w14:textId="5D09E995" w:rsidR="00C23E81" w:rsidRPr="00682C77" w:rsidRDefault="00C23E81" w:rsidP="00C23E81">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sz w:val="20"/>
                <w:szCs w:val="20"/>
              </w:rPr>
              <w:t>141</w:t>
            </w:r>
            <w:r w:rsidR="00682C77">
              <w:rPr>
                <w:rFonts w:ascii="Times New Roman" w:hAnsi="Times New Roman" w:cs="Times New Roman"/>
                <w:b/>
                <w:bCs/>
                <w:color w:val="000000"/>
                <w:sz w:val="20"/>
                <w:szCs w:val="20"/>
                <w:lang w:val="ro-RO"/>
              </w:rPr>
              <w:t>.0</w:t>
            </w:r>
          </w:p>
        </w:tc>
        <w:tc>
          <w:tcPr>
            <w:tcW w:w="345" w:type="pct"/>
            <w:shd w:val="clear" w:color="auto" w:fill="auto"/>
            <w:vAlign w:val="center"/>
          </w:tcPr>
          <w:p w14:paraId="673CE589" w14:textId="7BE288C6" w:rsidR="00C23E81" w:rsidRPr="00682C77" w:rsidRDefault="00C23E81" w:rsidP="00C23E81">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sz w:val="20"/>
                <w:szCs w:val="20"/>
              </w:rPr>
              <w:t>64.3</w:t>
            </w:r>
          </w:p>
        </w:tc>
        <w:tc>
          <w:tcPr>
            <w:tcW w:w="381" w:type="pct"/>
            <w:shd w:val="clear" w:color="000000" w:fill="A8D08D"/>
            <w:vAlign w:val="center"/>
          </w:tcPr>
          <w:p w14:paraId="263EB6CD" w14:textId="48346722" w:rsidR="00C23E81" w:rsidRPr="00682C77" w:rsidRDefault="00C23E81" w:rsidP="00C23E81">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sz w:val="20"/>
                <w:szCs w:val="20"/>
                <w:lang w:val="ro-RO"/>
              </w:rPr>
              <w:t>920.2</w:t>
            </w:r>
          </w:p>
        </w:tc>
        <w:tc>
          <w:tcPr>
            <w:tcW w:w="456" w:type="pct"/>
            <w:shd w:val="clear" w:color="auto" w:fill="A8D08D" w:themeFill="accent6" w:themeFillTint="99"/>
            <w:vAlign w:val="center"/>
          </w:tcPr>
          <w:p w14:paraId="4EF79DE1" w14:textId="77777777" w:rsidR="00C23E81" w:rsidRPr="00682C77" w:rsidRDefault="00C23E81" w:rsidP="00C23E81">
            <w:pPr>
              <w:spacing w:before="60"/>
              <w:jc w:val="center"/>
              <w:rPr>
                <w:rFonts w:ascii="Times New Roman" w:hAnsi="Times New Roman" w:cs="Times New Roman"/>
                <w:b/>
                <w:bCs/>
                <w:color w:val="000000" w:themeColor="text1"/>
                <w:sz w:val="20"/>
                <w:szCs w:val="20"/>
                <w:lang w:val="ro-RO"/>
              </w:rPr>
            </w:pPr>
          </w:p>
        </w:tc>
      </w:tr>
      <w:tr w:rsidR="00682C77" w:rsidRPr="00682C77" w14:paraId="12BE3F77" w14:textId="77777777" w:rsidTr="00682C77">
        <w:trPr>
          <w:trHeight w:val="530"/>
        </w:trPr>
        <w:tc>
          <w:tcPr>
            <w:tcW w:w="1747" w:type="pct"/>
            <w:gridSpan w:val="3"/>
            <w:shd w:val="clear" w:color="auto" w:fill="A8D08D" w:themeFill="accent6" w:themeFillTint="99"/>
            <w:vAlign w:val="center"/>
          </w:tcPr>
          <w:p w14:paraId="577F4A95" w14:textId="3F931473" w:rsidR="006F7516" w:rsidRPr="00682C77" w:rsidRDefault="006F7516" w:rsidP="006F7516">
            <w:pPr>
              <w:spacing w:before="60"/>
              <w:ind w:left="-85" w:right="-85"/>
              <w:jc w:val="both"/>
              <w:rPr>
                <w:rFonts w:ascii="Times New Roman" w:hAnsi="Times New Roman" w:cs="Times New Roman"/>
                <w:color w:val="000000" w:themeColor="text1"/>
                <w:sz w:val="20"/>
                <w:szCs w:val="20"/>
                <w:lang w:val="ro-RO"/>
              </w:rPr>
            </w:pPr>
            <w:r w:rsidRPr="00682C77">
              <w:rPr>
                <w:rFonts w:ascii="Times New Roman" w:hAnsi="Times New Roman" w:cs="Times New Roman"/>
                <w:b/>
                <w:bCs/>
                <w:color w:val="000000" w:themeColor="text1"/>
                <w:sz w:val="20"/>
                <w:szCs w:val="20"/>
                <w:lang w:val="ro-RO"/>
              </w:rPr>
              <w:t>Măsurile nr. 1-6</w:t>
            </w:r>
          </w:p>
        </w:tc>
        <w:tc>
          <w:tcPr>
            <w:tcW w:w="345" w:type="pct"/>
            <w:shd w:val="clear" w:color="auto" w:fill="auto"/>
            <w:vAlign w:val="center"/>
          </w:tcPr>
          <w:p w14:paraId="495D1B48" w14:textId="589A9B21" w:rsidR="006F7516" w:rsidRPr="00682C77" w:rsidRDefault="006F7516" w:rsidP="006F7516">
            <w:pPr>
              <w:spacing w:before="60"/>
              <w:jc w:val="center"/>
              <w:rPr>
                <w:rFonts w:ascii="Times New Roman" w:hAnsi="Times New Roman" w:cs="Times New Roman"/>
                <w:color w:val="000000" w:themeColor="text1"/>
                <w:sz w:val="20"/>
                <w:szCs w:val="20"/>
                <w:highlight w:val="yellow"/>
                <w:lang w:val="ro-RO"/>
              </w:rPr>
            </w:pPr>
            <w:r w:rsidRPr="00682C77">
              <w:rPr>
                <w:rFonts w:ascii="Times New Roman" w:hAnsi="Times New Roman" w:cs="Times New Roman"/>
                <w:color w:val="000000"/>
                <w:sz w:val="20"/>
                <w:szCs w:val="20"/>
              </w:rPr>
              <w:t>9.7</w:t>
            </w:r>
          </w:p>
        </w:tc>
        <w:tc>
          <w:tcPr>
            <w:tcW w:w="345" w:type="pct"/>
            <w:shd w:val="clear" w:color="auto" w:fill="auto"/>
            <w:vAlign w:val="center"/>
          </w:tcPr>
          <w:p w14:paraId="13EC7B3E" w14:textId="3E3E29D0" w:rsidR="006F7516" w:rsidRPr="00682C77" w:rsidRDefault="006F7516" w:rsidP="006F7516">
            <w:pPr>
              <w:spacing w:before="60"/>
              <w:jc w:val="center"/>
              <w:rPr>
                <w:rFonts w:ascii="Times New Roman" w:hAnsi="Times New Roman" w:cs="Times New Roman"/>
                <w:color w:val="000000" w:themeColor="text1"/>
                <w:sz w:val="20"/>
                <w:szCs w:val="20"/>
                <w:highlight w:val="yellow"/>
                <w:lang w:val="ro-RO"/>
              </w:rPr>
            </w:pPr>
            <w:r w:rsidRPr="00682C77">
              <w:rPr>
                <w:rFonts w:ascii="Times New Roman" w:hAnsi="Times New Roman" w:cs="Times New Roman"/>
                <w:color w:val="000000"/>
                <w:sz w:val="20"/>
                <w:szCs w:val="20"/>
              </w:rPr>
              <w:t>25.8</w:t>
            </w:r>
          </w:p>
        </w:tc>
        <w:tc>
          <w:tcPr>
            <w:tcW w:w="345" w:type="pct"/>
            <w:shd w:val="clear" w:color="auto" w:fill="auto"/>
            <w:vAlign w:val="center"/>
          </w:tcPr>
          <w:p w14:paraId="7240A414" w14:textId="71D6EED2" w:rsidR="006F7516" w:rsidRPr="00682C77" w:rsidRDefault="006F7516" w:rsidP="006F7516">
            <w:pPr>
              <w:spacing w:before="60"/>
              <w:jc w:val="center"/>
              <w:rPr>
                <w:rFonts w:ascii="Times New Roman" w:hAnsi="Times New Roman" w:cs="Times New Roman"/>
                <w:color w:val="000000" w:themeColor="text1"/>
                <w:sz w:val="20"/>
                <w:szCs w:val="20"/>
                <w:highlight w:val="yellow"/>
                <w:lang w:val="ro-RO"/>
              </w:rPr>
            </w:pPr>
            <w:r w:rsidRPr="00682C77">
              <w:rPr>
                <w:rFonts w:ascii="Times New Roman" w:hAnsi="Times New Roman" w:cs="Times New Roman"/>
                <w:color w:val="000000"/>
                <w:sz w:val="20"/>
                <w:szCs w:val="20"/>
              </w:rPr>
              <w:t>20.5</w:t>
            </w:r>
          </w:p>
        </w:tc>
        <w:tc>
          <w:tcPr>
            <w:tcW w:w="345" w:type="pct"/>
            <w:shd w:val="clear" w:color="auto" w:fill="auto"/>
            <w:vAlign w:val="center"/>
          </w:tcPr>
          <w:p w14:paraId="34E39A10" w14:textId="5D94DB75" w:rsidR="006F7516" w:rsidRPr="00682C77" w:rsidRDefault="006F7516" w:rsidP="006F7516">
            <w:pPr>
              <w:spacing w:before="60"/>
              <w:jc w:val="center"/>
              <w:rPr>
                <w:rFonts w:ascii="Times New Roman" w:hAnsi="Times New Roman" w:cs="Times New Roman"/>
                <w:color w:val="000000" w:themeColor="text1"/>
                <w:sz w:val="20"/>
                <w:szCs w:val="20"/>
                <w:highlight w:val="yellow"/>
                <w:lang w:val="ro-RO"/>
              </w:rPr>
            </w:pPr>
            <w:r w:rsidRPr="00682C77">
              <w:rPr>
                <w:rFonts w:ascii="Times New Roman" w:hAnsi="Times New Roman" w:cs="Times New Roman"/>
                <w:color w:val="000000"/>
                <w:sz w:val="20"/>
                <w:szCs w:val="20"/>
              </w:rPr>
              <w:t>20.6</w:t>
            </w:r>
          </w:p>
        </w:tc>
        <w:tc>
          <w:tcPr>
            <w:tcW w:w="345" w:type="pct"/>
            <w:shd w:val="clear" w:color="auto" w:fill="auto"/>
            <w:vAlign w:val="center"/>
          </w:tcPr>
          <w:p w14:paraId="1A9A28F6" w14:textId="32B40A5F" w:rsidR="006F7516" w:rsidRPr="00682C77" w:rsidRDefault="006F7516" w:rsidP="006F7516">
            <w:pPr>
              <w:spacing w:before="60"/>
              <w:jc w:val="center"/>
              <w:rPr>
                <w:rFonts w:ascii="Times New Roman" w:hAnsi="Times New Roman" w:cs="Times New Roman"/>
                <w:color w:val="000000" w:themeColor="text1"/>
                <w:sz w:val="20"/>
                <w:szCs w:val="20"/>
                <w:highlight w:val="yellow"/>
                <w:lang w:val="ro-RO"/>
              </w:rPr>
            </w:pPr>
            <w:r w:rsidRPr="00682C77">
              <w:rPr>
                <w:rFonts w:ascii="Times New Roman" w:hAnsi="Times New Roman" w:cs="Times New Roman"/>
                <w:color w:val="000000"/>
                <w:sz w:val="20"/>
                <w:szCs w:val="20"/>
              </w:rPr>
              <w:t>18.6</w:t>
            </w:r>
          </w:p>
        </w:tc>
        <w:tc>
          <w:tcPr>
            <w:tcW w:w="345" w:type="pct"/>
            <w:shd w:val="clear" w:color="auto" w:fill="auto"/>
            <w:vAlign w:val="center"/>
          </w:tcPr>
          <w:p w14:paraId="27223458" w14:textId="3FFEA372" w:rsidR="006F7516" w:rsidRPr="00682C77" w:rsidRDefault="006F7516" w:rsidP="006F7516">
            <w:pPr>
              <w:spacing w:before="60"/>
              <w:jc w:val="center"/>
              <w:rPr>
                <w:rFonts w:ascii="Times New Roman" w:hAnsi="Times New Roman" w:cs="Times New Roman"/>
                <w:color w:val="000000" w:themeColor="text1"/>
                <w:sz w:val="20"/>
                <w:szCs w:val="20"/>
                <w:highlight w:val="yellow"/>
                <w:lang w:val="ro-RO"/>
              </w:rPr>
            </w:pPr>
            <w:r w:rsidRPr="00682C77">
              <w:rPr>
                <w:rFonts w:ascii="Times New Roman" w:hAnsi="Times New Roman" w:cs="Times New Roman"/>
                <w:color w:val="000000"/>
                <w:sz w:val="20"/>
                <w:szCs w:val="20"/>
              </w:rPr>
              <w:t>18.5</w:t>
            </w:r>
          </w:p>
        </w:tc>
        <w:tc>
          <w:tcPr>
            <w:tcW w:w="345" w:type="pct"/>
            <w:shd w:val="clear" w:color="auto" w:fill="auto"/>
            <w:vAlign w:val="center"/>
          </w:tcPr>
          <w:p w14:paraId="663ED8AD" w14:textId="26D12A73" w:rsidR="006F7516" w:rsidRPr="00682C77" w:rsidRDefault="006F7516" w:rsidP="006F7516">
            <w:pPr>
              <w:spacing w:before="60"/>
              <w:jc w:val="center"/>
              <w:rPr>
                <w:rFonts w:ascii="Times New Roman" w:hAnsi="Times New Roman" w:cs="Times New Roman"/>
                <w:color w:val="000000" w:themeColor="text1"/>
                <w:sz w:val="20"/>
                <w:szCs w:val="20"/>
                <w:highlight w:val="yellow"/>
                <w:lang w:val="ro-RO"/>
              </w:rPr>
            </w:pPr>
            <w:r w:rsidRPr="00682C77">
              <w:rPr>
                <w:rFonts w:ascii="Times New Roman" w:hAnsi="Times New Roman" w:cs="Times New Roman"/>
                <w:color w:val="000000"/>
                <w:sz w:val="20"/>
                <w:szCs w:val="20"/>
              </w:rPr>
              <w:t>8.3</w:t>
            </w:r>
          </w:p>
        </w:tc>
        <w:tc>
          <w:tcPr>
            <w:tcW w:w="381" w:type="pct"/>
            <w:shd w:val="clear" w:color="000000" w:fill="A8D08D"/>
            <w:vAlign w:val="center"/>
          </w:tcPr>
          <w:p w14:paraId="140B5458" w14:textId="3CA0BDF1" w:rsidR="006F7516" w:rsidRPr="00682C77" w:rsidRDefault="006F7516" w:rsidP="006F7516">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122.0</w:t>
            </w:r>
          </w:p>
        </w:tc>
        <w:tc>
          <w:tcPr>
            <w:tcW w:w="456" w:type="pct"/>
            <w:shd w:val="clear" w:color="000000" w:fill="A8D08D"/>
            <w:vAlign w:val="center"/>
          </w:tcPr>
          <w:p w14:paraId="11AF723D" w14:textId="13CF1624" w:rsidR="006F7516" w:rsidRPr="00682C77" w:rsidRDefault="003C199E" w:rsidP="006F7516">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w:t>
            </w:r>
          </w:p>
        </w:tc>
      </w:tr>
      <w:tr w:rsidR="00682C77" w:rsidRPr="00682C77" w14:paraId="79CF3CD5" w14:textId="77777777" w:rsidTr="00682C77">
        <w:trPr>
          <w:trHeight w:val="68"/>
        </w:trPr>
        <w:tc>
          <w:tcPr>
            <w:tcW w:w="1747" w:type="pct"/>
            <w:gridSpan w:val="3"/>
            <w:shd w:val="clear" w:color="auto" w:fill="A8D08D" w:themeFill="accent6" w:themeFillTint="99"/>
            <w:vAlign w:val="center"/>
          </w:tcPr>
          <w:p w14:paraId="3F747FDC" w14:textId="313665CE" w:rsidR="00844F82" w:rsidRPr="00682C77" w:rsidRDefault="00844F82" w:rsidP="00844F82">
            <w:pPr>
              <w:spacing w:before="60"/>
              <w:ind w:left="-85" w:right="-85"/>
              <w:jc w:val="both"/>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 xml:space="preserve">Măsura nr. 7: </w:t>
            </w:r>
            <w:r w:rsidRPr="00682C77">
              <w:rPr>
                <w:rFonts w:ascii="Times New Roman" w:hAnsi="Times New Roman" w:cs="Times New Roman"/>
                <w:color w:val="000000" w:themeColor="text1"/>
                <w:sz w:val="20"/>
                <w:szCs w:val="20"/>
                <w:lang w:val="ro-RO"/>
              </w:rPr>
              <w:t>Utilizarea stocurilor de gaze naturale create în perioada precedentă de SA „Energocom” în baza Acordului de împrumut dintre Republica Moldova și BERD ratificat, în vederea realizării proiectului „Securitatea Furnizării Gazelor Naturale”</w:t>
            </w:r>
          </w:p>
        </w:tc>
        <w:tc>
          <w:tcPr>
            <w:tcW w:w="345" w:type="pct"/>
            <w:shd w:val="clear" w:color="000000" w:fill="FFFFFF"/>
            <w:vAlign w:val="center"/>
          </w:tcPr>
          <w:p w14:paraId="7359F56F" w14:textId="7F1CBAF5"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62.6</w:t>
            </w:r>
          </w:p>
        </w:tc>
        <w:tc>
          <w:tcPr>
            <w:tcW w:w="345" w:type="pct"/>
            <w:shd w:val="clear" w:color="000000" w:fill="FFFFFF"/>
            <w:vAlign w:val="center"/>
          </w:tcPr>
          <w:p w14:paraId="5D298D59" w14:textId="0C3D35A8"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62.4</w:t>
            </w:r>
          </w:p>
        </w:tc>
        <w:tc>
          <w:tcPr>
            <w:tcW w:w="345" w:type="pct"/>
            <w:shd w:val="clear" w:color="000000" w:fill="FFFFFF"/>
            <w:vAlign w:val="center"/>
          </w:tcPr>
          <w:p w14:paraId="1E206A13" w14:textId="1C52947A"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sz w:val="20"/>
                <w:szCs w:val="20"/>
                <w:lang w:val="ro-RO"/>
              </w:rPr>
              <w:t>-</w:t>
            </w:r>
          </w:p>
        </w:tc>
        <w:tc>
          <w:tcPr>
            <w:tcW w:w="345" w:type="pct"/>
            <w:shd w:val="clear" w:color="000000" w:fill="FFFFFF"/>
            <w:vAlign w:val="center"/>
          </w:tcPr>
          <w:p w14:paraId="5C920D1A" w14:textId="2716BBAD"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sz w:val="20"/>
                <w:szCs w:val="20"/>
                <w:lang w:val="ro-RO"/>
              </w:rPr>
              <w:t>-</w:t>
            </w:r>
          </w:p>
        </w:tc>
        <w:tc>
          <w:tcPr>
            <w:tcW w:w="345" w:type="pct"/>
            <w:shd w:val="clear" w:color="000000" w:fill="FFFFFF"/>
            <w:vAlign w:val="center"/>
          </w:tcPr>
          <w:p w14:paraId="6A0D931B" w14:textId="365E000F"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25D16BE5" w14:textId="4403B2F3"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6E24F80C" w14:textId="3C683AAC"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81" w:type="pct"/>
            <w:shd w:val="clear" w:color="000000" w:fill="A8D08D"/>
            <w:vAlign w:val="center"/>
          </w:tcPr>
          <w:p w14:paraId="1B4CC59E" w14:textId="3DA36DF5" w:rsidR="00844F82" w:rsidRPr="00682C77" w:rsidRDefault="00844F82" w:rsidP="00844F82">
            <w:pPr>
              <w:spacing w:before="60"/>
              <w:jc w:val="center"/>
              <w:rPr>
                <w:rFonts w:ascii="Times New Roman" w:hAnsi="Times New Roman" w:cs="Times New Roman"/>
                <w:b/>
                <w:bCs/>
                <w:color w:val="000000" w:themeColor="text1"/>
                <w:sz w:val="20"/>
                <w:szCs w:val="20"/>
                <w:lang w:val="en-US"/>
              </w:rPr>
            </w:pPr>
            <w:r w:rsidRPr="00682C77">
              <w:rPr>
                <w:rFonts w:ascii="Times New Roman" w:hAnsi="Times New Roman" w:cs="Times New Roman"/>
                <w:b/>
                <w:bCs/>
                <w:color w:val="000000" w:themeColor="text1"/>
                <w:sz w:val="20"/>
                <w:szCs w:val="20"/>
                <w:lang w:val="en-US"/>
              </w:rPr>
              <w:t>125</w:t>
            </w:r>
          </w:p>
        </w:tc>
        <w:tc>
          <w:tcPr>
            <w:tcW w:w="456" w:type="pct"/>
            <w:shd w:val="clear" w:color="000000" w:fill="A8D08D"/>
            <w:vAlign w:val="center"/>
          </w:tcPr>
          <w:p w14:paraId="6B460F8B" w14:textId="41BE341C" w:rsidR="00844F82" w:rsidRPr="00682C77" w:rsidRDefault="00844F82" w:rsidP="00844F82">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w:t>
            </w:r>
          </w:p>
        </w:tc>
      </w:tr>
      <w:tr w:rsidR="00682C77" w:rsidRPr="00682C77" w14:paraId="5696AC9D" w14:textId="77777777" w:rsidTr="00682C77">
        <w:trPr>
          <w:trHeight w:val="68"/>
        </w:trPr>
        <w:tc>
          <w:tcPr>
            <w:tcW w:w="1747" w:type="pct"/>
            <w:gridSpan w:val="3"/>
            <w:shd w:val="clear" w:color="auto" w:fill="A8D08D" w:themeFill="accent6" w:themeFillTint="99"/>
            <w:vAlign w:val="center"/>
          </w:tcPr>
          <w:p w14:paraId="556DEA00" w14:textId="640C54C1" w:rsidR="00844F82" w:rsidRPr="00682C77" w:rsidRDefault="00844F82" w:rsidP="00844F82">
            <w:pPr>
              <w:spacing w:before="60"/>
              <w:ind w:left="-85" w:right="-85"/>
              <w:jc w:val="both"/>
              <w:rPr>
                <w:rFonts w:ascii="Times New Roman" w:hAnsi="Times New Roman" w:cs="Times New Roman"/>
                <w:color w:val="000000" w:themeColor="text1"/>
                <w:sz w:val="20"/>
                <w:szCs w:val="20"/>
                <w:lang w:val="ro-RO"/>
              </w:rPr>
            </w:pPr>
            <w:r w:rsidRPr="00682C77">
              <w:rPr>
                <w:rFonts w:ascii="Times New Roman" w:hAnsi="Times New Roman" w:cs="Times New Roman"/>
                <w:b/>
                <w:bCs/>
                <w:color w:val="000000" w:themeColor="text1"/>
                <w:sz w:val="20"/>
                <w:szCs w:val="20"/>
                <w:lang w:val="ro-RO"/>
              </w:rPr>
              <w:t>Măsura nr. 8*:</w:t>
            </w:r>
            <w:r w:rsidRPr="00682C77">
              <w:rPr>
                <w:rFonts w:ascii="Times New Roman" w:hAnsi="Times New Roman" w:cs="Times New Roman"/>
                <w:color w:val="000000" w:themeColor="text1"/>
                <w:sz w:val="20"/>
                <w:szCs w:val="20"/>
                <w:lang w:val="ro-RO"/>
              </w:rPr>
              <w:t xml:space="preserve"> Trecerea Termoelectrica (CET sursa 1) la funcționarea combinată pe bază de păcură 50% și gaze naturale 50%</w:t>
            </w:r>
          </w:p>
        </w:tc>
        <w:tc>
          <w:tcPr>
            <w:tcW w:w="345" w:type="pct"/>
            <w:shd w:val="clear" w:color="auto" w:fill="auto"/>
            <w:vAlign w:val="center"/>
          </w:tcPr>
          <w:p w14:paraId="74B6E461" w14:textId="5B2424D7"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27644A09" w14:textId="62DB24D0"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16.7</w:t>
            </w:r>
          </w:p>
        </w:tc>
        <w:tc>
          <w:tcPr>
            <w:tcW w:w="345" w:type="pct"/>
            <w:shd w:val="clear" w:color="000000" w:fill="FFFFFF"/>
            <w:vAlign w:val="center"/>
          </w:tcPr>
          <w:p w14:paraId="4D790B38" w14:textId="0C201B34"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18.3</w:t>
            </w:r>
          </w:p>
        </w:tc>
        <w:tc>
          <w:tcPr>
            <w:tcW w:w="345" w:type="pct"/>
            <w:shd w:val="clear" w:color="000000" w:fill="FFFFFF"/>
            <w:vAlign w:val="center"/>
          </w:tcPr>
          <w:p w14:paraId="37B035EA" w14:textId="46C052FC"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20.5</w:t>
            </w:r>
          </w:p>
        </w:tc>
        <w:tc>
          <w:tcPr>
            <w:tcW w:w="345" w:type="pct"/>
            <w:shd w:val="clear" w:color="000000" w:fill="FFFFFF"/>
            <w:vAlign w:val="center"/>
          </w:tcPr>
          <w:p w14:paraId="7E11324A" w14:textId="5B3C771F"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17.5</w:t>
            </w:r>
          </w:p>
        </w:tc>
        <w:tc>
          <w:tcPr>
            <w:tcW w:w="345" w:type="pct"/>
            <w:shd w:val="clear" w:color="000000" w:fill="FFFFFF"/>
            <w:vAlign w:val="center"/>
          </w:tcPr>
          <w:p w14:paraId="74C32A61" w14:textId="39B2B77B"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16.8</w:t>
            </w:r>
          </w:p>
        </w:tc>
        <w:tc>
          <w:tcPr>
            <w:tcW w:w="345" w:type="pct"/>
            <w:shd w:val="clear" w:color="auto" w:fill="auto"/>
            <w:vAlign w:val="center"/>
          </w:tcPr>
          <w:p w14:paraId="7E3DC1D9" w14:textId="1835ADA5"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7.9</w:t>
            </w:r>
          </w:p>
        </w:tc>
        <w:tc>
          <w:tcPr>
            <w:tcW w:w="381" w:type="pct"/>
            <w:shd w:val="clear" w:color="000000" w:fill="A8D08D"/>
            <w:vAlign w:val="center"/>
          </w:tcPr>
          <w:p w14:paraId="2242905A" w14:textId="45F3C666" w:rsidR="00844F82" w:rsidRPr="00682C77" w:rsidRDefault="00844F82" w:rsidP="00844F82">
            <w:pPr>
              <w:spacing w:before="60"/>
              <w:jc w:val="center"/>
              <w:rPr>
                <w:rFonts w:ascii="Times New Roman" w:hAnsi="Times New Roman" w:cs="Times New Roman"/>
                <w:b/>
                <w:bCs/>
                <w:color w:val="000000" w:themeColor="text1"/>
                <w:sz w:val="20"/>
                <w:szCs w:val="20"/>
                <w:lang w:val="en-US"/>
              </w:rPr>
            </w:pPr>
            <w:r w:rsidRPr="00682C77">
              <w:rPr>
                <w:rFonts w:ascii="Times New Roman" w:hAnsi="Times New Roman" w:cs="Times New Roman"/>
                <w:b/>
                <w:bCs/>
                <w:color w:val="000000"/>
                <w:sz w:val="20"/>
                <w:szCs w:val="20"/>
              </w:rPr>
              <w:t>97.7</w:t>
            </w:r>
          </w:p>
        </w:tc>
        <w:tc>
          <w:tcPr>
            <w:tcW w:w="456" w:type="pct"/>
            <w:shd w:val="clear" w:color="000000" w:fill="A8D08D"/>
            <w:vAlign w:val="center"/>
          </w:tcPr>
          <w:p w14:paraId="6EA8A389" w14:textId="340F1EAE" w:rsidR="00844F82" w:rsidRPr="00682C77" w:rsidRDefault="00844F82" w:rsidP="00844F82">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sz w:val="20"/>
                <w:szCs w:val="20"/>
              </w:rPr>
              <w:t>6.1</w:t>
            </w:r>
          </w:p>
        </w:tc>
      </w:tr>
      <w:tr w:rsidR="00682C77" w:rsidRPr="00682C77" w14:paraId="30CD2FF5" w14:textId="77777777" w:rsidTr="00682C77">
        <w:trPr>
          <w:trHeight w:val="68"/>
        </w:trPr>
        <w:tc>
          <w:tcPr>
            <w:tcW w:w="1747" w:type="pct"/>
            <w:gridSpan w:val="3"/>
            <w:shd w:val="clear" w:color="auto" w:fill="A8D08D" w:themeFill="accent6" w:themeFillTint="99"/>
            <w:vAlign w:val="center"/>
          </w:tcPr>
          <w:p w14:paraId="6D68E7F6" w14:textId="01E614F4" w:rsidR="00844F82" w:rsidRPr="00682C77" w:rsidRDefault="00844F82" w:rsidP="00844F82">
            <w:pPr>
              <w:spacing w:before="60"/>
              <w:ind w:left="-85" w:right="-85"/>
              <w:jc w:val="both"/>
              <w:rPr>
                <w:rFonts w:ascii="Times New Roman" w:hAnsi="Times New Roman" w:cs="Times New Roman"/>
                <w:color w:val="000000" w:themeColor="text1"/>
                <w:sz w:val="20"/>
                <w:szCs w:val="20"/>
                <w:lang w:val="ro-RO"/>
              </w:rPr>
            </w:pPr>
            <w:r w:rsidRPr="00682C77">
              <w:rPr>
                <w:rFonts w:ascii="Times New Roman" w:hAnsi="Times New Roman" w:cs="Times New Roman"/>
                <w:b/>
                <w:bCs/>
                <w:color w:val="000000" w:themeColor="text1"/>
                <w:sz w:val="20"/>
                <w:szCs w:val="20"/>
                <w:lang w:val="ro-RO"/>
              </w:rPr>
              <w:t>Măsura nr. 9:</w:t>
            </w:r>
            <w:r w:rsidRPr="00682C77">
              <w:rPr>
                <w:rFonts w:ascii="Times New Roman" w:hAnsi="Times New Roman" w:cs="Times New Roman"/>
                <w:color w:val="000000" w:themeColor="text1"/>
                <w:sz w:val="20"/>
                <w:szCs w:val="20"/>
                <w:lang w:val="ro-RO"/>
              </w:rPr>
              <w:t xml:space="preserve"> Utilizarea mecanismelor stabilite în Acordurile de Interconectare între operatorii sistemelor de transport adiacenți din Ucraina și Republica Moldova, România și Republica Moldova</w:t>
            </w:r>
          </w:p>
        </w:tc>
        <w:tc>
          <w:tcPr>
            <w:tcW w:w="345" w:type="pct"/>
            <w:shd w:val="clear" w:color="auto" w:fill="auto"/>
            <w:vAlign w:val="center"/>
          </w:tcPr>
          <w:p w14:paraId="6C97BBE7" w14:textId="461E7A2C"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141090B8" w14:textId="400E3703"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17.0</w:t>
            </w:r>
          </w:p>
        </w:tc>
        <w:tc>
          <w:tcPr>
            <w:tcW w:w="345" w:type="pct"/>
            <w:shd w:val="clear" w:color="000000" w:fill="FFFFFF"/>
            <w:vAlign w:val="center"/>
          </w:tcPr>
          <w:p w14:paraId="5A8CA9CD" w14:textId="66251CCA"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615AF7D6" w14:textId="3227D0E0"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79E2A8D3" w14:textId="7F4611EC"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0773AFED" w14:textId="3E2A99A0"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auto" w:fill="auto"/>
            <w:vAlign w:val="center"/>
          </w:tcPr>
          <w:p w14:paraId="7C30C194" w14:textId="03545197"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81" w:type="pct"/>
            <w:shd w:val="clear" w:color="000000" w:fill="A8D08D"/>
            <w:vAlign w:val="center"/>
          </w:tcPr>
          <w:p w14:paraId="757F4A97" w14:textId="2B98FD8F" w:rsidR="00844F82" w:rsidRPr="00682C77" w:rsidRDefault="00844F82" w:rsidP="00844F82">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17</w:t>
            </w:r>
          </w:p>
        </w:tc>
        <w:tc>
          <w:tcPr>
            <w:tcW w:w="456" w:type="pct"/>
            <w:shd w:val="clear" w:color="000000" w:fill="A8D08D"/>
            <w:vAlign w:val="center"/>
          </w:tcPr>
          <w:p w14:paraId="2F5D7E90" w14:textId="27441D62" w:rsidR="00844F82" w:rsidRPr="00682C77" w:rsidRDefault="00844F82" w:rsidP="00844F82">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w:t>
            </w:r>
          </w:p>
        </w:tc>
      </w:tr>
      <w:tr w:rsidR="00682C77" w:rsidRPr="00682C77" w14:paraId="71660838" w14:textId="77777777" w:rsidTr="00682C77">
        <w:trPr>
          <w:trHeight w:val="68"/>
        </w:trPr>
        <w:tc>
          <w:tcPr>
            <w:tcW w:w="1747" w:type="pct"/>
            <w:gridSpan w:val="3"/>
            <w:shd w:val="clear" w:color="auto" w:fill="A8D08D" w:themeFill="accent6" w:themeFillTint="99"/>
            <w:vAlign w:val="center"/>
          </w:tcPr>
          <w:p w14:paraId="4AB59515" w14:textId="26E56861" w:rsidR="00844F82" w:rsidRPr="00682C77" w:rsidRDefault="00844F82" w:rsidP="00844F82">
            <w:pPr>
              <w:spacing w:before="60"/>
              <w:ind w:left="-85" w:right="-85"/>
              <w:jc w:val="both"/>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 xml:space="preserve">Măsura nr. 10: </w:t>
            </w:r>
            <w:r w:rsidRPr="00682C77">
              <w:rPr>
                <w:rFonts w:ascii="Times New Roman" w:hAnsi="Times New Roman" w:cs="Times New Roman"/>
                <w:color w:val="000000" w:themeColor="text1"/>
                <w:sz w:val="20"/>
                <w:szCs w:val="20"/>
                <w:lang w:val="ro-RO"/>
              </w:rPr>
              <w:t xml:space="preserve">Utilizarea stocurilor de gaze naturale din rețelele naționale de transport </w:t>
            </w:r>
          </w:p>
        </w:tc>
        <w:tc>
          <w:tcPr>
            <w:tcW w:w="345" w:type="pct"/>
            <w:shd w:val="clear" w:color="auto" w:fill="auto"/>
            <w:vAlign w:val="center"/>
          </w:tcPr>
          <w:p w14:paraId="3325209E" w14:textId="5B3FFDA3"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sz w:val="20"/>
                <w:szCs w:val="20"/>
                <w:lang w:val="en-US"/>
              </w:rPr>
              <w:t>-</w:t>
            </w:r>
          </w:p>
        </w:tc>
        <w:tc>
          <w:tcPr>
            <w:tcW w:w="345" w:type="pct"/>
            <w:shd w:val="clear" w:color="000000" w:fill="FFFFFF"/>
            <w:vAlign w:val="center"/>
          </w:tcPr>
          <w:p w14:paraId="32612D02" w14:textId="6DA3F9A7"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10.0</w:t>
            </w:r>
          </w:p>
        </w:tc>
        <w:tc>
          <w:tcPr>
            <w:tcW w:w="345" w:type="pct"/>
            <w:shd w:val="clear" w:color="000000" w:fill="FFFFFF"/>
            <w:vAlign w:val="center"/>
          </w:tcPr>
          <w:p w14:paraId="550876DF" w14:textId="00480E61"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40C53E5A" w14:textId="00455E87"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69F5C767" w14:textId="6B679829"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14EFA9EA" w14:textId="021143ED"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auto" w:fill="auto"/>
            <w:vAlign w:val="center"/>
          </w:tcPr>
          <w:p w14:paraId="49563446" w14:textId="54CAC5C0"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81" w:type="pct"/>
            <w:shd w:val="clear" w:color="000000" w:fill="A8D08D"/>
            <w:vAlign w:val="center"/>
          </w:tcPr>
          <w:p w14:paraId="0B203919" w14:textId="49DCDBCB" w:rsidR="00844F82" w:rsidRPr="00682C77" w:rsidRDefault="00844F82" w:rsidP="00844F82">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10</w:t>
            </w:r>
          </w:p>
        </w:tc>
        <w:tc>
          <w:tcPr>
            <w:tcW w:w="456" w:type="pct"/>
            <w:shd w:val="clear" w:color="000000" w:fill="A8D08D"/>
            <w:vAlign w:val="center"/>
          </w:tcPr>
          <w:p w14:paraId="6E3B3B7C" w14:textId="38E8DB2E" w:rsidR="00844F82" w:rsidRPr="00682C77" w:rsidRDefault="00844F82" w:rsidP="00844F82">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w:t>
            </w:r>
          </w:p>
        </w:tc>
      </w:tr>
      <w:tr w:rsidR="00682C77" w:rsidRPr="00682C77" w14:paraId="460265C4" w14:textId="77777777" w:rsidTr="00682C77">
        <w:trPr>
          <w:trHeight w:val="68"/>
        </w:trPr>
        <w:tc>
          <w:tcPr>
            <w:tcW w:w="1747" w:type="pct"/>
            <w:gridSpan w:val="3"/>
            <w:shd w:val="clear" w:color="auto" w:fill="A8D08D" w:themeFill="accent6" w:themeFillTint="99"/>
            <w:vAlign w:val="center"/>
          </w:tcPr>
          <w:p w14:paraId="72563611" w14:textId="5187C45A" w:rsidR="00844F82" w:rsidRPr="00682C77" w:rsidRDefault="00844F82" w:rsidP="00844F82">
            <w:pPr>
              <w:spacing w:before="60"/>
              <w:ind w:left="-85" w:right="-85"/>
              <w:jc w:val="both"/>
              <w:rPr>
                <w:rFonts w:ascii="Times New Roman" w:hAnsi="Times New Roman" w:cs="Times New Roman"/>
                <w:b/>
                <w:bCs/>
                <w:color w:val="000000" w:themeColor="text1"/>
                <w:sz w:val="20"/>
                <w:szCs w:val="20"/>
                <w:lang w:val="en-US"/>
              </w:rPr>
            </w:pPr>
            <w:r w:rsidRPr="00682C77">
              <w:rPr>
                <w:rFonts w:ascii="Times New Roman" w:hAnsi="Times New Roman" w:cs="Times New Roman"/>
                <w:b/>
                <w:bCs/>
                <w:color w:val="000000" w:themeColor="text1"/>
                <w:sz w:val="20"/>
                <w:szCs w:val="20"/>
                <w:lang w:val="ro-RO"/>
              </w:rPr>
              <w:t xml:space="preserve">Măsura nr. 11: </w:t>
            </w:r>
            <w:r w:rsidRPr="00682C77">
              <w:rPr>
                <w:rFonts w:ascii="Times New Roman" w:hAnsi="Times New Roman" w:cs="Times New Roman"/>
                <w:color w:val="000000" w:themeColor="text1"/>
                <w:sz w:val="20"/>
                <w:szCs w:val="20"/>
                <w:lang w:val="ro-RO"/>
              </w:rPr>
              <w:t>Accesarea Acordului de împrumut dintre Republica Moldova și BERD (ciclul nr. 2), în vederea realizării proiectului „Securitatea Furnizării Gazelor Naturale”</w:t>
            </w:r>
          </w:p>
        </w:tc>
        <w:tc>
          <w:tcPr>
            <w:tcW w:w="345" w:type="pct"/>
            <w:shd w:val="clear" w:color="auto" w:fill="auto"/>
            <w:vAlign w:val="center"/>
          </w:tcPr>
          <w:p w14:paraId="70650F67" w14:textId="29C23160"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sz w:val="20"/>
                <w:szCs w:val="20"/>
                <w:lang w:val="en-US"/>
              </w:rPr>
              <w:t>-</w:t>
            </w:r>
          </w:p>
        </w:tc>
        <w:tc>
          <w:tcPr>
            <w:tcW w:w="345" w:type="pct"/>
            <w:shd w:val="clear" w:color="000000" w:fill="FFFFFF"/>
            <w:vAlign w:val="center"/>
          </w:tcPr>
          <w:p w14:paraId="700CCB8A" w14:textId="717B81A5"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2.5</w:t>
            </w:r>
          </w:p>
        </w:tc>
        <w:tc>
          <w:tcPr>
            <w:tcW w:w="345" w:type="pct"/>
            <w:shd w:val="clear" w:color="000000" w:fill="FFFFFF"/>
            <w:vAlign w:val="center"/>
          </w:tcPr>
          <w:p w14:paraId="35E96758" w14:textId="2A297B32"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133.1</w:t>
            </w:r>
          </w:p>
        </w:tc>
        <w:tc>
          <w:tcPr>
            <w:tcW w:w="345" w:type="pct"/>
            <w:shd w:val="clear" w:color="000000" w:fill="FFFFFF"/>
            <w:vAlign w:val="center"/>
          </w:tcPr>
          <w:p w14:paraId="562E5856" w14:textId="14680881"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142.9</w:t>
            </w:r>
          </w:p>
        </w:tc>
        <w:tc>
          <w:tcPr>
            <w:tcW w:w="345" w:type="pct"/>
            <w:shd w:val="clear" w:color="000000" w:fill="FFFFFF"/>
            <w:vAlign w:val="center"/>
          </w:tcPr>
          <w:p w14:paraId="4AFFAC04" w14:textId="79326034" w:rsidR="00844F82" w:rsidRPr="00682C77" w:rsidRDefault="00844F82" w:rsidP="00844F82">
            <w:pPr>
              <w:spacing w:before="60"/>
              <w:jc w:val="center"/>
              <w:rPr>
                <w:rFonts w:ascii="Times New Roman" w:hAnsi="Times New Roman" w:cs="Times New Roman"/>
                <w:b/>
                <w:bCs/>
                <w:color w:val="000000" w:themeColor="text1"/>
                <w:sz w:val="20"/>
                <w:szCs w:val="20"/>
                <w:lang w:val="en-US"/>
              </w:rPr>
            </w:pPr>
            <w:r w:rsidRPr="00682C77">
              <w:rPr>
                <w:rFonts w:ascii="Times New Roman" w:hAnsi="Times New Roman" w:cs="Times New Roman"/>
                <w:color w:val="000000"/>
                <w:sz w:val="20"/>
                <w:szCs w:val="20"/>
              </w:rPr>
              <w:t>21.5</w:t>
            </w:r>
            <w:r w:rsidRPr="00682C77">
              <w:rPr>
                <w:rFonts w:ascii="Times New Roman" w:hAnsi="Times New Roman" w:cs="Times New Roman"/>
                <w:color w:val="000000"/>
                <w:sz w:val="20"/>
                <w:szCs w:val="20"/>
                <w:lang w:val="en-US"/>
              </w:rPr>
              <w:t>+</w:t>
            </w:r>
            <w:r w:rsidR="00682C77" w:rsidRPr="00682C77">
              <w:rPr>
                <w:rFonts w:ascii="Times New Roman" w:hAnsi="Times New Roman" w:cs="Times New Roman"/>
                <w:color w:val="000000"/>
                <w:sz w:val="20"/>
                <w:szCs w:val="20"/>
                <w:lang w:val="en-US"/>
              </w:rPr>
              <w:t>(</w:t>
            </w:r>
            <w:r w:rsidRPr="00682C77">
              <w:rPr>
                <w:rFonts w:ascii="Times New Roman" w:hAnsi="Times New Roman" w:cs="Times New Roman"/>
                <w:color w:val="000000"/>
                <w:sz w:val="20"/>
                <w:szCs w:val="20"/>
                <w:lang w:val="en-US"/>
              </w:rPr>
              <w:t>49.1</w:t>
            </w:r>
            <w:r w:rsidR="00682C77" w:rsidRPr="00682C77">
              <w:rPr>
                <w:rFonts w:ascii="Times New Roman" w:hAnsi="Times New Roman" w:cs="Times New Roman"/>
                <w:color w:val="000000"/>
                <w:sz w:val="20"/>
                <w:szCs w:val="20"/>
                <w:lang w:val="en-US"/>
              </w:rPr>
              <w:t>)</w:t>
            </w:r>
          </w:p>
        </w:tc>
        <w:tc>
          <w:tcPr>
            <w:tcW w:w="345" w:type="pct"/>
            <w:shd w:val="clear" w:color="000000" w:fill="FFFFFF"/>
            <w:vAlign w:val="center"/>
          </w:tcPr>
          <w:p w14:paraId="4D76E7F3" w14:textId="72458147" w:rsidR="00844F82" w:rsidRPr="00682C77" w:rsidRDefault="00682C77" w:rsidP="00844F82">
            <w:pPr>
              <w:spacing w:before="60"/>
              <w:jc w:val="center"/>
              <w:rPr>
                <w:rFonts w:ascii="Times New Roman" w:hAnsi="Times New Roman" w:cs="Times New Roman"/>
                <w:b/>
                <w:bCs/>
                <w:color w:val="000000" w:themeColor="text1"/>
                <w:sz w:val="20"/>
                <w:szCs w:val="20"/>
                <w:lang w:val="en-US"/>
              </w:rPr>
            </w:pPr>
            <w:r w:rsidRPr="00682C77">
              <w:rPr>
                <w:rFonts w:ascii="Times New Roman" w:hAnsi="Times New Roman" w:cs="Times New Roman"/>
                <w:color w:val="000000"/>
                <w:sz w:val="20"/>
                <w:szCs w:val="20"/>
                <w:lang w:val="en-US"/>
              </w:rPr>
              <w:t>(105.7)</w:t>
            </w:r>
          </w:p>
        </w:tc>
        <w:tc>
          <w:tcPr>
            <w:tcW w:w="345" w:type="pct"/>
            <w:shd w:val="clear" w:color="000000" w:fill="FFFFFF"/>
            <w:vAlign w:val="center"/>
          </w:tcPr>
          <w:p w14:paraId="65AD2E97" w14:textId="6F7D626C" w:rsidR="00844F82" w:rsidRPr="00682C77" w:rsidRDefault="00682C77" w:rsidP="00844F82">
            <w:pPr>
              <w:spacing w:before="60"/>
              <w:jc w:val="center"/>
              <w:rPr>
                <w:rFonts w:ascii="Times New Roman" w:hAnsi="Times New Roman" w:cs="Times New Roman"/>
                <w:b/>
                <w:bCs/>
                <w:color w:val="000000" w:themeColor="text1"/>
                <w:sz w:val="20"/>
                <w:szCs w:val="20"/>
                <w:lang w:val="en-US"/>
              </w:rPr>
            </w:pPr>
            <w:r w:rsidRPr="00682C77">
              <w:rPr>
                <w:rFonts w:ascii="Times New Roman" w:hAnsi="Times New Roman" w:cs="Times New Roman"/>
                <w:color w:val="000000"/>
                <w:sz w:val="20"/>
                <w:szCs w:val="20"/>
                <w:lang w:val="en-US"/>
              </w:rPr>
              <w:t>(48.1)</w:t>
            </w:r>
          </w:p>
        </w:tc>
        <w:tc>
          <w:tcPr>
            <w:tcW w:w="381" w:type="pct"/>
            <w:shd w:val="clear" w:color="000000" w:fill="A8D08D"/>
            <w:vAlign w:val="center"/>
          </w:tcPr>
          <w:p w14:paraId="3FE1447A" w14:textId="3AAC2460" w:rsidR="00844F82" w:rsidRPr="00682C77" w:rsidRDefault="00844F82" w:rsidP="00844F82">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300</w:t>
            </w:r>
          </w:p>
        </w:tc>
        <w:tc>
          <w:tcPr>
            <w:tcW w:w="456" w:type="pct"/>
            <w:shd w:val="clear" w:color="000000" w:fill="A8D08D"/>
            <w:vAlign w:val="center"/>
          </w:tcPr>
          <w:p w14:paraId="400CCC32" w14:textId="78FC3FA1" w:rsidR="00844F82" w:rsidRPr="00682C77" w:rsidRDefault="00844F82" w:rsidP="00844F82">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w:t>
            </w:r>
          </w:p>
        </w:tc>
      </w:tr>
      <w:tr w:rsidR="00682C77" w:rsidRPr="00682C77" w14:paraId="4323F402" w14:textId="77777777" w:rsidTr="00682C77">
        <w:trPr>
          <w:trHeight w:val="68"/>
        </w:trPr>
        <w:tc>
          <w:tcPr>
            <w:tcW w:w="1747" w:type="pct"/>
            <w:gridSpan w:val="3"/>
            <w:shd w:val="clear" w:color="auto" w:fill="A8D08D" w:themeFill="accent6" w:themeFillTint="99"/>
            <w:vAlign w:val="center"/>
          </w:tcPr>
          <w:p w14:paraId="62F41CB0" w14:textId="6519BBD2" w:rsidR="00844F82" w:rsidRPr="00682C77" w:rsidRDefault="00844F82" w:rsidP="00844F82">
            <w:pPr>
              <w:spacing w:before="60"/>
              <w:ind w:left="-85" w:right="-85"/>
              <w:jc w:val="both"/>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 xml:space="preserve">Măsura nr. 12: </w:t>
            </w:r>
            <w:r w:rsidRPr="00682C77">
              <w:rPr>
                <w:rFonts w:ascii="Times New Roman" w:hAnsi="Times New Roman" w:cs="Times New Roman"/>
                <w:color w:val="000000" w:themeColor="text1"/>
                <w:sz w:val="20"/>
                <w:szCs w:val="20"/>
                <w:lang w:val="ro-RO"/>
              </w:rPr>
              <w:t>Utilizarea stocurilor de securitate de gaze naturale disponibile</w:t>
            </w:r>
          </w:p>
        </w:tc>
        <w:tc>
          <w:tcPr>
            <w:tcW w:w="345" w:type="pct"/>
            <w:shd w:val="clear" w:color="auto" w:fill="auto"/>
            <w:vAlign w:val="center"/>
          </w:tcPr>
          <w:p w14:paraId="49FD7F2D" w14:textId="43BB4B0A"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1D04C920" w14:textId="033A97F4"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5BA49A0E" w14:textId="79E40C88"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54B6E539" w14:textId="3CC1B3A5"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w:t>
            </w:r>
          </w:p>
        </w:tc>
        <w:tc>
          <w:tcPr>
            <w:tcW w:w="345" w:type="pct"/>
            <w:shd w:val="clear" w:color="000000" w:fill="FFFFFF"/>
            <w:vAlign w:val="center"/>
          </w:tcPr>
          <w:p w14:paraId="0784A942" w14:textId="47613AEB" w:rsidR="00844F82" w:rsidRPr="00682C77" w:rsidRDefault="00844F82" w:rsidP="00844F82">
            <w:pPr>
              <w:spacing w:before="60"/>
              <w:jc w:val="center"/>
              <w:rPr>
                <w:rFonts w:ascii="Times New Roman" w:hAnsi="Times New Roman" w:cs="Times New Roman"/>
                <w:color w:val="000000" w:themeColor="text1"/>
                <w:sz w:val="20"/>
                <w:szCs w:val="20"/>
                <w:lang w:val="ro-RO"/>
              </w:rPr>
            </w:pPr>
            <w:r w:rsidRPr="00682C77">
              <w:rPr>
                <w:rFonts w:ascii="Times New Roman" w:hAnsi="Times New Roman" w:cs="Times New Roman"/>
                <w:color w:val="000000"/>
                <w:sz w:val="20"/>
                <w:szCs w:val="20"/>
              </w:rPr>
              <w:t>45.6</w:t>
            </w:r>
          </w:p>
        </w:tc>
        <w:tc>
          <w:tcPr>
            <w:tcW w:w="345" w:type="pct"/>
            <w:shd w:val="clear" w:color="000000" w:fill="FFFFFF"/>
            <w:vAlign w:val="center"/>
          </w:tcPr>
          <w:p w14:paraId="075DEB86" w14:textId="4F32ED11"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sz w:val="20"/>
                <w:szCs w:val="20"/>
                <w:lang w:val="ro-RO"/>
              </w:rPr>
              <w:t>-</w:t>
            </w:r>
          </w:p>
        </w:tc>
        <w:tc>
          <w:tcPr>
            <w:tcW w:w="345" w:type="pct"/>
            <w:shd w:val="clear" w:color="auto" w:fill="auto"/>
            <w:vAlign w:val="center"/>
          </w:tcPr>
          <w:p w14:paraId="39211D0A" w14:textId="558A796F" w:rsidR="00844F82" w:rsidRPr="00682C77" w:rsidRDefault="00682C77" w:rsidP="00844F82">
            <w:pPr>
              <w:spacing w:before="60"/>
              <w:jc w:val="center"/>
              <w:rPr>
                <w:rFonts w:ascii="Times New Roman" w:hAnsi="Times New Roman" w:cs="Times New Roman"/>
                <w:color w:val="000000" w:themeColor="text1"/>
                <w:sz w:val="20"/>
                <w:szCs w:val="20"/>
                <w:lang w:val="ro-RO"/>
              </w:rPr>
            </w:pPr>
            <w:r>
              <w:rPr>
                <w:rFonts w:ascii="Times New Roman" w:hAnsi="Times New Roman" w:cs="Times New Roman"/>
                <w:color w:val="000000"/>
                <w:sz w:val="20"/>
                <w:szCs w:val="20"/>
                <w:lang w:val="ro-RO"/>
              </w:rPr>
              <w:t>-</w:t>
            </w:r>
          </w:p>
        </w:tc>
        <w:tc>
          <w:tcPr>
            <w:tcW w:w="381" w:type="pct"/>
            <w:shd w:val="clear" w:color="000000" w:fill="A8D08D"/>
            <w:vAlign w:val="center"/>
          </w:tcPr>
          <w:p w14:paraId="4663ECA9" w14:textId="7A78E722" w:rsidR="00844F82" w:rsidRPr="00682C77" w:rsidRDefault="00844F82" w:rsidP="00844F82">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45.6</w:t>
            </w:r>
          </w:p>
        </w:tc>
        <w:tc>
          <w:tcPr>
            <w:tcW w:w="456" w:type="pct"/>
            <w:shd w:val="clear" w:color="000000" w:fill="A8D08D"/>
            <w:vAlign w:val="center"/>
          </w:tcPr>
          <w:p w14:paraId="027AFC0B" w14:textId="0B480368" w:rsidR="00844F82" w:rsidRPr="00682C77" w:rsidRDefault="00844F82" w:rsidP="00844F82">
            <w:pPr>
              <w:spacing w:before="60"/>
              <w:jc w:val="center"/>
              <w:rPr>
                <w:rFonts w:ascii="Times New Roman" w:hAnsi="Times New Roman" w:cs="Times New Roman"/>
                <w:b/>
                <w:bCs/>
                <w:color w:val="000000" w:themeColor="text1"/>
                <w:sz w:val="20"/>
                <w:szCs w:val="20"/>
                <w:lang w:val="ro-RO"/>
              </w:rPr>
            </w:pPr>
            <w:r w:rsidRPr="00682C77">
              <w:rPr>
                <w:rFonts w:ascii="Times New Roman" w:hAnsi="Times New Roman" w:cs="Times New Roman"/>
                <w:b/>
                <w:bCs/>
                <w:color w:val="000000" w:themeColor="text1"/>
                <w:sz w:val="20"/>
                <w:szCs w:val="20"/>
                <w:lang w:val="ro-RO"/>
              </w:rPr>
              <w:t>-</w:t>
            </w:r>
          </w:p>
        </w:tc>
      </w:tr>
    </w:tbl>
    <w:p w14:paraId="7991CB13" w14:textId="747C0678" w:rsidR="00201198" w:rsidRPr="00201198" w:rsidRDefault="00201198" w:rsidP="00201198">
      <w:pPr>
        <w:pStyle w:val="cb"/>
        <w:ind w:firstLine="708"/>
        <w:jc w:val="both"/>
        <w:rPr>
          <w:b w:val="0"/>
          <w:bCs w:val="0"/>
          <w:color w:val="000000" w:themeColor="text1"/>
          <w:sz w:val="20"/>
          <w:szCs w:val="20"/>
          <w:lang w:val="ro-RO" w:eastAsia="ru-RU"/>
        </w:rPr>
      </w:pPr>
      <w:r w:rsidRPr="003070EA">
        <w:rPr>
          <w:b w:val="0"/>
          <w:bCs w:val="0"/>
          <w:color w:val="000000" w:themeColor="text1"/>
          <w:sz w:val="20"/>
          <w:szCs w:val="20"/>
          <w:lang w:eastAsia="ru-RU"/>
        </w:rPr>
        <w:t>*</w:t>
      </w:r>
      <w:r w:rsidRPr="003070EA">
        <w:rPr>
          <w:b w:val="0"/>
          <w:bCs w:val="0"/>
          <w:color w:val="000000" w:themeColor="text1"/>
          <w:sz w:val="20"/>
          <w:szCs w:val="20"/>
          <w:lang w:val="ro-RO" w:eastAsia="ru-RU"/>
        </w:rPr>
        <w:t xml:space="preserve"> Măsura nr. </w:t>
      </w:r>
      <w:r w:rsidR="00387EFA">
        <w:rPr>
          <w:b w:val="0"/>
          <w:bCs w:val="0"/>
          <w:color w:val="000000" w:themeColor="text1"/>
          <w:sz w:val="20"/>
          <w:szCs w:val="20"/>
          <w:lang w:val="ro-RO" w:eastAsia="ru-RU"/>
        </w:rPr>
        <w:t>8</w:t>
      </w:r>
      <w:r w:rsidRPr="003070EA">
        <w:rPr>
          <w:b w:val="0"/>
          <w:bCs w:val="0"/>
          <w:color w:val="000000" w:themeColor="text1"/>
          <w:sz w:val="20"/>
          <w:szCs w:val="20"/>
          <w:lang w:val="ro-RO" w:eastAsia="ru-RU"/>
        </w:rPr>
        <w:t xml:space="preserve"> se va aplica în dependență de evoluțiile prețurilor la resursele energetice</w:t>
      </w:r>
      <w:r>
        <w:rPr>
          <w:b w:val="0"/>
          <w:bCs w:val="0"/>
          <w:color w:val="000000" w:themeColor="text1"/>
          <w:sz w:val="20"/>
          <w:szCs w:val="20"/>
          <w:lang w:val="ro-RO" w:eastAsia="ru-RU"/>
        </w:rPr>
        <w:t xml:space="preserve"> și se va considera funcționarea CET sursa 1 pe bază de păcură 50% și gaze naturale 50%, având în vedere impactul asupra instalației de termoficare în cazul funcționării 100% pe bază de păcură</w:t>
      </w:r>
      <w:r w:rsidRPr="003070EA">
        <w:rPr>
          <w:b w:val="0"/>
          <w:bCs w:val="0"/>
          <w:color w:val="000000" w:themeColor="text1"/>
          <w:sz w:val="20"/>
          <w:szCs w:val="20"/>
          <w:lang w:val="ro-RO" w:eastAsia="ru-RU"/>
        </w:rPr>
        <w:t>.</w:t>
      </w:r>
    </w:p>
    <w:p w14:paraId="575949B9" w14:textId="13CA6C5C" w:rsidR="00A42EBB" w:rsidRPr="002C0527" w:rsidRDefault="00A42EBB" w:rsidP="00A42EBB">
      <w:pPr>
        <w:pStyle w:val="NormalWeb"/>
        <w:spacing w:before="240"/>
        <w:ind w:firstLine="720"/>
        <w:jc w:val="both"/>
        <w:rPr>
          <w:lang w:val="ro-RO"/>
        </w:rPr>
      </w:pPr>
      <w:r w:rsidRPr="002C0527">
        <w:rPr>
          <w:lang w:val="ro-RO"/>
        </w:rPr>
        <w:t xml:space="preserve">În cazul în care vor fi aplicate toate măsurile de reducere </w:t>
      </w:r>
      <w:r w:rsidRPr="00D06229">
        <w:rPr>
          <w:lang w:val="ro-RO"/>
        </w:rPr>
        <w:t xml:space="preserve">și atenuare a impactului limitării gazelor naturale, este posibil a fi economisit și/sau substituit </w:t>
      </w:r>
      <w:r w:rsidRPr="008510C3">
        <w:rPr>
          <w:color w:val="000000" w:themeColor="text1"/>
          <w:lang w:val="ro-RO"/>
        </w:rPr>
        <w:t xml:space="preserve">circa </w:t>
      </w:r>
      <w:r w:rsidR="008C3810">
        <w:rPr>
          <w:color w:val="000000" w:themeColor="text1"/>
          <w:lang w:val="ro-RO"/>
        </w:rPr>
        <w:t xml:space="preserve">aproximativ </w:t>
      </w:r>
      <w:r w:rsidR="00682C77" w:rsidRPr="00682C77">
        <w:rPr>
          <w:color w:val="000000" w:themeColor="text1"/>
          <w:lang w:val="ro-RO"/>
        </w:rPr>
        <w:t>300</w:t>
      </w:r>
      <w:r w:rsidR="0044585E" w:rsidRPr="00682C77">
        <w:rPr>
          <w:color w:val="000000" w:themeColor="text1"/>
          <w:lang w:val="ro-RO"/>
        </w:rPr>
        <w:t xml:space="preserve"> </w:t>
      </w:r>
      <w:r w:rsidRPr="00682C77">
        <w:rPr>
          <w:color w:val="000000" w:themeColor="text1"/>
          <w:lang w:val="ro-RO"/>
        </w:rPr>
        <w:t>mil</w:t>
      </w:r>
      <w:r w:rsidR="00D5216E">
        <w:rPr>
          <w:color w:val="000000" w:themeColor="text1"/>
          <w:lang w:val="ro-RO"/>
        </w:rPr>
        <w:t>.</w:t>
      </w:r>
      <w:r w:rsidRPr="00682C77">
        <w:rPr>
          <w:color w:val="000000" w:themeColor="text1"/>
          <w:lang w:val="ro-RO"/>
        </w:rPr>
        <w:t xml:space="preserve"> m</w:t>
      </w:r>
      <w:r w:rsidRPr="00682C77">
        <w:rPr>
          <w:color w:val="000000" w:themeColor="text1"/>
          <w:vertAlign w:val="superscript"/>
          <w:lang w:val="ro-RO"/>
        </w:rPr>
        <w:t>3</w:t>
      </w:r>
      <w:r w:rsidRPr="008510C3">
        <w:rPr>
          <w:color w:val="000000" w:themeColor="text1"/>
          <w:lang w:val="ro-RO"/>
        </w:rPr>
        <w:t xml:space="preserve"> </w:t>
      </w:r>
      <w:r w:rsidRPr="00D06229">
        <w:rPr>
          <w:lang w:val="ro-RO"/>
        </w:rPr>
        <w:t xml:space="preserve">gaze naturale </w:t>
      </w:r>
      <w:r w:rsidR="008C3810" w:rsidRPr="008C3810">
        <w:rPr>
          <w:i/>
          <w:iCs/>
          <w:color w:val="000000" w:themeColor="text1"/>
          <w:lang w:val="ro-RO"/>
        </w:rPr>
        <w:t xml:space="preserve">(în dependență proporția tipului de combustibil alternativ utilizat de </w:t>
      </w:r>
      <w:r w:rsidR="00BF6F2F" w:rsidRPr="00BF6F2F">
        <w:rPr>
          <w:i/>
          <w:iCs/>
          <w:color w:val="000000" w:themeColor="text1"/>
          <w:lang w:val="ro-RO"/>
        </w:rPr>
        <w:t>SA „Termoelectrica”</w:t>
      </w:r>
      <w:r w:rsidR="008C3810" w:rsidRPr="008C3810">
        <w:rPr>
          <w:i/>
          <w:iCs/>
          <w:color w:val="000000" w:themeColor="text1"/>
          <w:lang w:val="ro-RO"/>
        </w:rPr>
        <w:t xml:space="preserve"> (CET sursa 1))</w:t>
      </w:r>
      <w:r w:rsidR="008C3810">
        <w:rPr>
          <w:i/>
          <w:iCs/>
          <w:color w:val="000000" w:themeColor="text1"/>
          <w:lang w:val="ro-RO"/>
        </w:rPr>
        <w:t xml:space="preserve"> </w:t>
      </w:r>
      <w:r w:rsidRPr="00D06229">
        <w:rPr>
          <w:lang w:val="ro-RO"/>
        </w:rPr>
        <w:t>pe parcursul sezonului de încălzire 202</w:t>
      </w:r>
      <w:r w:rsidR="00356CCD">
        <w:rPr>
          <w:lang w:val="ro-RO"/>
        </w:rPr>
        <w:t>3</w:t>
      </w:r>
      <w:r w:rsidRPr="00D06229">
        <w:rPr>
          <w:lang w:val="ro-RO"/>
        </w:rPr>
        <w:t>-202</w:t>
      </w:r>
      <w:r w:rsidR="00356CCD">
        <w:rPr>
          <w:lang w:val="ro-RO"/>
        </w:rPr>
        <w:t>4</w:t>
      </w:r>
      <w:r w:rsidRPr="00D06229">
        <w:rPr>
          <w:lang w:val="ro-RO"/>
        </w:rPr>
        <w:t xml:space="preserve">, fără a considera măsurile de deconectare a </w:t>
      </w:r>
      <w:r w:rsidR="00FE3D19" w:rsidRPr="00D06229">
        <w:rPr>
          <w:lang w:val="ro-RO"/>
        </w:rPr>
        <w:t xml:space="preserve">tuturor </w:t>
      </w:r>
      <w:r w:rsidRPr="00D06229">
        <w:rPr>
          <w:lang w:val="ro-RO"/>
        </w:rPr>
        <w:t xml:space="preserve">consumatorilor întreruptibili </w:t>
      </w:r>
      <w:r w:rsidR="006F506E" w:rsidRPr="00D06229">
        <w:rPr>
          <w:lang w:val="ro-RO"/>
        </w:rPr>
        <w:t xml:space="preserve">(cu excepția </w:t>
      </w:r>
      <w:r w:rsidR="00FE3D19" w:rsidRPr="00D06229">
        <w:rPr>
          <w:lang w:val="ro-RO"/>
        </w:rPr>
        <w:t>SA „Termoelectrica”</w:t>
      </w:r>
      <w:r w:rsidR="006F506E" w:rsidRPr="00D06229">
        <w:rPr>
          <w:lang w:val="ro-RO"/>
        </w:rPr>
        <w:t>)</w:t>
      </w:r>
      <w:r w:rsidR="00682C77">
        <w:rPr>
          <w:lang w:val="ro-RO"/>
        </w:rPr>
        <w:t xml:space="preserve">, </w:t>
      </w:r>
      <w:r w:rsidRPr="00D06229">
        <w:rPr>
          <w:lang w:val="ro-RO"/>
        </w:rPr>
        <w:t>achiziți</w:t>
      </w:r>
      <w:r w:rsidR="00BF6F2F">
        <w:rPr>
          <w:lang w:val="ro-RO"/>
        </w:rPr>
        <w:t>a</w:t>
      </w:r>
      <w:r w:rsidRPr="00D06229">
        <w:rPr>
          <w:lang w:val="ro-RO"/>
        </w:rPr>
        <w:t xml:space="preserve"> de</w:t>
      </w:r>
      <w:r w:rsidRPr="002C0527">
        <w:rPr>
          <w:lang w:val="ro-RO"/>
        </w:rPr>
        <w:t xml:space="preserve"> gaze naturale</w:t>
      </w:r>
      <w:r w:rsidR="007157D7">
        <w:rPr>
          <w:lang w:val="ro-RO"/>
        </w:rPr>
        <w:t xml:space="preserve"> din surse alternative</w:t>
      </w:r>
      <w:r w:rsidR="00BF6F2F">
        <w:rPr>
          <w:lang w:val="ro-RO"/>
        </w:rPr>
        <w:t>, inclusiv în baza împrumutului BERD</w:t>
      </w:r>
      <w:r w:rsidR="00682C77">
        <w:rPr>
          <w:lang w:val="ro-RO"/>
        </w:rPr>
        <w:t>, precum și utilizarea stocurilor de gaze naturale</w:t>
      </w:r>
      <w:r w:rsidR="00682C77" w:rsidRPr="00D06229">
        <w:rPr>
          <w:lang w:val="ro-RO"/>
        </w:rPr>
        <w:t xml:space="preserve"> </w:t>
      </w:r>
      <w:r w:rsidR="00682C77">
        <w:rPr>
          <w:lang w:val="ro-RO"/>
        </w:rPr>
        <w:t>create în perioada precedentă</w:t>
      </w:r>
      <w:r w:rsidRPr="002C0527">
        <w:rPr>
          <w:lang w:val="ro-RO"/>
        </w:rPr>
        <w:t>.</w:t>
      </w:r>
      <w:r w:rsidR="00D33F42">
        <w:rPr>
          <w:lang w:val="ro-RO"/>
        </w:rPr>
        <w:t xml:space="preserve"> </w:t>
      </w:r>
    </w:p>
    <w:p w14:paraId="788B9446" w14:textId="08A63993" w:rsidR="00A42EBB" w:rsidRPr="002C0527" w:rsidRDefault="00A42EBB" w:rsidP="00B56987">
      <w:pPr>
        <w:pStyle w:val="NormalWeb"/>
        <w:spacing w:before="0"/>
        <w:ind w:firstLine="720"/>
        <w:jc w:val="both"/>
        <w:rPr>
          <w:lang w:val="ro-RO"/>
        </w:rPr>
      </w:pPr>
      <w:r w:rsidRPr="002C0527">
        <w:rPr>
          <w:lang w:val="ro-RO"/>
        </w:rPr>
        <w:lastRenderedPageBreak/>
        <w:t xml:space="preserve">Reieșind din scenariile analizate se poate conchide că, </w:t>
      </w:r>
      <w:r w:rsidR="00B56987" w:rsidRPr="002C0527">
        <w:rPr>
          <w:lang w:val="ro-RO"/>
        </w:rPr>
        <w:t xml:space="preserve">în condițiile în care vor fi realizate/îndeplinite toate măsurile preventive și de atenuare a impactului limitării </w:t>
      </w:r>
      <w:r w:rsidR="0063107F">
        <w:rPr>
          <w:lang w:val="ro-RO"/>
        </w:rPr>
        <w:t xml:space="preserve">furnizării </w:t>
      </w:r>
      <w:r w:rsidR="00B56987" w:rsidRPr="002C0527">
        <w:rPr>
          <w:lang w:val="ro-RO"/>
        </w:rPr>
        <w:t>gazelor naturale enumerate în Plan</w:t>
      </w:r>
      <w:r w:rsidR="00B56987">
        <w:rPr>
          <w:lang w:val="ro-RO"/>
        </w:rPr>
        <w:t>,</w:t>
      </w:r>
      <w:r w:rsidR="00B56987" w:rsidRPr="002C0527">
        <w:rPr>
          <w:lang w:val="ro-RO"/>
        </w:rPr>
        <w:t xml:space="preserve"> </w:t>
      </w:r>
      <w:r w:rsidR="00B56987">
        <w:rPr>
          <w:lang w:val="ro-RO"/>
        </w:rPr>
        <w:t>î</w:t>
      </w:r>
      <w:r w:rsidRPr="002C0527">
        <w:rPr>
          <w:lang w:val="ro-RO"/>
        </w:rPr>
        <w:t xml:space="preserve">n cazul limitării/sistării furnizării gazelor naturale </w:t>
      </w:r>
      <w:r w:rsidR="00B56987">
        <w:rPr>
          <w:lang w:val="ro-RO"/>
        </w:rPr>
        <w:t xml:space="preserve">chiar și </w:t>
      </w:r>
      <w:r w:rsidRPr="002C0527">
        <w:rPr>
          <w:lang w:val="ro-RO"/>
        </w:rPr>
        <w:t>cu 100%</w:t>
      </w:r>
      <w:r w:rsidR="00B56987">
        <w:rPr>
          <w:lang w:val="ro-RO"/>
        </w:rPr>
        <w:t xml:space="preserve"> de către </w:t>
      </w:r>
      <w:r w:rsidR="0063107F">
        <w:rPr>
          <w:lang w:val="ro-RO"/>
        </w:rPr>
        <w:t xml:space="preserve">SAP </w:t>
      </w:r>
      <w:r w:rsidR="0063107F" w:rsidRPr="002C0527">
        <w:rPr>
          <w:lang w:val="ro-RO"/>
        </w:rPr>
        <w:t>„</w:t>
      </w:r>
      <w:r w:rsidR="00B56987">
        <w:rPr>
          <w:lang w:val="ro-RO"/>
        </w:rPr>
        <w:t>Gazprom</w:t>
      </w:r>
      <w:r w:rsidR="0063107F" w:rsidRPr="002C0527">
        <w:rPr>
          <w:lang w:val="ro-RO"/>
        </w:rPr>
        <w:t>”</w:t>
      </w:r>
      <w:r w:rsidRPr="002C0527">
        <w:rPr>
          <w:lang w:val="ro-RO"/>
        </w:rPr>
        <w:t xml:space="preserve">, </w:t>
      </w:r>
      <w:r w:rsidR="00B56987">
        <w:rPr>
          <w:lang w:val="ro-RO"/>
        </w:rPr>
        <w:t xml:space="preserve">nu </w:t>
      </w:r>
      <w:r w:rsidRPr="002C0527">
        <w:rPr>
          <w:lang w:val="ro-RO"/>
        </w:rPr>
        <w:t xml:space="preserve">va fi necesar a purcede la </w:t>
      </w:r>
      <w:r w:rsidR="0063107F" w:rsidRPr="0063107F">
        <w:rPr>
          <w:lang w:val="ro-RO"/>
        </w:rPr>
        <w:t>măsura de deconectare a consumatorilor întreruptibili stabiliți de către operatorii de sistem în conformitate cu prevederile Hotărârii Guvernului pentru aprobarea Regulamentului și Planului de acțiuni pentru situații excepționale pe piața gazelor naturale</w:t>
      </w:r>
      <w:r w:rsidR="00B56987">
        <w:rPr>
          <w:lang w:val="ro-RO"/>
        </w:rPr>
        <w:t>, Energocom având asigurate capacitățile/instrumentele necesare pentru</w:t>
      </w:r>
      <w:r w:rsidRPr="002C0527">
        <w:rPr>
          <w:lang w:val="ro-RO"/>
        </w:rPr>
        <w:t xml:space="preserve"> procura</w:t>
      </w:r>
      <w:r w:rsidR="00B56987">
        <w:rPr>
          <w:lang w:val="ro-RO"/>
        </w:rPr>
        <w:t>rea</w:t>
      </w:r>
      <w:r w:rsidRPr="002C0527">
        <w:rPr>
          <w:lang w:val="ro-RO"/>
        </w:rPr>
        <w:t xml:space="preserve"> volume</w:t>
      </w:r>
      <w:r w:rsidR="00B56987">
        <w:rPr>
          <w:lang w:val="ro-RO"/>
        </w:rPr>
        <w:t>lor</w:t>
      </w:r>
      <w:r w:rsidRPr="002C0527">
        <w:rPr>
          <w:lang w:val="ro-RO"/>
        </w:rPr>
        <w:t xml:space="preserve"> suplimentare de gaze naturale din alte surse sau de pe piața spot pentru acoperirea consumului estimat. Conform estimărilor în cadrul acestui scenariu, </w:t>
      </w:r>
      <w:r w:rsidR="00D33F42">
        <w:rPr>
          <w:lang w:val="ro-RO"/>
        </w:rPr>
        <w:t>urmare a utilizării</w:t>
      </w:r>
      <w:r w:rsidRPr="002C0527">
        <w:rPr>
          <w:lang w:val="ro-RO"/>
        </w:rPr>
        <w:t xml:space="preserve"> Acordul</w:t>
      </w:r>
      <w:r w:rsidR="00D33F42">
        <w:rPr>
          <w:lang w:val="ro-RO"/>
        </w:rPr>
        <w:t>ui</w:t>
      </w:r>
      <w:r w:rsidRPr="002C0527">
        <w:rPr>
          <w:lang w:val="ro-RO"/>
        </w:rPr>
        <w:t xml:space="preserve"> </w:t>
      </w:r>
      <w:r w:rsidR="00B56987">
        <w:rPr>
          <w:lang w:val="ro-RO"/>
        </w:rPr>
        <w:t>de</w:t>
      </w:r>
      <w:r w:rsidRPr="002C0527">
        <w:rPr>
          <w:lang w:val="ro-RO"/>
        </w:rPr>
        <w:t xml:space="preserve"> împrumut de la BERD de 300 mil. EURO, în cazul aplicării tuturor măsurilor de atenuare a impactului, la </w:t>
      </w:r>
      <w:r w:rsidR="008C3810">
        <w:rPr>
          <w:lang w:val="ro-RO"/>
        </w:rPr>
        <w:t xml:space="preserve">un </w:t>
      </w:r>
      <w:r w:rsidRPr="002C0527">
        <w:rPr>
          <w:lang w:val="ro-RO"/>
        </w:rPr>
        <w:t>preț mediu estimat de achiziție a gazelor naturale de 1</w:t>
      </w:r>
      <w:r w:rsidR="00356CCD">
        <w:rPr>
          <w:lang w:val="ro-RO"/>
        </w:rPr>
        <w:t>0</w:t>
      </w:r>
      <w:r w:rsidRPr="002C0527">
        <w:rPr>
          <w:lang w:val="ro-RO"/>
        </w:rPr>
        <w:t>00 Euro/1000 m</w:t>
      </w:r>
      <w:r w:rsidRPr="002C0527">
        <w:rPr>
          <w:vertAlign w:val="superscript"/>
          <w:lang w:val="ro-RO"/>
        </w:rPr>
        <w:t>3</w:t>
      </w:r>
      <w:r w:rsidRPr="002C0527">
        <w:rPr>
          <w:lang w:val="ro-RO"/>
        </w:rPr>
        <w:t xml:space="preserve"> va fi posibil a acoperi deficitul de gaze naturale </w:t>
      </w:r>
      <w:r w:rsidR="00021036" w:rsidRPr="00682C77">
        <w:rPr>
          <w:lang w:val="ro-RO"/>
        </w:rPr>
        <w:t>până</w:t>
      </w:r>
      <w:r w:rsidRPr="00682C77">
        <w:rPr>
          <w:lang w:val="ro-RO"/>
        </w:rPr>
        <w:t xml:space="preserve"> în luna </w:t>
      </w:r>
      <w:r w:rsidR="00682C77">
        <w:rPr>
          <w:lang w:val="ro-RO"/>
        </w:rPr>
        <w:t>februarie</w:t>
      </w:r>
      <w:r w:rsidR="00817F3B" w:rsidRPr="002C0527">
        <w:rPr>
          <w:lang w:val="ro-RO"/>
        </w:rPr>
        <w:t xml:space="preserve">, ulterior </w:t>
      </w:r>
      <w:r w:rsidR="00FD5A75" w:rsidRPr="002C0527">
        <w:rPr>
          <w:lang w:val="ro-RO"/>
        </w:rPr>
        <w:t xml:space="preserve">volumul de gaze naturale necesar acoperirii </w:t>
      </w:r>
      <w:r w:rsidR="00817F3B" w:rsidRPr="002C0527">
        <w:rPr>
          <w:lang w:val="ro-RO"/>
        </w:rPr>
        <w:t>deficitul</w:t>
      </w:r>
      <w:r w:rsidR="00FD5A75" w:rsidRPr="002C0527">
        <w:rPr>
          <w:lang w:val="ro-RO"/>
        </w:rPr>
        <w:t>ui</w:t>
      </w:r>
      <w:r w:rsidR="00817F3B" w:rsidRPr="002C0527">
        <w:rPr>
          <w:lang w:val="ro-RO"/>
        </w:rPr>
        <w:t xml:space="preserve"> de gaze naturale fiind posibil a fi achiziționat din sursele financiare acumulate din plățile pentru </w:t>
      </w:r>
      <w:r w:rsidR="007157D7" w:rsidRPr="00052FE8">
        <w:rPr>
          <w:lang w:val="ro-RO"/>
        </w:rPr>
        <w:t xml:space="preserve">gazele </w:t>
      </w:r>
      <w:r w:rsidR="00817F3B" w:rsidRPr="00052FE8">
        <w:rPr>
          <w:lang w:val="ro-RO"/>
        </w:rPr>
        <w:t>naturale</w:t>
      </w:r>
      <w:r w:rsidR="007157D7" w:rsidRPr="00052FE8">
        <w:rPr>
          <w:lang w:val="ro-RO"/>
        </w:rPr>
        <w:t xml:space="preserve"> furnizate, în condițiile în care prețurile reglementate reflectă costul real al achiziționării</w:t>
      </w:r>
      <w:r w:rsidRPr="00052FE8">
        <w:rPr>
          <w:lang w:val="ro-RO"/>
        </w:rPr>
        <w:t>.</w:t>
      </w:r>
      <w:r w:rsidR="00702AFF" w:rsidRPr="00052FE8">
        <w:rPr>
          <w:lang w:val="ro-RO"/>
        </w:rPr>
        <w:t xml:space="preserve"> </w:t>
      </w:r>
    </w:p>
    <w:p w14:paraId="0CCED8E9" w14:textId="35021E92" w:rsidR="00A42EBB" w:rsidRDefault="00A42EBB" w:rsidP="00C77EB1">
      <w:pPr>
        <w:pStyle w:val="NormalWeb"/>
        <w:spacing w:before="0"/>
        <w:ind w:firstLine="708"/>
        <w:jc w:val="both"/>
        <w:rPr>
          <w:lang w:val="ro-RO"/>
        </w:rPr>
      </w:pPr>
      <w:r w:rsidRPr="002C0527">
        <w:rPr>
          <w:lang w:val="ro-RO"/>
        </w:rPr>
        <w:t xml:space="preserve">Urmare a ratificării de către Parlamentul Republicii Moldova </w:t>
      </w:r>
      <w:r w:rsidR="00D33F42">
        <w:rPr>
          <w:lang w:val="ro-RO"/>
        </w:rPr>
        <w:t xml:space="preserve">prin Legea nr. 206/2022 </w:t>
      </w:r>
      <w:r w:rsidRPr="002C0527">
        <w:rPr>
          <w:lang w:val="ro-RO"/>
        </w:rPr>
        <w:t xml:space="preserve">a Acordului de împrumut dintre Republica Moldova și BERD, în vederea realizării proiectului „Securitatea Furnizării Gazelor Naturale”, va fi asigurată </w:t>
      </w:r>
      <w:r w:rsidR="00021036" w:rsidRPr="002C0527">
        <w:rPr>
          <w:lang w:val="ro-RO"/>
        </w:rPr>
        <w:t xml:space="preserve">posibilitatea </w:t>
      </w:r>
      <w:r w:rsidRPr="002C0527">
        <w:rPr>
          <w:lang w:val="ro-RO"/>
        </w:rPr>
        <w:t>acumul</w:t>
      </w:r>
      <w:r w:rsidR="00021036" w:rsidRPr="002C0527">
        <w:rPr>
          <w:lang w:val="ro-RO"/>
        </w:rPr>
        <w:t>ării</w:t>
      </w:r>
      <w:r w:rsidRPr="002C0527">
        <w:rPr>
          <w:lang w:val="ro-RO"/>
        </w:rPr>
        <w:t xml:space="preserve"> unor </w:t>
      </w:r>
      <w:r w:rsidR="00FB7CFC">
        <w:rPr>
          <w:lang w:val="ro-RO"/>
        </w:rPr>
        <w:t>stocuri</w:t>
      </w:r>
      <w:r w:rsidRPr="002C0527">
        <w:rPr>
          <w:lang w:val="ro-RO"/>
        </w:rPr>
        <w:t xml:space="preserve"> de gaze naturale</w:t>
      </w:r>
      <w:r w:rsidR="00D33F42">
        <w:rPr>
          <w:lang w:val="ro-RO"/>
        </w:rPr>
        <w:t xml:space="preserve"> suficiente pentru acoperirea unui eventual deficit de gaze naturale</w:t>
      </w:r>
      <w:r w:rsidRPr="002C0527">
        <w:rPr>
          <w:lang w:val="ro-RO"/>
        </w:rPr>
        <w:t xml:space="preserve"> și/sau va fi facilitat procesul de diversificare a furnizorilor de gaze naturale și a rutelor de aprovizionare. </w:t>
      </w:r>
      <w:r w:rsidR="00021036" w:rsidRPr="002C0527">
        <w:rPr>
          <w:lang w:val="ro-RO"/>
        </w:rPr>
        <w:t>În cazul unui</w:t>
      </w:r>
      <w:r w:rsidRPr="002C0527">
        <w:rPr>
          <w:lang w:val="ro-RO"/>
        </w:rPr>
        <w:t xml:space="preserve"> preț mediu estimat de achiziție a gazelor naturale de </w:t>
      </w:r>
      <w:r w:rsidR="008C3810">
        <w:rPr>
          <w:lang w:val="ro-RO"/>
        </w:rPr>
        <w:t>500-</w:t>
      </w:r>
      <w:r w:rsidRPr="002C0527">
        <w:rPr>
          <w:lang w:val="ro-RO"/>
        </w:rPr>
        <w:t>1</w:t>
      </w:r>
      <w:r w:rsidR="00FB7CFC">
        <w:rPr>
          <w:lang w:val="ro-RO"/>
        </w:rPr>
        <w:t>0</w:t>
      </w:r>
      <w:r w:rsidRPr="002C0527">
        <w:rPr>
          <w:lang w:val="ro-RO"/>
        </w:rPr>
        <w:t>00 Euro/1000 m</w:t>
      </w:r>
      <w:r w:rsidRPr="002C0527">
        <w:rPr>
          <w:vertAlign w:val="superscript"/>
          <w:lang w:val="ro-RO"/>
        </w:rPr>
        <w:t>3</w:t>
      </w:r>
      <w:r w:rsidRPr="002C0527">
        <w:rPr>
          <w:lang w:val="ro-RO"/>
        </w:rPr>
        <w:t xml:space="preserve">, </w:t>
      </w:r>
      <w:r w:rsidR="0063107F">
        <w:rPr>
          <w:lang w:val="ro-RO"/>
        </w:rPr>
        <w:t>ar</w:t>
      </w:r>
      <w:r w:rsidRPr="002C0527">
        <w:rPr>
          <w:lang w:val="ro-RO"/>
        </w:rPr>
        <w:t xml:space="preserve"> putea fi achiziționat un volum de gaze naturale de </w:t>
      </w:r>
      <w:r w:rsidR="00021036" w:rsidRPr="002C0527">
        <w:rPr>
          <w:lang w:val="ro-RO"/>
        </w:rPr>
        <w:t>până</w:t>
      </w:r>
      <w:r w:rsidRPr="002C0527">
        <w:rPr>
          <w:lang w:val="ro-RO"/>
        </w:rPr>
        <w:t xml:space="preserve"> la </w:t>
      </w:r>
      <w:r w:rsidR="00FB7CFC">
        <w:rPr>
          <w:lang w:val="ro-RO"/>
        </w:rPr>
        <w:t>3</w:t>
      </w:r>
      <w:r w:rsidRPr="002C0527">
        <w:rPr>
          <w:lang w:val="ro-RO"/>
        </w:rPr>
        <w:t>00</w:t>
      </w:r>
      <w:r w:rsidR="008C3810">
        <w:rPr>
          <w:lang w:val="ro-RO"/>
        </w:rPr>
        <w:t>-600</w:t>
      </w:r>
      <w:r w:rsidRPr="002C0527">
        <w:rPr>
          <w:lang w:val="ro-RO"/>
        </w:rPr>
        <w:t xml:space="preserve"> </w:t>
      </w:r>
      <w:r w:rsidR="00021036" w:rsidRPr="002C0527">
        <w:rPr>
          <w:lang w:val="ro-RO"/>
        </w:rPr>
        <w:t>mil.</w:t>
      </w:r>
      <w:r w:rsidRPr="002C0527">
        <w:rPr>
          <w:lang w:val="ro-RO"/>
        </w:rPr>
        <w:t xml:space="preserve"> m</w:t>
      </w:r>
      <w:r w:rsidRPr="002C0527">
        <w:rPr>
          <w:vertAlign w:val="superscript"/>
          <w:lang w:val="ro-RO"/>
        </w:rPr>
        <w:t>3</w:t>
      </w:r>
      <w:r w:rsidRPr="002C0527">
        <w:rPr>
          <w:lang w:val="ro-RO"/>
        </w:rPr>
        <w:t>.</w:t>
      </w:r>
    </w:p>
    <w:p w14:paraId="68953EC7" w14:textId="51614903" w:rsidR="00AE15B3" w:rsidRPr="002C0527" w:rsidRDefault="00AE15B3" w:rsidP="00C77EB1">
      <w:pPr>
        <w:pStyle w:val="NormalWeb"/>
        <w:spacing w:before="0"/>
        <w:ind w:firstLine="708"/>
        <w:jc w:val="both"/>
        <w:rPr>
          <w:lang w:val="ro-RO"/>
        </w:rPr>
      </w:pPr>
      <w:r>
        <w:rPr>
          <w:lang w:val="ro-RO"/>
        </w:rPr>
        <w:t>În cazul Scenariului II (A) și III, practic toată cantitatea de energie electrică necesară adițional celei produse local, va fi necesar a fi acoperită din alte surse, altele decât MGRES, ceea ce ar putea prezenta anumite riscuri, în anumite circumstanțe, pentru asigurarea stabilității sistemului electroenergetic al Republicii Moldova (malul drept), având în vedere situația din Noiembrie 2022</w:t>
      </w:r>
      <w:r w:rsidR="002543F5">
        <w:rPr>
          <w:lang w:val="ro-RO"/>
        </w:rPr>
        <w:t xml:space="preserve"> când urmare a bombardamentelor Federației Ruse a fost afectată semnificativ infrastructura energetică din Ucraina. Totodată, în cazul Scenariului III - </w:t>
      </w:r>
      <w:r w:rsidR="002543F5" w:rsidRPr="002543F5">
        <w:rPr>
          <w:i/>
          <w:iCs/>
          <w:lang w:val="ro-RO"/>
        </w:rPr>
        <w:t xml:space="preserve">rezilierea de către SAP „Gazprom” </w:t>
      </w:r>
      <w:bookmarkStart w:id="14" w:name="_Hlk135732956"/>
      <w:r w:rsidR="002543F5" w:rsidRPr="002543F5">
        <w:rPr>
          <w:i/>
          <w:iCs/>
          <w:lang w:val="ro-RO"/>
        </w:rPr>
        <w:t>a contractului existent privind furnizarea gazelor naturale încheiat între SA „Moldovagaz” și SAP „Gazprom”</w:t>
      </w:r>
      <w:r w:rsidR="002543F5">
        <w:rPr>
          <w:lang w:val="ro-RO"/>
        </w:rPr>
        <w:t>, ar exista riscuri majore pentru securitatea aprovizionării cu gaze naturale a malului stâng al Nistrului.</w:t>
      </w:r>
    </w:p>
    <w:bookmarkEnd w:id="14"/>
    <w:p w14:paraId="53D776D7" w14:textId="0BF70574" w:rsidR="00F24F07" w:rsidRPr="002C0527" w:rsidRDefault="00F24F07" w:rsidP="00CC4FC9">
      <w:pPr>
        <w:pStyle w:val="cb"/>
        <w:jc w:val="left"/>
        <w:rPr>
          <w:lang w:val="ro-RO"/>
        </w:rPr>
      </w:pPr>
    </w:p>
    <w:p w14:paraId="7F68B88A" w14:textId="137F5D39" w:rsidR="00A42EBB" w:rsidRPr="002C0527" w:rsidRDefault="00F251D8" w:rsidP="00A42EBB">
      <w:pPr>
        <w:pStyle w:val="cb"/>
        <w:ind w:left="708"/>
        <w:rPr>
          <w:lang w:val="ro-RO"/>
        </w:rPr>
      </w:pPr>
      <w:r>
        <w:rPr>
          <w:lang w:val="ro-RO"/>
        </w:rPr>
        <w:t>IV</w:t>
      </w:r>
      <w:r w:rsidR="00A82787" w:rsidRPr="002C0527">
        <w:rPr>
          <w:lang w:val="ro-RO"/>
        </w:rPr>
        <w:t xml:space="preserve">. </w:t>
      </w:r>
      <w:r w:rsidR="00A42EBB" w:rsidRPr="002C0527">
        <w:rPr>
          <w:lang w:val="ro-RO"/>
        </w:rPr>
        <w:t xml:space="preserve">MĂSURI DE PREVENIRE ȘI ATENUARE A IMPACTULUI </w:t>
      </w:r>
    </w:p>
    <w:p w14:paraId="47027B76" w14:textId="16699C9A" w:rsidR="00387A54" w:rsidRDefault="00387A54" w:rsidP="00284527">
      <w:pPr>
        <w:pStyle w:val="NormalWeb"/>
        <w:spacing w:before="120"/>
        <w:ind w:firstLine="708"/>
        <w:jc w:val="both"/>
        <w:rPr>
          <w:lang w:val="ro-RO"/>
        </w:rPr>
      </w:pPr>
      <w:r>
        <w:rPr>
          <w:lang w:val="ro-RO"/>
        </w:rPr>
        <w:t xml:space="preserve">În scopul întreprinderii pașilor necesari pentru punerea în aplicare a măsurilor de atenuare și reducerea </w:t>
      </w:r>
      <w:r w:rsidR="000A750D">
        <w:rPr>
          <w:lang w:val="ro-RO"/>
        </w:rPr>
        <w:t>a consumului de gaze naturale în caz de limitare a furnizării gazelor naturale, sunt planificate o serie de măsuri preventive necesare a fi întreprinse de către autorități.</w:t>
      </w:r>
    </w:p>
    <w:p w14:paraId="7B68F39E" w14:textId="2EA985AB" w:rsidR="00420CE6" w:rsidRPr="002C0527" w:rsidRDefault="00503A67" w:rsidP="00284527">
      <w:pPr>
        <w:pStyle w:val="NormalWeb"/>
        <w:spacing w:before="120"/>
        <w:ind w:firstLine="708"/>
        <w:jc w:val="both"/>
        <w:rPr>
          <w:lang w:val="ro-RO"/>
        </w:rPr>
      </w:pPr>
      <w:r>
        <w:rPr>
          <w:lang w:val="ro-RO"/>
        </w:rPr>
        <w:t>Astfel</w:t>
      </w:r>
      <w:r w:rsidR="00420CE6">
        <w:rPr>
          <w:lang w:val="ro-RO"/>
        </w:rPr>
        <w:t xml:space="preserve"> se prezintă tabelul cu măsurile preventive, termen</w:t>
      </w:r>
      <w:r>
        <w:rPr>
          <w:lang w:val="ro-RO"/>
        </w:rPr>
        <w:t>ul</w:t>
      </w:r>
      <w:r w:rsidR="00420CE6">
        <w:rPr>
          <w:lang w:val="ro-RO"/>
        </w:rPr>
        <w:t xml:space="preserve"> de realizare și responsabil</w:t>
      </w:r>
      <w:r>
        <w:rPr>
          <w:lang w:val="ro-RO"/>
        </w:rPr>
        <w:t>ii,</w:t>
      </w:r>
      <w:r w:rsidR="00420CE6">
        <w:rPr>
          <w:lang w:val="ro-RO"/>
        </w:rPr>
        <w:t xml:space="preserve"> </w:t>
      </w:r>
      <w:r w:rsidR="001942B7">
        <w:rPr>
          <w:lang w:val="ro-RO"/>
        </w:rPr>
        <w:t>necesare a fi întreprinse în vederea prevenirii și atenuării impactului în caz de limitare a furnizării gazelor naturale.</w:t>
      </w:r>
    </w:p>
    <w:p w14:paraId="17EF7AEB" w14:textId="39B8C059" w:rsidR="00A42EBB" w:rsidRPr="00821461" w:rsidRDefault="00A42EBB" w:rsidP="00FE6BC3">
      <w:pPr>
        <w:pStyle w:val="cb"/>
        <w:jc w:val="left"/>
      </w:pPr>
      <w:r w:rsidRPr="002C0527">
        <w:rPr>
          <w:lang w:val="ro-RO"/>
        </w:rPr>
        <w:t xml:space="preserve">Tabelul </w:t>
      </w:r>
      <w:r w:rsidR="00E713EA">
        <w:rPr>
          <w:lang w:val="ro-RO"/>
        </w:rPr>
        <w:t>9</w:t>
      </w:r>
      <w:r w:rsidRPr="002C0527">
        <w:rPr>
          <w:lang w:val="ro-RO"/>
        </w:rPr>
        <w:t xml:space="preserve">. </w:t>
      </w:r>
      <w:r w:rsidRPr="00FE6BC3">
        <w:rPr>
          <w:b w:val="0"/>
          <w:bCs w:val="0"/>
          <w:sz w:val="22"/>
          <w:szCs w:val="22"/>
          <w:lang w:val="ro-RO"/>
        </w:rPr>
        <w:t>Măsuri preventive</w:t>
      </w:r>
      <w:r w:rsidRPr="002C0527">
        <w:rPr>
          <w:b w:val="0"/>
          <w:bCs w:val="0"/>
          <w:lang w:val="ro-RO"/>
        </w:rPr>
        <w:t xml:space="preserve"> </w:t>
      </w:r>
    </w:p>
    <w:tbl>
      <w:tblPr>
        <w:tblStyle w:val="TableGrid"/>
        <w:tblW w:w="5000" w:type="pct"/>
        <w:tblLook w:val="04A0" w:firstRow="1" w:lastRow="0" w:firstColumn="1" w:lastColumn="0" w:noHBand="0" w:noVBand="1"/>
      </w:tblPr>
      <w:tblGrid>
        <w:gridCol w:w="687"/>
        <w:gridCol w:w="5351"/>
        <w:gridCol w:w="1723"/>
        <w:gridCol w:w="2408"/>
      </w:tblGrid>
      <w:tr w:rsidR="00A42EBB" w:rsidRPr="001E6F0D" w14:paraId="7058AD8E" w14:textId="77777777" w:rsidTr="00287FB6">
        <w:trPr>
          <w:trHeight w:val="355"/>
        </w:trPr>
        <w:tc>
          <w:tcPr>
            <w:tcW w:w="338" w:type="pct"/>
            <w:shd w:val="clear" w:color="auto" w:fill="D9E2F3" w:themeFill="accent5" w:themeFillTint="33"/>
            <w:vAlign w:val="center"/>
          </w:tcPr>
          <w:p w14:paraId="594B5353" w14:textId="77777777" w:rsidR="00A42EBB" w:rsidRPr="001E6F0D" w:rsidRDefault="00A42EBB" w:rsidP="00C95C78">
            <w:pPr>
              <w:jc w:val="center"/>
              <w:rPr>
                <w:rFonts w:ascii="Times New Roman" w:hAnsi="Times New Roman" w:cs="Times New Roman"/>
                <w:b/>
                <w:bCs/>
                <w:color w:val="000000" w:themeColor="text1"/>
                <w:lang w:val="ro-RO"/>
              </w:rPr>
            </w:pPr>
            <w:r w:rsidRPr="001E6F0D">
              <w:rPr>
                <w:rFonts w:ascii="Times New Roman" w:hAnsi="Times New Roman" w:cs="Times New Roman"/>
                <w:b/>
                <w:bCs/>
                <w:color w:val="000000" w:themeColor="text1"/>
                <w:lang w:val="ro-RO"/>
              </w:rPr>
              <w:t>Nr.</w:t>
            </w:r>
          </w:p>
        </w:tc>
        <w:tc>
          <w:tcPr>
            <w:tcW w:w="2631" w:type="pct"/>
            <w:shd w:val="clear" w:color="auto" w:fill="D9E2F3" w:themeFill="accent5" w:themeFillTint="33"/>
            <w:vAlign w:val="center"/>
          </w:tcPr>
          <w:p w14:paraId="39C87BB5" w14:textId="77777777" w:rsidR="00A42EBB" w:rsidRPr="001E6F0D" w:rsidRDefault="00A42EBB" w:rsidP="00C95C78">
            <w:pPr>
              <w:jc w:val="center"/>
              <w:rPr>
                <w:rFonts w:ascii="Times New Roman" w:hAnsi="Times New Roman" w:cs="Times New Roman"/>
                <w:b/>
                <w:bCs/>
                <w:color w:val="000000" w:themeColor="text1"/>
                <w:lang w:val="ro-RO"/>
              </w:rPr>
            </w:pPr>
            <w:r w:rsidRPr="001E6F0D">
              <w:rPr>
                <w:rFonts w:ascii="Times New Roman" w:hAnsi="Times New Roman" w:cs="Times New Roman"/>
                <w:b/>
                <w:bCs/>
                <w:color w:val="000000" w:themeColor="text1"/>
                <w:lang w:val="ro-RO"/>
              </w:rPr>
              <w:t>Măsuri preventive</w:t>
            </w:r>
          </w:p>
        </w:tc>
        <w:tc>
          <w:tcPr>
            <w:tcW w:w="847" w:type="pct"/>
            <w:shd w:val="clear" w:color="auto" w:fill="D9E2F3" w:themeFill="accent5" w:themeFillTint="33"/>
            <w:vAlign w:val="center"/>
          </w:tcPr>
          <w:p w14:paraId="5B3E9F73" w14:textId="77777777" w:rsidR="00A42EBB" w:rsidRPr="001E6F0D" w:rsidRDefault="00A42EBB" w:rsidP="00C95C78">
            <w:pPr>
              <w:jc w:val="center"/>
              <w:rPr>
                <w:rFonts w:ascii="Times New Roman" w:hAnsi="Times New Roman" w:cs="Times New Roman"/>
                <w:b/>
                <w:bCs/>
                <w:color w:val="000000" w:themeColor="text1"/>
                <w:lang w:val="ro-RO"/>
              </w:rPr>
            </w:pPr>
            <w:r w:rsidRPr="001E6F0D">
              <w:rPr>
                <w:rFonts w:ascii="Times New Roman" w:hAnsi="Times New Roman" w:cs="Times New Roman"/>
                <w:b/>
                <w:bCs/>
                <w:color w:val="000000" w:themeColor="text1"/>
                <w:lang w:val="ro-RO"/>
              </w:rPr>
              <w:t>Termen de realizare</w:t>
            </w:r>
          </w:p>
        </w:tc>
        <w:tc>
          <w:tcPr>
            <w:tcW w:w="1184" w:type="pct"/>
            <w:shd w:val="clear" w:color="auto" w:fill="D9E2F3" w:themeFill="accent5" w:themeFillTint="33"/>
            <w:vAlign w:val="center"/>
          </w:tcPr>
          <w:p w14:paraId="0C77F0AC" w14:textId="73867A02" w:rsidR="00A42EBB" w:rsidRPr="001E6F0D" w:rsidRDefault="00B2709A" w:rsidP="00C95C78">
            <w:pPr>
              <w:rPr>
                <w:rFonts w:ascii="Times New Roman" w:hAnsi="Times New Roman" w:cs="Times New Roman"/>
                <w:b/>
                <w:bCs/>
                <w:color w:val="000000" w:themeColor="text1"/>
                <w:lang w:val="ro-RO"/>
              </w:rPr>
            </w:pPr>
            <w:r w:rsidRPr="001E6F0D">
              <w:rPr>
                <w:rFonts w:ascii="Times New Roman" w:hAnsi="Times New Roman" w:cs="Times New Roman"/>
                <w:b/>
                <w:bCs/>
                <w:color w:val="000000" w:themeColor="text1"/>
                <w:lang w:val="ro-RO"/>
              </w:rPr>
              <w:t>R</w:t>
            </w:r>
            <w:r w:rsidR="00A42EBB" w:rsidRPr="001E6F0D">
              <w:rPr>
                <w:rFonts w:ascii="Times New Roman" w:hAnsi="Times New Roman" w:cs="Times New Roman"/>
                <w:b/>
                <w:bCs/>
                <w:color w:val="000000" w:themeColor="text1"/>
                <w:lang w:val="ro-RO"/>
              </w:rPr>
              <w:t>esponsabil</w:t>
            </w:r>
          </w:p>
        </w:tc>
      </w:tr>
      <w:tr w:rsidR="00847DD6" w:rsidRPr="001E6F0D" w14:paraId="45154626" w14:textId="77777777" w:rsidTr="00287FB6">
        <w:trPr>
          <w:trHeight w:val="162"/>
        </w:trPr>
        <w:tc>
          <w:tcPr>
            <w:tcW w:w="338" w:type="pct"/>
            <w:vAlign w:val="center"/>
          </w:tcPr>
          <w:p w14:paraId="41254117" w14:textId="6135A83B" w:rsidR="00847DD6" w:rsidRPr="001E6F0D" w:rsidRDefault="00847DD6" w:rsidP="00847DD6">
            <w:pPr>
              <w:jc w:val="center"/>
              <w:rPr>
                <w:rFonts w:ascii="Times New Roman" w:hAnsi="Times New Roman" w:cs="Times New Roman"/>
                <w:color w:val="000000"/>
                <w:lang w:val="ro-RO"/>
              </w:rPr>
            </w:pPr>
            <w:r w:rsidRPr="001E6F0D">
              <w:rPr>
                <w:rFonts w:ascii="Times New Roman" w:hAnsi="Times New Roman" w:cs="Times New Roman"/>
                <w:color w:val="000000"/>
              </w:rPr>
              <w:t>1</w:t>
            </w:r>
          </w:p>
        </w:tc>
        <w:tc>
          <w:tcPr>
            <w:tcW w:w="2631" w:type="pct"/>
            <w:shd w:val="clear" w:color="auto" w:fill="auto"/>
            <w:vAlign w:val="center"/>
          </w:tcPr>
          <w:p w14:paraId="4D3ED62A" w14:textId="3B090886"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 xml:space="preserve">Înregistrarea și </w:t>
            </w:r>
            <w:r w:rsidR="00EE39DD" w:rsidRPr="001E6F0D">
              <w:rPr>
                <w:rFonts w:ascii="Times New Roman" w:hAnsi="Times New Roman" w:cs="Times New Roman"/>
                <w:lang w:val="ro-RO"/>
              </w:rPr>
              <w:t xml:space="preserve">examinarea oportunității </w:t>
            </w:r>
            <w:r w:rsidRPr="001E6F0D">
              <w:rPr>
                <w:rFonts w:ascii="Times New Roman" w:hAnsi="Times New Roman" w:cs="Times New Roman"/>
                <w:lang w:val="ro-RO"/>
              </w:rPr>
              <w:t>particip</w:t>
            </w:r>
            <w:r w:rsidR="00EE39DD" w:rsidRPr="001E6F0D">
              <w:rPr>
                <w:rFonts w:ascii="Times New Roman" w:hAnsi="Times New Roman" w:cs="Times New Roman"/>
                <w:lang w:val="ro-RO"/>
              </w:rPr>
              <w:t>ării</w:t>
            </w:r>
            <w:r w:rsidRPr="001E6F0D">
              <w:rPr>
                <w:rFonts w:ascii="Times New Roman" w:hAnsi="Times New Roman" w:cs="Times New Roman"/>
                <w:lang w:val="ro-RO"/>
              </w:rPr>
              <w:t xml:space="preserve"> la achizițiile comune de gaze naturale organizate în cadrul Platformei Energetice a UE în conformitate cu Regulamentul Consiliului UE 2022/2576</w:t>
            </w:r>
          </w:p>
        </w:tc>
        <w:tc>
          <w:tcPr>
            <w:tcW w:w="847" w:type="pct"/>
            <w:shd w:val="clear" w:color="auto" w:fill="auto"/>
            <w:vAlign w:val="center"/>
          </w:tcPr>
          <w:p w14:paraId="7EAAD5AE" w14:textId="50A0DEBE"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2023</w:t>
            </w:r>
          </w:p>
        </w:tc>
        <w:tc>
          <w:tcPr>
            <w:tcW w:w="1184" w:type="pct"/>
            <w:shd w:val="clear" w:color="auto" w:fill="auto"/>
            <w:vAlign w:val="center"/>
          </w:tcPr>
          <w:p w14:paraId="6751A82D"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SA „Energocom”</w:t>
            </w:r>
          </w:p>
          <w:p w14:paraId="5513CA5D"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Alți titulari de licență pentru furnizarea gazelor naturale</w:t>
            </w:r>
          </w:p>
          <w:p w14:paraId="7AD47EE6" w14:textId="08BCB646" w:rsidR="005750A2" w:rsidRPr="001E6F0D" w:rsidRDefault="005750A2" w:rsidP="00847DD6">
            <w:pPr>
              <w:rPr>
                <w:rFonts w:ascii="Times New Roman" w:hAnsi="Times New Roman" w:cs="Times New Roman"/>
                <w:lang w:val="ro-RO"/>
              </w:rPr>
            </w:pPr>
            <w:r w:rsidRPr="001E6F0D">
              <w:rPr>
                <w:rFonts w:ascii="Times New Roman" w:hAnsi="Times New Roman" w:cs="Times New Roman"/>
                <w:lang w:val="ro-RO"/>
              </w:rPr>
              <w:t>Consumatori mari de gaze naturale</w:t>
            </w:r>
          </w:p>
        </w:tc>
      </w:tr>
      <w:tr w:rsidR="00847DD6" w:rsidRPr="001E6F0D" w14:paraId="01BFFFAD" w14:textId="77777777" w:rsidTr="00287FB6">
        <w:trPr>
          <w:trHeight w:val="162"/>
        </w:trPr>
        <w:tc>
          <w:tcPr>
            <w:tcW w:w="338" w:type="pct"/>
            <w:vAlign w:val="center"/>
          </w:tcPr>
          <w:p w14:paraId="752A4040" w14:textId="6283D658" w:rsidR="00847DD6" w:rsidRPr="001E6F0D" w:rsidRDefault="00847DD6" w:rsidP="00847DD6">
            <w:pPr>
              <w:jc w:val="center"/>
              <w:rPr>
                <w:rFonts w:ascii="Times New Roman" w:hAnsi="Times New Roman" w:cs="Times New Roman"/>
                <w:color w:val="000000"/>
                <w:lang w:val="en-US"/>
              </w:rPr>
            </w:pPr>
            <w:r w:rsidRPr="001E6F0D">
              <w:rPr>
                <w:rFonts w:ascii="Times New Roman" w:hAnsi="Times New Roman" w:cs="Times New Roman"/>
                <w:color w:val="000000"/>
              </w:rPr>
              <w:t>2</w:t>
            </w:r>
          </w:p>
        </w:tc>
        <w:tc>
          <w:tcPr>
            <w:tcW w:w="2631" w:type="pct"/>
            <w:shd w:val="clear" w:color="auto" w:fill="auto"/>
            <w:vAlign w:val="center"/>
          </w:tcPr>
          <w:p w14:paraId="70EFDB92" w14:textId="6A732D68"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 xml:space="preserve">Asigurarea disponibilității operaționalizării ciclului </w:t>
            </w:r>
            <w:r w:rsidRPr="001E6F0D">
              <w:rPr>
                <w:rFonts w:ascii="Times New Roman" w:hAnsi="Times New Roman" w:cs="Times New Roman"/>
                <w:lang w:val="ro-RO"/>
              </w:rPr>
              <w:br/>
              <w:t xml:space="preserve">nr. 2 al împrumutului </w:t>
            </w:r>
            <w:r w:rsidR="00821461" w:rsidRPr="001E6F0D">
              <w:rPr>
                <w:rFonts w:ascii="Times New Roman" w:hAnsi="Times New Roman" w:cs="Times New Roman"/>
                <w:lang w:val="ro-RO"/>
              </w:rPr>
              <w:t xml:space="preserve">de tip revolving </w:t>
            </w:r>
            <w:r w:rsidRPr="001E6F0D">
              <w:rPr>
                <w:rFonts w:ascii="Times New Roman" w:hAnsi="Times New Roman" w:cs="Times New Roman"/>
                <w:lang w:val="ro-RO"/>
              </w:rPr>
              <w:t>de la Banca Europeană pentru Reconstrucție și Dezvoltare (BERD) de 300 mil. Euro</w:t>
            </w:r>
          </w:p>
        </w:tc>
        <w:tc>
          <w:tcPr>
            <w:tcW w:w="847" w:type="pct"/>
            <w:shd w:val="clear" w:color="auto" w:fill="auto"/>
          </w:tcPr>
          <w:p w14:paraId="1A1985BB" w14:textId="77777777" w:rsidR="00847DD6" w:rsidRPr="001E6F0D" w:rsidRDefault="00847DD6" w:rsidP="00847DD6">
            <w:pPr>
              <w:jc w:val="center"/>
              <w:rPr>
                <w:rFonts w:ascii="Times New Roman" w:hAnsi="Times New Roman" w:cs="Times New Roman"/>
                <w:lang w:val="ro-RO"/>
              </w:rPr>
            </w:pPr>
          </w:p>
          <w:p w14:paraId="14E8AC33" w14:textId="77777777" w:rsidR="00847DD6" w:rsidRPr="001E6F0D" w:rsidRDefault="00847DD6" w:rsidP="00847DD6">
            <w:pPr>
              <w:jc w:val="center"/>
              <w:rPr>
                <w:rFonts w:ascii="Times New Roman" w:hAnsi="Times New Roman" w:cs="Times New Roman"/>
                <w:lang w:val="ro-RO"/>
              </w:rPr>
            </w:pPr>
          </w:p>
          <w:p w14:paraId="3CC767DA" w14:textId="602C0C81"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01.10.2023</w:t>
            </w:r>
          </w:p>
        </w:tc>
        <w:tc>
          <w:tcPr>
            <w:tcW w:w="1184" w:type="pct"/>
            <w:shd w:val="clear" w:color="auto" w:fill="auto"/>
            <w:vAlign w:val="center"/>
          </w:tcPr>
          <w:p w14:paraId="48E7DAC1" w14:textId="1F286696"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SA „Energocom”</w:t>
            </w:r>
          </w:p>
        </w:tc>
      </w:tr>
      <w:tr w:rsidR="00847DD6" w:rsidRPr="001E6F0D" w14:paraId="72393B9C" w14:textId="77777777" w:rsidTr="00287FB6">
        <w:trPr>
          <w:trHeight w:val="162"/>
        </w:trPr>
        <w:tc>
          <w:tcPr>
            <w:tcW w:w="338" w:type="pct"/>
            <w:vAlign w:val="center"/>
          </w:tcPr>
          <w:p w14:paraId="6D3F14F9" w14:textId="507F64ED" w:rsidR="00847DD6" w:rsidRPr="001E6F0D" w:rsidRDefault="00E33565" w:rsidP="00847DD6">
            <w:pPr>
              <w:jc w:val="center"/>
              <w:rPr>
                <w:rFonts w:ascii="Times New Roman" w:hAnsi="Times New Roman" w:cs="Times New Roman"/>
                <w:color w:val="000000"/>
                <w:lang w:val="ro-RO"/>
              </w:rPr>
            </w:pPr>
            <w:r w:rsidRPr="001E6F0D">
              <w:rPr>
                <w:rFonts w:ascii="Times New Roman" w:hAnsi="Times New Roman" w:cs="Times New Roman"/>
                <w:color w:val="000000"/>
                <w:lang w:val="ro-RO"/>
              </w:rPr>
              <w:t>3</w:t>
            </w:r>
          </w:p>
        </w:tc>
        <w:tc>
          <w:tcPr>
            <w:tcW w:w="2631" w:type="pct"/>
            <w:shd w:val="clear" w:color="auto" w:fill="auto"/>
            <w:vAlign w:val="center"/>
          </w:tcPr>
          <w:p w14:paraId="28147F88" w14:textId="74D345CA" w:rsidR="00847DD6" w:rsidRPr="001E6F0D" w:rsidRDefault="00635703" w:rsidP="00847DD6">
            <w:pPr>
              <w:jc w:val="both"/>
              <w:rPr>
                <w:rFonts w:ascii="Times New Roman" w:hAnsi="Times New Roman" w:cs="Times New Roman"/>
                <w:lang w:val="ro-RO"/>
              </w:rPr>
            </w:pPr>
            <w:r w:rsidRPr="001E6F0D">
              <w:rPr>
                <w:rFonts w:ascii="Times New Roman" w:hAnsi="Times New Roman" w:cs="Times New Roman"/>
                <w:lang w:val="ro-RO"/>
              </w:rPr>
              <w:t xml:space="preserve">Întreprinderea măsurilor necesare întru asigurarea </w:t>
            </w:r>
            <w:r w:rsidR="00351C32" w:rsidRPr="001E6F0D">
              <w:rPr>
                <w:rFonts w:ascii="Times New Roman" w:hAnsi="Times New Roman" w:cs="Times New Roman"/>
                <w:lang w:val="ro-RO"/>
              </w:rPr>
              <w:t xml:space="preserve">lanțului logistic </w:t>
            </w:r>
            <w:r w:rsidR="00821461" w:rsidRPr="001E6F0D">
              <w:rPr>
                <w:rFonts w:ascii="Times New Roman" w:hAnsi="Times New Roman" w:cs="Times New Roman"/>
                <w:lang w:val="ro-RO"/>
              </w:rPr>
              <w:t>pentru</w:t>
            </w:r>
            <w:r w:rsidR="00351C32" w:rsidRPr="001E6F0D">
              <w:rPr>
                <w:rFonts w:ascii="Times New Roman" w:hAnsi="Times New Roman" w:cs="Times New Roman"/>
                <w:lang w:val="ro-RO"/>
              </w:rPr>
              <w:t xml:space="preserve"> transportarea păcurii</w:t>
            </w:r>
            <w:r w:rsidR="00821461" w:rsidRPr="001E6F0D">
              <w:rPr>
                <w:rFonts w:ascii="Times New Roman" w:hAnsi="Times New Roman" w:cs="Times New Roman"/>
                <w:lang w:val="ro-RO"/>
              </w:rPr>
              <w:t xml:space="preserve"> în termen</w:t>
            </w:r>
            <w:r w:rsidR="00351C32" w:rsidRPr="001E6F0D">
              <w:rPr>
                <w:rFonts w:ascii="Times New Roman" w:hAnsi="Times New Roman" w:cs="Times New Roman"/>
                <w:lang w:val="ro-RO"/>
              </w:rPr>
              <w:t>, în caz de necesitate, prin asigurarea unui număr suficient de cisterne și locomotive</w:t>
            </w:r>
          </w:p>
        </w:tc>
        <w:tc>
          <w:tcPr>
            <w:tcW w:w="847" w:type="pct"/>
            <w:shd w:val="clear" w:color="auto" w:fill="auto"/>
            <w:vAlign w:val="center"/>
          </w:tcPr>
          <w:p w14:paraId="356D4D9D" w14:textId="763C8234" w:rsidR="00847DD6" w:rsidRPr="001E6F0D" w:rsidRDefault="00351C32" w:rsidP="00847DD6">
            <w:pPr>
              <w:jc w:val="center"/>
              <w:rPr>
                <w:rFonts w:ascii="Times New Roman" w:hAnsi="Times New Roman" w:cs="Times New Roman"/>
                <w:lang w:val="ro-RO"/>
              </w:rPr>
            </w:pPr>
            <w:r w:rsidRPr="001E6F0D">
              <w:rPr>
                <w:rFonts w:ascii="Times New Roman" w:hAnsi="Times New Roman" w:cs="Times New Roman"/>
                <w:lang w:val="ro-RO"/>
              </w:rPr>
              <w:t>2023</w:t>
            </w:r>
          </w:p>
        </w:tc>
        <w:tc>
          <w:tcPr>
            <w:tcW w:w="1184" w:type="pct"/>
            <w:shd w:val="clear" w:color="auto" w:fill="auto"/>
            <w:vAlign w:val="center"/>
          </w:tcPr>
          <w:p w14:paraId="47320A75"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ÎS „Calea Ferată din Moldova”</w:t>
            </w:r>
          </w:p>
          <w:p w14:paraId="3D474545" w14:textId="4105F931"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 xml:space="preserve">Ministerul Infrastructurii și </w:t>
            </w:r>
            <w:r w:rsidRPr="001E6F0D">
              <w:rPr>
                <w:rFonts w:ascii="Times New Roman" w:hAnsi="Times New Roman" w:cs="Times New Roman"/>
                <w:lang w:val="ro-RO"/>
              </w:rPr>
              <w:lastRenderedPageBreak/>
              <w:t>Dezvoltării Regionale (MIDR)</w:t>
            </w:r>
          </w:p>
        </w:tc>
      </w:tr>
      <w:tr w:rsidR="00847DD6" w:rsidRPr="001E6F0D" w14:paraId="2711E8F3" w14:textId="77777777" w:rsidTr="00287FB6">
        <w:trPr>
          <w:trHeight w:val="162"/>
        </w:trPr>
        <w:tc>
          <w:tcPr>
            <w:tcW w:w="338" w:type="pct"/>
            <w:vAlign w:val="center"/>
          </w:tcPr>
          <w:p w14:paraId="2F5820F9" w14:textId="586DA891" w:rsidR="00847DD6" w:rsidRPr="001E6F0D" w:rsidRDefault="00E33565" w:rsidP="00847DD6">
            <w:pPr>
              <w:jc w:val="center"/>
              <w:rPr>
                <w:rFonts w:ascii="Times New Roman" w:hAnsi="Times New Roman" w:cs="Times New Roman"/>
                <w:color w:val="000000"/>
                <w:lang w:val="en-US"/>
              </w:rPr>
            </w:pPr>
            <w:r w:rsidRPr="001E6F0D">
              <w:rPr>
                <w:rFonts w:ascii="Times New Roman" w:hAnsi="Times New Roman" w:cs="Times New Roman"/>
                <w:color w:val="000000"/>
                <w:lang w:val="ro-RO"/>
              </w:rPr>
              <w:lastRenderedPageBreak/>
              <w:t>4</w:t>
            </w:r>
          </w:p>
        </w:tc>
        <w:tc>
          <w:tcPr>
            <w:tcW w:w="2631" w:type="pct"/>
            <w:shd w:val="clear" w:color="auto" w:fill="auto"/>
            <w:vAlign w:val="center"/>
          </w:tcPr>
          <w:p w14:paraId="62F5B64A" w14:textId="47E62ED5"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 xml:space="preserve">Întreprinderea măsurilor necesare întru majorarea capacității comerciale, </w:t>
            </w:r>
            <w:r w:rsidR="00821461" w:rsidRPr="001E6F0D">
              <w:rPr>
                <w:rFonts w:ascii="Times New Roman" w:hAnsi="Times New Roman" w:cs="Times New Roman"/>
                <w:lang w:val="ro-RO"/>
              </w:rPr>
              <w:t>alocată</w:t>
            </w:r>
            <w:r w:rsidRPr="001E6F0D">
              <w:rPr>
                <w:rFonts w:ascii="Times New Roman" w:hAnsi="Times New Roman" w:cs="Times New Roman"/>
                <w:lang w:val="ro-RO"/>
              </w:rPr>
              <w:t xml:space="preserve"> de ENTSO-E pentru importul de energie electrică la granița România – </w:t>
            </w:r>
            <w:r w:rsidR="00D33F42">
              <w:rPr>
                <w:rFonts w:ascii="Times New Roman" w:hAnsi="Times New Roman" w:cs="Times New Roman"/>
                <w:lang w:val="ro-RO"/>
              </w:rPr>
              <w:t xml:space="preserve">Republica </w:t>
            </w:r>
            <w:r w:rsidRPr="001E6F0D">
              <w:rPr>
                <w:rFonts w:ascii="Times New Roman" w:hAnsi="Times New Roman" w:cs="Times New Roman"/>
                <w:lang w:val="ro-RO"/>
              </w:rPr>
              <w:t xml:space="preserve">Moldova, până la cel puțin 600 MW </w:t>
            </w:r>
            <w:r w:rsidR="00821461" w:rsidRPr="001E6F0D">
              <w:rPr>
                <w:rFonts w:ascii="Times New Roman" w:hAnsi="Times New Roman" w:cs="Times New Roman"/>
                <w:lang w:val="ro-RO"/>
              </w:rPr>
              <w:t xml:space="preserve">exclusiv pentru </w:t>
            </w:r>
            <w:r w:rsidR="00D33F42">
              <w:rPr>
                <w:rFonts w:ascii="Times New Roman" w:hAnsi="Times New Roman" w:cs="Times New Roman"/>
                <w:lang w:val="ro-RO"/>
              </w:rPr>
              <w:t xml:space="preserve">Republica </w:t>
            </w:r>
            <w:r w:rsidR="00821461" w:rsidRPr="001E6F0D">
              <w:rPr>
                <w:rFonts w:ascii="Times New Roman" w:hAnsi="Times New Roman" w:cs="Times New Roman"/>
                <w:lang w:val="ro-RO"/>
              </w:rPr>
              <w:t xml:space="preserve">Moldova, </w:t>
            </w:r>
            <w:r w:rsidRPr="001E6F0D">
              <w:rPr>
                <w:rFonts w:ascii="Times New Roman" w:hAnsi="Times New Roman" w:cs="Times New Roman"/>
                <w:lang w:val="ro-RO"/>
              </w:rPr>
              <w:t>ce ar garanta posibilitatea achiziționării energiei electrice pentru acoperirea necesarului de import pentru consumul malului drept din România sau alte țări UE</w:t>
            </w:r>
          </w:p>
        </w:tc>
        <w:tc>
          <w:tcPr>
            <w:tcW w:w="847" w:type="pct"/>
            <w:shd w:val="clear" w:color="auto" w:fill="auto"/>
            <w:vAlign w:val="center"/>
          </w:tcPr>
          <w:p w14:paraId="075F19D1" w14:textId="4F3595B2"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01.11.2023</w:t>
            </w:r>
          </w:p>
        </w:tc>
        <w:tc>
          <w:tcPr>
            <w:tcW w:w="1184" w:type="pct"/>
            <w:shd w:val="clear" w:color="auto" w:fill="auto"/>
            <w:vAlign w:val="center"/>
          </w:tcPr>
          <w:p w14:paraId="632B8DB5" w14:textId="77777777" w:rsidR="00635703" w:rsidRPr="001E6F0D" w:rsidRDefault="00635703" w:rsidP="00847DD6">
            <w:pPr>
              <w:rPr>
                <w:rFonts w:ascii="Times New Roman" w:hAnsi="Times New Roman" w:cs="Times New Roman"/>
                <w:lang w:val="ro-RO"/>
              </w:rPr>
            </w:pPr>
            <w:r w:rsidRPr="001E6F0D">
              <w:rPr>
                <w:rFonts w:ascii="Times New Roman" w:hAnsi="Times New Roman" w:cs="Times New Roman"/>
                <w:lang w:val="ro-RO"/>
              </w:rPr>
              <w:t>ÎS „Moldelectrica”</w:t>
            </w:r>
          </w:p>
          <w:p w14:paraId="666E0DBD" w14:textId="4AA97CF5"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Energiei</w:t>
            </w:r>
          </w:p>
        </w:tc>
      </w:tr>
      <w:tr w:rsidR="00847DD6" w:rsidRPr="001E6F0D" w14:paraId="7987E750" w14:textId="77777777" w:rsidTr="00287FB6">
        <w:trPr>
          <w:trHeight w:val="162"/>
        </w:trPr>
        <w:tc>
          <w:tcPr>
            <w:tcW w:w="338" w:type="pct"/>
            <w:vAlign w:val="center"/>
          </w:tcPr>
          <w:p w14:paraId="5A9AB67F" w14:textId="55673300" w:rsidR="00847DD6" w:rsidRPr="001E6F0D" w:rsidRDefault="00E33565" w:rsidP="00847DD6">
            <w:pPr>
              <w:jc w:val="center"/>
              <w:rPr>
                <w:rFonts w:ascii="Times New Roman" w:hAnsi="Times New Roman" w:cs="Times New Roman"/>
                <w:color w:val="000000"/>
                <w:lang w:val="en-US"/>
              </w:rPr>
            </w:pPr>
            <w:r w:rsidRPr="001E6F0D">
              <w:rPr>
                <w:rFonts w:ascii="Times New Roman" w:hAnsi="Times New Roman" w:cs="Times New Roman"/>
                <w:color w:val="000000"/>
                <w:lang w:val="ro-RO"/>
              </w:rPr>
              <w:t>5</w:t>
            </w:r>
          </w:p>
        </w:tc>
        <w:tc>
          <w:tcPr>
            <w:tcW w:w="2631" w:type="pct"/>
            <w:shd w:val="clear" w:color="auto" w:fill="auto"/>
            <w:vAlign w:val="center"/>
          </w:tcPr>
          <w:p w14:paraId="7C580465" w14:textId="242233C4"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Asigurarea creării stocurilor de securitate în conformitate cu prevederile Legii nr. 108/2016 cu privire la gazele naturale, Legii nr. 249/2022 cu privire la modificarea unor acte normative și cu prevederile Hotărârii Guvernului nr. 668/2022 cu privire la crearea și menținerea stocurilor de securitate de gaze naturale</w:t>
            </w:r>
          </w:p>
        </w:tc>
        <w:tc>
          <w:tcPr>
            <w:tcW w:w="847" w:type="pct"/>
            <w:shd w:val="clear" w:color="auto" w:fill="auto"/>
            <w:vAlign w:val="center"/>
          </w:tcPr>
          <w:p w14:paraId="57AD83DC" w14:textId="2772A70F"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01.10.2023</w:t>
            </w:r>
          </w:p>
        </w:tc>
        <w:tc>
          <w:tcPr>
            <w:tcW w:w="1184" w:type="pct"/>
            <w:shd w:val="clear" w:color="auto" w:fill="auto"/>
            <w:vAlign w:val="center"/>
          </w:tcPr>
          <w:p w14:paraId="36A881CA" w14:textId="66FFF240"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SA „Energocom”</w:t>
            </w:r>
          </w:p>
        </w:tc>
      </w:tr>
      <w:tr w:rsidR="00847DD6" w:rsidRPr="001E6F0D" w14:paraId="113B21AA" w14:textId="77777777" w:rsidTr="00287FB6">
        <w:trPr>
          <w:trHeight w:val="162"/>
        </w:trPr>
        <w:tc>
          <w:tcPr>
            <w:tcW w:w="338" w:type="pct"/>
            <w:vAlign w:val="center"/>
          </w:tcPr>
          <w:p w14:paraId="15070DD6" w14:textId="4838D7EA" w:rsidR="00847DD6" w:rsidRPr="001E6F0D" w:rsidRDefault="00BF5F50" w:rsidP="00847DD6">
            <w:pPr>
              <w:jc w:val="center"/>
              <w:rPr>
                <w:rFonts w:ascii="Times New Roman" w:hAnsi="Times New Roman" w:cs="Times New Roman"/>
                <w:lang w:val="ro-RO"/>
              </w:rPr>
            </w:pPr>
            <w:r w:rsidRPr="001E6F0D">
              <w:rPr>
                <w:rFonts w:ascii="Times New Roman" w:hAnsi="Times New Roman" w:cs="Times New Roman"/>
                <w:color w:val="000000"/>
                <w:lang w:val="ro-RO"/>
              </w:rPr>
              <w:t>6</w:t>
            </w:r>
          </w:p>
        </w:tc>
        <w:tc>
          <w:tcPr>
            <w:tcW w:w="2631" w:type="pct"/>
            <w:shd w:val="clear" w:color="auto" w:fill="auto"/>
            <w:vAlign w:val="center"/>
          </w:tcPr>
          <w:p w14:paraId="4AAA77EC" w14:textId="6A3F74E9"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Accelerarea implementării programelor de eficientizare a consumului de energie, cu accent pe consumatorii vulnerabili și sectorul rezidențial, elaborarea de noi programe și implementarea lor</w:t>
            </w:r>
          </w:p>
        </w:tc>
        <w:tc>
          <w:tcPr>
            <w:tcW w:w="847" w:type="pct"/>
            <w:shd w:val="clear" w:color="auto" w:fill="auto"/>
            <w:vAlign w:val="center"/>
          </w:tcPr>
          <w:p w14:paraId="08C786E2" w14:textId="77777777"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Permanent</w:t>
            </w:r>
          </w:p>
        </w:tc>
        <w:tc>
          <w:tcPr>
            <w:tcW w:w="1184" w:type="pct"/>
            <w:shd w:val="clear" w:color="auto" w:fill="auto"/>
            <w:vAlign w:val="center"/>
          </w:tcPr>
          <w:p w14:paraId="63681E4A" w14:textId="77777777" w:rsidR="00E33565" w:rsidRPr="001E6F0D" w:rsidRDefault="00847DD6" w:rsidP="00847DD6">
            <w:pPr>
              <w:rPr>
                <w:rFonts w:ascii="Times New Roman" w:hAnsi="Times New Roman" w:cs="Times New Roman"/>
                <w:lang w:val="ro-RO"/>
              </w:rPr>
            </w:pPr>
            <w:r w:rsidRPr="001E6F0D">
              <w:rPr>
                <w:rFonts w:ascii="Times New Roman" w:hAnsi="Times New Roman" w:cs="Times New Roman"/>
                <w:lang w:val="ro-RO"/>
              </w:rPr>
              <w:t>Agenția pentru Eficiență Energetică (AEE)</w:t>
            </w:r>
          </w:p>
          <w:p w14:paraId="4675494C" w14:textId="23EA0254"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Energiei</w:t>
            </w:r>
          </w:p>
          <w:p w14:paraId="6C51834F" w14:textId="0E275CAC"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Finanțelor</w:t>
            </w:r>
          </w:p>
          <w:p w14:paraId="698E4006" w14:textId="39A6884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Muncii și Protecției Sociale</w:t>
            </w:r>
          </w:p>
        </w:tc>
      </w:tr>
      <w:tr w:rsidR="00847DD6" w:rsidRPr="001E6F0D" w14:paraId="68C2DE7E" w14:textId="77777777" w:rsidTr="00287FB6">
        <w:trPr>
          <w:trHeight w:val="155"/>
        </w:trPr>
        <w:tc>
          <w:tcPr>
            <w:tcW w:w="338" w:type="pct"/>
            <w:vAlign w:val="center"/>
          </w:tcPr>
          <w:p w14:paraId="2487376C" w14:textId="2ACFFCF9" w:rsidR="00847DD6" w:rsidRPr="001E6F0D" w:rsidRDefault="00BF5F50" w:rsidP="00847DD6">
            <w:pPr>
              <w:jc w:val="center"/>
              <w:rPr>
                <w:rFonts w:ascii="Times New Roman" w:hAnsi="Times New Roman" w:cs="Times New Roman"/>
                <w:lang w:val="ro-RO"/>
              </w:rPr>
            </w:pPr>
            <w:r w:rsidRPr="001E6F0D">
              <w:rPr>
                <w:rFonts w:ascii="Times New Roman" w:hAnsi="Times New Roman" w:cs="Times New Roman"/>
                <w:color w:val="000000"/>
                <w:lang w:val="ro-RO"/>
              </w:rPr>
              <w:t>7</w:t>
            </w:r>
          </w:p>
        </w:tc>
        <w:tc>
          <w:tcPr>
            <w:tcW w:w="2631" w:type="pct"/>
            <w:shd w:val="clear" w:color="auto" w:fill="auto"/>
            <w:vAlign w:val="center"/>
          </w:tcPr>
          <w:p w14:paraId="7265FAB4" w14:textId="68A79CCB"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Implementarea de către autorități conform competențelor a Legii nr. 241/2022 privind Fondul de reducere a vulnerabilității energetice și a măsurilor îndreptate spre prevenirea și combaterea vulnerabilității energetice a populației</w:t>
            </w:r>
          </w:p>
        </w:tc>
        <w:tc>
          <w:tcPr>
            <w:tcW w:w="847" w:type="pct"/>
            <w:shd w:val="clear" w:color="auto" w:fill="auto"/>
            <w:vAlign w:val="center"/>
          </w:tcPr>
          <w:p w14:paraId="4D4FCEBD" w14:textId="77777777"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Permanent</w:t>
            </w:r>
          </w:p>
        </w:tc>
        <w:tc>
          <w:tcPr>
            <w:tcW w:w="1184" w:type="pct"/>
            <w:shd w:val="clear" w:color="auto" w:fill="auto"/>
            <w:vAlign w:val="center"/>
          </w:tcPr>
          <w:p w14:paraId="40A16F66"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Muncii și Protecției Sociale</w:t>
            </w:r>
          </w:p>
          <w:p w14:paraId="09BB128A" w14:textId="4B1FCEE9"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Finanțelor</w:t>
            </w:r>
          </w:p>
        </w:tc>
      </w:tr>
      <w:tr w:rsidR="00847DD6" w:rsidRPr="001E6F0D" w14:paraId="496DD957" w14:textId="77777777" w:rsidTr="00287FB6">
        <w:trPr>
          <w:trHeight w:val="155"/>
        </w:trPr>
        <w:tc>
          <w:tcPr>
            <w:tcW w:w="338" w:type="pct"/>
            <w:vAlign w:val="center"/>
          </w:tcPr>
          <w:p w14:paraId="16DE87FB" w14:textId="1BDDDF2F" w:rsidR="00847DD6" w:rsidRPr="001E6F0D" w:rsidRDefault="00BF5F50" w:rsidP="00847DD6">
            <w:pPr>
              <w:jc w:val="center"/>
              <w:rPr>
                <w:rFonts w:ascii="Times New Roman" w:hAnsi="Times New Roman" w:cs="Times New Roman"/>
                <w:lang w:val="ro-RO"/>
              </w:rPr>
            </w:pPr>
            <w:r w:rsidRPr="001E6F0D">
              <w:rPr>
                <w:rFonts w:ascii="Times New Roman" w:hAnsi="Times New Roman" w:cs="Times New Roman"/>
                <w:color w:val="000000"/>
                <w:lang w:val="ro-RO"/>
              </w:rPr>
              <w:t>8</w:t>
            </w:r>
          </w:p>
        </w:tc>
        <w:tc>
          <w:tcPr>
            <w:tcW w:w="2631" w:type="pct"/>
            <w:shd w:val="clear" w:color="auto" w:fill="auto"/>
            <w:vAlign w:val="center"/>
          </w:tcPr>
          <w:p w14:paraId="7213537D" w14:textId="0CF8F947"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Creșterea treptată a volumelor și completarea rezervelor de stat de păcură și de cărbune, până la nivelul maxim prevăzut de Nomenclatorul bunurilor materiale din rezervele de stat</w:t>
            </w:r>
          </w:p>
        </w:tc>
        <w:tc>
          <w:tcPr>
            <w:tcW w:w="847" w:type="pct"/>
            <w:shd w:val="clear" w:color="auto" w:fill="auto"/>
            <w:vAlign w:val="center"/>
          </w:tcPr>
          <w:p w14:paraId="6A76E229" w14:textId="15F46755"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202</w:t>
            </w:r>
            <w:r w:rsidR="00BF5F50" w:rsidRPr="001E6F0D">
              <w:rPr>
                <w:rFonts w:ascii="Times New Roman" w:hAnsi="Times New Roman" w:cs="Times New Roman"/>
                <w:lang w:val="ro-RO"/>
              </w:rPr>
              <w:t>3</w:t>
            </w:r>
          </w:p>
        </w:tc>
        <w:tc>
          <w:tcPr>
            <w:tcW w:w="1184" w:type="pct"/>
            <w:shd w:val="clear" w:color="auto" w:fill="auto"/>
            <w:vAlign w:val="center"/>
          </w:tcPr>
          <w:p w14:paraId="6DCF338E"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Afacerilor Interne</w:t>
            </w:r>
          </w:p>
          <w:p w14:paraId="40F9C7AC"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Agenția Rezerve Materiale</w:t>
            </w:r>
          </w:p>
        </w:tc>
      </w:tr>
      <w:tr w:rsidR="00847DD6" w:rsidRPr="001E6F0D" w14:paraId="7442DA4A" w14:textId="77777777" w:rsidTr="00287FB6">
        <w:trPr>
          <w:trHeight w:val="155"/>
        </w:trPr>
        <w:tc>
          <w:tcPr>
            <w:tcW w:w="338" w:type="pct"/>
            <w:vAlign w:val="center"/>
          </w:tcPr>
          <w:p w14:paraId="3211E833" w14:textId="3FD104C4" w:rsidR="00847DD6" w:rsidRPr="001E6F0D" w:rsidRDefault="00BF5F50" w:rsidP="00847DD6">
            <w:pPr>
              <w:jc w:val="center"/>
              <w:rPr>
                <w:rFonts w:ascii="Times New Roman" w:hAnsi="Times New Roman" w:cs="Times New Roman"/>
                <w:lang w:val="ro-RO"/>
              </w:rPr>
            </w:pPr>
            <w:r w:rsidRPr="001E6F0D">
              <w:rPr>
                <w:rFonts w:ascii="Times New Roman" w:hAnsi="Times New Roman" w:cs="Times New Roman"/>
                <w:color w:val="000000"/>
                <w:lang w:val="ro-RO"/>
              </w:rPr>
              <w:t>9</w:t>
            </w:r>
          </w:p>
        </w:tc>
        <w:tc>
          <w:tcPr>
            <w:tcW w:w="2631" w:type="pct"/>
            <w:shd w:val="clear" w:color="auto" w:fill="auto"/>
            <w:vAlign w:val="center"/>
          </w:tcPr>
          <w:p w14:paraId="7405C5FD" w14:textId="1F74FDFE"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Întreprinderea măsurilor de asigurare a necesarului de cărbune pentru sezonul de încălzire 202</w:t>
            </w:r>
            <w:r w:rsidR="00BF5F50" w:rsidRPr="001E6F0D">
              <w:rPr>
                <w:rFonts w:ascii="Times New Roman" w:hAnsi="Times New Roman" w:cs="Times New Roman"/>
                <w:lang w:val="ro-RO"/>
              </w:rPr>
              <w:t>3</w:t>
            </w:r>
            <w:r w:rsidRPr="001E6F0D">
              <w:rPr>
                <w:rFonts w:ascii="Times New Roman" w:hAnsi="Times New Roman" w:cs="Times New Roman"/>
                <w:lang w:val="ro-RO"/>
              </w:rPr>
              <w:t>-202</w:t>
            </w:r>
            <w:r w:rsidR="00BF5F50" w:rsidRPr="001E6F0D">
              <w:rPr>
                <w:rFonts w:ascii="Times New Roman" w:hAnsi="Times New Roman" w:cs="Times New Roman"/>
                <w:lang w:val="ro-RO"/>
              </w:rPr>
              <w:t>4</w:t>
            </w:r>
            <w:r w:rsidRPr="001E6F0D">
              <w:rPr>
                <w:rFonts w:ascii="Times New Roman" w:hAnsi="Times New Roman" w:cs="Times New Roman"/>
                <w:lang w:val="ro-RO"/>
              </w:rPr>
              <w:t xml:space="preserve"> pentru toată populația care utilizează această sursă alternativă de încălzire, inclusiv monitorizarea menținerii unui preț rezonabil de comercializare a cărbunelui</w:t>
            </w:r>
          </w:p>
        </w:tc>
        <w:tc>
          <w:tcPr>
            <w:tcW w:w="847" w:type="pct"/>
            <w:shd w:val="clear" w:color="auto" w:fill="auto"/>
            <w:vAlign w:val="center"/>
          </w:tcPr>
          <w:p w14:paraId="1C897678" w14:textId="602BE077"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2023-2024</w:t>
            </w:r>
          </w:p>
        </w:tc>
        <w:tc>
          <w:tcPr>
            <w:tcW w:w="1184" w:type="pct"/>
            <w:shd w:val="clear" w:color="auto" w:fill="auto"/>
            <w:vAlign w:val="center"/>
          </w:tcPr>
          <w:p w14:paraId="16E19B2E"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Sectorul privat</w:t>
            </w:r>
          </w:p>
          <w:p w14:paraId="68E682F2" w14:textId="242F59FE"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Grupul de lucru privind supravegherea prețurilor la</w:t>
            </w:r>
          </w:p>
          <w:p w14:paraId="6092A14C" w14:textId="134886A8"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produse/servicii pe piața internă de consum</w:t>
            </w:r>
          </w:p>
        </w:tc>
      </w:tr>
      <w:tr w:rsidR="00847DD6" w:rsidRPr="001E6F0D" w14:paraId="4D4E63B4" w14:textId="77777777" w:rsidTr="00287FB6">
        <w:trPr>
          <w:trHeight w:val="155"/>
        </w:trPr>
        <w:tc>
          <w:tcPr>
            <w:tcW w:w="338" w:type="pct"/>
            <w:vAlign w:val="center"/>
          </w:tcPr>
          <w:p w14:paraId="183A59D0" w14:textId="232EB032"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color w:val="000000"/>
              </w:rPr>
              <w:t>1</w:t>
            </w:r>
            <w:r w:rsidR="00BF5F50" w:rsidRPr="001E6F0D">
              <w:rPr>
                <w:rFonts w:ascii="Times New Roman" w:hAnsi="Times New Roman" w:cs="Times New Roman"/>
                <w:color w:val="000000"/>
                <w:lang w:val="ro-RO"/>
              </w:rPr>
              <w:t>0</w:t>
            </w:r>
          </w:p>
        </w:tc>
        <w:tc>
          <w:tcPr>
            <w:tcW w:w="2631" w:type="pct"/>
            <w:shd w:val="clear" w:color="auto" w:fill="auto"/>
            <w:vAlign w:val="center"/>
          </w:tcPr>
          <w:p w14:paraId="11944BDE" w14:textId="0CF8D513"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Întreprinderea acțiunilor necesare pentru facilitatea importului de materie primă pentru producerea biocombustibililor solizi</w:t>
            </w:r>
          </w:p>
        </w:tc>
        <w:tc>
          <w:tcPr>
            <w:tcW w:w="847" w:type="pct"/>
            <w:shd w:val="clear" w:color="auto" w:fill="auto"/>
            <w:vAlign w:val="center"/>
          </w:tcPr>
          <w:p w14:paraId="012F4C2F" w14:textId="2951D97D"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01.09.202</w:t>
            </w:r>
            <w:r w:rsidR="00BF5F50" w:rsidRPr="001E6F0D">
              <w:rPr>
                <w:rFonts w:ascii="Times New Roman" w:hAnsi="Times New Roman" w:cs="Times New Roman"/>
                <w:lang w:val="ro-RO"/>
              </w:rPr>
              <w:t>3</w:t>
            </w:r>
          </w:p>
        </w:tc>
        <w:tc>
          <w:tcPr>
            <w:tcW w:w="1184" w:type="pct"/>
            <w:shd w:val="clear" w:color="auto" w:fill="auto"/>
            <w:vAlign w:val="center"/>
          </w:tcPr>
          <w:p w14:paraId="0E8A53F6"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Mediului</w:t>
            </w:r>
          </w:p>
          <w:p w14:paraId="6BC3B046"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Finanțelor Serviciul Vamal</w:t>
            </w:r>
          </w:p>
        </w:tc>
      </w:tr>
      <w:tr w:rsidR="00847DD6" w:rsidRPr="001E6F0D" w14:paraId="37154CF6" w14:textId="77777777" w:rsidTr="00287FB6">
        <w:trPr>
          <w:trHeight w:val="155"/>
        </w:trPr>
        <w:tc>
          <w:tcPr>
            <w:tcW w:w="338" w:type="pct"/>
            <w:vAlign w:val="center"/>
          </w:tcPr>
          <w:p w14:paraId="5353D2C5" w14:textId="5B8F7D43"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color w:val="000000"/>
              </w:rPr>
              <w:t>1</w:t>
            </w:r>
            <w:r w:rsidR="00BF5F50" w:rsidRPr="001E6F0D">
              <w:rPr>
                <w:rFonts w:ascii="Times New Roman" w:hAnsi="Times New Roman" w:cs="Times New Roman"/>
                <w:color w:val="000000"/>
                <w:lang w:val="ro-RO"/>
              </w:rPr>
              <w:t>1</w:t>
            </w:r>
          </w:p>
        </w:tc>
        <w:tc>
          <w:tcPr>
            <w:tcW w:w="2631" w:type="pct"/>
            <w:shd w:val="clear" w:color="auto" w:fill="auto"/>
            <w:vAlign w:val="center"/>
          </w:tcPr>
          <w:p w14:paraId="51C9BC5D" w14:textId="77777777"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Organizarea, monitorizarea și colectarea deșeurilor lemnoase în timpul tăierilor sanitare ca materie primă pentru biocombustibil</w:t>
            </w:r>
          </w:p>
        </w:tc>
        <w:tc>
          <w:tcPr>
            <w:tcW w:w="847" w:type="pct"/>
            <w:shd w:val="clear" w:color="auto" w:fill="auto"/>
            <w:vAlign w:val="center"/>
          </w:tcPr>
          <w:p w14:paraId="434C0BBC" w14:textId="38E20DF7"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202</w:t>
            </w:r>
            <w:r w:rsidR="00BF5F50" w:rsidRPr="001E6F0D">
              <w:rPr>
                <w:rFonts w:ascii="Times New Roman" w:hAnsi="Times New Roman" w:cs="Times New Roman"/>
                <w:lang w:val="ro-RO"/>
              </w:rPr>
              <w:t>3</w:t>
            </w:r>
            <w:r w:rsidRPr="001E6F0D">
              <w:rPr>
                <w:rFonts w:ascii="Times New Roman" w:hAnsi="Times New Roman" w:cs="Times New Roman"/>
                <w:lang w:val="ro-RO"/>
              </w:rPr>
              <w:t>-202</w:t>
            </w:r>
            <w:r w:rsidR="00BF5F50" w:rsidRPr="001E6F0D">
              <w:rPr>
                <w:rFonts w:ascii="Times New Roman" w:hAnsi="Times New Roman" w:cs="Times New Roman"/>
                <w:lang w:val="ro-RO"/>
              </w:rPr>
              <w:t>4</w:t>
            </w:r>
          </w:p>
        </w:tc>
        <w:tc>
          <w:tcPr>
            <w:tcW w:w="1184" w:type="pct"/>
            <w:shd w:val="clear" w:color="auto" w:fill="auto"/>
            <w:vAlign w:val="center"/>
          </w:tcPr>
          <w:p w14:paraId="576AFDDE"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Mediului</w:t>
            </w:r>
          </w:p>
          <w:p w14:paraId="19E0D819"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Agenția „Moldsilva</w:t>
            </w:r>
          </w:p>
          <w:p w14:paraId="3E9A0DEF" w14:textId="65759F18"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Se recomandă Autorităților Publice Locale (APL)</w:t>
            </w:r>
          </w:p>
        </w:tc>
      </w:tr>
      <w:tr w:rsidR="00847DD6" w:rsidRPr="001E6F0D" w14:paraId="5B993F68" w14:textId="77777777" w:rsidTr="00287FB6">
        <w:trPr>
          <w:trHeight w:val="155"/>
        </w:trPr>
        <w:tc>
          <w:tcPr>
            <w:tcW w:w="338" w:type="pct"/>
            <w:vAlign w:val="center"/>
          </w:tcPr>
          <w:p w14:paraId="58655939" w14:textId="6FB59DCB" w:rsidR="00847DD6" w:rsidRPr="001E6F0D" w:rsidRDefault="00847DD6" w:rsidP="00847DD6">
            <w:pPr>
              <w:jc w:val="center"/>
              <w:rPr>
                <w:rFonts w:ascii="Times New Roman" w:hAnsi="Times New Roman" w:cs="Times New Roman"/>
                <w:color w:val="000000"/>
                <w:lang w:val="ro-RO"/>
              </w:rPr>
            </w:pPr>
            <w:r w:rsidRPr="001E6F0D">
              <w:rPr>
                <w:rFonts w:ascii="Times New Roman" w:hAnsi="Times New Roman" w:cs="Times New Roman"/>
                <w:color w:val="000000"/>
              </w:rPr>
              <w:t>1</w:t>
            </w:r>
            <w:r w:rsidR="00BF5F50" w:rsidRPr="001E6F0D">
              <w:rPr>
                <w:rFonts w:ascii="Times New Roman" w:hAnsi="Times New Roman" w:cs="Times New Roman"/>
                <w:color w:val="000000"/>
                <w:lang w:val="ro-RO"/>
              </w:rPr>
              <w:t>2</w:t>
            </w:r>
          </w:p>
        </w:tc>
        <w:tc>
          <w:tcPr>
            <w:tcW w:w="2631" w:type="pct"/>
            <w:shd w:val="clear" w:color="auto" w:fill="auto"/>
            <w:vAlign w:val="center"/>
          </w:tcPr>
          <w:p w14:paraId="431CC0F7" w14:textId="6640B510"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Identificarea măsurilor de aplicare a facilităților fiscale pentru promovarea surselor de energie regenerabile și eficienței energetice</w:t>
            </w:r>
          </w:p>
        </w:tc>
        <w:tc>
          <w:tcPr>
            <w:tcW w:w="847" w:type="pct"/>
            <w:shd w:val="clear" w:color="auto" w:fill="auto"/>
            <w:vAlign w:val="center"/>
          </w:tcPr>
          <w:p w14:paraId="412394BA" w14:textId="55C84926"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01.10.202</w:t>
            </w:r>
            <w:r w:rsidR="00BF5F50" w:rsidRPr="001E6F0D">
              <w:rPr>
                <w:rFonts w:ascii="Times New Roman" w:hAnsi="Times New Roman" w:cs="Times New Roman"/>
                <w:lang w:val="ro-RO"/>
              </w:rPr>
              <w:t>3</w:t>
            </w:r>
          </w:p>
        </w:tc>
        <w:tc>
          <w:tcPr>
            <w:tcW w:w="1184" w:type="pct"/>
            <w:shd w:val="clear" w:color="auto" w:fill="auto"/>
            <w:vAlign w:val="center"/>
          </w:tcPr>
          <w:p w14:paraId="3A47D121"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Finanțelor</w:t>
            </w:r>
          </w:p>
          <w:p w14:paraId="51EDD97D"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Energiei</w:t>
            </w:r>
          </w:p>
          <w:p w14:paraId="0D0D8AFA" w14:textId="14EFE55F" w:rsidR="00821461" w:rsidRPr="001E6F0D" w:rsidRDefault="00821461" w:rsidP="00847DD6">
            <w:pPr>
              <w:rPr>
                <w:rFonts w:ascii="Times New Roman" w:hAnsi="Times New Roman" w:cs="Times New Roman"/>
                <w:lang w:val="ro-RO"/>
              </w:rPr>
            </w:pPr>
            <w:r w:rsidRPr="001E6F0D">
              <w:rPr>
                <w:rFonts w:ascii="Times New Roman" w:hAnsi="Times New Roman" w:cs="Times New Roman"/>
                <w:lang w:val="ro-RO"/>
              </w:rPr>
              <w:t>AEE</w:t>
            </w:r>
          </w:p>
        </w:tc>
      </w:tr>
      <w:tr w:rsidR="00847DD6" w:rsidRPr="001E6F0D" w14:paraId="55530CDA" w14:textId="77777777" w:rsidTr="00287FB6">
        <w:trPr>
          <w:trHeight w:val="155"/>
        </w:trPr>
        <w:tc>
          <w:tcPr>
            <w:tcW w:w="338" w:type="pct"/>
            <w:vAlign w:val="center"/>
          </w:tcPr>
          <w:p w14:paraId="717E4ACC" w14:textId="629025C1"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color w:val="000000"/>
              </w:rPr>
              <w:t>1</w:t>
            </w:r>
            <w:r w:rsidR="00BF5F50" w:rsidRPr="001E6F0D">
              <w:rPr>
                <w:rFonts w:ascii="Times New Roman" w:hAnsi="Times New Roman" w:cs="Times New Roman"/>
                <w:color w:val="000000"/>
                <w:lang w:val="ro-RO"/>
              </w:rPr>
              <w:t>3</w:t>
            </w:r>
          </w:p>
        </w:tc>
        <w:tc>
          <w:tcPr>
            <w:tcW w:w="2631" w:type="pct"/>
            <w:shd w:val="clear" w:color="auto" w:fill="auto"/>
            <w:vAlign w:val="center"/>
          </w:tcPr>
          <w:p w14:paraId="1508773D" w14:textId="6D333164"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Asigurarea durabilității surselor de biomasă și dezvoltarea infrastructurii de creștere a plantelor energetice</w:t>
            </w:r>
          </w:p>
        </w:tc>
        <w:tc>
          <w:tcPr>
            <w:tcW w:w="847" w:type="pct"/>
            <w:shd w:val="clear" w:color="auto" w:fill="auto"/>
            <w:vAlign w:val="center"/>
          </w:tcPr>
          <w:p w14:paraId="00D30DD8" w14:textId="0A1A69D6"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202</w:t>
            </w:r>
            <w:r w:rsidR="00BF5F50" w:rsidRPr="001E6F0D">
              <w:rPr>
                <w:rFonts w:ascii="Times New Roman" w:hAnsi="Times New Roman" w:cs="Times New Roman"/>
                <w:lang w:val="ro-RO"/>
              </w:rPr>
              <w:t>3</w:t>
            </w:r>
            <w:r w:rsidRPr="001E6F0D">
              <w:rPr>
                <w:rFonts w:ascii="Times New Roman" w:hAnsi="Times New Roman" w:cs="Times New Roman"/>
                <w:lang w:val="ro-RO"/>
              </w:rPr>
              <w:t>-202</w:t>
            </w:r>
            <w:r w:rsidR="00BF5F50" w:rsidRPr="001E6F0D">
              <w:rPr>
                <w:rFonts w:ascii="Times New Roman" w:hAnsi="Times New Roman" w:cs="Times New Roman"/>
                <w:lang w:val="ro-RO"/>
              </w:rPr>
              <w:t>4</w:t>
            </w:r>
          </w:p>
        </w:tc>
        <w:tc>
          <w:tcPr>
            <w:tcW w:w="1184" w:type="pct"/>
            <w:shd w:val="clear" w:color="auto" w:fill="auto"/>
            <w:vAlign w:val="center"/>
          </w:tcPr>
          <w:p w14:paraId="2E0D51E3" w14:textId="77777777" w:rsidR="00847DD6" w:rsidRPr="001E6F0D" w:rsidRDefault="00847DD6" w:rsidP="00847DD6">
            <w:pPr>
              <w:rPr>
                <w:rFonts w:ascii="Times New Roman" w:eastAsia="Times New Roman" w:hAnsi="Times New Roman" w:cs="Times New Roman"/>
                <w:lang w:val="ro-RO"/>
              </w:rPr>
            </w:pPr>
            <w:r w:rsidRPr="001E6F0D">
              <w:rPr>
                <w:rFonts w:ascii="Times New Roman" w:eastAsia="Times New Roman" w:hAnsi="Times New Roman" w:cs="Times New Roman"/>
                <w:lang w:val="ro-RO"/>
              </w:rPr>
              <w:t>Ministerul Agriculturii și Industriei Alimentare</w:t>
            </w:r>
          </w:p>
          <w:p w14:paraId="3BC6D12A" w14:textId="401ACDEA" w:rsidR="00847DD6" w:rsidRPr="001E6F0D" w:rsidRDefault="00847DD6" w:rsidP="00847DD6">
            <w:pPr>
              <w:rPr>
                <w:rFonts w:ascii="Times New Roman" w:eastAsia="Times New Roman" w:hAnsi="Times New Roman" w:cs="Times New Roman"/>
                <w:lang w:val="ro-RO"/>
              </w:rPr>
            </w:pPr>
            <w:r w:rsidRPr="001E6F0D">
              <w:rPr>
                <w:rFonts w:ascii="Times New Roman" w:eastAsia="Times New Roman" w:hAnsi="Times New Roman" w:cs="Times New Roman"/>
                <w:lang w:val="ro-RO"/>
              </w:rPr>
              <w:t>AEE</w:t>
            </w:r>
          </w:p>
        </w:tc>
      </w:tr>
      <w:tr w:rsidR="00847DD6" w:rsidRPr="001E6F0D" w14:paraId="536FDF5E" w14:textId="77777777" w:rsidTr="00287FB6">
        <w:trPr>
          <w:trHeight w:val="155"/>
        </w:trPr>
        <w:tc>
          <w:tcPr>
            <w:tcW w:w="338" w:type="pct"/>
            <w:vAlign w:val="center"/>
          </w:tcPr>
          <w:p w14:paraId="2CB689B2" w14:textId="6370E82E" w:rsidR="00847DD6" w:rsidRPr="001E6F0D" w:rsidRDefault="00847DD6" w:rsidP="00847DD6">
            <w:pPr>
              <w:jc w:val="center"/>
              <w:rPr>
                <w:rFonts w:ascii="Times New Roman" w:hAnsi="Times New Roman" w:cs="Times New Roman"/>
                <w:color w:val="000000"/>
                <w:lang w:val="ro-RO"/>
              </w:rPr>
            </w:pPr>
            <w:r w:rsidRPr="001E6F0D">
              <w:rPr>
                <w:rFonts w:ascii="Times New Roman" w:hAnsi="Times New Roman" w:cs="Times New Roman"/>
                <w:color w:val="000000"/>
              </w:rPr>
              <w:t>1</w:t>
            </w:r>
            <w:r w:rsidR="00BF5F50" w:rsidRPr="001E6F0D">
              <w:rPr>
                <w:rFonts w:ascii="Times New Roman" w:hAnsi="Times New Roman" w:cs="Times New Roman"/>
                <w:color w:val="000000"/>
                <w:lang w:val="ro-RO"/>
              </w:rPr>
              <w:t>4</w:t>
            </w:r>
          </w:p>
        </w:tc>
        <w:tc>
          <w:tcPr>
            <w:tcW w:w="2631" w:type="pct"/>
            <w:shd w:val="clear" w:color="auto" w:fill="auto"/>
            <w:vAlign w:val="center"/>
          </w:tcPr>
          <w:p w14:paraId="71CD3AA4" w14:textId="65DA30CD"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 xml:space="preserve">Identificarea opțiunilor de </w:t>
            </w:r>
            <w:r w:rsidRPr="001E6F0D">
              <w:rPr>
                <w:rFonts w:ascii="Times New Roman" w:hAnsi="Times New Roman" w:cs="Times New Roman"/>
                <w:color w:val="000000" w:themeColor="text1"/>
                <w:lang w:val="ro-RO"/>
              </w:rPr>
              <w:t xml:space="preserve">subvenționare a mediului de afaceri, care vor trece la utilizarea </w:t>
            </w:r>
            <w:r w:rsidR="00821461" w:rsidRPr="001E6F0D">
              <w:rPr>
                <w:rFonts w:ascii="Times New Roman" w:hAnsi="Times New Roman" w:cs="Times New Roman"/>
                <w:color w:val="000000" w:themeColor="text1"/>
                <w:lang w:val="ro-RO"/>
              </w:rPr>
              <w:t>combustibililor</w:t>
            </w:r>
            <w:r w:rsidRPr="001E6F0D">
              <w:rPr>
                <w:rFonts w:ascii="Times New Roman" w:hAnsi="Times New Roman" w:cs="Times New Roman"/>
                <w:color w:val="000000" w:themeColor="text1"/>
                <w:lang w:val="ro-RO"/>
              </w:rPr>
              <w:t xml:space="preserve"> alternativi și vor </w:t>
            </w:r>
            <w:r w:rsidRPr="001E6F0D">
              <w:rPr>
                <w:rFonts w:ascii="Times New Roman" w:hAnsi="Times New Roman" w:cs="Times New Roman"/>
                <w:lang w:val="ro-RO"/>
              </w:rPr>
              <w:t>face investiții în tehnologii în vederea reducerii emisiilor de poluanți de la surse fixe de poluare, inclusiv cu prezentarea dovezilor</w:t>
            </w:r>
          </w:p>
        </w:tc>
        <w:tc>
          <w:tcPr>
            <w:tcW w:w="847" w:type="pct"/>
            <w:shd w:val="clear" w:color="auto" w:fill="auto"/>
            <w:vAlign w:val="center"/>
          </w:tcPr>
          <w:p w14:paraId="694FA2A2" w14:textId="4FAC1F6A"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202</w:t>
            </w:r>
            <w:r w:rsidR="00BF5F50" w:rsidRPr="001E6F0D">
              <w:rPr>
                <w:rFonts w:ascii="Times New Roman" w:hAnsi="Times New Roman" w:cs="Times New Roman"/>
                <w:lang w:val="ro-RO"/>
              </w:rPr>
              <w:t>3</w:t>
            </w:r>
            <w:r w:rsidRPr="001E6F0D">
              <w:rPr>
                <w:rFonts w:ascii="Times New Roman" w:hAnsi="Times New Roman" w:cs="Times New Roman"/>
                <w:lang w:val="ro-RO"/>
              </w:rPr>
              <w:t>-202</w:t>
            </w:r>
            <w:r w:rsidR="00BF5F50" w:rsidRPr="001E6F0D">
              <w:rPr>
                <w:rFonts w:ascii="Times New Roman" w:hAnsi="Times New Roman" w:cs="Times New Roman"/>
                <w:lang w:val="ro-RO"/>
              </w:rPr>
              <w:t>4</w:t>
            </w:r>
          </w:p>
        </w:tc>
        <w:tc>
          <w:tcPr>
            <w:tcW w:w="1184" w:type="pct"/>
            <w:shd w:val="clear" w:color="auto" w:fill="auto"/>
            <w:vAlign w:val="center"/>
          </w:tcPr>
          <w:p w14:paraId="237D37D4" w14:textId="77777777" w:rsidR="00847DD6" w:rsidRPr="001E6F0D" w:rsidRDefault="00847DD6" w:rsidP="00847DD6">
            <w:pPr>
              <w:rPr>
                <w:rFonts w:ascii="Times New Roman" w:eastAsia="Times New Roman" w:hAnsi="Times New Roman" w:cs="Times New Roman"/>
                <w:lang w:val="ro-RO"/>
              </w:rPr>
            </w:pPr>
            <w:r w:rsidRPr="001E6F0D">
              <w:rPr>
                <w:rFonts w:ascii="Times New Roman" w:eastAsia="Times New Roman" w:hAnsi="Times New Roman" w:cs="Times New Roman"/>
                <w:lang w:val="ro-RO"/>
              </w:rPr>
              <w:t>Ministerul Mediului</w:t>
            </w:r>
          </w:p>
          <w:p w14:paraId="15D37598" w14:textId="3FF9878D" w:rsidR="00847DD6" w:rsidRPr="001E6F0D" w:rsidRDefault="00847DD6" w:rsidP="00847DD6">
            <w:pPr>
              <w:rPr>
                <w:rFonts w:ascii="Times New Roman" w:eastAsia="Times New Roman" w:hAnsi="Times New Roman" w:cs="Times New Roman"/>
                <w:lang w:val="ro-RO"/>
              </w:rPr>
            </w:pPr>
            <w:r w:rsidRPr="001E6F0D">
              <w:rPr>
                <w:rFonts w:ascii="Times New Roman" w:eastAsia="Times New Roman" w:hAnsi="Times New Roman" w:cs="Times New Roman"/>
                <w:lang w:val="ro-RO"/>
              </w:rPr>
              <w:t xml:space="preserve">Ministerul </w:t>
            </w:r>
            <w:r w:rsidR="00BF5F50" w:rsidRPr="001E6F0D">
              <w:rPr>
                <w:rFonts w:ascii="Times New Roman" w:eastAsia="Times New Roman" w:hAnsi="Times New Roman" w:cs="Times New Roman"/>
                <w:lang w:val="ro-RO"/>
              </w:rPr>
              <w:t>Dezvoltării Economice și Digitalizării (MDED)</w:t>
            </w:r>
          </w:p>
          <w:p w14:paraId="2F1F00D6" w14:textId="675F5200" w:rsidR="00847DD6" w:rsidRPr="001E6F0D" w:rsidRDefault="00847DD6" w:rsidP="00847DD6">
            <w:pPr>
              <w:rPr>
                <w:rFonts w:ascii="Times New Roman" w:hAnsi="Times New Roman" w:cs="Times New Roman"/>
                <w:lang w:val="ro-RO"/>
              </w:rPr>
            </w:pPr>
            <w:r w:rsidRPr="001E6F0D">
              <w:rPr>
                <w:rFonts w:ascii="Times New Roman" w:eastAsia="Times New Roman" w:hAnsi="Times New Roman" w:cs="Times New Roman"/>
                <w:lang w:val="ro-RO"/>
              </w:rPr>
              <w:t>Ministerul Finanțe</w:t>
            </w:r>
            <w:r w:rsidR="00821461" w:rsidRPr="001E6F0D">
              <w:rPr>
                <w:rFonts w:ascii="Times New Roman" w:eastAsia="Times New Roman" w:hAnsi="Times New Roman" w:cs="Times New Roman"/>
                <w:lang w:val="ro-RO"/>
              </w:rPr>
              <w:t>lor</w:t>
            </w:r>
          </w:p>
        </w:tc>
      </w:tr>
      <w:tr w:rsidR="00847DD6" w:rsidRPr="001E6F0D" w14:paraId="47DCE0BC" w14:textId="77777777" w:rsidTr="00287FB6">
        <w:trPr>
          <w:trHeight w:val="155"/>
        </w:trPr>
        <w:tc>
          <w:tcPr>
            <w:tcW w:w="338" w:type="pct"/>
            <w:vAlign w:val="center"/>
          </w:tcPr>
          <w:p w14:paraId="4736499E" w14:textId="3EC91E33"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color w:val="000000"/>
              </w:rPr>
              <w:t>1</w:t>
            </w:r>
            <w:r w:rsidR="00BF5F50" w:rsidRPr="001E6F0D">
              <w:rPr>
                <w:rFonts w:ascii="Times New Roman" w:hAnsi="Times New Roman" w:cs="Times New Roman"/>
                <w:color w:val="000000"/>
                <w:lang w:val="ro-RO"/>
              </w:rPr>
              <w:t>5</w:t>
            </w:r>
          </w:p>
        </w:tc>
        <w:tc>
          <w:tcPr>
            <w:tcW w:w="2631" w:type="pct"/>
            <w:shd w:val="clear" w:color="auto" w:fill="auto"/>
            <w:vAlign w:val="center"/>
          </w:tcPr>
          <w:p w14:paraId="08B2FA7C" w14:textId="4ED9AFFA"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 xml:space="preserve">Organizarea, monitorizarea și colectarea deșeurilor lemnoase în timpul tăierilor efectuate la întreținerea </w:t>
            </w:r>
            <w:r w:rsidRPr="001E6F0D">
              <w:rPr>
                <w:rFonts w:ascii="Times New Roman" w:hAnsi="Times New Roman" w:cs="Times New Roman"/>
                <w:lang w:val="ro-RO"/>
              </w:rPr>
              <w:lastRenderedPageBreak/>
              <w:t>drumurilor (spații verzi) ca materie primă pentru biocombustibil</w:t>
            </w:r>
            <w:r w:rsidR="00821461" w:rsidRPr="001E6F0D">
              <w:rPr>
                <w:rFonts w:ascii="Times New Roman" w:hAnsi="Times New Roman" w:cs="Times New Roman"/>
                <w:lang w:val="ro-RO"/>
              </w:rPr>
              <w:t>i</w:t>
            </w:r>
            <w:r w:rsidRPr="001E6F0D">
              <w:rPr>
                <w:rFonts w:ascii="Times New Roman" w:hAnsi="Times New Roman" w:cs="Times New Roman"/>
                <w:lang w:val="ro-RO"/>
              </w:rPr>
              <w:t>, și oferirea accesului la acestea la solicitare</w:t>
            </w:r>
          </w:p>
        </w:tc>
        <w:tc>
          <w:tcPr>
            <w:tcW w:w="847" w:type="pct"/>
            <w:shd w:val="clear" w:color="auto" w:fill="auto"/>
            <w:vAlign w:val="center"/>
          </w:tcPr>
          <w:p w14:paraId="5540107B" w14:textId="406565E6"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lastRenderedPageBreak/>
              <w:t>Permanent</w:t>
            </w:r>
          </w:p>
        </w:tc>
        <w:tc>
          <w:tcPr>
            <w:tcW w:w="1184" w:type="pct"/>
            <w:shd w:val="clear" w:color="auto" w:fill="auto"/>
            <w:vAlign w:val="center"/>
          </w:tcPr>
          <w:p w14:paraId="760C1F9B"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MIDR</w:t>
            </w:r>
          </w:p>
          <w:p w14:paraId="5FF3B816" w14:textId="77777777" w:rsidR="00E33565" w:rsidRPr="001E6F0D" w:rsidRDefault="00E33565" w:rsidP="00847DD6">
            <w:pPr>
              <w:rPr>
                <w:rFonts w:ascii="Times New Roman" w:hAnsi="Times New Roman" w:cs="Times New Roman"/>
                <w:lang w:val="ro-RO"/>
              </w:rPr>
            </w:pPr>
            <w:r w:rsidRPr="001E6F0D">
              <w:rPr>
                <w:rFonts w:ascii="Times New Roman" w:hAnsi="Times New Roman" w:cs="Times New Roman"/>
                <w:lang w:val="ro-RO"/>
              </w:rPr>
              <w:t>ÎS „Administrația de Stat a Drumurilor”</w:t>
            </w:r>
          </w:p>
          <w:p w14:paraId="15C529AF" w14:textId="718A4130"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lastRenderedPageBreak/>
              <w:t>AEE</w:t>
            </w:r>
          </w:p>
        </w:tc>
      </w:tr>
      <w:tr w:rsidR="00847DD6" w:rsidRPr="001E6F0D" w14:paraId="7D739A97" w14:textId="77777777" w:rsidTr="00287FB6">
        <w:trPr>
          <w:trHeight w:val="155"/>
        </w:trPr>
        <w:tc>
          <w:tcPr>
            <w:tcW w:w="338" w:type="pct"/>
            <w:vAlign w:val="center"/>
          </w:tcPr>
          <w:p w14:paraId="7FA6750B" w14:textId="23EACBDC"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color w:val="000000"/>
              </w:rPr>
              <w:lastRenderedPageBreak/>
              <w:t>1</w:t>
            </w:r>
            <w:r w:rsidR="00BF5F50" w:rsidRPr="001E6F0D">
              <w:rPr>
                <w:rFonts w:ascii="Times New Roman" w:hAnsi="Times New Roman" w:cs="Times New Roman"/>
                <w:color w:val="000000"/>
                <w:lang w:val="ro-RO"/>
              </w:rPr>
              <w:t>6</w:t>
            </w:r>
          </w:p>
        </w:tc>
        <w:tc>
          <w:tcPr>
            <w:tcW w:w="2631" w:type="pct"/>
            <w:shd w:val="clear" w:color="auto" w:fill="auto"/>
            <w:vAlign w:val="center"/>
          </w:tcPr>
          <w:p w14:paraId="2FE524A7" w14:textId="77777777"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Organizarea, monitorizarea și colectarea deșeurilor lemnoase în timpul tăierilor și colectării deșeurilor agricole (cu axare pe agricultorii care au obținut subvenții de la stat)</w:t>
            </w:r>
          </w:p>
        </w:tc>
        <w:tc>
          <w:tcPr>
            <w:tcW w:w="847" w:type="pct"/>
            <w:shd w:val="clear" w:color="auto" w:fill="auto"/>
            <w:vAlign w:val="center"/>
          </w:tcPr>
          <w:p w14:paraId="04BBE5AD" w14:textId="4C818B18"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202</w:t>
            </w:r>
            <w:r w:rsidR="00BF5F50" w:rsidRPr="001E6F0D">
              <w:rPr>
                <w:rFonts w:ascii="Times New Roman" w:hAnsi="Times New Roman" w:cs="Times New Roman"/>
                <w:lang w:val="ro-RO"/>
              </w:rPr>
              <w:t>3</w:t>
            </w:r>
            <w:r w:rsidRPr="001E6F0D">
              <w:rPr>
                <w:rFonts w:ascii="Times New Roman" w:hAnsi="Times New Roman" w:cs="Times New Roman"/>
                <w:lang w:val="ro-RO"/>
              </w:rPr>
              <w:t>-202</w:t>
            </w:r>
            <w:r w:rsidR="00BF5F50" w:rsidRPr="001E6F0D">
              <w:rPr>
                <w:rFonts w:ascii="Times New Roman" w:hAnsi="Times New Roman" w:cs="Times New Roman"/>
                <w:lang w:val="ro-RO"/>
              </w:rPr>
              <w:t>4</w:t>
            </w:r>
          </w:p>
        </w:tc>
        <w:tc>
          <w:tcPr>
            <w:tcW w:w="1184" w:type="pct"/>
            <w:shd w:val="clear" w:color="auto" w:fill="auto"/>
            <w:vAlign w:val="center"/>
          </w:tcPr>
          <w:p w14:paraId="61F8C1E2"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Agriculturii și Industriei Alimentare</w:t>
            </w:r>
          </w:p>
          <w:p w14:paraId="3766CA81" w14:textId="2DC937E5"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AEE</w:t>
            </w:r>
          </w:p>
        </w:tc>
      </w:tr>
      <w:tr w:rsidR="00847DD6" w:rsidRPr="001E6F0D" w14:paraId="35D35222" w14:textId="77777777" w:rsidTr="00287FB6">
        <w:trPr>
          <w:trHeight w:val="155"/>
        </w:trPr>
        <w:tc>
          <w:tcPr>
            <w:tcW w:w="338" w:type="pct"/>
            <w:vAlign w:val="center"/>
          </w:tcPr>
          <w:p w14:paraId="56FE89FE" w14:textId="4328DA3D" w:rsidR="00847DD6" w:rsidRPr="001E6F0D" w:rsidRDefault="00BF5F50" w:rsidP="00847DD6">
            <w:pPr>
              <w:jc w:val="center"/>
              <w:rPr>
                <w:rFonts w:ascii="Times New Roman" w:hAnsi="Times New Roman" w:cs="Times New Roman"/>
                <w:lang w:val="ro-RO"/>
              </w:rPr>
            </w:pPr>
            <w:r w:rsidRPr="001E6F0D">
              <w:rPr>
                <w:rFonts w:ascii="Times New Roman" w:hAnsi="Times New Roman" w:cs="Times New Roman"/>
                <w:color w:val="000000"/>
                <w:lang w:val="ro-RO"/>
              </w:rPr>
              <w:t>17</w:t>
            </w:r>
          </w:p>
        </w:tc>
        <w:tc>
          <w:tcPr>
            <w:tcW w:w="2631" w:type="pct"/>
            <w:shd w:val="clear" w:color="auto" w:fill="auto"/>
            <w:vAlign w:val="center"/>
          </w:tcPr>
          <w:p w14:paraId="7A36C99E" w14:textId="0C616D4B"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Întreprinderea măsurilor de asigurare a necesarului de masă lemnoasă pentru sezonul de încălzire 202</w:t>
            </w:r>
            <w:r w:rsidR="00BF5F50" w:rsidRPr="001E6F0D">
              <w:rPr>
                <w:rFonts w:ascii="Times New Roman" w:hAnsi="Times New Roman" w:cs="Times New Roman"/>
                <w:lang w:val="ro-RO"/>
              </w:rPr>
              <w:t>3</w:t>
            </w:r>
            <w:r w:rsidRPr="001E6F0D">
              <w:rPr>
                <w:rFonts w:ascii="Times New Roman" w:hAnsi="Times New Roman" w:cs="Times New Roman"/>
                <w:lang w:val="ro-RO"/>
              </w:rPr>
              <w:t>-202</w:t>
            </w:r>
            <w:r w:rsidR="00BF5F50" w:rsidRPr="001E6F0D">
              <w:rPr>
                <w:rFonts w:ascii="Times New Roman" w:hAnsi="Times New Roman" w:cs="Times New Roman"/>
                <w:lang w:val="ro-RO"/>
              </w:rPr>
              <w:t>4</w:t>
            </w:r>
            <w:r w:rsidRPr="001E6F0D">
              <w:rPr>
                <w:rFonts w:ascii="Times New Roman" w:hAnsi="Times New Roman" w:cs="Times New Roman"/>
                <w:lang w:val="ro-RO"/>
              </w:rPr>
              <w:t xml:space="preserve"> pentru toată populația care utilizează această sursă alternativă de încălzire, inclusiv monitorizarea menținerii unui preț rezonabil de comercializare a masei lemnoase</w:t>
            </w:r>
          </w:p>
        </w:tc>
        <w:tc>
          <w:tcPr>
            <w:tcW w:w="847" w:type="pct"/>
            <w:shd w:val="clear" w:color="auto" w:fill="auto"/>
            <w:vAlign w:val="center"/>
          </w:tcPr>
          <w:p w14:paraId="22E1BE4B" w14:textId="4452D314"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202</w:t>
            </w:r>
            <w:r w:rsidR="00BF5F50" w:rsidRPr="001E6F0D">
              <w:rPr>
                <w:rFonts w:ascii="Times New Roman" w:hAnsi="Times New Roman" w:cs="Times New Roman"/>
                <w:lang w:val="ro-RO"/>
              </w:rPr>
              <w:t>3</w:t>
            </w:r>
            <w:r w:rsidRPr="001E6F0D">
              <w:rPr>
                <w:rFonts w:ascii="Times New Roman" w:hAnsi="Times New Roman" w:cs="Times New Roman"/>
                <w:lang w:val="ro-RO"/>
              </w:rPr>
              <w:t>-202</w:t>
            </w:r>
            <w:r w:rsidR="00BF5F50" w:rsidRPr="001E6F0D">
              <w:rPr>
                <w:rFonts w:ascii="Times New Roman" w:hAnsi="Times New Roman" w:cs="Times New Roman"/>
                <w:lang w:val="ro-RO"/>
              </w:rPr>
              <w:t>4</w:t>
            </w:r>
          </w:p>
        </w:tc>
        <w:tc>
          <w:tcPr>
            <w:tcW w:w="1184" w:type="pct"/>
            <w:shd w:val="clear" w:color="auto" w:fill="auto"/>
            <w:vAlign w:val="center"/>
          </w:tcPr>
          <w:p w14:paraId="494DFB84" w14:textId="77777777"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Mediului</w:t>
            </w:r>
          </w:p>
          <w:p w14:paraId="4FB6E09A" w14:textId="12BE27FB"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Agenția „Moldsilva”</w:t>
            </w:r>
          </w:p>
        </w:tc>
      </w:tr>
      <w:tr w:rsidR="00847DD6" w:rsidRPr="001E6F0D" w14:paraId="2DE3BCA9" w14:textId="77777777" w:rsidTr="00287FB6">
        <w:trPr>
          <w:trHeight w:val="162"/>
        </w:trPr>
        <w:tc>
          <w:tcPr>
            <w:tcW w:w="338" w:type="pct"/>
            <w:vAlign w:val="center"/>
          </w:tcPr>
          <w:p w14:paraId="0702A232" w14:textId="54B90E5E" w:rsidR="00847DD6" w:rsidRPr="001E6F0D" w:rsidRDefault="00BF5F50" w:rsidP="00847DD6">
            <w:pPr>
              <w:jc w:val="center"/>
              <w:rPr>
                <w:rFonts w:ascii="Times New Roman" w:hAnsi="Times New Roman" w:cs="Times New Roman"/>
                <w:lang w:val="ro-RO"/>
              </w:rPr>
            </w:pPr>
            <w:r w:rsidRPr="001E6F0D">
              <w:rPr>
                <w:rFonts w:ascii="Times New Roman" w:hAnsi="Times New Roman" w:cs="Times New Roman"/>
                <w:color w:val="000000"/>
                <w:lang w:val="ro-RO"/>
              </w:rPr>
              <w:t>18</w:t>
            </w:r>
          </w:p>
        </w:tc>
        <w:tc>
          <w:tcPr>
            <w:tcW w:w="2631" w:type="pct"/>
            <w:shd w:val="clear" w:color="auto" w:fill="auto"/>
            <w:vAlign w:val="center"/>
          </w:tcPr>
          <w:p w14:paraId="0B15025A" w14:textId="60A9C049" w:rsidR="00847DD6" w:rsidRPr="001E6F0D" w:rsidRDefault="00847DD6" w:rsidP="00847DD6">
            <w:pPr>
              <w:jc w:val="both"/>
              <w:rPr>
                <w:rFonts w:ascii="Times New Roman" w:hAnsi="Times New Roman" w:cs="Times New Roman"/>
                <w:lang w:val="ro-RO"/>
              </w:rPr>
            </w:pPr>
            <w:r w:rsidRPr="001E6F0D">
              <w:rPr>
                <w:rFonts w:ascii="Times New Roman" w:hAnsi="Times New Roman" w:cs="Times New Roman"/>
                <w:lang w:val="ro-RO"/>
              </w:rPr>
              <w:t>Asigurarea verificării stării funcționale și disponibilității în instituțiile medicale a unităților de generare a energiei electrice de rezervă pentru utilizarea acestora în caz de necesitate</w:t>
            </w:r>
          </w:p>
        </w:tc>
        <w:tc>
          <w:tcPr>
            <w:tcW w:w="847" w:type="pct"/>
            <w:shd w:val="clear" w:color="auto" w:fill="auto"/>
            <w:vAlign w:val="center"/>
          </w:tcPr>
          <w:p w14:paraId="4007F449" w14:textId="70F509C8" w:rsidR="00847DD6" w:rsidRPr="001E6F0D" w:rsidRDefault="00847DD6" w:rsidP="00847DD6">
            <w:pPr>
              <w:jc w:val="center"/>
              <w:rPr>
                <w:rFonts w:ascii="Times New Roman" w:hAnsi="Times New Roman" w:cs="Times New Roman"/>
                <w:lang w:val="ro-RO"/>
              </w:rPr>
            </w:pPr>
            <w:r w:rsidRPr="001E6F0D">
              <w:rPr>
                <w:rFonts w:ascii="Times New Roman" w:hAnsi="Times New Roman" w:cs="Times New Roman"/>
                <w:lang w:val="ro-RO"/>
              </w:rPr>
              <w:t>30.09.202</w:t>
            </w:r>
            <w:r w:rsidR="00BF5F50" w:rsidRPr="001E6F0D">
              <w:rPr>
                <w:rFonts w:ascii="Times New Roman" w:hAnsi="Times New Roman" w:cs="Times New Roman"/>
                <w:lang w:val="ro-RO"/>
              </w:rPr>
              <w:t>3</w:t>
            </w:r>
          </w:p>
        </w:tc>
        <w:tc>
          <w:tcPr>
            <w:tcW w:w="1184" w:type="pct"/>
            <w:shd w:val="clear" w:color="auto" w:fill="auto"/>
            <w:vAlign w:val="center"/>
          </w:tcPr>
          <w:p w14:paraId="0C337A33" w14:textId="3FA4D834" w:rsidR="00847DD6" w:rsidRPr="001E6F0D" w:rsidRDefault="00847DD6" w:rsidP="00847DD6">
            <w:pPr>
              <w:rPr>
                <w:rFonts w:ascii="Times New Roman" w:hAnsi="Times New Roman" w:cs="Times New Roman"/>
                <w:lang w:val="ro-RO"/>
              </w:rPr>
            </w:pPr>
            <w:r w:rsidRPr="001E6F0D">
              <w:rPr>
                <w:rFonts w:ascii="Times New Roman" w:hAnsi="Times New Roman" w:cs="Times New Roman"/>
                <w:lang w:val="ro-RO"/>
              </w:rPr>
              <w:t>Ministerul Sănătății</w:t>
            </w:r>
          </w:p>
        </w:tc>
      </w:tr>
      <w:tr w:rsidR="001E6F0D" w:rsidRPr="001E6F0D" w14:paraId="69302777" w14:textId="77777777" w:rsidTr="00287FB6">
        <w:trPr>
          <w:trHeight w:val="162"/>
        </w:trPr>
        <w:tc>
          <w:tcPr>
            <w:tcW w:w="338" w:type="pct"/>
            <w:vAlign w:val="center"/>
          </w:tcPr>
          <w:p w14:paraId="6CD7DD82" w14:textId="4D0F28A5" w:rsidR="001E6F0D" w:rsidRPr="001E6F0D" w:rsidRDefault="001E6F0D" w:rsidP="001E6F0D">
            <w:pPr>
              <w:jc w:val="center"/>
              <w:rPr>
                <w:rFonts w:ascii="Times New Roman" w:hAnsi="Times New Roman" w:cs="Times New Roman"/>
                <w:color w:val="000000"/>
                <w:lang w:val="ro-RO"/>
              </w:rPr>
            </w:pPr>
            <w:r w:rsidRPr="001E6F0D">
              <w:rPr>
                <w:rFonts w:ascii="Times New Roman" w:hAnsi="Times New Roman" w:cs="Times New Roman"/>
                <w:color w:val="000000"/>
                <w:lang w:val="ro-RO"/>
              </w:rPr>
              <w:t>19</w:t>
            </w:r>
          </w:p>
        </w:tc>
        <w:tc>
          <w:tcPr>
            <w:tcW w:w="2631" w:type="pct"/>
            <w:shd w:val="clear" w:color="auto" w:fill="auto"/>
            <w:vAlign w:val="center"/>
          </w:tcPr>
          <w:p w14:paraId="3059B944" w14:textId="40E969D5"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Întreprinderea măsurilor necesare întru asigurarea disponibilității/capacității de a procura energie electrică sau gaze naturale de pe piețele internaționale din regiune în cazul unei situații excepționale pe piața energiei electrice și/sau gaze</w:t>
            </w:r>
            <w:r>
              <w:rPr>
                <w:rFonts w:ascii="Times New Roman" w:hAnsi="Times New Roman" w:cs="Times New Roman"/>
                <w:lang w:val="ro-RO"/>
              </w:rPr>
              <w:t>lor</w:t>
            </w:r>
            <w:r w:rsidRPr="001E6F0D">
              <w:rPr>
                <w:rFonts w:ascii="Times New Roman" w:hAnsi="Times New Roman" w:cs="Times New Roman"/>
                <w:lang w:val="ro-RO"/>
              </w:rPr>
              <w:t xml:space="preserve"> naturale.</w:t>
            </w:r>
          </w:p>
        </w:tc>
        <w:tc>
          <w:tcPr>
            <w:tcW w:w="847" w:type="pct"/>
            <w:shd w:val="clear" w:color="auto" w:fill="auto"/>
            <w:vAlign w:val="center"/>
          </w:tcPr>
          <w:p w14:paraId="7D25350C" w14:textId="231027A9"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2023</w:t>
            </w:r>
          </w:p>
        </w:tc>
        <w:tc>
          <w:tcPr>
            <w:tcW w:w="1184" w:type="pct"/>
            <w:shd w:val="clear" w:color="auto" w:fill="auto"/>
          </w:tcPr>
          <w:p w14:paraId="17711B47" w14:textId="3DCE4235"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SA „Energocom”</w:t>
            </w:r>
          </w:p>
        </w:tc>
      </w:tr>
      <w:tr w:rsidR="001E6F0D" w:rsidRPr="001E6F0D" w14:paraId="431E27A2" w14:textId="77777777" w:rsidTr="00287FB6">
        <w:trPr>
          <w:trHeight w:val="162"/>
        </w:trPr>
        <w:tc>
          <w:tcPr>
            <w:tcW w:w="338" w:type="pct"/>
            <w:vAlign w:val="center"/>
          </w:tcPr>
          <w:p w14:paraId="14C979D6" w14:textId="599721B3"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color w:val="000000"/>
                <w:lang w:val="ro-RO"/>
              </w:rPr>
              <w:t>20</w:t>
            </w:r>
          </w:p>
        </w:tc>
        <w:tc>
          <w:tcPr>
            <w:tcW w:w="2631" w:type="pct"/>
            <w:shd w:val="clear" w:color="auto" w:fill="auto"/>
            <w:vAlign w:val="center"/>
          </w:tcPr>
          <w:p w14:paraId="1053C370" w14:textId="558DDF6D"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Asigurarea inventarierii stocurilor de combustibili la instituțiile medicale necesare pentru sursele de generare a energie electrice și întreprinderea măsurilor necesare pentru suplinirea acestora</w:t>
            </w:r>
          </w:p>
        </w:tc>
        <w:tc>
          <w:tcPr>
            <w:tcW w:w="847" w:type="pct"/>
            <w:shd w:val="clear" w:color="auto" w:fill="auto"/>
            <w:vAlign w:val="center"/>
          </w:tcPr>
          <w:p w14:paraId="787D581B" w14:textId="28416281"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30.09.2023</w:t>
            </w:r>
          </w:p>
        </w:tc>
        <w:tc>
          <w:tcPr>
            <w:tcW w:w="1184" w:type="pct"/>
            <w:shd w:val="clear" w:color="auto" w:fill="auto"/>
            <w:vAlign w:val="center"/>
          </w:tcPr>
          <w:p w14:paraId="7BA9FB64" w14:textId="2B7E4B1C"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Ministerul Sănătății</w:t>
            </w:r>
          </w:p>
        </w:tc>
      </w:tr>
      <w:tr w:rsidR="001E6F0D" w:rsidRPr="001E6F0D" w14:paraId="4FAECBF3" w14:textId="77777777" w:rsidTr="00287FB6">
        <w:trPr>
          <w:trHeight w:val="162"/>
        </w:trPr>
        <w:tc>
          <w:tcPr>
            <w:tcW w:w="338" w:type="pct"/>
            <w:vAlign w:val="center"/>
          </w:tcPr>
          <w:p w14:paraId="5E899BE4" w14:textId="15F4AF1D" w:rsidR="001E6F0D" w:rsidRPr="001E6F0D" w:rsidRDefault="001E6F0D" w:rsidP="001E6F0D">
            <w:pPr>
              <w:jc w:val="center"/>
              <w:rPr>
                <w:rFonts w:ascii="Times New Roman" w:hAnsi="Times New Roman" w:cs="Times New Roman"/>
                <w:color w:val="000000"/>
              </w:rPr>
            </w:pPr>
            <w:r w:rsidRPr="001E6F0D">
              <w:rPr>
                <w:rFonts w:ascii="Times New Roman" w:hAnsi="Times New Roman" w:cs="Times New Roman"/>
                <w:color w:val="000000"/>
              </w:rPr>
              <w:t>2</w:t>
            </w:r>
            <w:r w:rsidRPr="001E6F0D">
              <w:rPr>
                <w:rFonts w:ascii="Times New Roman" w:hAnsi="Times New Roman" w:cs="Times New Roman"/>
                <w:color w:val="000000"/>
                <w:lang w:val="ro-RO"/>
              </w:rPr>
              <w:t>1</w:t>
            </w:r>
          </w:p>
        </w:tc>
        <w:tc>
          <w:tcPr>
            <w:tcW w:w="2631" w:type="pct"/>
            <w:shd w:val="clear" w:color="auto" w:fill="auto"/>
            <w:vAlign w:val="center"/>
          </w:tcPr>
          <w:p w14:paraId="602E6799" w14:textId="55037E72"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Planificarea, după caz, a măsurilor de achiziție/suplinire a rezervelor de generatoare de energie electrică pentru alimentarea de urgență a punctelor de infrastructură critică deținute.</w:t>
            </w:r>
          </w:p>
        </w:tc>
        <w:tc>
          <w:tcPr>
            <w:tcW w:w="847" w:type="pct"/>
            <w:shd w:val="clear" w:color="auto" w:fill="auto"/>
            <w:vAlign w:val="center"/>
          </w:tcPr>
          <w:p w14:paraId="6F493664" w14:textId="40A1ECE6"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2023</w:t>
            </w:r>
          </w:p>
        </w:tc>
        <w:tc>
          <w:tcPr>
            <w:tcW w:w="1184" w:type="pct"/>
            <w:shd w:val="clear" w:color="auto" w:fill="auto"/>
            <w:vAlign w:val="center"/>
          </w:tcPr>
          <w:p w14:paraId="1F0A132A"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ANRE</w:t>
            </w:r>
          </w:p>
          <w:p w14:paraId="608E0367" w14:textId="77777777" w:rsidR="001E6F0D" w:rsidRPr="001E6F0D" w:rsidRDefault="001E6F0D" w:rsidP="001E6F0D">
            <w:pPr>
              <w:rPr>
                <w:rFonts w:ascii="Times New Roman" w:hAnsi="Times New Roman" w:cs="Times New Roman"/>
                <w:lang w:val="ro-RO"/>
              </w:rPr>
            </w:pPr>
          </w:p>
          <w:p w14:paraId="66B8840D" w14:textId="43257BC1"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Titularii de licență pentru activitatea de furnizare/prestare a serviciului public de alimentare cu apă şi/sau de canalizare la nivel de raion, municipiu și oraș și pentru activitățile de producere, distribuție şi furnizare a energiei termice în scopul comercializării acesteia</w:t>
            </w:r>
          </w:p>
        </w:tc>
      </w:tr>
      <w:tr w:rsidR="001E6F0D" w:rsidRPr="001E6F0D" w14:paraId="00000675" w14:textId="77777777" w:rsidTr="00287FB6">
        <w:trPr>
          <w:trHeight w:val="162"/>
        </w:trPr>
        <w:tc>
          <w:tcPr>
            <w:tcW w:w="338" w:type="pct"/>
            <w:vAlign w:val="center"/>
          </w:tcPr>
          <w:p w14:paraId="76E358E0" w14:textId="66EEB244"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color w:val="000000"/>
              </w:rPr>
              <w:t>2</w:t>
            </w:r>
            <w:r w:rsidRPr="001E6F0D">
              <w:rPr>
                <w:rFonts w:ascii="Times New Roman" w:hAnsi="Times New Roman" w:cs="Times New Roman"/>
                <w:color w:val="000000"/>
                <w:lang w:val="ro-RO"/>
              </w:rPr>
              <w:t>2</w:t>
            </w:r>
          </w:p>
        </w:tc>
        <w:tc>
          <w:tcPr>
            <w:tcW w:w="2631" w:type="pct"/>
            <w:shd w:val="clear" w:color="auto" w:fill="auto"/>
            <w:vAlign w:val="center"/>
          </w:tcPr>
          <w:p w14:paraId="0AD58037" w14:textId="77DBC215"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Desemnarea unei persoane responsabile, pentru fiecare instituție subordonată, care să monitorizeze, verifice și să asigure consumul rațional de resurse energetice, și să asigure menținerea temperaturii interioare recomandate în cadrul clădirii specifice tipului de activitate</w:t>
            </w:r>
          </w:p>
        </w:tc>
        <w:tc>
          <w:tcPr>
            <w:tcW w:w="847" w:type="pct"/>
            <w:shd w:val="clear" w:color="auto" w:fill="auto"/>
            <w:vAlign w:val="center"/>
          </w:tcPr>
          <w:p w14:paraId="3BA474C1" w14:textId="0882BA06"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15.09.2023</w:t>
            </w:r>
          </w:p>
        </w:tc>
        <w:tc>
          <w:tcPr>
            <w:tcW w:w="1184" w:type="pct"/>
            <w:shd w:val="clear" w:color="auto" w:fill="auto"/>
            <w:vAlign w:val="center"/>
          </w:tcPr>
          <w:p w14:paraId="2F1FE17D"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Agenția Proprietății Publice (APP)</w:t>
            </w:r>
          </w:p>
          <w:p w14:paraId="751A35EC"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Cancelaria de Stat</w:t>
            </w:r>
          </w:p>
          <w:p w14:paraId="57144A5C" w14:textId="455614E8"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 xml:space="preserve">Autorități publice centrale (APC) </w:t>
            </w:r>
          </w:p>
          <w:p w14:paraId="0993A3D0" w14:textId="764C8BC0"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Se recomandă APL</w:t>
            </w:r>
          </w:p>
        </w:tc>
      </w:tr>
      <w:tr w:rsidR="001E6F0D" w:rsidRPr="001E6F0D" w14:paraId="06ECD48F" w14:textId="77777777" w:rsidTr="00287FB6">
        <w:trPr>
          <w:trHeight w:val="162"/>
        </w:trPr>
        <w:tc>
          <w:tcPr>
            <w:tcW w:w="338" w:type="pct"/>
            <w:vAlign w:val="center"/>
          </w:tcPr>
          <w:p w14:paraId="1C046A35" w14:textId="6E39C686"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color w:val="000000"/>
              </w:rPr>
              <w:t>2</w:t>
            </w:r>
            <w:r w:rsidRPr="001E6F0D">
              <w:rPr>
                <w:rFonts w:ascii="Times New Roman" w:hAnsi="Times New Roman" w:cs="Times New Roman"/>
                <w:color w:val="000000"/>
                <w:lang w:val="ro-RO"/>
              </w:rPr>
              <w:t>3</w:t>
            </w:r>
          </w:p>
        </w:tc>
        <w:tc>
          <w:tcPr>
            <w:tcW w:w="2631" w:type="pct"/>
            <w:shd w:val="clear" w:color="auto" w:fill="auto"/>
            <w:vAlign w:val="center"/>
          </w:tcPr>
          <w:p w14:paraId="706B3377" w14:textId="698AF122"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Actualizarea listei consumatorilor protejați și întreruptibili, în conformitate cu prevederile Hotărârii Guvernului pentru aprobarea Regulamentului și Planului de acțiuni pentru situații excepționale pe piața gazelor naturale</w:t>
            </w:r>
          </w:p>
        </w:tc>
        <w:tc>
          <w:tcPr>
            <w:tcW w:w="847" w:type="pct"/>
            <w:shd w:val="clear" w:color="auto" w:fill="auto"/>
            <w:vAlign w:val="center"/>
          </w:tcPr>
          <w:p w14:paraId="5BA25D68" w14:textId="197B6729"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30.09.2023</w:t>
            </w:r>
          </w:p>
        </w:tc>
        <w:tc>
          <w:tcPr>
            <w:tcW w:w="1184" w:type="pct"/>
            <w:shd w:val="clear" w:color="auto" w:fill="auto"/>
            <w:vAlign w:val="center"/>
          </w:tcPr>
          <w:p w14:paraId="7EE63E50" w14:textId="62C91F3D"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 xml:space="preserve">SRL „Moldovatransgaz” </w:t>
            </w:r>
          </w:p>
          <w:p w14:paraId="61F1739A"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Operatorii sistemelor de distribuție</w:t>
            </w:r>
          </w:p>
        </w:tc>
      </w:tr>
      <w:tr w:rsidR="001E6F0D" w:rsidRPr="001E6F0D" w14:paraId="1E9F415E" w14:textId="77777777" w:rsidTr="00287FB6">
        <w:trPr>
          <w:trHeight w:val="155"/>
        </w:trPr>
        <w:tc>
          <w:tcPr>
            <w:tcW w:w="338" w:type="pct"/>
            <w:vAlign w:val="center"/>
          </w:tcPr>
          <w:p w14:paraId="46A31DDB" w14:textId="3981EB21"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color w:val="000000"/>
              </w:rPr>
              <w:t>2</w:t>
            </w:r>
            <w:r w:rsidRPr="001E6F0D">
              <w:rPr>
                <w:rFonts w:ascii="Times New Roman" w:hAnsi="Times New Roman" w:cs="Times New Roman"/>
                <w:color w:val="000000"/>
                <w:lang w:val="ro-RO"/>
              </w:rPr>
              <w:t>4</w:t>
            </w:r>
          </w:p>
        </w:tc>
        <w:tc>
          <w:tcPr>
            <w:tcW w:w="2631" w:type="pct"/>
            <w:shd w:val="clear" w:color="auto" w:fill="auto"/>
            <w:vAlign w:val="center"/>
          </w:tcPr>
          <w:p w14:paraId="7ABD4554" w14:textId="495053D2"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Asigurarea stocării volumului maxim posibil de gaze naturale în rețelele de transport gestionate</w:t>
            </w:r>
          </w:p>
        </w:tc>
        <w:tc>
          <w:tcPr>
            <w:tcW w:w="847" w:type="pct"/>
            <w:shd w:val="clear" w:color="auto" w:fill="auto"/>
            <w:vAlign w:val="center"/>
          </w:tcPr>
          <w:p w14:paraId="4A19A180" w14:textId="3611813B"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31.10.2023</w:t>
            </w:r>
          </w:p>
        </w:tc>
        <w:tc>
          <w:tcPr>
            <w:tcW w:w="1184" w:type="pct"/>
            <w:shd w:val="clear" w:color="auto" w:fill="auto"/>
            <w:vAlign w:val="center"/>
          </w:tcPr>
          <w:p w14:paraId="54557A40"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SRL „Moldovatransgaz”</w:t>
            </w:r>
          </w:p>
          <w:p w14:paraId="399BB756" w14:textId="414ACDD2"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 xml:space="preserve">SRL „Vestmoldtransgaz” </w:t>
            </w:r>
          </w:p>
          <w:p w14:paraId="4AA6C5F9"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SA „Moldovagaz”</w:t>
            </w:r>
          </w:p>
          <w:p w14:paraId="6E3FBF6A" w14:textId="6AF01212"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SA „Energocom”</w:t>
            </w:r>
          </w:p>
        </w:tc>
      </w:tr>
      <w:tr w:rsidR="001E6F0D" w:rsidRPr="001E6F0D" w14:paraId="374570F8" w14:textId="77777777" w:rsidTr="00287FB6">
        <w:trPr>
          <w:trHeight w:val="155"/>
        </w:trPr>
        <w:tc>
          <w:tcPr>
            <w:tcW w:w="338" w:type="pct"/>
            <w:vAlign w:val="center"/>
          </w:tcPr>
          <w:p w14:paraId="5E9B705D" w14:textId="482632EB"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color w:val="000000"/>
                <w:lang w:val="ro-RO"/>
              </w:rPr>
              <w:t>25</w:t>
            </w:r>
          </w:p>
        </w:tc>
        <w:tc>
          <w:tcPr>
            <w:tcW w:w="2631" w:type="pct"/>
            <w:shd w:val="clear" w:color="auto" w:fill="auto"/>
            <w:vAlign w:val="center"/>
          </w:tcPr>
          <w:p w14:paraId="0C3288FD" w14:textId="528010AF"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Întreprinderea măsurilor necesare pentru utilizarea mecanismelor stabilite în Acordurile de Interconectare între operatorii sistemelor de transport adiacenți din Ucraina și Republica Moldova, România și Republica Moldova</w:t>
            </w:r>
          </w:p>
        </w:tc>
        <w:tc>
          <w:tcPr>
            <w:tcW w:w="847" w:type="pct"/>
            <w:shd w:val="clear" w:color="auto" w:fill="auto"/>
            <w:vAlign w:val="center"/>
          </w:tcPr>
          <w:p w14:paraId="09BE064A" w14:textId="34B8930C"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2023</w:t>
            </w:r>
          </w:p>
        </w:tc>
        <w:tc>
          <w:tcPr>
            <w:tcW w:w="1184" w:type="pct"/>
            <w:shd w:val="clear" w:color="auto" w:fill="auto"/>
            <w:vAlign w:val="center"/>
          </w:tcPr>
          <w:p w14:paraId="7EF4952C"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SRL „Moldovatransgaz”</w:t>
            </w:r>
          </w:p>
          <w:p w14:paraId="080BBA9D"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 xml:space="preserve">SRL „Vestmoldtransgaz” </w:t>
            </w:r>
          </w:p>
          <w:p w14:paraId="4502D5CD"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SA „Moldovagaz”</w:t>
            </w:r>
          </w:p>
          <w:p w14:paraId="652AD54A" w14:textId="18D0FF3A"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SA „Energocom”</w:t>
            </w:r>
          </w:p>
        </w:tc>
      </w:tr>
      <w:tr w:rsidR="001E6F0D" w:rsidRPr="001E6F0D" w14:paraId="41D84689" w14:textId="77777777" w:rsidTr="00287FB6">
        <w:trPr>
          <w:trHeight w:val="155"/>
        </w:trPr>
        <w:tc>
          <w:tcPr>
            <w:tcW w:w="338" w:type="pct"/>
            <w:vAlign w:val="center"/>
          </w:tcPr>
          <w:p w14:paraId="53AABAA7" w14:textId="7C7C4AB8" w:rsidR="001E6F0D" w:rsidRPr="001E6F0D" w:rsidRDefault="001E6F0D" w:rsidP="001E6F0D">
            <w:pPr>
              <w:jc w:val="center"/>
              <w:rPr>
                <w:rFonts w:ascii="Times New Roman" w:hAnsi="Times New Roman" w:cs="Times New Roman"/>
                <w:color w:val="000000"/>
                <w:lang w:val="ro-RO"/>
              </w:rPr>
            </w:pPr>
            <w:r w:rsidRPr="001E6F0D">
              <w:rPr>
                <w:rFonts w:ascii="Times New Roman" w:hAnsi="Times New Roman" w:cs="Times New Roman"/>
                <w:color w:val="000000"/>
              </w:rPr>
              <w:t>2</w:t>
            </w:r>
            <w:r w:rsidRPr="001E6F0D">
              <w:rPr>
                <w:rFonts w:ascii="Times New Roman" w:hAnsi="Times New Roman" w:cs="Times New Roman"/>
                <w:color w:val="000000"/>
                <w:lang w:val="ro-RO"/>
              </w:rPr>
              <w:t>6</w:t>
            </w:r>
          </w:p>
        </w:tc>
        <w:tc>
          <w:tcPr>
            <w:tcW w:w="2631" w:type="pct"/>
            <w:shd w:val="clear" w:color="auto" w:fill="auto"/>
            <w:vAlign w:val="center"/>
          </w:tcPr>
          <w:p w14:paraId="57C777D3" w14:textId="1E3CC71F"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 xml:space="preserve">Finalizarea lucrărilor de pregătire pentru sezonul de încălzire 2023-2024 a utilajului de bază şi a celui auxiliar, </w:t>
            </w:r>
            <w:r w:rsidRPr="001E6F0D">
              <w:rPr>
                <w:rFonts w:ascii="Times New Roman" w:hAnsi="Times New Roman" w:cs="Times New Roman"/>
                <w:lang w:val="ro-RO"/>
              </w:rPr>
              <w:lastRenderedPageBreak/>
              <w:t>precum şi a reţelelor termice la SA „Termoelectrica” și SA „CET-Nord”</w:t>
            </w:r>
          </w:p>
        </w:tc>
        <w:tc>
          <w:tcPr>
            <w:tcW w:w="847" w:type="pct"/>
            <w:shd w:val="clear" w:color="auto" w:fill="auto"/>
            <w:vAlign w:val="center"/>
          </w:tcPr>
          <w:p w14:paraId="1A4CCDB8" w14:textId="1B921DD8"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lastRenderedPageBreak/>
              <w:t>15.10.2023</w:t>
            </w:r>
          </w:p>
        </w:tc>
        <w:tc>
          <w:tcPr>
            <w:tcW w:w="1184" w:type="pct"/>
            <w:shd w:val="clear" w:color="auto" w:fill="auto"/>
            <w:vAlign w:val="center"/>
          </w:tcPr>
          <w:p w14:paraId="051026E5" w14:textId="57B0C268" w:rsidR="001E6F0D" w:rsidRDefault="001E6F0D" w:rsidP="001E6F0D">
            <w:pPr>
              <w:rPr>
                <w:rFonts w:ascii="Times New Roman" w:hAnsi="Times New Roman" w:cs="Times New Roman"/>
                <w:lang w:val="ro-RO"/>
              </w:rPr>
            </w:pPr>
            <w:r w:rsidRPr="001E6F0D">
              <w:rPr>
                <w:rFonts w:ascii="Times New Roman" w:hAnsi="Times New Roman" w:cs="Times New Roman"/>
                <w:lang w:val="ro-RO"/>
              </w:rPr>
              <w:t>APP</w:t>
            </w:r>
          </w:p>
          <w:p w14:paraId="0F7CCD2F" w14:textId="6868519F"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lastRenderedPageBreak/>
              <w:t>SA “Termoelectrica” SA “CET-Nord”</w:t>
            </w:r>
          </w:p>
        </w:tc>
      </w:tr>
      <w:tr w:rsidR="001E6F0D" w:rsidRPr="001E6F0D" w14:paraId="188D2C60" w14:textId="77777777" w:rsidTr="00287FB6">
        <w:trPr>
          <w:trHeight w:val="155"/>
        </w:trPr>
        <w:tc>
          <w:tcPr>
            <w:tcW w:w="338" w:type="pct"/>
            <w:vAlign w:val="center"/>
          </w:tcPr>
          <w:p w14:paraId="7A0F84E4" w14:textId="474B5D85" w:rsidR="001E6F0D" w:rsidRPr="001E6F0D" w:rsidRDefault="001E6F0D" w:rsidP="001E6F0D">
            <w:pPr>
              <w:jc w:val="center"/>
              <w:rPr>
                <w:rFonts w:ascii="Times New Roman" w:hAnsi="Times New Roman" w:cs="Times New Roman"/>
                <w:color w:val="000000"/>
              </w:rPr>
            </w:pPr>
            <w:r w:rsidRPr="001E6F0D">
              <w:rPr>
                <w:rFonts w:ascii="Times New Roman" w:hAnsi="Times New Roman" w:cs="Times New Roman"/>
                <w:color w:val="000000"/>
              </w:rPr>
              <w:lastRenderedPageBreak/>
              <w:t>27</w:t>
            </w:r>
          </w:p>
        </w:tc>
        <w:tc>
          <w:tcPr>
            <w:tcW w:w="2631" w:type="pct"/>
            <w:shd w:val="clear" w:color="auto" w:fill="auto"/>
            <w:vAlign w:val="center"/>
          </w:tcPr>
          <w:p w14:paraId="406A178A" w14:textId="1212B4A7"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Întreprinderea măsurilor necesare pentru creșterea numărului de clădiri ce ar putea fi conectate la sistemele de alimentare centralizată cu energie termică</w:t>
            </w:r>
          </w:p>
        </w:tc>
        <w:tc>
          <w:tcPr>
            <w:tcW w:w="847" w:type="pct"/>
            <w:shd w:val="clear" w:color="auto" w:fill="auto"/>
            <w:vAlign w:val="center"/>
          </w:tcPr>
          <w:p w14:paraId="4115D496" w14:textId="59E0DD86"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2023-2024</w:t>
            </w:r>
          </w:p>
        </w:tc>
        <w:tc>
          <w:tcPr>
            <w:tcW w:w="1184" w:type="pct"/>
            <w:shd w:val="clear" w:color="auto" w:fill="auto"/>
            <w:vAlign w:val="center"/>
          </w:tcPr>
          <w:p w14:paraId="229F30C7"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Ministerul Energiei</w:t>
            </w:r>
          </w:p>
          <w:p w14:paraId="501F06A0"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 xml:space="preserve">SA „Termoelectrica” </w:t>
            </w:r>
          </w:p>
          <w:p w14:paraId="7D8954F5" w14:textId="514E1B24"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SA „CET-Nord”</w:t>
            </w:r>
          </w:p>
        </w:tc>
      </w:tr>
      <w:tr w:rsidR="001E6F0D" w:rsidRPr="001E6F0D" w14:paraId="7E94588B" w14:textId="77777777" w:rsidTr="00287FB6">
        <w:trPr>
          <w:trHeight w:val="155"/>
        </w:trPr>
        <w:tc>
          <w:tcPr>
            <w:tcW w:w="338" w:type="pct"/>
            <w:vAlign w:val="center"/>
          </w:tcPr>
          <w:p w14:paraId="72AF2808" w14:textId="314F87B7"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color w:val="000000"/>
                <w:lang w:val="ro-RO"/>
              </w:rPr>
              <w:t>28</w:t>
            </w:r>
          </w:p>
        </w:tc>
        <w:tc>
          <w:tcPr>
            <w:tcW w:w="2631" w:type="pct"/>
            <w:shd w:val="clear" w:color="auto" w:fill="auto"/>
            <w:vAlign w:val="center"/>
          </w:tcPr>
          <w:p w14:paraId="449FB9AF" w14:textId="2EC24800"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Reconectarea clădirilor la sistemele de alimentare centralizată cu energie termică, unde este posibil din punct de vedere tehnic</w:t>
            </w:r>
          </w:p>
        </w:tc>
        <w:tc>
          <w:tcPr>
            <w:tcW w:w="847" w:type="pct"/>
            <w:shd w:val="clear" w:color="auto" w:fill="auto"/>
            <w:vAlign w:val="center"/>
          </w:tcPr>
          <w:p w14:paraId="3EA3554D" w14:textId="7A1E1A21"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01.10.2023</w:t>
            </w:r>
          </w:p>
        </w:tc>
        <w:tc>
          <w:tcPr>
            <w:tcW w:w="1184" w:type="pct"/>
            <w:shd w:val="clear" w:color="auto" w:fill="auto"/>
            <w:vAlign w:val="center"/>
          </w:tcPr>
          <w:p w14:paraId="6FDD5115"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 xml:space="preserve">SA „Termoelectrica” </w:t>
            </w:r>
          </w:p>
          <w:p w14:paraId="40E3CF4B" w14:textId="187C7E74"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SA „CET-Nord”</w:t>
            </w:r>
          </w:p>
        </w:tc>
      </w:tr>
      <w:tr w:rsidR="001E6F0D" w:rsidRPr="001E6F0D" w14:paraId="6F2EAC59" w14:textId="77777777" w:rsidTr="00287FB6">
        <w:trPr>
          <w:trHeight w:val="155"/>
        </w:trPr>
        <w:tc>
          <w:tcPr>
            <w:tcW w:w="338" w:type="pct"/>
            <w:vAlign w:val="center"/>
          </w:tcPr>
          <w:p w14:paraId="1C15C6B5" w14:textId="53164D7F" w:rsidR="001E6F0D" w:rsidRPr="001E6F0D" w:rsidRDefault="001E6F0D" w:rsidP="001E6F0D">
            <w:pPr>
              <w:tabs>
                <w:tab w:val="left" w:pos="993"/>
              </w:tabs>
              <w:jc w:val="center"/>
              <w:rPr>
                <w:rFonts w:ascii="Times New Roman" w:hAnsi="Times New Roman" w:cs="Times New Roman"/>
                <w:lang w:val="ro-RO"/>
              </w:rPr>
            </w:pPr>
            <w:r w:rsidRPr="001E6F0D">
              <w:rPr>
                <w:rFonts w:ascii="Times New Roman" w:hAnsi="Times New Roman" w:cs="Times New Roman"/>
                <w:color w:val="000000"/>
                <w:lang w:val="ro-RO"/>
              </w:rPr>
              <w:t>29</w:t>
            </w:r>
          </w:p>
        </w:tc>
        <w:tc>
          <w:tcPr>
            <w:tcW w:w="2631" w:type="pct"/>
            <w:shd w:val="clear" w:color="auto" w:fill="auto"/>
            <w:vAlign w:val="center"/>
          </w:tcPr>
          <w:p w14:paraId="0A74CB20" w14:textId="77777777" w:rsidR="001E6F0D" w:rsidRPr="001E6F0D" w:rsidRDefault="001E6F0D" w:rsidP="001E6F0D">
            <w:pPr>
              <w:tabs>
                <w:tab w:val="left" w:pos="993"/>
              </w:tabs>
              <w:jc w:val="both"/>
              <w:rPr>
                <w:rFonts w:ascii="Times New Roman" w:hAnsi="Times New Roman" w:cs="Times New Roman"/>
                <w:lang w:val="ro-RO"/>
              </w:rPr>
            </w:pPr>
            <w:r w:rsidRPr="001E6F0D">
              <w:rPr>
                <w:rFonts w:ascii="Times New Roman" w:hAnsi="Times New Roman" w:cs="Times New Roman"/>
                <w:lang w:val="ro-RO"/>
              </w:rPr>
              <w:t>Crearea și menținerea de către CET-uri a stocurilor de combustibil alternativ necesare pentru producerea energiei electrice și termice</w:t>
            </w:r>
          </w:p>
        </w:tc>
        <w:tc>
          <w:tcPr>
            <w:tcW w:w="847" w:type="pct"/>
            <w:shd w:val="clear" w:color="auto" w:fill="auto"/>
            <w:vAlign w:val="center"/>
          </w:tcPr>
          <w:p w14:paraId="3DA13509" w14:textId="0023E737"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01.10.2023</w:t>
            </w:r>
          </w:p>
        </w:tc>
        <w:tc>
          <w:tcPr>
            <w:tcW w:w="1184" w:type="pct"/>
            <w:shd w:val="clear" w:color="auto" w:fill="auto"/>
            <w:vAlign w:val="center"/>
          </w:tcPr>
          <w:p w14:paraId="7C657484" w14:textId="1A4EC128"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ICS „Moldova-Zahar” SRL</w:t>
            </w:r>
          </w:p>
          <w:p w14:paraId="5B33D992"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IM “Südzucker Moldova” SA</w:t>
            </w:r>
          </w:p>
        </w:tc>
      </w:tr>
      <w:tr w:rsidR="001E6F0D" w:rsidRPr="001E6F0D" w14:paraId="55BB9EEB" w14:textId="77777777" w:rsidTr="00287FB6">
        <w:trPr>
          <w:trHeight w:val="155"/>
        </w:trPr>
        <w:tc>
          <w:tcPr>
            <w:tcW w:w="338" w:type="pct"/>
            <w:vAlign w:val="center"/>
          </w:tcPr>
          <w:p w14:paraId="6C96CB44" w14:textId="19A7EF0F" w:rsidR="001E6F0D" w:rsidRPr="001E6F0D" w:rsidRDefault="001E6F0D" w:rsidP="001E6F0D">
            <w:pPr>
              <w:tabs>
                <w:tab w:val="left" w:pos="993"/>
              </w:tabs>
              <w:jc w:val="center"/>
              <w:rPr>
                <w:rFonts w:ascii="Times New Roman" w:hAnsi="Times New Roman" w:cs="Times New Roman"/>
                <w:lang w:val="ro-RO"/>
              </w:rPr>
            </w:pPr>
            <w:r w:rsidRPr="001E6F0D">
              <w:rPr>
                <w:rFonts w:ascii="Times New Roman" w:hAnsi="Times New Roman" w:cs="Times New Roman"/>
                <w:color w:val="000000"/>
                <w:lang w:val="ro-RO"/>
              </w:rPr>
              <w:t>30</w:t>
            </w:r>
          </w:p>
        </w:tc>
        <w:tc>
          <w:tcPr>
            <w:tcW w:w="2631" w:type="pct"/>
            <w:shd w:val="clear" w:color="auto" w:fill="auto"/>
            <w:vAlign w:val="center"/>
          </w:tcPr>
          <w:p w14:paraId="7000D022" w14:textId="1CA3AB25" w:rsidR="001E6F0D" w:rsidRPr="001E6F0D" w:rsidRDefault="001E6F0D" w:rsidP="001E6F0D">
            <w:pPr>
              <w:tabs>
                <w:tab w:val="left" w:pos="993"/>
              </w:tabs>
              <w:jc w:val="both"/>
              <w:rPr>
                <w:rFonts w:ascii="Times New Roman" w:hAnsi="Times New Roman" w:cs="Times New Roman"/>
                <w:lang w:val="ro-RO"/>
              </w:rPr>
            </w:pPr>
            <w:r w:rsidRPr="001E6F0D">
              <w:rPr>
                <w:rFonts w:ascii="Times New Roman" w:hAnsi="Times New Roman" w:cs="Times New Roman"/>
                <w:lang w:val="ro-RO"/>
              </w:rPr>
              <w:t xml:space="preserve">Crearea și menținerea stocurilor de combustibil alternativ pentru producerea energie termice la centralele </w:t>
            </w:r>
            <w:r w:rsidRPr="001E6F0D">
              <w:rPr>
                <w:rFonts w:ascii="Times New Roman" w:hAnsi="Times New Roman" w:cs="Times New Roman"/>
                <w:color w:val="000000" w:themeColor="text1"/>
                <w:lang w:val="ro-RO"/>
              </w:rPr>
              <w:t>termice din mun. Chișinău, mun. Bălți și din alte localități, unde este posibil din punct de vedere tehnic</w:t>
            </w:r>
          </w:p>
        </w:tc>
        <w:tc>
          <w:tcPr>
            <w:tcW w:w="847" w:type="pct"/>
            <w:shd w:val="clear" w:color="auto" w:fill="auto"/>
            <w:vAlign w:val="center"/>
          </w:tcPr>
          <w:p w14:paraId="6A3D9FDC" w14:textId="10906656"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01.10.2023</w:t>
            </w:r>
          </w:p>
        </w:tc>
        <w:tc>
          <w:tcPr>
            <w:tcW w:w="1184" w:type="pct"/>
            <w:shd w:val="clear" w:color="auto" w:fill="auto"/>
            <w:vAlign w:val="center"/>
          </w:tcPr>
          <w:p w14:paraId="592AB055" w14:textId="3050C66F"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SA „Termoelectrica”, SA „CET-Nord”</w:t>
            </w:r>
          </w:p>
        </w:tc>
      </w:tr>
      <w:tr w:rsidR="001E6F0D" w:rsidRPr="001E6F0D" w14:paraId="14FD3822" w14:textId="77777777" w:rsidTr="00287FB6">
        <w:trPr>
          <w:trHeight w:val="155"/>
        </w:trPr>
        <w:tc>
          <w:tcPr>
            <w:tcW w:w="338" w:type="pct"/>
            <w:vAlign w:val="center"/>
          </w:tcPr>
          <w:p w14:paraId="19CC88BF" w14:textId="5A8AD7D5" w:rsidR="001E6F0D" w:rsidRPr="001E6F0D" w:rsidRDefault="001E6F0D" w:rsidP="001E6F0D">
            <w:pPr>
              <w:tabs>
                <w:tab w:val="left" w:pos="993"/>
              </w:tabs>
              <w:jc w:val="center"/>
              <w:rPr>
                <w:rFonts w:ascii="Times New Roman" w:hAnsi="Times New Roman" w:cs="Times New Roman"/>
                <w:lang w:val="ro-RO"/>
              </w:rPr>
            </w:pPr>
            <w:r w:rsidRPr="001E6F0D">
              <w:rPr>
                <w:rFonts w:ascii="Times New Roman" w:hAnsi="Times New Roman" w:cs="Times New Roman"/>
                <w:color w:val="000000"/>
              </w:rPr>
              <w:t>3</w:t>
            </w:r>
            <w:r w:rsidRPr="001E6F0D">
              <w:rPr>
                <w:rFonts w:ascii="Times New Roman" w:hAnsi="Times New Roman" w:cs="Times New Roman"/>
                <w:color w:val="000000"/>
                <w:lang w:val="ro-RO"/>
              </w:rPr>
              <w:t>1</w:t>
            </w:r>
          </w:p>
        </w:tc>
        <w:tc>
          <w:tcPr>
            <w:tcW w:w="2631" w:type="pct"/>
            <w:shd w:val="clear" w:color="auto" w:fill="auto"/>
            <w:vAlign w:val="center"/>
          </w:tcPr>
          <w:p w14:paraId="56A6C607" w14:textId="746BB845" w:rsidR="001E6F0D" w:rsidRPr="001E6F0D" w:rsidRDefault="001E6F0D" w:rsidP="001E6F0D">
            <w:pPr>
              <w:tabs>
                <w:tab w:val="left" w:pos="993"/>
              </w:tabs>
              <w:jc w:val="both"/>
              <w:rPr>
                <w:rFonts w:ascii="Times New Roman" w:hAnsi="Times New Roman" w:cs="Times New Roman"/>
                <w:lang w:val="ro-RO"/>
              </w:rPr>
            </w:pPr>
            <w:r w:rsidRPr="001E6F0D">
              <w:rPr>
                <w:rFonts w:ascii="Times New Roman" w:hAnsi="Times New Roman" w:cs="Times New Roman"/>
                <w:lang w:val="ro-RO"/>
              </w:rPr>
              <w:t xml:space="preserve">Crearea și menținerea de către consumatorii întreruptibili a stocurilor de combustibil alternativ necesare pentru asigurarea activității, </w:t>
            </w:r>
            <w:r w:rsidRPr="001E6F0D">
              <w:rPr>
                <w:rFonts w:ascii="Times New Roman" w:hAnsi="Times New Roman" w:cs="Times New Roman"/>
                <w:color w:val="000000" w:themeColor="text1"/>
                <w:lang w:val="ro-RO"/>
              </w:rPr>
              <w:t>unde este posibil din punct de vedere tehnic</w:t>
            </w:r>
          </w:p>
        </w:tc>
        <w:tc>
          <w:tcPr>
            <w:tcW w:w="847" w:type="pct"/>
            <w:shd w:val="clear" w:color="auto" w:fill="auto"/>
            <w:vAlign w:val="center"/>
          </w:tcPr>
          <w:p w14:paraId="5707CEB0" w14:textId="4E6B6AD6"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01.10.2023</w:t>
            </w:r>
          </w:p>
        </w:tc>
        <w:tc>
          <w:tcPr>
            <w:tcW w:w="1184" w:type="pct"/>
            <w:shd w:val="clear" w:color="auto" w:fill="auto"/>
            <w:vAlign w:val="center"/>
          </w:tcPr>
          <w:p w14:paraId="61910F1A" w14:textId="40F2793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Consumatorii întreruptibili</w:t>
            </w:r>
          </w:p>
        </w:tc>
      </w:tr>
      <w:tr w:rsidR="001E6F0D" w:rsidRPr="001E6F0D" w14:paraId="0277815E" w14:textId="77777777" w:rsidTr="00287FB6">
        <w:trPr>
          <w:trHeight w:val="162"/>
        </w:trPr>
        <w:tc>
          <w:tcPr>
            <w:tcW w:w="338" w:type="pct"/>
            <w:vAlign w:val="center"/>
          </w:tcPr>
          <w:p w14:paraId="515F221A" w14:textId="1B86E7DD"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color w:val="000000"/>
                <w:lang w:val="ro-RO"/>
              </w:rPr>
              <w:t>32</w:t>
            </w:r>
          </w:p>
        </w:tc>
        <w:tc>
          <w:tcPr>
            <w:tcW w:w="2631" w:type="pct"/>
            <w:shd w:val="clear" w:color="auto" w:fill="auto"/>
            <w:vAlign w:val="center"/>
          </w:tcPr>
          <w:p w14:paraId="49AC30A9" w14:textId="6A378C6B"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Întreprinderea acțiunilor necesare pentru asigurarea activării la orice moment a alimentării consumatorilor prin intermediul altor scheme de aprovizionare cu energie electrică, decât cele tradiționale</w:t>
            </w:r>
          </w:p>
        </w:tc>
        <w:tc>
          <w:tcPr>
            <w:tcW w:w="847" w:type="pct"/>
            <w:shd w:val="clear" w:color="auto" w:fill="auto"/>
            <w:vAlign w:val="center"/>
          </w:tcPr>
          <w:p w14:paraId="6DD3AED7" w14:textId="67853B23"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01.10.2023</w:t>
            </w:r>
          </w:p>
        </w:tc>
        <w:tc>
          <w:tcPr>
            <w:tcW w:w="1184" w:type="pct"/>
            <w:shd w:val="clear" w:color="auto" w:fill="auto"/>
            <w:vAlign w:val="center"/>
          </w:tcPr>
          <w:p w14:paraId="6CE75A13"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ÎS „Moldelectrica”</w:t>
            </w:r>
          </w:p>
        </w:tc>
      </w:tr>
      <w:tr w:rsidR="001E6F0D" w:rsidRPr="001E6F0D" w14:paraId="3D4EF6E2" w14:textId="77777777" w:rsidTr="00287FB6">
        <w:trPr>
          <w:trHeight w:val="162"/>
        </w:trPr>
        <w:tc>
          <w:tcPr>
            <w:tcW w:w="338" w:type="pct"/>
            <w:vAlign w:val="center"/>
          </w:tcPr>
          <w:p w14:paraId="6FA45422" w14:textId="2179C8D4" w:rsidR="001E6F0D" w:rsidRPr="001E6F0D" w:rsidRDefault="001E6F0D" w:rsidP="001E6F0D">
            <w:pPr>
              <w:jc w:val="center"/>
              <w:rPr>
                <w:rFonts w:ascii="Times New Roman" w:hAnsi="Times New Roman" w:cs="Times New Roman"/>
                <w:color w:val="000000"/>
                <w:lang w:val="ro-RO"/>
              </w:rPr>
            </w:pPr>
            <w:r w:rsidRPr="001E6F0D">
              <w:rPr>
                <w:rFonts w:ascii="Times New Roman" w:hAnsi="Times New Roman" w:cs="Times New Roman"/>
                <w:color w:val="000000"/>
              </w:rPr>
              <w:t>3</w:t>
            </w:r>
            <w:r w:rsidRPr="001E6F0D">
              <w:rPr>
                <w:rFonts w:ascii="Times New Roman" w:hAnsi="Times New Roman" w:cs="Times New Roman"/>
                <w:color w:val="000000"/>
                <w:lang w:val="ro-RO"/>
              </w:rPr>
              <w:t>3</w:t>
            </w:r>
          </w:p>
        </w:tc>
        <w:tc>
          <w:tcPr>
            <w:tcW w:w="2631" w:type="pct"/>
            <w:shd w:val="clear" w:color="auto" w:fill="auto"/>
            <w:vAlign w:val="center"/>
          </w:tcPr>
          <w:p w14:paraId="0E3C979D" w14:textId="7012E658"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În scopul reducerii vulnerabilităților tehnice în domeniul asigurării cu energie electrică, elaborarea și implementarea acțiunile organizatorice și tehnice necesare pentru alimentarea Republicii Moldova din Sistemul Electroenergetic Național al României prin asigurarea funcționării, la necesitate, a LEA-110 kV Huși — Cioara, LEA-110 kV Stânca — Costești, LEA-110 kV Țuțora —Ungheni și LEA-110 kV Fălciu — Gotești</w:t>
            </w:r>
          </w:p>
        </w:tc>
        <w:tc>
          <w:tcPr>
            <w:tcW w:w="847" w:type="pct"/>
            <w:shd w:val="clear" w:color="auto" w:fill="auto"/>
            <w:vAlign w:val="center"/>
          </w:tcPr>
          <w:p w14:paraId="45910DDE" w14:textId="27D60340"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01.10.2023</w:t>
            </w:r>
          </w:p>
        </w:tc>
        <w:tc>
          <w:tcPr>
            <w:tcW w:w="1184" w:type="pct"/>
            <w:shd w:val="clear" w:color="auto" w:fill="auto"/>
            <w:vAlign w:val="center"/>
          </w:tcPr>
          <w:p w14:paraId="68CDE173" w14:textId="54614C90"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ÎS „Moldelectrica”</w:t>
            </w:r>
          </w:p>
        </w:tc>
      </w:tr>
      <w:tr w:rsidR="001E6F0D" w:rsidRPr="001E6F0D" w14:paraId="10738BF2" w14:textId="77777777" w:rsidTr="00287FB6">
        <w:trPr>
          <w:trHeight w:val="162"/>
        </w:trPr>
        <w:tc>
          <w:tcPr>
            <w:tcW w:w="338" w:type="pct"/>
            <w:vAlign w:val="center"/>
          </w:tcPr>
          <w:p w14:paraId="3DAAAD5E" w14:textId="581A21B0"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34</w:t>
            </w:r>
          </w:p>
        </w:tc>
        <w:tc>
          <w:tcPr>
            <w:tcW w:w="2631" w:type="pct"/>
            <w:shd w:val="clear" w:color="auto" w:fill="auto"/>
            <w:vAlign w:val="center"/>
          </w:tcPr>
          <w:p w14:paraId="57C9CE29" w14:textId="372FAD40"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 xml:space="preserve">Actualizarea listei și a Normativului de deconectări manuale ale unor categorii de consumatori de energie electrică, precum și a listei </w:t>
            </w:r>
            <w:r>
              <w:rPr>
                <w:rFonts w:ascii="Times New Roman" w:hAnsi="Times New Roman" w:cs="Times New Roman"/>
                <w:lang w:val="ro-RO"/>
              </w:rPr>
              <w:t>și a</w:t>
            </w:r>
            <w:r w:rsidRPr="001E6F0D">
              <w:rPr>
                <w:rFonts w:ascii="Times New Roman" w:hAnsi="Times New Roman" w:cs="Times New Roman"/>
                <w:lang w:val="ro-RO"/>
              </w:rPr>
              <w:t xml:space="preserve"> Normativul</w:t>
            </w:r>
            <w:r>
              <w:rPr>
                <w:rFonts w:ascii="Times New Roman" w:hAnsi="Times New Roman" w:cs="Times New Roman"/>
                <w:lang w:val="ro-RO"/>
              </w:rPr>
              <w:t>ui</w:t>
            </w:r>
            <w:r w:rsidRPr="001E6F0D">
              <w:rPr>
                <w:rFonts w:ascii="Times New Roman" w:hAnsi="Times New Roman" w:cs="Times New Roman"/>
                <w:lang w:val="ro-RO"/>
              </w:rPr>
              <w:t xml:space="preserve"> de limitare a consumului de energie electrică pe tranșe în situații deosebite în sistemul electroenergetic</w:t>
            </w:r>
          </w:p>
        </w:tc>
        <w:tc>
          <w:tcPr>
            <w:tcW w:w="847" w:type="pct"/>
            <w:shd w:val="clear" w:color="auto" w:fill="auto"/>
            <w:vAlign w:val="center"/>
          </w:tcPr>
          <w:p w14:paraId="73F6D1A9" w14:textId="11F67110"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30.09.2023</w:t>
            </w:r>
          </w:p>
        </w:tc>
        <w:tc>
          <w:tcPr>
            <w:tcW w:w="1184" w:type="pct"/>
            <w:shd w:val="clear" w:color="auto" w:fill="auto"/>
            <w:vAlign w:val="center"/>
          </w:tcPr>
          <w:p w14:paraId="5ED62745"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ÎS „Moldelectrica”</w:t>
            </w:r>
          </w:p>
          <w:p w14:paraId="58AD6B0A" w14:textId="06607311"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SA „RED-Nord”</w:t>
            </w:r>
          </w:p>
          <w:p w14:paraId="0FF04AD5" w14:textId="626437AC"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ÎCS „Premier Energy Distribution” SA</w:t>
            </w:r>
          </w:p>
        </w:tc>
      </w:tr>
      <w:tr w:rsidR="001E6F0D" w:rsidRPr="001E6F0D" w14:paraId="75E3C1E7" w14:textId="77777777" w:rsidTr="00287FB6">
        <w:trPr>
          <w:trHeight w:val="155"/>
        </w:trPr>
        <w:tc>
          <w:tcPr>
            <w:tcW w:w="338" w:type="pct"/>
            <w:vAlign w:val="center"/>
          </w:tcPr>
          <w:p w14:paraId="3BCC9017" w14:textId="7D8B515F"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35</w:t>
            </w:r>
          </w:p>
        </w:tc>
        <w:tc>
          <w:tcPr>
            <w:tcW w:w="2631" w:type="pct"/>
            <w:shd w:val="clear" w:color="auto" w:fill="auto"/>
            <w:vAlign w:val="center"/>
          </w:tcPr>
          <w:p w14:paraId="31C09FA4" w14:textId="6C5D4CBB"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 xml:space="preserve">Verificarea activităților întreprinse de instituții/autorități în scopul pregătirii obiectelor și sistemelor de alimentare cu energie termică și energie electrică ale întreprinderilor gospodăriei comunale, fondului locativ, instituțiilor bugetare, </w:t>
            </w:r>
            <w:r w:rsidRPr="001E6F0D">
              <w:rPr>
                <w:rFonts w:ascii="Times New Roman" w:hAnsi="Times New Roman" w:cs="Times New Roman"/>
                <w:color w:val="000000" w:themeColor="text1"/>
                <w:lang w:val="ro-RO"/>
              </w:rPr>
              <w:t>precum şi ale operatorilor de sistem și unităților termoenergetice</w:t>
            </w:r>
          </w:p>
        </w:tc>
        <w:tc>
          <w:tcPr>
            <w:tcW w:w="847" w:type="pct"/>
            <w:shd w:val="clear" w:color="auto" w:fill="auto"/>
            <w:vAlign w:val="center"/>
          </w:tcPr>
          <w:p w14:paraId="45B935E3" w14:textId="4EC3AA8F"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15.10.2023</w:t>
            </w:r>
          </w:p>
        </w:tc>
        <w:tc>
          <w:tcPr>
            <w:tcW w:w="1184" w:type="pct"/>
            <w:shd w:val="clear" w:color="auto" w:fill="auto"/>
            <w:vAlign w:val="center"/>
          </w:tcPr>
          <w:p w14:paraId="47D55C7A" w14:textId="5F499F17" w:rsidR="001E6F0D" w:rsidRDefault="001E6F0D" w:rsidP="001E6F0D">
            <w:pPr>
              <w:rPr>
                <w:rFonts w:ascii="Times New Roman" w:hAnsi="Times New Roman" w:cs="Times New Roman"/>
                <w:lang w:val="ro-RO"/>
              </w:rPr>
            </w:pPr>
            <w:r w:rsidRPr="001E6F0D">
              <w:rPr>
                <w:rFonts w:ascii="Times New Roman" w:hAnsi="Times New Roman" w:cs="Times New Roman"/>
                <w:lang w:val="ro-RO"/>
              </w:rPr>
              <w:t>ANRE</w:t>
            </w:r>
          </w:p>
          <w:p w14:paraId="6D55211A" w14:textId="7FA714C9"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Agenția Supraveghere Tehnică</w:t>
            </w:r>
          </w:p>
        </w:tc>
      </w:tr>
      <w:tr w:rsidR="001E6F0D" w:rsidRPr="001E6F0D" w14:paraId="08987997" w14:textId="77777777" w:rsidTr="00287FB6">
        <w:trPr>
          <w:trHeight w:val="155"/>
        </w:trPr>
        <w:tc>
          <w:tcPr>
            <w:tcW w:w="338" w:type="pct"/>
            <w:vAlign w:val="center"/>
          </w:tcPr>
          <w:p w14:paraId="3D92A4A4" w14:textId="64BDB40D"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36</w:t>
            </w:r>
          </w:p>
        </w:tc>
        <w:tc>
          <w:tcPr>
            <w:tcW w:w="2631" w:type="pct"/>
            <w:shd w:val="clear" w:color="auto" w:fill="auto"/>
            <w:vAlign w:val="center"/>
          </w:tcPr>
          <w:p w14:paraId="3DC30CCF" w14:textId="77777777"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Colectarea informației privind volumul de combustibil solid/biomasă disponibil și cel necesar centralelor termice instalate la instituțiile publice ce funcționează pe acest tip de combustibil, și oferirea suportului instituțiilor în procesul de aprovizionare cu combustibil</w:t>
            </w:r>
          </w:p>
        </w:tc>
        <w:tc>
          <w:tcPr>
            <w:tcW w:w="847" w:type="pct"/>
            <w:shd w:val="clear" w:color="auto" w:fill="auto"/>
            <w:vAlign w:val="center"/>
          </w:tcPr>
          <w:p w14:paraId="7ECF23E2" w14:textId="46EE3BD9"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01.10.2023</w:t>
            </w:r>
          </w:p>
        </w:tc>
        <w:tc>
          <w:tcPr>
            <w:tcW w:w="1184" w:type="pct"/>
            <w:shd w:val="clear" w:color="auto" w:fill="auto"/>
            <w:vAlign w:val="center"/>
          </w:tcPr>
          <w:p w14:paraId="6BA08844" w14:textId="4994A3FC" w:rsidR="001E6F0D" w:rsidRPr="001E6F0D" w:rsidRDefault="001E6F0D" w:rsidP="001E6F0D">
            <w:pPr>
              <w:rPr>
                <w:rFonts w:ascii="Times New Roman" w:hAnsi="Times New Roman" w:cs="Times New Roman"/>
                <w:lang w:val="ro-RO"/>
              </w:rPr>
            </w:pPr>
            <w:r>
              <w:rPr>
                <w:rFonts w:ascii="Times New Roman" w:hAnsi="Times New Roman" w:cs="Times New Roman"/>
                <w:lang w:val="ro-RO"/>
              </w:rPr>
              <w:t>AEE</w:t>
            </w:r>
          </w:p>
        </w:tc>
      </w:tr>
      <w:tr w:rsidR="001E6F0D" w:rsidRPr="001E6F0D" w14:paraId="08437C44" w14:textId="77777777" w:rsidTr="00287FB6">
        <w:trPr>
          <w:trHeight w:val="155"/>
        </w:trPr>
        <w:tc>
          <w:tcPr>
            <w:tcW w:w="338" w:type="pct"/>
            <w:vAlign w:val="center"/>
          </w:tcPr>
          <w:p w14:paraId="5C7D4416" w14:textId="5CB15161"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37</w:t>
            </w:r>
          </w:p>
        </w:tc>
        <w:tc>
          <w:tcPr>
            <w:tcW w:w="2631" w:type="pct"/>
            <w:shd w:val="clear" w:color="auto" w:fill="auto"/>
            <w:vAlign w:val="center"/>
          </w:tcPr>
          <w:p w14:paraId="4CA9DC9A" w14:textId="6F501C9D"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Monitorizarea și publicarea pe pagina oficială web a consumului de resurse energetice în sectorul public pentru sezonul de încălzire și înaintarea, după caz, a propunerilor de îmbunătățire a programelor de eficiență energetică și valorificare a surselor de energie regenerabile în cadrul acestor instituții publice</w:t>
            </w:r>
          </w:p>
        </w:tc>
        <w:tc>
          <w:tcPr>
            <w:tcW w:w="847" w:type="pct"/>
            <w:shd w:val="clear" w:color="auto" w:fill="auto"/>
            <w:vAlign w:val="center"/>
          </w:tcPr>
          <w:p w14:paraId="2B80ED44" w14:textId="41561560"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2023-2024</w:t>
            </w:r>
          </w:p>
        </w:tc>
        <w:tc>
          <w:tcPr>
            <w:tcW w:w="1184" w:type="pct"/>
            <w:shd w:val="clear" w:color="auto" w:fill="auto"/>
            <w:vAlign w:val="center"/>
          </w:tcPr>
          <w:p w14:paraId="0C1B2412" w14:textId="53299E80" w:rsidR="001E6F0D" w:rsidRPr="001E6F0D" w:rsidRDefault="001E6F0D" w:rsidP="001E6F0D">
            <w:pPr>
              <w:rPr>
                <w:rFonts w:ascii="Times New Roman" w:hAnsi="Times New Roman" w:cs="Times New Roman"/>
                <w:lang w:val="ro-RO"/>
              </w:rPr>
            </w:pPr>
            <w:r>
              <w:rPr>
                <w:rFonts w:ascii="Times New Roman" w:hAnsi="Times New Roman" w:cs="Times New Roman"/>
                <w:lang w:val="ro-RO"/>
              </w:rPr>
              <w:t>AEE</w:t>
            </w:r>
          </w:p>
        </w:tc>
      </w:tr>
      <w:tr w:rsidR="001E6F0D" w:rsidRPr="001E6F0D" w14:paraId="4E0FB745" w14:textId="77777777" w:rsidTr="00287FB6">
        <w:trPr>
          <w:trHeight w:val="1184"/>
        </w:trPr>
        <w:tc>
          <w:tcPr>
            <w:tcW w:w="338" w:type="pct"/>
            <w:vAlign w:val="center"/>
          </w:tcPr>
          <w:p w14:paraId="2002F93F" w14:textId="198BDD58"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38</w:t>
            </w:r>
          </w:p>
        </w:tc>
        <w:tc>
          <w:tcPr>
            <w:tcW w:w="2631" w:type="pct"/>
            <w:shd w:val="clear" w:color="auto" w:fill="auto"/>
            <w:vAlign w:val="center"/>
          </w:tcPr>
          <w:p w14:paraId="2D20B6BC" w14:textId="7A38A43A"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 xml:space="preserve">Continuarea organizării seminarelor tematice, ședințelor de lucru cu Managerii energetici raionali, operatorii de centrale termice, administratorii instituțiilor publice, producătorii de biomasă etc. privind necesitatea utilizării centralelor termice pe biomasă precum și necesitatea </w:t>
            </w:r>
            <w:r w:rsidRPr="001E6F0D">
              <w:rPr>
                <w:rFonts w:ascii="Times New Roman" w:hAnsi="Times New Roman" w:cs="Times New Roman"/>
                <w:lang w:val="ro-RO"/>
              </w:rPr>
              <w:lastRenderedPageBreak/>
              <w:t>reducerii consumurilor de energie în cadrul instituțiilor publice</w:t>
            </w:r>
          </w:p>
        </w:tc>
        <w:tc>
          <w:tcPr>
            <w:tcW w:w="847" w:type="pct"/>
            <w:shd w:val="clear" w:color="auto" w:fill="auto"/>
            <w:vAlign w:val="center"/>
          </w:tcPr>
          <w:p w14:paraId="5B0F23C3" w14:textId="68D8E899"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lastRenderedPageBreak/>
              <w:t>2023-2024</w:t>
            </w:r>
          </w:p>
        </w:tc>
        <w:tc>
          <w:tcPr>
            <w:tcW w:w="1184" w:type="pct"/>
            <w:shd w:val="clear" w:color="auto" w:fill="auto"/>
            <w:vAlign w:val="center"/>
          </w:tcPr>
          <w:p w14:paraId="6EDBC508" w14:textId="2F7C1162" w:rsidR="001E6F0D" w:rsidRPr="001E6F0D" w:rsidRDefault="001E6F0D" w:rsidP="001E6F0D">
            <w:pPr>
              <w:rPr>
                <w:rFonts w:ascii="Times New Roman" w:hAnsi="Times New Roman" w:cs="Times New Roman"/>
                <w:lang w:val="ro-RO"/>
              </w:rPr>
            </w:pPr>
            <w:r>
              <w:rPr>
                <w:rFonts w:ascii="Times New Roman" w:hAnsi="Times New Roman" w:cs="Times New Roman"/>
                <w:lang w:val="ro-RO"/>
              </w:rPr>
              <w:t>AEE</w:t>
            </w:r>
          </w:p>
          <w:p w14:paraId="0022B1E8" w14:textId="18967678"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APL</w:t>
            </w:r>
          </w:p>
        </w:tc>
      </w:tr>
      <w:tr w:rsidR="001E6F0D" w:rsidRPr="001E6F0D" w14:paraId="5A0F4A3C" w14:textId="77777777" w:rsidTr="00287FB6">
        <w:trPr>
          <w:trHeight w:val="155"/>
        </w:trPr>
        <w:tc>
          <w:tcPr>
            <w:tcW w:w="338" w:type="pct"/>
            <w:vAlign w:val="center"/>
          </w:tcPr>
          <w:p w14:paraId="4BF6AF6E" w14:textId="25B72A0C"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39</w:t>
            </w:r>
          </w:p>
        </w:tc>
        <w:tc>
          <w:tcPr>
            <w:tcW w:w="2631" w:type="pct"/>
            <w:shd w:val="clear" w:color="auto" w:fill="auto"/>
            <w:vAlign w:val="center"/>
          </w:tcPr>
          <w:p w14:paraId="28B63A71" w14:textId="77777777" w:rsid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Elaborarea și lansarea campaniilor de informare privind importanța utilizării altor resurse energetice alternative de producere a energiei termice (biomasă, cărbune, energie electrică), unde este posibil din punct de vedere tehnic, în sensul reducerii consumului de gaze naturale</w:t>
            </w:r>
            <w:r>
              <w:rPr>
                <w:rFonts w:ascii="Times New Roman" w:hAnsi="Times New Roman" w:cs="Times New Roman"/>
                <w:lang w:val="ro-RO"/>
              </w:rPr>
              <w:t>.</w:t>
            </w:r>
          </w:p>
          <w:p w14:paraId="51B4DD43" w14:textId="043F57FE"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Elaborarea și lansarea campaniilor de informare privind măsurile necesare a fi întreprinse de cetățeni în scopul reducerii consumului de resurse energetice: izolarea termică a clădirilor, utilizarea termostatelor de ambianță, reducerea temperaturii interioare, etc..</w:t>
            </w:r>
          </w:p>
        </w:tc>
        <w:tc>
          <w:tcPr>
            <w:tcW w:w="847" w:type="pct"/>
            <w:shd w:val="clear" w:color="auto" w:fill="auto"/>
            <w:vAlign w:val="center"/>
          </w:tcPr>
          <w:p w14:paraId="22992610" w14:textId="555EC6D8"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15.09.2023</w:t>
            </w:r>
          </w:p>
        </w:tc>
        <w:tc>
          <w:tcPr>
            <w:tcW w:w="1184" w:type="pct"/>
            <w:shd w:val="clear" w:color="auto" w:fill="auto"/>
            <w:vAlign w:val="center"/>
          </w:tcPr>
          <w:p w14:paraId="45A4B061" w14:textId="7A88D183" w:rsidR="001E6F0D" w:rsidRPr="001E6F0D" w:rsidRDefault="001E6F0D" w:rsidP="001E6F0D">
            <w:pPr>
              <w:rPr>
                <w:rFonts w:ascii="Times New Roman" w:hAnsi="Times New Roman" w:cs="Times New Roman"/>
                <w:lang w:val="ro-RO"/>
              </w:rPr>
            </w:pPr>
            <w:r>
              <w:rPr>
                <w:rFonts w:ascii="Times New Roman" w:hAnsi="Times New Roman" w:cs="Times New Roman"/>
                <w:lang w:val="ro-RO"/>
              </w:rPr>
              <w:t>AEE</w:t>
            </w:r>
          </w:p>
        </w:tc>
      </w:tr>
      <w:tr w:rsidR="001E6F0D" w:rsidRPr="001E6F0D" w14:paraId="172BD0C3" w14:textId="77777777" w:rsidTr="00287FB6">
        <w:trPr>
          <w:trHeight w:val="155"/>
        </w:trPr>
        <w:tc>
          <w:tcPr>
            <w:tcW w:w="338" w:type="pct"/>
            <w:vAlign w:val="center"/>
          </w:tcPr>
          <w:p w14:paraId="1778918D" w14:textId="54526C4E" w:rsidR="001E6F0D" w:rsidRPr="001E6F0D" w:rsidRDefault="00E713EA" w:rsidP="001E6F0D">
            <w:pPr>
              <w:jc w:val="center"/>
              <w:rPr>
                <w:rFonts w:ascii="Times New Roman" w:hAnsi="Times New Roman" w:cs="Times New Roman"/>
                <w:lang w:val="ro-RO"/>
              </w:rPr>
            </w:pPr>
            <w:r>
              <w:rPr>
                <w:rFonts w:ascii="Times New Roman" w:hAnsi="Times New Roman" w:cs="Times New Roman"/>
                <w:lang w:val="ro-RO"/>
              </w:rPr>
              <w:t>40</w:t>
            </w:r>
          </w:p>
        </w:tc>
        <w:tc>
          <w:tcPr>
            <w:tcW w:w="2631" w:type="pct"/>
            <w:shd w:val="clear" w:color="auto" w:fill="auto"/>
            <w:vAlign w:val="center"/>
          </w:tcPr>
          <w:p w14:paraId="0774836D" w14:textId="61E03F1C" w:rsidR="001E6F0D" w:rsidRPr="001E6F0D" w:rsidRDefault="001E6F0D" w:rsidP="001E6F0D">
            <w:pPr>
              <w:jc w:val="both"/>
              <w:rPr>
                <w:rFonts w:ascii="Times New Roman" w:hAnsi="Times New Roman" w:cs="Times New Roman"/>
                <w:lang w:val="ro-RO"/>
              </w:rPr>
            </w:pPr>
            <w:r w:rsidRPr="001E6F0D">
              <w:rPr>
                <w:rFonts w:ascii="Times New Roman" w:hAnsi="Times New Roman" w:cs="Times New Roman"/>
                <w:lang w:val="ro-RO"/>
              </w:rPr>
              <w:t xml:space="preserve">Implementarea măsurilor de eficientizare a consumului de energie în clădiri publice conform recomandărilor autorității responsabile de implementarea politicilor în domeniul eficienței energetice (un Plan model de măsuri se prezintă în tabelul </w:t>
            </w:r>
            <w:r w:rsidR="004E7C33">
              <w:rPr>
                <w:rFonts w:ascii="Times New Roman" w:hAnsi="Times New Roman" w:cs="Times New Roman"/>
                <w:lang w:val="ro-RO"/>
              </w:rPr>
              <w:t>11</w:t>
            </w:r>
            <w:r w:rsidRPr="001E6F0D">
              <w:rPr>
                <w:rFonts w:ascii="Times New Roman" w:hAnsi="Times New Roman" w:cs="Times New Roman"/>
                <w:lang w:val="ro-RO"/>
              </w:rPr>
              <w:t>)</w:t>
            </w:r>
          </w:p>
        </w:tc>
        <w:tc>
          <w:tcPr>
            <w:tcW w:w="847" w:type="pct"/>
            <w:shd w:val="clear" w:color="auto" w:fill="auto"/>
            <w:vAlign w:val="center"/>
          </w:tcPr>
          <w:p w14:paraId="1BE29EBA" w14:textId="59C2FE7F" w:rsidR="001E6F0D" w:rsidRPr="001E6F0D" w:rsidRDefault="001E6F0D" w:rsidP="001E6F0D">
            <w:pPr>
              <w:jc w:val="center"/>
              <w:rPr>
                <w:rFonts w:ascii="Times New Roman" w:hAnsi="Times New Roman" w:cs="Times New Roman"/>
                <w:lang w:val="ro-RO"/>
              </w:rPr>
            </w:pPr>
            <w:r w:rsidRPr="001E6F0D">
              <w:rPr>
                <w:rFonts w:ascii="Times New Roman" w:hAnsi="Times New Roman" w:cs="Times New Roman"/>
                <w:lang w:val="ro-RO"/>
              </w:rPr>
              <w:t>2023-2024</w:t>
            </w:r>
          </w:p>
        </w:tc>
        <w:tc>
          <w:tcPr>
            <w:tcW w:w="1184" w:type="pct"/>
            <w:shd w:val="clear" w:color="auto" w:fill="auto"/>
            <w:vAlign w:val="center"/>
          </w:tcPr>
          <w:p w14:paraId="2401FEBA" w14:textId="495F642C" w:rsidR="001E6F0D" w:rsidRPr="001E6F0D" w:rsidRDefault="001E6F0D" w:rsidP="001E6F0D">
            <w:pPr>
              <w:rPr>
                <w:rFonts w:ascii="Times New Roman" w:hAnsi="Times New Roman" w:cs="Times New Roman"/>
                <w:lang w:val="ro-RO"/>
              </w:rPr>
            </w:pPr>
            <w:r>
              <w:rPr>
                <w:rFonts w:ascii="Times New Roman" w:hAnsi="Times New Roman" w:cs="Times New Roman"/>
                <w:lang w:val="ro-RO"/>
              </w:rPr>
              <w:t>AEE</w:t>
            </w:r>
          </w:p>
          <w:p w14:paraId="78B9EB75" w14:textId="77777777"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APC</w:t>
            </w:r>
          </w:p>
          <w:p w14:paraId="5FF00CE7" w14:textId="3AE1996E" w:rsidR="001E6F0D" w:rsidRPr="001E6F0D" w:rsidRDefault="001E6F0D" w:rsidP="001E6F0D">
            <w:pPr>
              <w:rPr>
                <w:rFonts w:ascii="Times New Roman" w:hAnsi="Times New Roman" w:cs="Times New Roman"/>
                <w:lang w:val="ro-RO"/>
              </w:rPr>
            </w:pPr>
            <w:r w:rsidRPr="001E6F0D">
              <w:rPr>
                <w:rFonts w:ascii="Times New Roman" w:hAnsi="Times New Roman" w:cs="Times New Roman"/>
                <w:lang w:val="ro-RO"/>
              </w:rPr>
              <w:t>Se recomandă APL</w:t>
            </w:r>
          </w:p>
        </w:tc>
      </w:tr>
    </w:tbl>
    <w:p w14:paraId="60E71E39" w14:textId="72E1F201" w:rsidR="006A0D8E" w:rsidRPr="002C0527" w:rsidRDefault="00E47213" w:rsidP="004D77F1">
      <w:pPr>
        <w:pStyle w:val="NormalWeb"/>
        <w:spacing w:before="240" w:after="0"/>
        <w:ind w:firstLine="708"/>
        <w:jc w:val="both"/>
        <w:rPr>
          <w:lang w:val="ro-RO"/>
        </w:rPr>
      </w:pPr>
      <w:r>
        <w:rPr>
          <w:lang w:val="ro-RO"/>
        </w:rPr>
        <w:t xml:space="preserve">Tabelul </w:t>
      </w:r>
      <w:r w:rsidR="002543F5">
        <w:rPr>
          <w:lang w:val="ro-RO"/>
        </w:rPr>
        <w:t>1</w:t>
      </w:r>
      <w:r w:rsidR="00E713EA">
        <w:rPr>
          <w:lang w:val="ro-RO"/>
        </w:rPr>
        <w:t>0</w:t>
      </w:r>
      <w:r>
        <w:rPr>
          <w:lang w:val="ro-RO"/>
        </w:rPr>
        <w:t xml:space="preserve"> descrie măsurile </w:t>
      </w:r>
      <w:r w:rsidRPr="00E47213">
        <w:rPr>
          <w:lang w:val="ro-RO"/>
        </w:rPr>
        <w:t>de reducere și atenuare a impactului în caz de limitare a furnizării gazelor naturale</w:t>
      </w:r>
      <w:r>
        <w:rPr>
          <w:lang w:val="ro-RO"/>
        </w:rPr>
        <w:t xml:space="preserve"> a fi întreprinse de autoritățile responsabile desemnate conform acestuia, cât și volumul gazelor naturale a fi redu</w:t>
      </w:r>
      <w:r w:rsidR="00333898">
        <w:rPr>
          <w:lang w:val="ro-RO"/>
        </w:rPr>
        <w:t>se/ suplinite.</w:t>
      </w:r>
    </w:p>
    <w:p w14:paraId="245C1782" w14:textId="77777777" w:rsidR="00D24F5A" w:rsidRPr="002C0527" w:rsidRDefault="00D24F5A" w:rsidP="00A42EBB">
      <w:pPr>
        <w:pStyle w:val="cb"/>
        <w:ind w:left="708"/>
        <w:rPr>
          <w:lang w:val="ro-RO"/>
        </w:rPr>
      </w:pPr>
    </w:p>
    <w:p w14:paraId="392F7A8E" w14:textId="4E129ED4" w:rsidR="00A42EBB" w:rsidRPr="00FE6BC3" w:rsidRDefault="00A42EBB" w:rsidP="00FE6BC3">
      <w:pPr>
        <w:pStyle w:val="cb"/>
        <w:jc w:val="left"/>
        <w:rPr>
          <w:sz w:val="22"/>
          <w:szCs w:val="22"/>
          <w:lang w:val="ro-RO"/>
        </w:rPr>
      </w:pPr>
      <w:r w:rsidRPr="002C0527">
        <w:rPr>
          <w:lang w:val="ro-RO"/>
        </w:rPr>
        <w:t xml:space="preserve">Tabelul </w:t>
      </w:r>
      <w:r w:rsidR="002543F5">
        <w:rPr>
          <w:lang w:val="ro-RO"/>
        </w:rPr>
        <w:t>1</w:t>
      </w:r>
      <w:r w:rsidR="00E713EA">
        <w:rPr>
          <w:lang w:val="ro-RO"/>
        </w:rPr>
        <w:t>0</w:t>
      </w:r>
      <w:r w:rsidRPr="002C0527">
        <w:rPr>
          <w:lang w:val="ro-RO"/>
        </w:rPr>
        <w:t xml:space="preserve">. </w:t>
      </w:r>
      <w:r w:rsidRPr="00FE6BC3">
        <w:rPr>
          <w:b w:val="0"/>
          <w:bCs w:val="0"/>
          <w:sz w:val="22"/>
          <w:szCs w:val="22"/>
          <w:lang w:val="ro-RO"/>
        </w:rPr>
        <w:t xml:space="preserve">Măsuri de reducere și atenuare a impactului </w:t>
      </w:r>
      <w:r w:rsidR="0049285A" w:rsidRPr="00FE6BC3">
        <w:rPr>
          <w:b w:val="0"/>
          <w:bCs w:val="0"/>
          <w:sz w:val="22"/>
          <w:szCs w:val="22"/>
          <w:lang w:val="ro-RO"/>
        </w:rPr>
        <w:t>limitării</w:t>
      </w:r>
      <w:r w:rsidR="00EC580E" w:rsidRPr="00FE6BC3">
        <w:rPr>
          <w:b w:val="0"/>
          <w:bCs w:val="0"/>
          <w:sz w:val="22"/>
          <w:szCs w:val="22"/>
          <w:lang w:val="ro-RO"/>
        </w:rPr>
        <w:t xml:space="preserve"> gazelor naturale</w:t>
      </w:r>
    </w:p>
    <w:tbl>
      <w:tblPr>
        <w:tblStyle w:val="TableGrid"/>
        <w:tblW w:w="5000" w:type="pct"/>
        <w:shd w:val="clear" w:color="auto" w:fill="E2EFD9" w:themeFill="accent6" w:themeFillTint="33"/>
        <w:tblLook w:val="04A0" w:firstRow="1" w:lastRow="0" w:firstColumn="1" w:lastColumn="0" w:noHBand="0" w:noVBand="1"/>
      </w:tblPr>
      <w:tblGrid>
        <w:gridCol w:w="593"/>
        <w:gridCol w:w="5207"/>
        <w:gridCol w:w="1928"/>
        <w:gridCol w:w="2441"/>
      </w:tblGrid>
      <w:tr w:rsidR="00A42EBB" w:rsidRPr="00287FB6" w14:paraId="7C897F31" w14:textId="77777777" w:rsidTr="00287FB6">
        <w:trPr>
          <w:trHeight w:val="543"/>
        </w:trPr>
        <w:tc>
          <w:tcPr>
            <w:tcW w:w="292" w:type="pct"/>
            <w:shd w:val="clear" w:color="auto" w:fill="D9E2F3" w:themeFill="accent5" w:themeFillTint="33"/>
            <w:vAlign w:val="center"/>
          </w:tcPr>
          <w:p w14:paraId="6D7D638A" w14:textId="77777777" w:rsidR="00A42EBB" w:rsidRPr="00287FB6" w:rsidRDefault="00A42EBB" w:rsidP="00C95C78">
            <w:pPr>
              <w:jc w:val="center"/>
              <w:rPr>
                <w:rFonts w:ascii="Times New Roman" w:hAnsi="Times New Roman" w:cs="Times New Roman"/>
                <w:b/>
                <w:bCs/>
                <w:color w:val="000000" w:themeColor="text1"/>
                <w:lang w:val="ro-RO"/>
              </w:rPr>
            </w:pPr>
            <w:r w:rsidRPr="00287FB6">
              <w:rPr>
                <w:rFonts w:ascii="Times New Roman" w:hAnsi="Times New Roman" w:cs="Times New Roman"/>
                <w:b/>
                <w:bCs/>
                <w:color w:val="000000" w:themeColor="text1"/>
                <w:lang w:val="ro-RO"/>
              </w:rPr>
              <w:t>Nr.</w:t>
            </w:r>
          </w:p>
        </w:tc>
        <w:tc>
          <w:tcPr>
            <w:tcW w:w="2560" w:type="pct"/>
            <w:shd w:val="clear" w:color="auto" w:fill="D9E2F3" w:themeFill="accent5" w:themeFillTint="33"/>
            <w:vAlign w:val="center"/>
          </w:tcPr>
          <w:p w14:paraId="7E6089AF" w14:textId="77777777" w:rsidR="00A42EBB" w:rsidRPr="00287FB6" w:rsidRDefault="00A42EBB" w:rsidP="00C95C78">
            <w:pPr>
              <w:jc w:val="center"/>
              <w:rPr>
                <w:rFonts w:ascii="Times New Roman" w:hAnsi="Times New Roman" w:cs="Times New Roman"/>
                <w:b/>
                <w:bCs/>
                <w:color w:val="000000" w:themeColor="text1"/>
                <w:lang w:val="ro-RO"/>
              </w:rPr>
            </w:pPr>
            <w:r w:rsidRPr="00287FB6">
              <w:rPr>
                <w:rFonts w:ascii="Times New Roman" w:hAnsi="Times New Roman" w:cs="Times New Roman"/>
                <w:b/>
                <w:bCs/>
                <w:color w:val="000000" w:themeColor="text1"/>
                <w:lang w:val="ro-RO"/>
              </w:rPr>
              <w:t xml:space="preserve">Măsuri de reducere a consumului </w:t>
            </w:r>
          </w:p>
          <w:p w14:paraId="588EF5C9" w14:textId="77777777" w:rsidR="00A42EBB" w:rsidRPr="00287FB6" w:rsidRDefault="00A42EBB" w:rsidP="00C95C78">
            <w:pPr>
              <w:jc w:val="center"/>
              <w:rPr>
                <w:rFonts w:ascii="Times New Roman" w:hAnsi="Times New Roman" w:cs="Times New Roman"/>
                <w:color w:val="000000" w:themeColor="text1"/>
                <w:lang w:val="ro-RO"/>
              </w:rPr>
            </w:pPr>
            <w:r w:rsidRPr="00287FB6">
              <w:rPr>
                <w:rFonts w:ascii="Times New Roman" w:hAnsi="Times New Roman" w:cs="Times New Roman"/>
                <w:b/>
                <w:bCs/>
                <w:color w:val="000000" w:themeColor="text1"/>
                <w:lang w:val="ro-RO"/>
              </w:rPr>
              <w:t>de gaze naturale</w:t>
            </w:r>
          </w:p>
        </w:tc>
        <w:tc>
          <w:tcPr>
            <w:tcW w:w="948" w:type="pct"/>
            <w:shd w:val="clear" w:color="auto" w:fill="D9E2F3" w:themeFill="accent5" w:themeFillTint="33"/>
            <w:vAlign w:val="center"/>
          </w:tcPr>
          <w:p w14:paraId="7F77F98E" w14:textId="58588ABA" w:rsidR="00A42EBB" w:rsidRPr="00287FB6" w:rsidRDefault="00A42EBB" w:rsidP="00C95C78">
            <w:pPr>
              <w:jc w:val="center"/>
              <w:rPr>
                <w:rFonts w:ascii="Times New Roman" w:hAnsi="Times New Roman" w:cs="Times New Roman"/>
                <w:color w:val="000000" w:themeColor="text1"/>
                <w:vertAlign w:val="superscript"/>
                <w:lang w:val="ro-RO"/>
              </w:rPr>
            </w:pPr>
            <w:r w:rsidRPr="00287FB6">
              <w:rPr>
                <w:rFonts w:ascii="Times New Roman" w:hAnsi="Times New Roman" w:cs="Times New Roman"/>
                <w:b/>
                <w:bCs/>
                <w:color w:val="000000" w:themeColor="text1"/>
                <w:lang w:val="ro-RO"/>
              </w:rPr>
              <w:t>Gaze naturale estimate a fi reduse/suplinite, m</w:t>
            </w:r>
            <w:r w:rsidR="00A82787" w:rsidRPr="00287FB6">
              <w:rPr>
                <w:rFonts w:ascii="Times New Roman" w:hAnsi="Times New Roman" w:cs="Times New Roman"/>
                <w:b/>
                <w:bCs/>
                <w:color w:val="000000" w:themeColor="text1"/>
                <w:lang w:val="ro-RO"/>
              </w:rPr>
              <w:t>il. m</w:t>
            </w:r>
            <w:r w:rsidR="00A82787" w:rsidRPr="00287FB6">
              <w:rPr>
                <w:rFonts w:ascii="Times New Roman" w:hAnsi="Times New Roman" w:cs="Times New Roman"/>
                <w:b/>
                <w:bCs/>
                <w:color w:val="000000" w:themeColor="text1"/>
                <w:vertAlign w:val="superscript"/>
                <w:lang w:val="ro-RO"/>
              </w:rPr>
              <w:t>3</w:t>
            </w:r>
          </w:p>
        </w:tc>
        <w:tc>
          <w:tcPr>
            <w:tcW w:w="1200" w:type="pct"/>
            <w:shd w:val="clear" w:color="auto" w:fill="D9E2F3" w:themeFill="accent5" w:themeFillTint="33"/>
            <w:vAlign w:val="center"/>
          </w:tcPr>
          <w:p w14:paraId="38ADBF1D" w14:textId="50EE3753" w:rsidR="00A42EBB" w:rsidRPr="00287FB6" w:rsidRDefault="00E5420C" w:rsidP="00C95C78">
            <w:pPr>
              <w:rPr>
                <w:rFonts w:ascii="Times New Roman" w:hAnsi="Times New Roman" w:cs="Times New Roman"/>
                <w:color w:val="000000" w:themeColor="text1"/>
                <w:lang w:val="ro-RO"/>
              </w:rPr>
            </w:pPr>
            <w:r w:rsidRPr="00287FB6">
              <w:rPr>
                <w:rFonts w:ascii="Times New Roman" w:hAnsi="Times New Roman" w:cs="Times New Roman"/>
                <w:b/>
                <w:bCs/>
                <w:color w:val="000000" w:themeColor="text1"/>
                <w:lang w:val="ro-RO"/>
              </w:rPr>
              <w:t>Responsabil</w:t>
            </w:r>
          </w:p>
        </w:tc>
      </w:tr>
      <w:tr w:rsidR="00A42EBB" w:rsidRPr="00287FB6" w14:paraId="243EB047" w14:textId="77777777" w:rsidTr="00287FB6">
        <w:trPr>
          <w:trHeight w:val="172"/>
        </w:trPr>
        <w:tc>
          <w:tcPr>
            <w:tcW w:w="292" w:type="pct"/>
            <w:vAlign w:val="center"/>
          </w:tcPr>
          <w:p w14:paraId="41E17BD4" w14:textId="49618D10" w:rsidR="00A42EBB" w:rsidRPr="00287FB6" w:rsidRDefault="004E7C33" w:rsidP="004E7C33">
            <w:pPr>
              <w:jc w:val="center"/>
              <w:rPr>
                <w:rFonts w:ascii="Times New Roman" w:hAnsi="Times New Roman" w:cs="Times New Roman"/>
                <w:lang w:val="ro-RO"/>
              </w:rPr>
            </w:pPr>
            <w:r w:rsidRPr="00287FB6">
              <w:rPr>
                <w:rFonts w:ascii="Times New Roman" w:hAnsi="Times New Roman" w:cs="Times New Roman"/>
                <w:lang w:val="ro-RO"/>
              </w:rPr>
              <w:t>1</w:t>
            </w:r>
          </w:p>
        </w:tc>
        <w:tc>
          <w:tcPr>
            <w:tcW w:w="2560" w:type="pct"/>
            <w:shd w:val="clear" w:color="auto" w:fill="auto"/>
            <w:vAlign w:val="center"/>
          </w:tcPr>
          <w:p w14:paraId="025845C4" w14:textId="36259948" w:rsidR="00D07CB0" w:rsidRPr="00287FB6" w:rsidRDefault="007908B9" w:rsidP="00EF6DC6">
            <w:pPr>
              <w:jc w:val="both"/>
              <w:rPr>
                <w:rFonts w:ascii="Times New Roman" w:hAnsi="Times New Roman" w:cs="Times New Roman"/>
                <w:lang w:val="en-US"/>
              </w:rPr>
            </w:pPr>
            <w:r w:rsidRPr="00287FB6">
              <w:rPr>
                <w:rFonts w:ascii="Times New Roman" w:hAnsi="Times New Roman" w:cs="Times New Roman"/>
                <w:lang w:val="ro-RO"/>
              </w:rPr>
              <w:t>M</w:t>
            </w:r>
            <w:r w:rsidR="00D4268C" w:rsidRPr="00287FB6">
              <w:rPr>
                <w:rFonts w:ascii="Times New Roman" w:hAnsi="Times New Roman" w:cs="Times New Roman"/>
                <w:lang w:val="ro-RO"/>
              </w:rPr>
              <w:t>onitorizarea</w:t>
            </w:r>
            <w:r w:rsidR="00A42EBB" w:rsidRPr="00287FB6">
              <w:rPr>
                <w:rFonts w:ascii="Times New Roman" w:hAnsi="Times New Roman" w:cs="Times New Roman"/>
                <w:lang w:val="ro-RO"/>
              </w:rPr>
              <w:t>, verificarea și asigurarea zilnică a consumului rațional de resurse energetice și asigurarea menținerii temperaturii interioare recomandate în cadrul clădirilor de către persoana desemnată responsabilă</w:t>
            </w:r>
            <w:r w:rsidR="00C450BA" w:rsidRPr="00287FB6">
              <w:rPr>
                <w:rFonts w:ascii="Times New Roman" w:hAnsi="Times New Roman" w:cs="Times New Roman"/>
                <w:lang w:val="ro-RO"/>
              </w:rPr>
              <w:t>, conform Planului model prezentat în tabelul</w:t>
            </w:r>
            <w:r w:rsidR="008E5679" w:rsidRPr="00287FB6">
              <w:rPr>
                <w:rFonts w:ascii="Times New Roman" w:hAnsi="Times New Roman" w:cs="Times New Roman"/>
                <w:lang w:val="ro-RO"/>
              </w:rPr>
              <w:t xml:space="preserve"> </w:t>
            </w:r>
            <w:r w:rsidR="0082604B" w:rsidRPr="00287FB6">
              <w:rPr>
                <w:rFonts w:ascii="Times New Roman" w:hAnsi="Times New Roman" w:cs="Times New Roman"/>
                <w:lang w:val="ro-RO"/>
              </w:rPr>
              <w:t>1</w:t>
            </w:r>
            <w:r w:rsidR="004E7C33" w:rsidRPr="00287FB6">
              <w:rPr>
                <w:rFonts w:ascii="Times New Roman" w:hAnsi="Times New Roman" w:cs="Times New Roman"/>
                <w:lang w:val="ro-RO"/>
              </w:rPr>
              <w:t>1</w:t>
            </w:r>
            <w:r w:rsidR="00EF6DC6" w:rsidRPr="00287FB6">
              <w:rPr>
                <w:rFonts w:ascii="Times New Roman" w:hAnsi="Times New Roman" w:cs="Times New Roman"/>
                <w:lang w:val="ro-RO"/>
              </w:rPr>
              <w:t xml:space="preserve">, </w:t>
            </w:r>
            <w:r w:rsidR="00B9042C" w:rsidRPr="00287FB6">
              <w:rPr>
                <w:rFonts w:ascii="Times New Roman" w:hAnsi="Times New Roman" w:cs="Times New Roman"/>
                <w:lang w:val="ro-RO"/>
              </w:rPr>
              <w:t xml:space="preserve">rezultând o reducere medie a consumului de energie </w:t>
            </w:r>
            <w:r w:rsidR="00D07CB0" w:rsidRPr="00287FB6">
              <w:rPr>
                <w:rFonts w:ascii="Times New Roman" w:hAnsi="Times New Roman" w:cs="Times New Roman"/>
                <w:lang w:val="ro-RO"/>
              </w:rPr>
              <w:t xml:space="preserve">cu 10% pentru clădirile publice și </w:t>
            </w:r>
            <w:r w:rsidR="008E5679" w:rsidRPr="00287FB6">
              <w:rPr>
                <w:rFonts w:ascii="Times New Roman" w:hAnsi="Times New Roman" w:cs="Times New Roman"/>
                <w:lang w:val="ro-RO"/>
              </w:rPr>
              <w:t>comerciale</w:t>
            </w:r>
          </w:p>
        </w:tc>
        <w:tc>
          <w:tcPr>
            <w:tcW w:w="948" w:type="pct"/>
            <w:shd w:val="clear" w:color="auto" w:fill="auto"/>
            <w:vAlign w:val="center"/>
          </w:tcPr>
          <w:p w14:paraId="0F792A33" w14:textId="4141819F" w:rsidR="00A42EBB" w:rsidRPr="00287FB6" w:rsidRDefault="00FE6BC3" w:rsidP="00C95C78">
            <w:pPr>
              <w:jc w:val="center"/>
              <w:rPr>
                <w:rFonts w:ascii="Times New Roman" w:hAnsi="Times New Roman" w:cs="Times New Roman"/>
                <w:lang w:val="ro-RO"/>
              </w:rPr>
            </w:pPr>
            <w:r w:rsidRPr="00287FB6">
              <w:rPr>
                <w:rFonts w:ascii="Times New Roman" w:hAnsi="Times New Roman" w:cs="Times New Roman"/>
                <w:lang w:val="ro-RO"/>
              </w:rPr>
              <w:t>20</w:t>
            </w:r>
          </w:p>
        </w:tc>
        <w:tc>
          <w:tcPr>
            <w:tcW w:w="1200" w:type="pct"/>
            <w:shd w:val="clear" w:color="auto" w:fill="auto"/>
            <w:vAlign w:val="center"/>
          </w:tcPr>
          <w:p w14:paraId="3654B0A2" w14:textId="30F50E8F" w:rsidR="00A42EBB" w:rsidRPr="00287FB6" w:rsidRDefault="00A42EBB" w:rsidP="00C95C78">
            <w:pPr>
              <w:rPr>
                <w:rFonts w:ascii="Times New Roman" w:hAnsi="Times New Roman" w:cs="Times New Roman"/>
                <w:lang w:val="ro-RO"/>
              </w:rPr>
            </w:pPr>
            <w:r w:rsidRPr="00287FB6">
              <w:rPr>
                <w:rFonts w:ascii="Times New Roman" w:hAnsi="Times New Roman" w:cs="Times New Roman"/>
                <w:lang w:val="ro-RO"/>
              </w:rPr>
              <w:t>APP</w:t>
            </w:r>
          </w:p>
          <w:p w14:paraId="6A0919FB" w14:textId="77777777" w:rsidR="00A42EBB" w:rsidRPr="00287FB6" w:rsidRDefault="00A42EBB" w:rsidP="00C95C78">
            <w:pPr>
              <w:rPr>
                <w:rFonts w:ascii="Times New Roman" w:hAnsi="Times New Roman" w:cs="Times New Roman"/>
                <w:lang w:val="ro-RO"/>
              </w:rPr>
            </w:pPr>
            <w:r w:rsidRPr="00287FB6">
              <w:rPr>
                <w:rFonts w:ascii="Times New Roman" w:hAnsi="Times New Roman" w:cs="Times New Roman"/>
                <w:lang w:val="ro-RO"/>
              </w:rPr>
              <w:t>Cancelaria de Stat</w:t>
            </w:r>
          </w:p>
          <w:p w14:paraId="7A3697EF" w14:textId="2184E282" w:rsidR="00A42EBB" w:rsidRPr="00287FB6" w:rsidRDefault="00A42EBB" w:rsidP="00C95C78">
            <w:pPr>
              <w:rPr>
                <w:rFonts w:ascii="Times New Roman" w:hAnsi="Times New Roman" w:cs="Times New Roman"/>
                <w:lang w:val="ro-RO"/>
              </w:rPr>
            </w:pPr>
            <w:r w:rsidRPr="00287FB6">
              <w:rPr>
                <w:rFonts w:ascii="Times New Roman" w:hAnsi="Times New Roman" w:cs="Times New Roman"/>
                <w:lang w:val="ro-RO"/>
              </w:rPr>
              <w:t>APC</w:t>
            </w:r>
          </w:p>
          <w:p w14:paraId="1B6F9F4B" w14:textId="45469F9B" w:rsidR="00A42EBB" w:rsidRPr="00287FB6" w:rsidRDefault="00ED155C" w:rsidP="00C95C78">
            <w:pPr>
              <w:rPr>
                <w:rFonts w:ascii="Times New Roman" w:hAnsi="Times New Roman" w:cs="Times New Roman"/>
                <w:lang w:val="ro-RO"/>
              </w:rPr>
            </w:pPr>
            <w:r w:rsidRPr="00287FB6">
              <w:rPr>
                <w:rFonts w:ascii="Times New Roman" w:hAnsi="Times New Roman" w:cs="Times New Roman"/>
                <w:lang w:val="ro-RO"/>
              </w:rPr>
              <w:t xml:space="preserve">Se recomandă </w:t>
            </w:r>
            <w:r w:rsidR="00C42073" w:rsidRPr="00287FB6">
              <w:rPr>
                <w:rFonts w:ascii="Times New Roman" w:hAnsi="Times New Roman" w:cs="Times New Roman"/>
                <w:lang w:val="ro-RO"/>
              </w:rPr>
              <w:t>APL</w:t>
            </w:r>
          </w:p>
        </w:tc>
      </w:tr>
      <w:tr w:rsidR="00A42EBB" w:rsidRPr="00287FB6" w14:paraId="15C7ED52" w14:textId="77777777" w:rsidTr="00287FB6">
        <w:trPr>
          <w:trHeight w:val="172"/>
        </w:trPr>
        <w:tc>
          <w:tcPr>
            <w:tcW w:w="292" w:type="pct"/>
            <w:vAlign w:val="center"/>
          </w:tcPr>
          <w:p w14:paraId="13FD57D5" w14:textId="39DE7701" w:rsidR="00A42EBB" w:rsidRPr="00287FB6" w:rsidRDefault="004E7C33" w:rsidP="004E7C33">
            <w:pPr>
              <w:jc w:val="center"/>
              <w:rPr>
                <w:rFonts w:ascii="Times New Roman" w:hAnsi="Times New Roman" w:cs="Times New Roman"/>
                <w:lang w:val="ro-RO"/>
              </w:rPr>
            </w:pPr>
            <w:r w:rsidRPr="00287FB6">
              <w:rPr>
                <w:rFonts w:ascii="Times New Roman" w:hAnsi="Times New Roman" w:cs="Times New Roman"/>
                <w:lang w:val="ro-RO"/>
              </w:rPr>
              <w:t>2</w:t>
            </w:r>
          </w:p>
        </w:tc>
        <w:tc>
          <w:tcPr>
            <w:tcW w:w="2560" w:type="pct"/>
            <w:shd w:val="clear" w:color="auto" w:fill="FFFFFF" w:themeFill="background1"/>
            <w:vAlign w:val="center"/>
          </w:tcPr>
          <w:p w14:paraId="791F3727" w14:textId="3D54B73E" w:rsidR="00A42EBB" w:rsidRPr="00287FB6" w:rsidRDefault="00A42EBB" w:rsidP="00C95C78">
            <w:pPr>
              <w:jc w:val="both"/>
              <w:rPr>
                <w:rFonts w:ascii="Times New Roman" w:hAnsi="Times New Roman" w:cs="Times New Roman"/>
                <w:lang w:val="ro-RO"/>
              </w:rPr>
            </w:pPr>
            <w:r w:rsidRPr="00287FB6">
              <w:rPr>
                <w:rFonts w:ascii="Times New Roman" w:hAnsi="Times New Roman" w:cs="Times New Roman"/>
                <w:lang w:val="ro-RO"/>
              </w:rPr>
              <w:t>Informarea regulată, prin toate sursele de comunicare, a consumatorilor finali în vederea reducerii consumului de resurse energetice și menținerea unui nivel minim necesar a consumului pe întreg sezonul de încălzire</w:t>
            </w:r>
            <w:r w:rsidR="008E5679" w:rsidRPr="00287FB6">
              <w:rPr>
                <w:rFonts w:ascii="Times New Roman" w:hAnsi="Times New Roman" w:cs="Times New Roman"/>
                <w:lang w:val="ro-RO"/>
              </w:rPr>
              <w:t xml:space="preserve">, ceea ce va asigura o reducere de </w:t>
            </w:r>
            <w:r w:rsidR="00990923" w:rsidRPr="00287FB6">
              <w:rPr>
                <w:rFonts w:ascii="Times New Roman" w:hAnsi="Times New Roman" w:cs="Times New Roman"/>
                <w:lang w:val="ro-RO"/>
              </w:rPr>
              <w:t>4</w:t>
            </w:r>
            <w:r w:rsidR="008E5679" w:rsidRPr="00287FB6">
              <w:rPr>
                <w:rFonts w:ascii="Times New Roman" w:hAnsi="Times New Roman" w:cs="Times New Roman"/>
                <w:lang w:val="ro-RO"/>
              </w:rPr>
              <w:t>%</w:t>
            </w:r>
          </w:p>
        </w:tc>
        <w:tc>
          <w:tcPr>
            <w:tcW w:w="948" w:type="pct"/>
            <w:shd w:val="clear" w:color="auto" w:fill="FFFFFF" w:themeFill="background1"/>
            <w:vAlign w:val="center"/>
          </w:tcPr>
          <w:p w14:paraId="3D93DCE3" w14:textId="244A9EF2" w:rsidR="00A42EBB" w:rsidRPr="00287FB6" w:rsidRDefault="006344BC" w:rsidP="00C95C78">
            <w:pPr>
              <w:jc w:val="center"/>
              <w:rPr>
                <w:rFonts w:ascii="Times New Roman" w:hAnsi="Times New Roman" w:cs="Times New Roman"/>
                <w:lang w:val="ro-RO"/>
              </w:rPr>
            </w:pPr>
            <w:r w:rsidRPr="00287FB6">
              <w:rPr>
                <w:rFonts w:ascii="Times New Roman" w:hAnsi="Times New Roman" w:cs="Times New Roman"/>
                <w:lang w:val="ro-RO"/>
              </w:rPr>
              <w:t>1</w:t>
            </w:r>
            <w:r w:rsidR="00990923" w:rsidRPr="00287FB6">
              <w:rPr>
                <w:rFonts w:ascii="Times New Roman" w:hAnsi="Times New Roman" w:cs="Times New Roman"/>
                <w:lang w:val="ro-RO"/>
              </w:rPr>
              <w:t>2</w:t>
            </w:r>
          </w:p>
        </w:tc>
        <w:tc>
          <w:tcPr>
            <w:tcW w:w="1200" w:type="pct"/>
            <w:shd w:val="clear" w:color="auto" w:fill="FFFFFF" w:themeFill="background1"/>
            <w:vAlign w:val="center"/>
          </w:tcPr>
          <w:p w14:paraId="6C8DC4E8" w14:textId="77777777" w:rsidR="00A42EBB" w:rsidRPr="00287FB6" w:rsidRDefault="00A42EBB" w:rsidP="00C95C78">
            <w:pPr>
              <w:rPr>
                <w:rFonts w:ascii="Times New Roman" w:hAnsi="Times New Roman" w:cs="Times New Roman"/>
                <w:lang w:val="ro-RO"/>
              </w:rPr>
            </w:pPr>
            <w:r w:rsidRPr="00287FB6">
              <w:rPr>
                <w:rFonts w:ascii="Times New Roman" w:hAnsi="Times New Roman" w:cs="Times New Roman"/>
                <w:lang w:val="ro-RO"/>
              </w:rPr>
              <w:t>AEE, MIDR</w:t>
            </w:r>
          </w:p>
        </w:tc>
      </w:tr>
      <w:tr w:rsidR="003743D1" w:rsidRPr="00287FB6" w14:paraId="15C3960D" w14:textId="77777777" w:rsidTr="00287FB6">
        <w:trPr>
          <w:trHeight w:val="172"/>
        </w:trPr>
        <w:tc>
          <w:tcPr>
            <w:tcW w:w="292" w:type="pct"/>
            <w:vAlign w:val="center"/>
          </w:tcPr>
          <w:p w14:paraId="0D7956D9" w14:textId="268842C6" w:rsidR="003743D1" w:rsidRPr="00287FB6" w:rsidRDefault="004E7C33" w:rsidP="004E7C33">
            <w:pPr>
              <w:ind w:left="-19"/>
              <w:jc w:val="center"/>
              <w:rPr>
                <w:rFonts w:ascii="Times New Roman" w:hAnsi="Times New Roman" w:cs="Times New Roman"/>
                <w:lang w:val="ro-RO"/>
              </w:rPr>
            </w:pPr>
            <w:r w:rsidRPr="00287FB6">
              <w:rPr>
                <w:rFonts w:ascii="Times New Roman" w:hAnsi="Times New Roman" w:cs="Times New Roman"/>
                <w:lang w:val="ro-RO"/>
              </w:rPr>
              <w:t>3</w:t>
            </w:r>
          </w:p>
        </w:tc>
        <w:tc>
          <w:tcPr>
            <w:tcW w:w="2560" w:type="pct"/>
            <w:shd w:val="clear" w:color="auto" w:fill="auto"/>
            <w:vAlign w:val="center"/>
          </w:tcPr>
          <w:p w14:paraId="030568F9" w14:textId="1F38F665" w:rsidR="003743D1" w:rsidRPr="00287FB6" w:rsidRDefault="003743D1" w:rsidP="006F6C95">
            <w:pPr>
              <w:jc w:val="both"/>
              <w:rPr>
                <w:rFonts w:ascii="Times New Roman" w:hAnsi="Times New Roman" w:cs="Times New Roman"/>
                <w:lang w:val="ro-RO"/>
              </w:rPr>
            </w:pPr>
            <w:r w:rsidRPr="00287FB6">
              <w:rPr>
                <w:rFonts w:ascii="Times New Roman" w:hAnsi="Times New Roman" w:cs="Times New Roman"/>
                <w:lang w:val="ro-RO"/>
              </w:rPr>
              <w:t xml:space="preserve">Reconectarea și utilizarea în cadrul instituțiilor publice a </w:t>
            </w:r>
            <w:r w:rsidR="00236DF8" w:rsidRPr="00287FB6">
              <w:rPr>
                <w:rFonts w:ascii="Times New Roman" w:hAnsi="Times New Roman" w:cs="Times New Roman"/>
                <w:lang w:val="ro-RO"/>
              </w:rPr>
              <w:t>centralelor termice</w:t>
            </w:r>
            <w:r w:rsidRPr="00287FB6">
              <w:rPr>
                <w:rFonts w:ascii="Times New Roman" w:hAnsi="Times New Roman" w:cs="Times New Roman"/>
                <w:lang w:val="ro-RO"/>
              </w:rPr>
              <w:t xml:space="preserve"> care funcționează pe biomasă, în mod exclusiv</w:t>
            </w:r>
          </w:p>
        </w:tc>
        <w:tc>
          <w:tcPr>
            <w:tcW w:w="948" w:type="pct"/>
            <w:shd w:val="clear" w:color="auto" w:fill="auto"/>
            <w:vAlign w:val="center"/>
          </w:tcPr>
          <w:p w14:paraId="0198DD65" w14:textId="77777777" w:rsidR="003743D1" w:rsidRPr="00287FB6" w:rsidDel="005B44FC" w:rsidRDefault="003743D1" w:rsidP="006F6C95">
            <w:pPr>
              <w:jc w:val="center"/>
              <w:rPr>
                <w:rFonts w:ascii="Times New Roman" w:hAnsi="Times New Roman" w:cs="Times New Roman"/>
                <w:lang w:val="ro-RO"/>
              </w:rPr>
            </w:pPr>
            <w:r w:rsidRPr="00287FB6">
              <w:rPr>
                <w:rFonts w:ascii="Times New Roman" w:hAnsi="Times New Roman" w:cs="Times New Roman"/>
                <w:lang w:val="ro-RO"/>
              </w:rPr>
              <w:t>7</w:t>
            </w:r>
          </w:p>
        </w:tc>
        <w:tc>
          <w:tcPr>
            <w:tcW w:w="1200" w:type="pct"/>
            <w:shd w:val="clear" w:color="auto" w:fill="auto"/>
            <w:vAlign w:val="center"/>
          </w:tcPr>
          <w:p w14:paraId="6072235D" w14:textId="0F7A9E2E" w:rsidR="003743D1" w:rsidRPr="00287FB6" w:rsidRDefault="00ED155C" w:rsidP="006F6C95">
            <w:pPr>
              <w:rPr>
                <w:rFonts w:ascii="Times New Roman" w:hAnsi="Times New Roman" w:cs="Times New Roman"/>
                <w:lang w:val="ro-RO"/>
              </w:rPr>
            </w:pPr>
            <w:r w:rsidRPr="00287FB6">
              <w:rPr>
                <w:rFonts w:ascii="Times New Roman" w:hAnsi="Times New Roman" w:cs="Times New Roman"/>
                <w:lang w:val="ro-RO"/>
              </w:rPr>
              <w:t>Se recomandă APL</w:t>
            </w:r>
          </w:p>
        </w:tc>
      </w:tr>
      <w:tr w:rsidR="003743D1" w:rsidRPr="00287FB6" w14:paraId="0E58CEE2" w14:textId="77777777" w:rsidTr="00287FB6">
        <w:trPr>
          <w:trHeight w:val="172"/>
        </w:trPr>
        <w:tc>
          <w:tcPr>
            <w:tcW w:w="292" w:type="pct"/>
            <w:vAlign w:val="center"/>
          </w:tcPr>
          <w:p w14:paraId="0B602D58" w14:textId="3907ED82" w:rsidR="003743D1" w:rsidRPr="00287FB6" w:rsidRDefault="003743D1" w:rsidP="006F6C95">
            <w:pPr>
              <w:jc w:val="center"/>
              <w:rPr>
                <w:rFonts w:ascii="Times New Roman" w:hAnsi="Times New Roman" w:cs="Times New Roman"/>
                <w:lang w:val="ro-RO"/>
              </w:rPr>
            </w:pPr>
            <w:r w:rsidRPr="00287FB6">
              <w:rPr>
                <w:rFonts w:ascii="Times New Roman" w:hAnsi="Times New Roman" w:cs="Times New Roman"/>
                <w:lang w:val="ro-RO"/>
              </w:rPr>
              <w:t>4</w:t>
            </w:r>
          </w:p>
        </w:tc>
        <w:tc>
          <w:tcPr>
            <w:tcW w:w="2560" w:type="pct"/>
            <w:shd w:val="clear" w:color="auto" w:fill="auto"/>
            <w:vAlign w:val="center"/>
          </w:tcPr>
          <w:p w14:paraId="03B83A6D" w14:textId="638035F2" w:rsidR="003743D1" w:rsidRPr="00287FB6" w:rsidRDefault="003743D1" w:rsidP="006F6C95">
            <w:pPr>
              <w:jc w:val="both"/>
              <w:rPr>
                <w:rFonts w:ascii="Times New Roman" w:hAnsi="Times New Roman" w:cs="Times New Roman"/>
                <w:lang w:val="ro-RO"/>
              </w:rPr>
            </w:pPr>
            <w:r w:rsidRPr="00287FB6">
              <w:rPr>
                <w:rFonts w:ascii="Times New Roman" w:hAnsi="Times New Roman" w:cs="Times New Roman"/>
                <w:lang w:val="ro-RO"/>
              </w:rPr>
              <w:t xml:space="preserve">Întreprinderea măsurilor de asigurare a necesarului de masă lemnoasă </w:t>
            </w:r>
            <w:r w:rsidR="00587599" w:rsidRPr="00287FB6">
              <w:rPr>
                <w:rFonts w:ascii="Times New Roman" w:hAnsi="Times New Roman" w:cs="Times New Roman"/>
                <w:lang w:val="ro-RO"/>
              </w:rPr>
              <w:t xml:space="preserve">și cărbune </w:t>
            </w:r>
            <w:r w:rsidRPr="00287FB6">
              <w:rPr>
                <w:rFonts w:ascii="Times New Roman" w:hAnsi="Times New Roman" w:cs="Times New Roman"/>
                <w:lang w:val="ro-RO"/>
              </w:rPr>
              <w:t>pentru sezonul de încălzire 202</w:t>
            </w:r>
            <w:r w:rsidR="00587599" w:rsidRPr="00287FB6">
              <w:rPr>
                <w:rFonts w:ascii="Times New Roman" w:hAnsi="Times New Roman" w:cs="Times New Roman"/>
                <w:lang w:val="ro-RO"/>
              </w:rPr>
              <w:t>3</w:t>
            </w:r>
            <w:r w:rsidRPr="00287FB6">
              <w:rPr>
                <w:rFonts w:ascii="Times New Roman" w:hAnsi="Times New Roman" w:cs="Times New Roman"/>
                <w:lang w:val="ro-RO"/>
              </w:rPr>
              <w:t>-202</w:t>
            </w:r>
            <w:r w:rsidR="00587599" w:rsidRPr="00287FB6">
              <w:rPr>
                <w:rFonts w:ascii="Times New Roman" w:hAnsi="Times New Roman" w:cs="Times New Roman"/>
                <w:lang w:val="ro-RO"/>
              </w:rPr>
              <w:t>4</w:t>
            </w:r>
            <w:r w:rsidRPr="00287FB6">
              <w:rPr>
                <w:rFonts w:ascii="Times New Roman" w:hAnsi="Times New Roman" w:cs="Times New Roman"/>
                <w:lang w:val="ro-RO"/>
              </w:rPr>
              <w:t xml:space="preserve"> pentru toată populația care utilizează această sursă alternativă de încălzire, inclusiv monitorizarea și luarea de măsuri în vederea menținerii unui preț rezonabil de comercializare a masei lemnoase</w:t>
            </w:r>
            <w:r w:rsidR="00587599" w:rsidRPr="00287FB6">
              <w:rPr>
                <w:rFonts w:ascii="Times New Roman" w:hAnsi="Times New Roman" w:cs="Times New Roman"/>
                <w:lang w:val="ro-RO"/>
              </w:rPr>
              <w:t xml:space="preserve"> și cărbunelui</w:t>
            </w:r>
          </w:p>
        </w:tc>
        <w:tc>
          <w:tcPr>
            <w:tcW w:w="948" w:type="pct"/>
            <w:shd w:val="clear" w:color="auto" w:fill="auto"/>
            <w:vAlign w:val="center"/>
          </w:tcPr>
          <w:p w14:paraId="4DA61694" w14:textId="5C84B2C6" w:rsidR="003743D1" w:rsidRPr="00287FB6" w:rsidDel="005B44FC" w:rsidRDefault="00E367DD" w:rsidP="006F6C95">
            <w:pPr>
              <w:jc w:val="center"/>
              <w:rPr>
                <w:rFonts w:ascii="Times New Roman" w:hAnsi="Times New Roman" w:cs="Times New Roman"/>
                <w:lang w:val="ro-RO"/>
              </w:rPr>
            </w:pPr>
            <w:r w:rsidRPr="00287FB6">
              <w:rPr>
                <w:rFonts w:ascii="Times New Roman" w:hAnsi="Times New Roman" w:cs="Times New Roman"/>
                <w:lang w:val="ro-RO"/>
              </w:rPr>
              <w:t>6</w:t>
            </w:r>
            <w:r w:rsidR="00D423ED" w:rsidRPr="00287FB6">
              <w:rPr>
                <w:rFonts w:ascii="Times New Roman" w:hAnsi="Times New Roman" w:cs="Times New Roman"/>
                <w:lang w:val="ro-RO"/>
              </w:rPr>
              <w:t>0</w:t>
            </w:r>
          </w:p>
        </w:tc>
        <w:tc>
          <w:tcPr>
            <w:tcW w:w="1200" w:type="pct"/>
            <w:shd w:val="clear" w:color="auto" w:fill="auto"/>
            <w:vAlign w:val="center"/>
          </w:tcPr>
          <w:p w14:paraId="77BD0155" w14:textId="77777777" w:rsidR="003743D1" w:rsidRPr="00287FB6" w:rsidRDefault="003743D1" w:rsidP="006F6C95">
            <w:pPr>
              <w:rPr>
                <w:rFonts w:ascii="Times New Roman" w:hAnsi="Times New Roman" w:cs="Times New Roman"/>
                <w:lang w:val="ro-RO"/>
              </w:rPr>
            </w:pPr>
            <w:r w:rsidRPr="00287FB6">
              <w:rPr>
                <w:rFonts w:ascii="Times New Roman" w:hAnsi="Times New Roman" w:cs="Times New Roman"/>
                <w:lang w:val="ro-RO"/>
              </w:rPr>
              <w:t>Ministerul Mediului</w:t>
            </w:r>
          </w:p>
          <w:p w14:paraId="47C05C63" w14:textId="77777777" w:rsidR="003743D1" w:rsidRPr="00287FB6" w:rsidRDefault="003743D1" w:rsidP="006F6C95">
            <w:pPr>
              <w:rPr>
                <w:rFonts w:ascii="Times New Roman" w:hAnsi="Times New Roman" w:cs="Times New Roman"/>
                <w:lang w:val="ro-RO"/>
              </w:rPr>
            </w:pPr>
            <w:r w:rsidRPr="00287FB6">
              <w:rPr>
                <w:rFonts w:ascii="Times New Roman" w:hAnsi="Times New Roman" w:cs="Times New Roman"/>
                <w:lang w:val="ro-RO"/>
              </w:rPr>
              <w:t>Agenția „Moldsilva</w:t>
            </w:r>
            <w:r w:rsidR="0015662F" w:rsidRPr="00287FB6">
              <w:rPr>
                <w:rFonts w:ascii="Times New Roman" w:hAnsi="Times New Roman" w:cs="Times New Roman"/>
                <w:lang w:val="ro-RO"/>
              </w:rPr>
              <w:t>”</w:t>
            </w:r>
          </w:p>
          <w:p w14:paraId="28E9045B" w14:textId="237B9C65" w:rsidR="00587599" w:rsidRPr="00287FB6" w:rsidRDefault="00587599" w:rsidP="006F6C95">
            <w:pPr>
              <w:rPr>
                <w:rFonts w:ascii="Times New Roman" w:hAnsi="Times New Roman" w:cs="Times New Roman"/>
                <w:lang w:val="ro-RO"/>
              </w:rPr>
            </w:pPr>
            <w:r w:rsidRPr="00287FB6">
              <w:rPr>
                <w:rFonts w:ascii="Times New Roman" w:hAnsi="Times New Roman" w:cs="Times New Roman"/>
                <w:lang w:val="ro-RO"/>
              </w:rPr>
              <w:t>Sectorul privat</w:t>
            </w:r>
          </w:p>
        </w:tc>
      </w:tr>
      <w:tr w:rsidR="00A42EBB" w:rsidRPr="00287FB6" w14:paraId="2BFCCD7B" w14:textId="77777777" w:rsidTr="00287FB6">
        <w:trPr>
          <w:trHeight w:val="172"/>
        </w:trPr>
        <w:tc>
          <w:tcPr>
            <w:tcW w:w="292" w:type="pct"/>
            <w:vAlign w:val="center"/>
          </w:tcPr>
          <w:p w14:paraId="31E83224" w14:textId="6B9CB2DD" w:rsidR="00A42EBB" w:rsidRPr="00287FB6" w:rsidRDefault="001D14A1" w:rsidP="00C95C78">
            <w:pPr>
              <w:jc w:val="center"/>
              <w:rPr>
                <w:rFonts w:ascii="Times New Roman" w:hAnsi="Times New Roman" w:cs="Times New Roman"/>
                <w:lang w:val="ro-RO"/>
              </w:rPr>
            </w:pPr>
            <w:r w:rsidRPr="00287FB6">
              <w:rPr>
                <w:rFonts w:ascii="Times New Roman" w:hAnsi="Times New Roman" w:cs="Times New Roman"/>
                <w:lang w:val="ro-RO"/>
              </w:rPr>
              <w:t>5</w:t>
            </w:r>
            <w:r w:rsidR="00A42EBB" w:rsidRPr="00287FB6">
              <w:rPr>
                <w:rFonts w:ascii="Times New Roman" w:hAnsi="Times New Roman" w:cs="Times New Roman"/>
                <w:lang w:val="ro-RO"/>
              </w:rPr>
              <w:t>.</w:t>
            </w:r>
          </w:p>
        </w:tc>
        <w:tc>
          <w:tcPr>
            <w:tcW w:w="2560" w:type="pct"/>
            <w:shd w:val="clear" w:color="auto" w:fill="auto"/>
            <w:vAlign w:val="center"/>
          </w:tcPr>
          <w:p w14:paraId="33D85044" w14:textId="6C4DC0EB" w:rsidR="00A42EBB" w:rsidRPr="00287FB6" w:rsidRDefault="00A42EBB" w:rsidP="00B9042C">
            <w:pPr>
              <w:jc w:val="both"/>
              <w:rPr>
                <w:rFonts w:ascii="Times New Roman" w:hAnsi="Times New Roman" w:cs="Times New Roman"/>
                <w:lang w:val="ro-RO"/>
              </w:rPr>
            </w:pPr>
            <w:r w:rsidRPr="00287FB6">
              <w:rPr>
                <w:rFonts w:ascii="Times New Roman" w:hAnsi="Times New Roman" w:cs="Times New Roman"/>
                <w:lang w:val="ro-RO"/>
              </w:rPr>
              <w:t>Reducerea temperaturii agentului termic livrat în cadrul sistem</w:t>
            </w:r>
            <w:r w:rsidR="00D74DB8" w:rsidRPr="00287FB6">
              <w:rPr>
                <w:rFonts w:ascii="Times New Roman" w:hAnsi="Times New Roman" w:cs="Times New Roman"/>
                <w:lang w:val="ro-RO"/>
              </w:rPr>
              <w:t>elor</w:t>
            </w:r>
            <w:r w:rsidRPr="00287FB6">
              <w:rPr>
                <w:rFonts w:ascii="Times New Roman" w:hAnsi="Times New Roman" w:cs="Times New Roman"/>
                <w:lang w:val="ro-RO"/>
              </w:rPr>
              <w:t xml:space="preserve"> </w:t>
            </w:r>
            <w:r w:rsidR="00D423ED" w:rsidRPr="00287FB6">
              <w:rPr>
                <w:rFonts w:ascii="Times New Roman" w:hAnsi="Times New Roman" w:cs="Times New Roman"/>
                <w:lang w:val="ro-RO"/>
              </w:rPr>
              <w:t xml:space="preserve">de alimentare </w:t>
            </w:r>
            <w:r w:rsidRPr="00287FB6">
              <w:rPr>
                <w:rFonts w:ascii="Times New Roman" w:hAnsi="Times New Roman" w:cs="Times New Roman"/>
                <w:lang w:val="ro-RO"/>
              </w:rPr>
              <w:t>centralizat</w:t>
            </w:r>
            <w:r w:rsidR="00D423ED" w:rsidRPr="00287FB6">
              <w:rPr>
                <w:rFonts w:ascii="Times New Roman" w:hAnsi="Times New Roman" w:cs="Times New Roman"/>
                <w:lang w:val="ro-RO"/>
              </w:rPr>
              <w:t>ă</w:t>
            </w:r>
            <w:r w:rsidRPr="00287FB6">
              <w:rPr>
                <w:rFonts w:ascii="Times New Roman" w:hAnsi="Times New Roman" w:cs="Times New Roman"/>
                <w:lang w:val="ro-RO"/>
              </w:rPr>
              <w:t xml:space="preserve"> </w:t>
            </w:r>
            <w:r w:rsidR="00D423ED" w:rsidRPr="00287FB6">
              <w:rPr>
                <w:rFonts w:ascii="Times New Roman" w:hAnsi="Times New Roman" w:cs="Times New Roman"/>
                <w:lang w:val="ro-RO"/>
              </w:rPr>
              <w:t>cu</w:t>
            </w:r>
            <w:r w:rsidRPr="00287FB6">
              <w:rPr>
                <w:rFonts w:ascii="Times New Roman" w:hAnsi="Times New Roman" w:cs="Times New Roman"/>
                <w:lang w:val="ro-RO"/>
              </w:rPr>
              <w:t xml:space="preserve"> energie termic</w:t>
            </w:r>
            <w:r w:rsidR="00D423ED" w:rsidRPr="00287FB6">
              <w:rPr>
                <w:rFonts w:ascii="Times New Roman" w:hAnsi="Times New Roman" w:cs="Times New Roman"/>
                <w:lang w:val="ro-RO"/>
              </w:rPr>
              <w:t>ă</w:t>
            </w:r>
            <w:r w:rsidRPr="00287FB6">
              <w:rPr>
                <w:rFonts w:ascii="Times New Roman" w:hAnsi="Times New Roman" w:cs="Times New Roman"/>
                <w:lang w:val="ro-RO"/>
              </w:rPr>
              <w:t xml:space="preserve"> </w:t>
            </w:r>
            <w:r w:rsidR="00B9042C" w:rsidRPr="00287FB6">
              <w:rPr>
                <w:rFonts w:ascii="Times New Roman" w:hAnsi="Times New Roman" w:cs="Times New Roman"/>
                <w:lang w:val="ro-RO"/>
              </w:rPr>
              <w:t xml:space="preserve">cu </w:t>
            </w:r>
            <w:r w:rsidR="00960CDD" w:rsidRPr="00287FB6">
              <w:rPr>
                <w:rFonts w:ascii="Times New Roman" w:hAnsi="Times New Roman" w:cs="Times New Roman"/>
                <w:lang w:val="ro-RO"/>
              </w:rPr>
              <w:t>până</w:t>
            </w:r>
            <w:r w:rsidRPr="00287FB6">
              <w:rPr>
                <w:rFonts w:ascii="Times New Roman" w:hAnsi="Times New Roman" w:cs="Times New Roman"/>
                <w:lang w:val="ro-RO"/>
              </w:rPr>
              <w:t xml:space="preserve"> la 10%, </w:t>
            </w:r>
            <w:r w:rsidR="00B9042C" w:rsidRPr="00287FB6">
              <w:rPr>
                <w:rFonts w:ascii="Times New Roman" w:hAnsi="Times New Roman" w:cs="Times New Roman"/>
                <w:lang w:val="ro-RO"/>
              </w:rPr>
              <w:t>în condițiile respectării valorilor minime normate</w:t>
            </w:r>
          </w:p>
        </w:tc>
        <w:tc>
          <w:tcPr>
            <w:tcW w:w="948" w:type="pct"/>
            <w:shd w:val="clear" w:color="auto" w:fill="auto"/>
            <w:vAlign w:val="center"/>
          </w:tcPr>
          <w:p w14:paraId="0C8C1B98" w14:textId="77777777" w:rsidR="00A42EBB" w:rsidRPr="00287FB6" w:rsidRDefault="00A42EBB" w:rsidP="00C95C78">
            <w:pPr>
              <w:jc w:val="center"/>
              <w:rPr>
                <w:rFonts w:ascii="Times New Roman" w:hAnsi="Times New Roman" w:cs="Times New Roman"/>
                <w:lang w:val="ro-RO"/>
              </w:rPr>
            </w:pPr>
            <w:r w:rsidRPr="00287FB6">
              <w:rPr>
                <w:rFonts w:ascii="Times New Roman" w:hAnsi="Times New Roman" w:cs="Times New Roman"/>
                <w:lang w:val="ro-RO"/>
              </w:rPr>
              <w:t>13</w:t>
            </w:r>
          </w:p>
        </w:tc>
        <w:tc>
          <w:tcPr>
            <w:tcW w:w="1200" w:type="pct"/>
            <w:shd w:val="clear" w:color="auto" w:fill="auto"/>
            <w:vAlign w:val="center"/>
          </w:tcPr>
          <w:p w14:paraId="760B565B" w14:textId="77777777" w:rsidR="00A42EBB" w:rsidRPr="00287FB6" w:rsidRDefault="00A42EBB" w:rsidP="00C95C78">
            <w:pPr>
              <w:rPr>
                <w:rFonts w:ascii="Times New Roman" w:hAnsi="Times New Roman" w:cs="Times New Roman"/>
                <w:lang w:val="ro-RO"/>
              </w:rPr>
            </w:pPr>
            <w:r w:rsidRPr="00287FB6">
              <w:rPr>
                <w:rFonts w:ascii="Times New Roman" w:hAnsi="Times New Roman" w:cs="Times New Roman"/>
                <w:lang w:val="ro-RO"/>
              </w:rPr>
              <w:t>SA „Termoelectrica” SA „CET Nord”</w:t>
            </w:r>
          </w:p>
        </w:tc>
      </w:tr>
      <w:tr w:rsidR="00CE6B38" w:rsidRPr="00287FB6" w14:paraId="42D8C623" w14:textId="77777777" w:rsidTr="00287FB6">
        <w:trPr>
          <w:trHeight w:val="172"/>
        </w:trPr>
        <w:tc>
          <w:tcPr>
            <w:tcW w:w="292" w:type="pct"/>
            <w:vAlign w:val="center"/>
          </w:tcPr>
          <w:p w14:paraId="3F2A5F83" w14:textId="7CB9C2A8" w:rsidR="00CE6B38" w:rsidRPr="00287FB6" w:rsidRDefault="001D14A1" w:rsidP="006F6C95">
            <w:pPr>
              <w:jc w:val="center"/>
              <w:rPr>
                <w:rFonts w:ascii="Times New Roman" w:hAnsi="Times New Roman" w:cs="Times New Roman"/>
                <w:lang w:val="ro-RO"/>
              </w:rPr>
            </w:pPr>
            <w:r w:rsidRPr="00287FB6">
              <w:rPr>
                <w:rFonts w:ascii="Times New Roman" w:hAnsi="Times New Roman" w:cs="Times New Roman"/>
                <w:lang w:val="ro-RO"/>
              </w:rPr>
              <w:t>6</w:t>
            </w:r>
          </w:p>
        </w:tc>
        <w:tc>
          <w:tcPr>
            <w:tcW w:w="2560" w:type="pct"/>
            <w:shd w:val="clear" w:color="auto" w:fill="auto"/>
            <w:vAlign w:val="center"/>
          </w:tcPr>
          <w:p w14:paraId="579EF80F" w14:textId="77777777" w:rsidR="00CE6B38" w:rsidRPr="00287FB6" w:rsidRDefault="00CE6B38" w:rsidP="006F6C95">
            <w:pPr>
              <w:jc w:val="both"/>
              <w:rPr>
                <w:rFonts w:ascii="Times New Roman" w:hAnsi="Times New Roman" w:cs="Times New Roman"/>
                <w:lang w:val="ro-RO"/>
              </w:rPr>
            </w:pPr>
            <w:r w:rsidRPr="00287FB6">
              <w:rPr>
                <w:rFonts w:ascii="Times New Roman" w:hAnsi="Times New Roman" w:cs="Times New Roman"/>
                <w:lang w:val="ro-RO"/>
              </w:rPr>
              <w:t>Trecerea consumatorilor întreruptibili, în termeni cât mai restrânși la producerea energiei electrice și termice din surse alternative de combustibil</w:t>
            </w:r>
          </w:p>
        </w:tc>
        <w:tc>
          <w:tcPr>
            <w:tcW w:w="948" w:type="pct"/>
            <w:shd w:val="clear" w:color="auto" w:fill="auto"/>
            <w:vAlign w:val="center"/>
          </w:tcPr>
          <w:p w14:paraId="089F3EA1" w14:textId="77777777" w:rsidR="00CE6B38" w:rsidRPr="00287FB6" w:rsidRDefault="00CE6B38" w:rsidP="006F6C95">
            <w:pPr>
              <w:jc w:val="center"/>
              <w:rPr>
                <w:rFonts w:ascii="Times New Roman" w:hAnsi="Times New Roman" w:cs="Times New Roman"/>
                <w:lang w:val="ro-RO"/>
              </w:rPr>
            </w:pPr>
            <w:r w:rsidRPr="00287FB6">
              <w:rPr>
                <w:rFonts w:ascii="Times New Roman" w:hAnsi="Times New Roman" w:cs="Times New Roman"/>
                <w:lang w:val="ro-RO"/>
              </w:rPr>
              <w:t>10</w:t>
            </w:r>
          </w:p>
        </w:tc>
        <w:tc>
          <w:tcPr>
            <w:tcW w:w="1200" w:type="pct"/>
            <w:shd w:val="clear" w:color="auto" w:fill="auto"/>
            <w:vAlign w:val="center"/>
          </w:tcPr>
          <w:p w14:paraId="60325E88" w14:textId="77777777" w:rsidR="00CE6B38" w:rsidRPr="00287FB6" w:rsidRDefault="00CE6B38" w:rsidP="006F6C95">
            <w:pPr>
              <w:rPr>
                <w:rFonts w:ascii="Times New Roman" w:hAnsi="Times New Roman" w:cs="Times New Roman"/>
                <w:lang w:val="ro-RO"/>
              </w:rPr>
            </w:pPr>
            <w:r w:rsidRPr="00287FB6">
              <w:rPr>
                <w:rFonts w:ascii="Times New Roman" w:hAnsi="Times New Roman" w:cs="Times New Roman"/>
                <w:lang w:val="ro-RO"/>
              </w:rPr>
              <w:t>ICS ”Moldova-Zahar” SRL;</w:t>
            </w:r>
          </w:p>
          <w:p w14:paraId="07618284" w14:textId="77777777" w:rsidR="00CE6B38" w:rsidRPr="00287FB6" w:rsidRDefault="00CE6B38" w:rsidP="006F6C95">
            <w:pPr>
              <w:rPr>
                <w:rFonts w:ascii="Times New Roman" w:hAnsi="Times New Roman" w:cs="Times New Roman"/>
                <w:lang w:val="ro-RO"/>
              </w:rPr>
            </w:pPr>
            <w:r w:rsidRPr="00287FB6">
              <w:rPr>
                <w:rFonts w:ascii="Times New Roman" w:hAnsi="Times New Roman" w:cs="Times New Roman"/>
                <w:lang w:val="ro-RO"/>
              </w:rPr>
              <w:t>IM “Südzucker Moldova” SA</w:t>
            </w:r>
          </w:p>
        </w:tc>
      </w:tr>
      <w:tr w:rsidR="00990923" w:rsidRPr="00287FB6" w14:paraId="19ECEFF2" w14:textId="77777777" w:rsidTr="00287FB6">
        <w:trPr>
          <w:trHeight w:val="172"/>
        </w:trPr>
        <w:tc>
          <w:tcPr>
            <w:tcW w:w="292" w:type="pct"/>
            <w:vAlign w:val="center"/>
          </w:tcPr>
          <w:p w14:paraId="49B0BCEB" w14:textId="0C5D9214" w:rsidR="00990923" w:rsidRPr="00287FB6" w:rsidRDefault="00990923" w:rsidP="006F6C95">
            <w:pPr>
              <w:jc w:val="center"/>
              <w:rPr>
                <w:rFonts w:ascii="Times New Roman" w:hAnsi="Times New Roman" w:cs="Times New Roman"/>
                <w:lang w:val="ro-RO"/>
              </w:rPr>
            </w:pPr>
            <w:r w:rsidRPr="00287FB6">
              <w:rPr>
                <w:rFonts w:ascii="Times New Roman" w:hAnsi="Times New Roman" w:cs="Times New Roman"/>
                <w:lang w:val="ro-RO"/>
              </w:rPr>
              <w:lastRenderedPageBreak/>
              <w:t>7</w:t>
            </w:r>
          </w:p>
        </w:tc>
        <w:tc>
          <w:tcPr>
            <w:tcW w:w="2560" w:type="pct"/>
            <w:shd w:val="clear" w:color="auto" w:fill="auto"/>
            <w:vAlign w:val="center"/>
          </w:tcPr>
          <w:p w14:paraId="1C4C6FCB" w14:textId="7D44DA28" w:rsidR="00990923" w:rsidRPr="00287FB6" w:rsidRDefault="00990923" w:rsidP="006F6C95">
            <w:pPr>
              <w:jc w:val="both"/>
              <w:rPr>
                <w:rFonts w:ascii="Times New Roman" w:hAnsi="Times New Roman" w:cs="Times New Roman"/>
                <w:lang w:val="ro-RO"/>
              </w:rPr>
            </w:pPr>
            <w:r w:rsidRPr="00287FB6">
              <w:rPr>
                <w:rFonts w:ascii="Times New Roman" w:hAnsi="Times New Roman" w:cs="Times New Roman"/>
                <w:color w:val="000000" w:themeColor="text1"/>
                <w:lang w:val="ro-RO"/>
              </w:rPr>
              <w:t xml:space="preserve">Utilizarea stocurilor de gaze naturale create </w:t>
            </w:r>
            <w:r w:rsidR="00CA6F3B">
              <w:rPr>
                <w:rFonts w:ascii="Times New Roman" w:hAnsi="Times New Roman" w:cs="Times New Roman"/>
                <w:color w:val="000000" w:themeColor="text1"/>
                <w:lang w:val="ro-RO"/>
              </w:rPr>
              <w:t xml:space="preserve">în perioada precedentă </w:t>
            </w:r>
            <w:r w:rsidRPr="00287FB6">
              <w:rPr>
                <w:rFonts w:ascii="Times New Roman" w:hAnsi="Times New Roman" w:cs="Times New Roman"/>
                <w:color w:val="000000" w:themeColor="text1"/>
                <w:lang w:val="ro-RO"/>
              </w:rPr>
              <w:t>de SA „Energocom” în baza Acordului de împrumut dintre Republica Moldova și BERD ratificat, în vederea realizării proiectului „Securitatea Furnizării Gazelor Naturale”</w:t>
            </w:r>
            <w:r w:rsidR="00D5216E">
              <w:rPr>
                <w:rFonts w:ascii="Times New Roman" w:hAnsi="Times New Roman" w:cs="Times New Roman"/>
                <w:color w:val="000000" w:themeColor="text1"/>
                <w:lang w:val="ro-RO"/>
              </w:rPr>
              <w:t xml:space="preserve"> </w:t>
            </w:r>
            <w:r w:rsidR="00D5216E" w:rsidRPr="00D5216E">
              <w:rPr>
                <w:rFonts w:ascii="Times New Roman" w:hAnsi="Times New Roman" w:cs="Times New Roman"/>
                <w:i/>
                <w:iCs/>
                <w:color w:val="000000" w:themeColor="text1"/>
                <w:lang w:val="ro-RO"/>
              </w:rPr>
              <w:t>(stocuri de gaze naturale estimate a fi disponibile la 01.10.2023, conform estimărilor efectuate de SA „Energocom” la situația din 01.05.2023)</w:t>
            </w:r>
          </w:p>
        </w:tc>
        <w:tc>
          <w:tcPr>
            <w:tcW w:w="948" w:type="pct"/>
            <w:shd w:val="clear" w:color="auto" w:fill="auto"/>
            <w:vAlign w:val="center"/>
          </w:tcPr>
          <w:p w14:paraId="3B699238" w14:textId="4BFCD48B" w:rsidR="00990923" w:rsidRPr="00287FB6" w:rsidRDefault="00682C77" w:rsidP="006F6C95">
            <w:pPr>
              <w:jc w:val="center"/>
              <w:rPr>
                <w:rFonts w:ascii="Times New Roman" w:hAnsi="Times New Roman" w:cs="Times New Roman"/>
                <w:lang w:val="ro-RO"/>
              </w:rPr>
            </w:pPr>
            <w:r w:rsidRPr="00682C77">
              <w:rPr>
                <w:rFonts w:ascii="Times New Roman" w:hAnsi="Times New Roman" w:cs="Times New Roman"/>
                <w:lang w:val="ro-RO"/>
              </w:rPr>
              <w:t>125</w:t>
            </w:r>
          </w:p>
        </w:tc>
        <w:tc>
          <w:tcPr>
            <w:tcW w:w="1200" w:type="pct"/>
            <w:shd w:val="clear" w:color="auto" w:fill="auto"/>
            <w:vAlign w:val="center"/>
          </w:tcPr>
          <w:p w14:paraId="61065A61" w14:textId="77777777" w:rsidR="00990923" w:rsidRPr="00287FB6" w:rsidRDefault="00990923" w:rsidP="00990923">
            <w:pPr>
              <w:rPr>
                <w:rFonts w:ascii="Times New Roman" w:hAnsi="Times New Roman" w:cs="Times New Roman"/>
                <w:lang w:val="ro-RO"/>
              </w:rPr>
            </w:pPr>
            <w:r w:rsidRPr="00287FB6">
              <w:rPr>
                <w:rFonts w:ascii="Times New Roman" w:hAnsi="Times New Roman" w:cs="Times New Roman"/>
                <w:lang w:val="ro-RO"/>
              </w:rPr>
              <w:t>SA „Energocom”</w:t>
            </w:r>
          </w:p>
          <w:p w14:paraId="5C1B2F28" w14:textId="73F717FF" w:rsidR="00990923" w:rsidRPr="00287FB6" w:rsidRDefault="00990923" w:rsidP="006F6C95">
            <w:pPr>
              <w:rPr>
                <w:rFonts w:ascii="Times New Roman" w:hAnsi="Times New Roman" w:cs="Times New Roman"/>
                <w:lang w:val="ro-RO"/>
              </w:rPr>
            </w:pPr>
            <w:r w:rsidRPr="00287FB6">
              <w:rPr>
                <w:rFonts w:ascii="Times New Roman" w:hAnsi="Times New Roman" w:cs="Times New Roman"/>
                <w:lang w:val="ro-RO"/>
              </w:rPr>
              <w:t>SA „Moldovagaz”</w:t>
            </w:r>
          </w:p>
        </w:tc>
      </w:tr>
      <w:tr w:rsidR="003E6826" w:rsidRPr="00287FB6" w14:paraId="7EABF200" w14:textId="77777777" w:rsidTr="00287FB6">
        <w:trPr>
          <w:trHeight w:val="172"/>
        </w:trPr>
        <w:tc>
          <w:tcPr>
            <w:tcW w:w="292" w:type="pct"/>
            <w:vAlign w:val="center"/>
          </w:tcPr>
          <w:p w14:paraId="4F59E94B" w14:textId="5E6BFB46" w:rsidR="003E6826" w:rsidRPr="00287FB6" w:rsidRDefault="00990923" w:rsidP="006F6C95">
            <w:pPr>
              <w:jc w:val="center"/>
              <w:rPr>
                <w:rFonts w:ascii="Times New Roman" w:hAnsi="Times New Roman" w:cs="Times New Roman"/>
                <w:lang w:val="ro-RO"/>
              </w:rPr>
            </w:pPr>
            <w:r w:rsidRPr="00287FB6">
              <w:rPr>
                <w:rFonts w:ascii="Times New Roman" w:hAnsi="Times New Roman" w:cs="Times New Roman"/>
                <w:lang w:val="ro-RO"/>
              </w:rPr>
              <w:t>8</w:t>
            </w:r>
          </w:p>
        </w:tc>
        <w:tc>
          <w:tcPr>
            <w:tcW w:w="2560" w:type="pct"/>
            <w:shd w:val="clear" w:color="auto" w:fill="auto"/>
            <w:vAlign w:val="center"/>
          </w:tcPr>
          <w:p w14:paraId="4757CB98" w14:textId="4A8CCE3D" w:rsidR="003E6826" w:rsidRPr="00287FB6" w:rsidRDefault="00E86F97" w:rsidP="006F6C95">
            <w:pPr>
              <w:jc w:val="both"/>
              <w:rPr>
                <w:rFonts w:ascii="Times New Roman" w:hAnsi="Times New Roman" w:cs="Times New Roman"/>
                <w:lang w:val="ro-RO"/>
              </w:rPr>
            </w:pPr>
            <w:r w:rsidRPr="00287FB6">
              <w:rPr>
                <w:rFonts w:ascii="Times New Roman" w:hAnsi="Times New Roman" w:cs="Times New Roman"/>
                <w:lang w:val="ro-RO"/>
              </w:rPr>
              <w:t>Trecerea Termoelectrica (CET sursa 1) la funcționarea combinată pe bază de păcură 50% și gaze naturale 50%</w:t>
            </w:r>
          </w:p>
        </w:tc>
        <w:tc>
          <w:tcPr>
            <w:tcW w:w="948" w:type="pct"/>
            <w:shd w:val="clear" w:color="auto" w:fill="auto"/>
            <w:vAlign w:val="center"/>
          </w:tcPr>
          <w:p w14:paraId="0E2A6EE6" w14:textId="136B5AFB" w:rsidR="003E6826" w:rsidRPr="00287FB6" w:rsidRDefault="005C7636" w:rsidP="006F6C95">
            <w:pPr>
              <w:jc w:val="center"/>
              <w:rPr>
                <w:rFonts w:ascii="Times New Roman" w:hAnsi="Times New Roman" w:cs="Times New Roman"/>
                <w:lang w:val="ro-RO"/>
              </w:rPr>
            </w:pPr>
            <w:r w:rsidRPr="00287FB6">
              <w:rPr>
                <w:rFonts w:ascii="Times New Roman" w:hAnsi="Times New Roman" w:cs="Times New Roman"/>
                <w:lang w:val="ro-RO"/>
              </w:rPr>
              <w:t>104</w:t>
            </w:r>
          </w:p>
        </w:tc>
        <w:tc>
          <w:tcPr>
            <w:tcW w:w="1200" w:type="pct"/>
            <w:shd w:val="clear" w:color="auto" w:fill="auto"/>
            <w:vAlign w:val="center"/>
          </w:tcPr>
          <w:p w14:paraId="0CED1785" w14:textId="77777777" w:rsidR="003E6826" w:rsidRPr="00287FB6" w:rsidRDefault="003E6826" w:rsidP="006F6C95">
            <w:pPr>
              <w:rPr>
                <w:rFonts w:ascii="Times New Roman" w:hAnsi="Times New Roman" w:cs="Times New Roman"/>
                <w:lang w:val="ro-RO"/>
              </w:rPr>
            </w:pPr>
            <w:r w:rsidRPr="00287FB6">
              <w:rPr>
                <w:rFonts w:ascii="Times New Roman" w:hAnsi="Times New Roman" w:cs="Times New Roman"/>
                <w:lang w:val="ro-RO"/>
              </w:rPr>
              <w:t>SA „Termoelectrica”</w:t>
            </w:r>
          </w:p>
        </w:tc>
      </w:tr>
      <w:tr w:rsidR="002B645F" w:rsidRPr="00287FB6" w14:paraId="3E2FF4E8" w14:textId="77777777" w:rsidTr="00287FB6">
        <w:trPr>
          <w:trHeight w:val="172"/>
        </w:trPr>
        <w:tc>
          <w:tcPr>
            <w:tcW w:w="292" w:type="pct"/>
            <w:vAlign w:val="center"/>
          </w:tcPr>
          <w:p w14:paraId="234E9898" w14:textId="378E6506" w:rsidR="002B645F" w:rsidRPr="00287FB6" w:rsidRDefault="00990923" w:rsidP="006F6C95">
            <w:pPr>
              <w:jc w:val="center"/>
              <w:rPr>
                <w:rFonts w:ascii="Times New Roman" w:hAnsi="Times New Roman" w:cs="Times New Roman"/>
                <w:lang w:val="ro-RO"/>
              </w:rPr>
            </w:pPr>
            <w:r w:rsidRPr="00287FB6">
              <w:rPr>
                <w:rFonts w:ascii="Times New Roman" w:hAnsi="Times New Roman" w:cs="Times New Roman"/>
                <w:lang w:val="ro-RO"/>
              </w:rPr>
              <w:t>9</w:t>
            </w:r>
          </w:p>
        </w:tc>
        <w:tc>
          <w:tcPr>
            <w:tcW w:w="2560" w:type="pct"/>
            <w:shd w:val="clear" w:color="auto" w:fill="auto"/>
            <w:vAlign w:val="center"/>
          </w:tcPr>
          <w:p w14:paraId="1940B8C4" w14:textId="2104F5BB" w:rsidR="002B645F" w:rsidRPr="00287FB6" w:rsidRDefault="00C23E81" w:rsidP="006F6C95">
            <w:pPr>
              <w:jc w:val="both"/>
              <w:rPr>
                <w:rFonts w:ascii="Times New Roman" w:hAnsi="Times New Roman" w:cs="Times New Roman"/>
                <w:lang w:val="ro-RO"/>
              </w:rPr>
            </w:pPr>
            <w:r w:rsidRPr="00287FB6">
              <w:rPr>
                <w:rFonts w:ascii="Times New Roman" w:hAnsi="Times New Roman" w:cs="Times New Roman"/>
                <w:lang w:val="ro-RO"/>
              </w:rPr>
              <w:t>Utilizarea mecanismelor stabilite în Acordurile de Interconectare între</w:t>
            </w:r>
            <w:r w:rsidR="002B645F" w:rsidRPr="00287FB6">
              <w:rPr>
                <w:rFonts w:ascii="Times New Roman" w:hAnsi="Times New Roman" w:cs="Times New Roman"/>
                <w:lang w:val="ro-RO"/>
              </w:rPr>
              <w:t xml:space="preserve"> operatori</w:t>
            </w:r>
            <w:r w:rsidRPr="00287FB6">
              <w:rPr>
                <w:rFonts w:ascii="Times New Roman" w:hAnsi="Times New Roman" w:cs="Times New Roman"/>
                <w:lang w:val="ro-RO"/>
              </w:rPr>
              <w:t>i</w:t>
            </w:r>
            <w:r w:rsidR="002B645F" w:rsidRPr="00287FB6">
              <w:rPr>
                <w:rFonts w:ascii="Times New Roman" w:hAnsi="Times New Roman" w:cs="Times New Roman"/>
                <w:lang w:val="ro-RO"/>
              </w:rPr>
              <w:t xml:space="preserve"> sistem</w:t>
            </w:r>
            <w:r w:rsidRPr="00287FB6">
              <w:rPr>
                <w:rFonts w:ascii="Times New Roman" w:hAnsi="Times New Roman" w:cs="Times New Roman"/>
                <w:lang w:val="ro-RO"/>
              </w:rPr>
              <w:t>elor</w:t>
            </w:r>
            <w:r w:rsidR="002B645F" w:rsidRPr="00287FB6">
              <w:rPr>
                <w:rFonts w:ascii="Times New Roman" w:hAnsi="Times New Roman" w:cs="Times New Roman"/>
                <w:lang w:val="ro-RO"/>
              </w:rPr>
              <w:t xml:space="preserve"> de transport adiacenți din Ucraina și Republica Moldova, România și Republica Moldova</w:t>
            </w:r>
          </w:p>
        </w:tc>
        <w:tc>
          <w:tcPr>
            <w:tcW w:w="948" w:type="pct"/>
            <w:shd w:val="clear" w:color="auto" w:fill="auto"/>
            <w:vAlign w:val="center"/>
          </w:tcPr>
          <w:p w14:paraId="62FCFDDC" w14:textId="77777777" w:rsidR="002B645F" w:rsidRPr="00287FB6" w:rsidRDefault="002B645F" w:rsidP="006F6C95">
            <w:pPr>
              <w:jc w:val="center"/>
              <w:rPr>
                <w:rFonts w:ascii="Times New Roman" w:hAnsi="Times New Roman" w:cs="Times New Roman"/>
                <w:lang w:val="ro-RO"/>
              </w:rPr>
            </w:pPr>
            <w:r w:rsidRPr="00287FB6">
              <w:rPr>
                <w:rFonts w:ascii="Times New Roman" w:hAnsi="Times New Roman" w:cs="Times New Roman"/>
                <w:lang w:val="ro-RO"/>
              </w:rPr>
              <w:t>17</w:t>
            </w:r>
          </w:p>
        </w:tc>
        <w:tc>
          <w:tcPr>
            <w:tcW w:w="1200" w:type="pct"/>
            <w:shd w:val="clear" w:color="auto" w:fill="auto"/>
            <w:vAlign w:val="center"/>
          </w:tcPr>
          <w:p w14:paraId="1EA3C5C7" w14:textId="06189E32" w:rsidR="002B645F" w:rsidRPr="00287FB6" w:rsidRDefault="0015662F" w:rsidP="006F6C95">
            <w:pPr>
              <w:rPr>
                <w:rFonts w:ascii="Times New Roman" w:hAnsi="Times New Roman" w:cs="Times New Roman"/>
                <w:lang w:val="ro-RO"/>
              </w:rPr>
            </w:pPr>
            <w:r w:rsidRPr="00287FB6">
              <w:rPr>
                <w:rFonts w:ascii="Times New Roman" w:hAnsi="Times New Roman" w:cs="Times New Roman"/>
                <w:lang w:val="ro-RO"/>
              </w:rPr>
              <w:t>„</w:t>
            </w:r>
            <w:r w:rsidR="002B645F" w:rsidRPr="00287FB6">
              <w:rPr>
                <w:rFonts w:ascii="Times New Roman" w:hAnsi="Times New Roman" w:cs="Times New Roman"/>
                <w:lang w:val="ro-RO"/>
              </w:rPr>
              <w:t>Moldovatransgaz” SRL</w:t>
            </w:r>
          </w:p>
          <w:p w14:paraId="1EB2ECDE" w14:textId="77777777" w:rsidR="002B645F" w:rsidRPr="00287FB6" w:rsidRDefault="002B645F" w:rsidP="006F6C95">
            <w:pPr>
              <w:rPr>
                <w:rFonts w:ascii="Times New Roman" w:hAnsi="Times New Roman" w:cs="Times New Roman"/>
                <w:lang w:val="ro-RO"/>
              </w:rPr>
            </w:pPr>
            <w:r w:rsidRPr="00287FB6">
              <w:rPr>
                <w:rFonts w:ascii="Times New Roman" w:hAnsi="Times New Roman" w:cs="Times New Roman"/>
                <w:lang w:val="ro-RO"/>
              </w:rPr>
              <w:t>„Vestmoldtransgaz” SRL</w:t>
            </w:r>
          </w:p>
          <w:p w14:paraId="5135B313" w14:textId="77777777" w:rsidR="0015662F" w:rsidRPr="00287FB6" w:rsidRDefault="0015662F" w:rsidP="0015662F">
            <w:pPr>
              <w:rPr>
                <w:rFonts w:ascii="Times New Roman" w:hAnsi="Times New Roman" w:cs="Times New Roman"/>
                <w:lang w:val="ro-RO"/>
              </w:rPr>
            </w:pPr>
            <w:r w:rsidRPr="00287FB6">
              <w:rPr>
                <w:rFonts w:ascii="Times New Roman" w:hAnsi="Times New Roman" w:cs="Times New Roman"/>
                <w:lang w:val="ro-RO"/>
              </w:rPr>
              <w:t xml:space="preserve">SA „Moldovagaz” </w:t>
            </w:r>
          </w:p>
          <w:p w14:paraId="0BE72981" w14:textId="782325E8" w:rsidR="0015662F" w:rsidRPr="00287FB6" w:rsidRDefault="003735DF" w:rsidP="006F6C95">
            <w:pPr>
              <w:rPr>
                <w:rFonts w:ascii="Times New Roman" w:hAnsi="Times New Roman" w:cs="Times New Roman"/>
                <w:lang w:val="ro-RO"/>
              </w:rPr>
            </w:pPr>
            <w:r w:rsidRPr="00287FB6">
              <w:rPr>
                <w:rFonts w:ascii="Times New Roman" w:hAnsi="Times New Roman" w:cs="Times New Roman"/>
                <w:lang w:val="ro-RO"/>
              </w:rPr>
              <w:t>SA „Energocom”</w:t>
            </w:r>
          </w:p>
        </w:tc>
      </w:tr>
      <w:tr w:rsidR="00D1364C" w:rsidRPr="00287FB6" w14:paraId="24551BB0" w14:textId="77777777" w:rsidTr="00287FB6">
        <w:trPr>
          <w:trHeight w:val="172"/>
        </w:trPr>
        <w:tc>
          <w:tcPr>
            <w:tcW w:w="292" w:type="pct"/>
            <w:vAlign w:val="center"/>
          </w:tcPr>
          <w:p w14:paraId="48F25A42" w14:textId="0555CD7D" w:rsidR="00D1364C" w:rsidRPr="00287FB6" w:rsidRDefault="00990923" w:rsidP="006F6C95">
            <w:pPr>
              <w:jc w:val="center"/>
              <w:rPr>
                <w:rFonts w:ascii="Times New Roman" w:hAnsi="Times New Roman" w:cs="Times New Roman"/>
                <w:lang w:val="ro-RO"/>
              </w:rPr>
            </w:pPr>
            <w:r w:rsidRPr="00287FB6">
              <w:rPr>
                <w:rFonts w:ascii="Times New Roman" w:hAnsi="Times New Roman" w:cs="Times New Roman"/>
                <w:lang w:val="ro-RO"/>
              </w:rPr>
              <w:t>10</w:t>
            </w:r>
          </w:p>
        </w:tc>
        <w:tc>
          <w:tcPr>
            <w:tcW w:w="2560" w:type="pct"/>
            <w:shd w:val="clear" w:color="auto" w:fill="auto"/>
            <w:vAlign w:val="center"/>
          </w:tcPr>
          <w:p w14:paraId="147D6541" w14:textId="66CC8CAD" w:rsidR="00D1364C" w:rsidRPr="00287FB6" w:rsidRDefault="00D1364C" w:rsidP="006F6C95">
            <w:pPr>
              <w:jc w:val="both"/>
              <w:rPr>
                <w:rFonts w:ascii="Times New Roman" w:hAnsi="Times New Roman" w:cs="Times New Roman"/>
                <w:lang w:val="ro-RO"/>
              </w:rPr>
            </w:pPr>
            <w:r w:rsidRPr="00287FB6">
              <w:rPr>
                <w:rFonts w:ascii="Times New Roman" w:hAnsi="Times New Roman" w:cs="Times New Roman"/>
                <w:lang w:val="ro-RO"/>
              </w:rPr>
              <w:t>Utilizarea stocurilor de gaze naturale din rețelele de transport gestionate de operatorii sistemului de transport licențiați</w:t>
            </w:r>
          </w:p>
        </w:tc>
        <w:tc>
          <w:tcPr>
            <w:tcW w:w="948" w:type="pct"/>
            <w:shd w:val="clear" w:color="auto" w:fill="auto"/>
            <w:vAlign w:val="center"/>
          </w:tcPr>
          <w:p w14:paraId="4D055263" w14:textId="502C84D9" w:rsidR="00D1364C" w:rsidRPr="00287FB6" w:rsidRDefault="004612D8" w:rsidP="001F7D13">
            <w:pPr>
              <w:jc w:val="center"/>
              <w:rPr>
                <w:rFonts w:ascii="Times New Roman" w:hAnsi="Times New Roman" w:cs="Times New Roman"/>
                <w:lang w:val="ro-RO"/>
              </w:rPr>
            </w:pPr>
            <w:r w:rsidRPr="00287FB6">
              <w:rPr>
                <w:rFonts w:ascii="Times New Roman" w:hAnsi="Times New Roman" w:cs="Times New Roman"/>
                <w:lang w:val="ro-RO"/>
              </w:rPr>
              <w:t>1</w:t>
            </w:r>
            <w:r w:rsidR="00D423ED" w:rsidRPr="00287FB6">
              <w:rPr>
                <w:rFonts w:ascii="Times New Roman" w:hAnsi="Times New Roman" w:cs="Times New Roman"/>
                <w:lang w:val="ro-RO"/>
              </w:rPr>
              <w:t>0</w:t>
            </w:r>
          </w:p>
        </w:tc>
        <w:tc>
          <w:tcPr>
            <w:tcW w:w="1200" w:type="pct"/>
            <w:shd w:val="clear" w:color="auto" w:fill="auto"/>
            <w:vAlign w:val="center"/>
          </w:tcPr>
          <w:p w14:paraId="60368617" w14:textId="77777777" w:rsidR="00D1364C" w:rsidRPr="00287FB6" w:rsidRDefault="00D1364C" w:rsidP="006F6C95">
            <w:pPr>
              <w:rPr>
                <w:rFonts w:ascii="Times New Roman" w:hAnsi="Times New Roman" w:cs="Times New Roman"/>
                <w:lang w:val="ro-RO"/>
              </w:rPr>
            </w:pPr>
            <w:r w:rsidRPr="00287FB6">
              <w:rPr>
                <w:rFonts w:ascii="Times New Roman" w:hAnsi="Times New Roman" w:cs="Times New Roman"/>
                <w:lang w:val="ro-RO"/>
              </w:rPr>
              <w:t>Moldovatransgaz” SRL</w:t>
            </w:r>
          </w:p>
          <w:p w14:paraId="363E0E48" w14:textId="77777777" w:rsidR="00D1364C" w:rsidRPr="00287FB6" w:rsidRDefault="00D1364C" w:rsidP="006F6C95">
            <w:pPr>
              <w:rPr>
                <w:rFonts w:ascii="Times New Roman" w:hAnsi="Times New Roman" w:cs="Times New Roman"/>
                <w:lang w:val="ro-RO"/>
              </w:rPr>
            </w:pPr>
            <w:r w:rsidRPr="00287FB6">
              <w:rPr>
                <w:rFonts w:ascii="Times New Roman" w:hAnsi="Times New Roman" w:cs="Times New Roman"/>
                <w:lang w:val="ro-RO"/>
              </w:rPr>
              <w:t>„Vestmoldtransgaz” SRL</w:t>
            </w:r>
          </w:p>
          <w:p w14:paraId="56552A87" w14:textId="77777777" w:rsidR="00641D35" w:rsidRPr="00287FB6" w:rsidRDefault="00641D35" w:rsidP="006F6C95">
            <w:pPr>
              <w:rPr>
                <w:rFonts w:ascii="Times New Roman" w:hAnsi="Times New Roman" w:cs="Times New Roman"/>
                <w:lang w:val="ro-RO"/>
              </w:rPr>
            </w:pPr>
            <w:r w:rsidRPr="00287FB6">
              <w:rPr>
                <w:rFonts w:ascii="Times New Roman" w:hAnsi="Times New Roman" w:cs="Times New Roman"/>
                <w:lang w:val="ro-RO"/>
              </w:rPr>
              <w:t>SA „Moldovagaz”</w:t>
            </w:r>
          </w:p>
          <w:p w14:paraId="26C3104D" w14:textId="1C4D5935" w:rsidR="003735DF" w:rsidRPr="00287FB6" w:rsidRDefault="003735DF" w:rsidP="006F6C95">
            <w:pPr>
              <w:rPr>
                <w:rFonts w:ascii="Times New Roman" w:hAnsi="Times New Roman" w:cs="Times New Roman"/>
                <w:lang w:val="ro-RO"/>
              </w:rPr>
            </w:pPr>
            <w:r w:rsidRPr="00287FB6">
              <w:rPr>
                <w:rFonts w:ascii="Times New Roman" w:hAnsi="Times New Roman" w:cs="Times New Roman"/>
                <w:lang w:val="ro-RO"/>
              </w:rPr>
              <w:t>SA „Energocom”</w:t>
            </w:r>
          </w:p>
        </w:tc>
      </w:tr>
      <w:tr w:rsidR="00934230" w:rsidRPr="00287FB6" w14:paraId="1BC9E63E" w14:textId="77777777" w:rsidTr="00287FB6">
        <w:trPr>
          <w:trHeight w:val="172"/>
        </w:trPr>
        <w:tc>
          <w:tcPr>
            <w:tcW w:w="292" w:type="pct"/>
            <w:vAlign w:val="center"/>
          </w:tcPr>
          <w:p w14:paraId="4DEB14B1" w14:textId="2A26ACF0" w:rsidR="00934230" w:rsidRPr="00287FB6" w:rsidRDefault="00990923" w:rsidP="00934230">
            <w:pPr>
              <w:jc w:val="center"/>
              <w:rPr>
                <w:rFonts w:ascii="Times New Roman" w:hAnsi="Times New Roman" w:cs="Times New Roman"/>
                <w:lang w:val="ro-RO"/>
              </w:rPr>
            </w:pPr>
            <w:r w:rsidRPr="00287FB6">
              <w:rPr>
                <w:rFonts w:ascii="Times New Roman" w:hAnsi="Times New Roman" w:cs="Times New Roman"/>
                <w:lang w:val="ro-RO"/>
              </w:rPr>
              <w:t>11</w:t>
            </w:r>
          </w:p>
        </w:tc>
        <w:tc>
          <w:tcPr>
            <w:tcW w:w="2560" w:type="pct"/>
            <w:shd w:val="clear" w:color="auto" w:fill="auto"/>
            <w:vAlign w:val="center"/>
          </w:tcPr>
          <w:p w14:paraId="4E85A065" w14:textId="7AAC1136" w:rsidR="00934230" w:rsidRPr="00287FB6" w:rsidRDefault="00990923" w:rsidP="00934230">
            <w:pPr>
              <w:jc w:val="both"/>
              <w:rPr>
                <w:rFonts w:ascii="Times New Roman" w:hAnsi="Times New Roman" w:cs="Times New Roman"/>
                <w:lang w:val="ro-RO"/>
              </w:rPr>
            </w:pPr>
            <w:r w:rsidRPr="00287FB6">
              <w:rPr>
                <w:rFonts w:ascii="Times New Roman" w:hAnsi="Times New Roman" w:cs="Times New Roman"/>
                <w:color w:val="000000" w:themeColor="text1"/>
                <w:lang w:val="ro-RO"/>
              </w:rPr>
              <w:t xml:space="preserve">Accesarea Acordului de împrumut dintre Republica Moldova și BERD </w:t>
            </w:r>
            <w:r w:rsidR="00CA6F3B" w:rsidRPr="00CA6F3B">
              <w:rPr>
                <w:rFonts w:ascii="Times New Roman" w:hAnsi="Times New Roman" w:cs="Times New Roman"/>
                <w:color w:val="000000" w:themeColor="text1"/>
                <w:lang w:val="ro-RO"/>
              </w:rPr>
              <w:t>(ciclul nr. 2)</w:t>
            </w:r>
            <w:r w:rsidRPr="00287FB6">
              <w:rPr>
                <w:rFonts w:ascii="Times New Roman" w:hAnsi="Times New Roman" w:cs="Times New Roman"/>
                <w:color w:val="000000" w:themeColor="text1"/>
                <w:lang w:val="ro-RO"/>
              </w:rPr>
              <w:t>, în vederea realizării proiectului „Securitatea Furnizării Gazelor Naturale”</w:t>
            </w:r>
          </w:p>
        </w:tc>
        <w:tc>
          <w:tcPr>
            <w:tcW w:w="948" w:type="pct"/>
            <w:shd w:val="clear" w:color="auto" w:fill="auto"/>
            <w:vAlign w:val="center"/>
          </w:tcPr>
          <w:p w14:paraId="77671137" w14:textId="501C8F62" w:rsidR="00934230" w:rsidRPr="00287FB6" w:rsidRDefault="00934230" w:rsidP="00934230">
            <w:pPr>
              <w:jc w:val="center"/>
              <w:rPr>
                <w:rFonts w:ascii="Times New Roman" w:hAnsi="Times New Roman" w:cs="Times New Roman"/>
                <w:lang w:val="ro-RO"/>
              </w:rPr>
            </w:pPr>
            <w:r w:rsidRPr="00287FB6">
              <w:rPr>
                <w:rFonts w:ascii="Times New Roman" w:hAnsi="Times New Roman" w:cs="Times New Roman"/>
                <w:lang w:val="ro-RO"/>
              </w:rPr>
              <w:t>300</w:t>
            </w:r>
          </w:p>
        </w:tc>
        <w:tc>
          <w:tcPr>
            <w:tcW w:w="1200" w:type="pct"/>
            <w:shd w:val="clear" w:color="auto" w:fill="auto"/>
            <w:vAlign w:val="center"/>
          </w:tcPr>
          <w:p w14:paraId="72B592D8" w14:textId="0D15E37D" w:rsidR="00934230" w:rsidRPr="00287FB6" w:rsidRDefault="00D74DB8" w:rsidP="00934230">
            <w:pPr>
              <w:rPr>
                <w:rFonts w:ascii="Times New Roman" w:hAnsi="Times New Roman" w:cs="Times New Roman"/>
                <w:lang w:val="ro-RO"/>
              </w:rPr>
            </w:pPr>
            <w:r w:rsidRPr="00287FB6">
              <w:rPr>
                <w:rFonts w:ascii="Times New Roman" w:hAnsi="Times New Roman" w:cs="Times New Roman"/>
                <w:lang w:val="ro-RO"/>
              </w:rPr>
              <w:t>Ministerul Energiei</w:t>
            </w:r>
          </w:p>
          <w:p w14:paraId="480C529B" w14:textId="3ACF5D0F" w:rsidR="00934230" w:rsidRPr="00287FB6" w:rsidRDefault="00934230" w:rsidP="00934230">
            <w:pPr>
              <w:rPr>
                <w:rFonts w:ascii="Times New Roman" w:hAnsi="Times New Roman" w:cs="Times New Roman"/>
                <w:lang w:val="ro-RO"/>
              </w:rPr>
            </w:pPr>
            <w:r w:rsidRPr="00287FB6">
              <w:rPr>
                <w:rFonts w:ascii="Times New Roman" w:hAnsi="Times New Roman" w:cs="Times New Roman"/>
                <w:lang w:val="ro-RO"/>
              </w:rPr>
              <w:t>SA „Energocom”</w:t>
            </w:r>
          </w:p>
        </w:tc>
      </w:tr>
      <w:tr w:rsidR="00934230" w:rsidRPr="00287FB6" w14:paraId="35B9F692" w14:textId="77777777" w:rsidTr="00287FB6">
        <w:trPr>
          <w:trHeight w:val="172"/>
        </w:trPr>
        <w:tc>
          <w:tcPr>
            <w:tcW w:w="292" w:type="pct"/>
            <w:vAlign w:val="center"/>
          </w:tcPr>
          <w:p w14:paraId="77DEFAED" w14:textId="1A45A475" w:rsidR="00934230" w:rsidRPr="00287FB6" w:rsidRDefault="00990923" w:rsidP="00934230">
            <w:pPr>
              <w:jc w:val="center"/>
              <w:rPr>
                <w:rFonts w:ascii="Times New Roman" w:hAnsi="Times New Roman" w:cs="Times New Roman"/>
                <w:lang w:val="ro-RO"/>
              </w:rPr>
            </w:pPr>
            <w:r w:rsidRPr="00287FB6">
              <w:rPr>
                <w:rFonts w:ascii="Times New Roman" w:hAnsi="Times New Roman" w:cs="Times New Roman"/>
                <w:lang w:val="ro-RO"/>
              </w:rPr>
              <w:t>12</w:t>
            </w:r>
          </w:p>
        </w:tc>
        <w:tc>
          <w:tcPr>
            <w:tcW w:w="2560" w:type="pct"/>
            <w:shd w:val="clear" w:color="auto" w:fill="auto"/>
            <w:vAlign w:val="center"/>
          </w:tcPr>
          <w:p w14:paraId="404D5FD1" w14:textId="063DD553" w:rsidR="00934230" w:rsidRPr="00287FB6" w:rsidRDefault="00934230" w:rsidP="00934230">
            <w:pPr>
              <w:jc w:val="both"/>
              <w:rPr>
                <w:rFonts w:ascii="Times New Roman" w:hAnsi="Times New Roman" w:cs="Times New Roman"/>
                <w:lang w:val="ro-RO"/>
              </w:rPr>
            </w:pPr>
            <w:r w:rsidRPr="00287FB6">
              <w:rPr>
                <w:rFonts w:ascii="Times New Roman" w:hAnsi="Times New Roman" w:cs="Times New Roman"/>
                <w:lang w:val="ro-RO"/>
              </w:rPr>
              <w:t>Utilizarea stocurilor de securitate de gaze naturale disponibile</w:t>
            </w:r>
          </w:p>
        </w:tc>
        <w:tc>
          <w:tcPr>
            <w:tcW w:w="948" w:type="pct"/>
            <w:shd w:val="clear" w:color="auto" w:fill="auto"/>
            <w:vAlign w:val="center"/>
          </w:tcPr>
          <w:p w14:paraId="7361A95E" w14:textId="1F379FDD" w:rsidR="00934230" w:rsidRPr="00287FB6" w:rsidRDefault="00934230" w:rsidP="00934230">
            <w:pPr>
              <w:jc w:val="center"/>
              <w:rPr>
                <w:rFonts w:ascii="Times New Roman" w:hAnsi="Times New Roman" w:cs="Times New Roman"/>
                <w:lang w:val="ro-RO"/>
              </w:rPr>
            </w:pPr>
            <w:r w:rsidRPr="00287FB6">
              <w:rPr>
                <w:rFonts w:ascii="Times New Roman" w:hAnsi="Times New Roman" w:cs="Times New Roman"/>
                <w:lang w:val="ro-RO"/>
              </w:rPr>
              <w:t>45,6</w:t>
            </w:r>
          </w:p>
        </w:tc>
        <w:tc>
          <w:tcPr>
            <w:tcW w:w="1200" w:type="pct"/>
            <w:shd w:val="clear" w:color="auto" w:fill="auto"/>
            <w:vAlign w:val="center"/>
          </w:tcPr>
          <w:p w14:paraId="3FFBB0C9" w14:textId="77777777" w:rsidR="00934230" w:rsidRPr="00287FB6" w:rsidRDefault="00934230" w:rsidP="00934230">
            <w:pPr>
              <w:rPr>
                <w:rFonts w:ascii="Times New Roman" w:hAnsi="Times New Roman" w:cs="Times New Roman"/>
                <w:lang w:val="ro-RO"/>
              </w:rPr>
            </w:pPr>
            <w:r w:rsidRPr="00287FB6">
              <w:rPr>
                <w:rFonts w:ascii="Times New Roman" w:hAnsi="Times New Roman" w:cs="Times New Roman"/>
                <w:lang w:val="ro-RO"/>
              </w:rPr>
              <w:t>SA „Energocom”</w:t>
            </w:r>
          </w:p>
        </w:tc>
      </w:tr>
      <w:tr w:rsidR="00E86F97" w:rsidRPr="00287FB6" w14:paraId="7D27D0B4" w14:textId="77777777" w:rsidTr="00287FB6">
        <w:trPr>
          <w:trHeight w:val="1055"/>
        </w:trPr>
        <w:tc>
          <w:tcPr>
            <w:tcW w:w="292" w:type="pct"/>
            <w:vAlign w:val="center"/>
          </w:tcPr>
          <w:p w14:paraId="0E03972D" w14:textId="49DE51D4" w:rsidR="00E86F97" w:rsidRPr="00287FB6" w:rsidRDefault="00990923" w:rsidP="00E86F97">
            <w:pPr>
              <w:jc w:val="center"/>
              <w:rPr>
                <w:rFonts w:ascii="Times New Roman" w:hAnsi="Times New Roman" w:cs="Times New Roman"/>
                <w:lang w:val="ro-RO"/>
              </w:rPr>
            </w:pPr>
            <w:r w:rsidRPr="00287FB6">
              <w:rPr>
                <w:rFonts w:ascii="Times New Roman" w:hAnsi="Times New Roman" w:cs="Times New Roman"/>
                <w:lang w:val="ro-RO"/>
              </w:rPr>
              <w:t>1</w:t>
            </w:r>
            <w:r w:rsidR="00287FB6" w:rsidRPr="00287FB6">
              <w:rPr>
                <w:rFonts w:ascii="Times New Roman" w:hAnsi="Times New Roman" w:cs="Times New Roman"/>
                <w:lang w:val="ro-RO"/>
              </w:rPr>
              <w:t>3</w:t>
            </w:r>
          </w:p>
        </w:tc>
        <w:tc>
          <w:tcPr>
            <w:tcW w:w="2560" w:type="pct"/>
            <w:shd w:val="clear" w:color="auto" w:fill="auto"/>
            <w:vAlign w:val="center"/>
          </w:tcPr>
          <w:p w14:paraId="3ACB5358" w14:textId="214E99EF" w:rsidR="00E86F97" w:rsidRPr="00287FB6" w:rsidRDefault="00E86F97" w:rsidP="00E86F97">
            <w:pPr>
              <w:jc w:val="both"/>
              <w:rPr>
                <w:rFonts w:ascii="Times New Roman" w:hAnsi="Times New Roman" w:cs="Times New Roman"/>
                <w:lang w:val="ro-RO"/>
              </w:rPr>
            </w:pPr>
            <w:r w:rsidRPr="00287FB6">
              <w:rPr>
                <w:rFonts w:ascii="Times New Roman" w:hAnsi="Times New Roman" w:cs="Times New Roman"/>
                <w:lang w:val="ro-RO"/>
              </w:rPr>
              <w:t>Reducerea temperaturii agentului termic, cu 10%, în încăperile administrative și cele de producție (sectoare de exploatare), fără a scădea sub nivelul minim necesar întru asigurarea condițiilor micro climaterice favorabile</w:t>
            </w:r>
          </w:p>
        </w:tc>
        <w:tc>
          <w:tcPr>
            <w:tcW w:w="948" w:type="pct"/>
            <w:shd w:val="clear" w:color="auto" w:fill="auto"/>
            <w:vAlign w:val="center"/>
          </w:tcPr>
          <w:p w14:paraId="25492113" w14:textId="77777777" w:rsidR="00E86F97" w:rsidRPr="00287FB6" w:rsidRDefault="00E86F97" w:rsidP="00E86F97">
            <w:pPr>
              <w:jc w:val="center"/>
              <w:rPr>
                <w:rFonts w:ascii="Times New Roman" w:hAnsi="Times New Roman" w:cs="Times New Roman"/>
                <w:lang w:val="ro-RO"/>
              </w:rPr>
            </w:pPr>
            <w:r w:rsidRPr="00287FB6">
              <w:rPr>
                <w:rFonts w:ascii="Times New Roman" w:hAnsi="Times New Roman" w:cs="Times New Roman"/>
                <w:lang w:val="ro-RO"/>
              </w:rPr>
              <w:t>-</w:t>
            </w:r>
          </w:p>
        </w:tc>
        <w:tc>
          <w:tcPr>
            <w:tcW w:w="1200" w:type="pct"/>
            <w:shd w:val="clear" w:color="auto" w:fill="auto"/>
            <w:vAlign w:val="center"/>
          </w:tcPr>
          <w:p w14:paraId="2502D55D" w14:textId="77777777" w:rsidR="00E86F97" w:rsidRPr="00287FB6" w:rsidRDefault="00E86F97" w:rsidP="00E86F97">
            <w:pPr>
              <w:rPr>
                <w:rFonts w:ascii="Times New Roman" w:hAnsi="Times New Roman" w:cs="Times New Roman"/>
                <w:lang w:val="ro-RO"/>
              </w:rPr>
            </w:pPr>
            <w:r w:rsidRPr="00287FB6">
              <w:rPr>
                <w:rFonts w:ascii="Times New Roman" w:hAnsi="Times New Roman" w:cs="Times New Roman"/>
                <w:lang w:val="ro-RO"/>
              </w:rPr>
              <w:t>Cancelaria de Stat</w:t>
            </w:r>
          </w:p>
          <w:p w14:paraId="483E6B14" w14:textId="77777777" w:rsidR="00E86F97" w:rsidRPr="00287FB6" w:rsidRDefault="00E86F97" w:rsidP="00E86F97">
            <w:pPr>
              <w:rPr>
                <w:rFonts w:ascii="Times New Roman" w:hAnsi="Times New Roman" w:cs="Times New Roman"/>
                <w:lang w:val="ro-RO"/>
              </w:rPr>
            </w:pPr>
            <w:r w:rsidRPr="00287FB6">
              <w:rPr>
                <w:rFonts w:ascii="Times New Roman" w:hAnsi="Times New Roman" w:cs="Times New Roman"/>
                <w:lang w:val="ro-RO"/>
              </w:rPr>
              <w:t xml:space="preserve">APC </w:t>
            </w:r>
          </w:p>
          <w:p w14:paraId="3E53ED0A" w14:textId="1D9EBE40" w:rsidR="00E86F97" w:rsidRPr="00287FB6" w:rsidRDefault="00E86F97" w:rsidP="00E86F97">
            <w:pPr>
              <w:rPr>
                <w:rFonts w:ascii="Times New Roman" w:hAnsi="Times New Roman" w:cs="Times New Roman"/>
                <w:lang w:val="ro-RO"/>
              </w:rPr>
            </w:pPr>
            <w:r w:rsidRPr="00287FB6">
              <w:rPr>
                <w:rFonts w:ascii="Times New Roman" w:hAnsi="Times New Roman" w:cs="Times New Roman"/>
                <w:lang w:val="ro-RO"/>
              </w:rPr>
              <w:t>Se recomandă APL</w:t>
            </w:r>
          </w:p>
          <w:p w14:paraId="78C01D0F" w14:textId="77777777" w:rsidR="00E86F97" w:rsidRPr="00287FB6" w:rsidRDefault="00E86F97" w:rsidP="00E86F97">
            <w:pPr>
              <w:rPr>
                <w:rFonts w:ascii="Times New Roman" w:hAnsi="Times New Roman" w:cs="Times New Roman"/>
                <w:lang w:val="ro-RO"/>
              </w:rPr>
            </w:pPr>
          </w:p>
        </w:tc>
      </w:tr>
      <w:tr w:rsidR="00E86F97" w:rsidRPr="00287FB6" w14:paraId="303D8D17" w14:textId="77777777" w:rsidTr="00287FB6">
        <w:trPr>
          <w:trHeight w:val="1055"/>
        </w:trPr>
        <w:tc>
          <w:tcPr>
            <w:tcW w:w="292" w:type="pct"/>
            <w:vAlign w:val="center"/>
          </w:tcPr>
          <w:p w14:paraId="7B7E828C" w14:textId="2BB890A5" w:rsidR="00E86F97" w:rsidRPr="00287FB6" w:rsidRDefault="00990923" w:rsidP="00E86F97">
            <w:pPr>
              <w:jc w:val="center"/>
              <w:rPr>
                <w:rFonts w:ascii="Times New Roman" w:hAnsi="Times New Roman" w:cs="Times New Roman"/>
                <w:lang w:val="ro-RO"/>
              </w:rPr>
            </w:pPr>
            <w:r w:rsidRPr="00287FB6">
              <w:rPr>
                <w:rFonts w:ascii="Times New Roman" w:hAnsi="Times New Roman" w:cs="Times New Roman"/>
                <w:lang w:val="ro-RO"/>
              </w:rPr>
              <w:t>1</w:t>
            </w:r>
            <w:r w:rsidR="00287FB6" w:rsidRPr="00287FB6">
              <w:rPr>
                <w:rFonts w:ascii="Times New Roman" w:hAnsi="Times New Roman" w:cs="Times New Roman"/>
                <w:lang w:val="ro-RO"/>
              </w:rPr>
              <w:t>4</w:t>
            </w:r>
          </w:p>
        </w:tc>
        <w:tc>
          <w:tcPr>
            <w:tcW w:w="2560" w:type="pct"/>
            <w:shd w:val="clear" w:color="auto" w:fill="auto"/>
            <w:vAlign w:val="center"/>
          </w:tcPr>
          <w:p w14:paraId="3F632A1F" w14:textId="3524CABE" w:rsidR="00E86F97" w:rsidRPr="00287FB6" w:rsidRDefault="00E86F97" w:rsidP="00E86F97">
            <w:pPr>
              <w:jc w:val="both"/>
              <w:rPr>
                <w:rFonts w:ascii="Times New Roman" w:hAnsi="Times New Roman" w:cs="Times New Roman"/>
                <w:lang w:val="ro-RO"/>
              </w:rPr>
            </w:pPr>
            <w:r w:rsidRPr="00287FB6">
              <w:rPr>
                <w:rFonts w:ascii="Times New Roman" w:hAnsi="Times New Roman" w:cs="Times New Roman"/>
                <w:lang w:val="ro-RO"/>
              </w:rPr>
              <w:t>Limitarea, la maxim, a temperaturii interioare în afara programului de lucru și în weekend</w:t>
            </w:r>
            <w:r w:rsidR="00F73B05" w:rsidRPr="00287FB6">
              <w:rPr>
                <w:rFonts w:ascii="Times New Roman" w:hAnsi="Times New Roman" w:cs="Times New Roman"/>
                <w:lang w:val="ro-RO"/>
              </w:rPr>
              <w:t>, în condițiile respectării valorilor minime normate</w:t>
            </w:r>
          </w:p>
        </w:tc>
        <w:tc>
          <w:tcPr>
            <w:tcW w:w="948" w:type="pct"/>
            <w:shd w:val="clear" w:color="auto" w:fill="auto"/>
            <w:vAlign w:val="center"/>
          </w:tcPr>
          <w:p w14:paraId="5A53CB71" w14:textId="77777777" w:rsidR="00E86F97" w:rsidRPr="00287FB6" w:rsidRDefault="00E86F97" w:rsidP="00E86F97">
            <w:pPr>
              <w:jc w:val="center"/>
              <w:rPr>
                <w:rFonts w:ascii="Times New Roman" w:hAnsi="Times New Roman" w:cs="Times New Roman"/>
                <w:lang w:val="ro-RO"/>
              </w:rPr>
            </w:pPr>
            <w:r w:rsidRPr="00287FB6">
              <w:rPr>
                <w:rFonts w:ascii="Times New Roman" w:hAnsi="Times New Roman" w:cs="Times New Roman"/>
                <w:lang w:val="ro-RO"/>
              </w:rPr>
              <w:t>-</w:t>
            </w:r>
          </w:p>
        </w:tc>
        <w:tc>
          <w:tcPr>
            <w:tcW w:w="1200" w:type="pct"/>
            <w:shd w:val="clear" w:color="auto" w:fill="auto"/>
            <w:vAlign w:val="center"/>
          </w:tcPr>
          <w:p w14:paraId="5BB08245" w14:textId="77777777" w:rsidR="00E86F97" w:rsidRPr="00287FB6" w:rsidRDefault="00E86F97" w:rsidP="00E86F97">
            <w:pPr>
              <w:rPr>
                <w:rFonts w:ascii="Times New Roman" w:hAnsi="Times New Roman" w:cs="Times New Roman"/>
                <w:lang w:val="ro-RO"/>
              </w:rPr>
            </w:pPr>
            <w:r w:rsidRPr="00287FB6">
              <w:rPr>
                <w:rFonts w:ascii="Times New Roman" w:hAnsi="Times New Roman" w:cs="Times New Roman"/>
                <w:lang w:val="ro-RO"/>
              </w:rPr>
              <w:t>Sector public</w:t>
            </w:r>
          </w:p>
          <w:p w14:paraId="1D827134" w14:textId="77777777" w:rsidR="00E86F97" w:rsidRPr="00287FB6" w:rsidRDefault="00E86F97" w:rsidP="00E86F97">
            <w:pPr>
              <w:rPr>
                <w:rFonts w:ascii="Times New Roman" w:hAnsi="Times New Roman" w:cs="Times New Roman"/>
                <w:lang w:val="ro-RO"/>
              </w:rPr>
            </w:pPr>
            <w:r w:rsidRPr="00287FB6">
              <w:rPr>
                <w:rFonts w:ascii="Times New Roman" w:hAnsi="Times New Roman" w:cs="Times New Roman"/>
                <w:lang w:val="ro-RO"/>
              </w:rPr>
              <w:t>Sector privat</w:t>
            </w:r>
          </w:p>
        </w:tc>
      </w:tr>
      <w:tr w:rsidR="00E86F97" w:rsidRPr="00287FB6" w14:paraId="41CB07B8" w14:textId="77777777" w:rsidTr="00287FB6">
        <w:trPr>
          <w:trHeight w:val="180"/>
        </w:trPr>
        <w:tc>
          <w:tcPr>
            <w:tcW w:w="292" w:type="pct"/>
            <w:vAlign w:val="center"/>
          </w:tcPr>
          <w:p w14:paraId="445A83D9" w14:textId="0E4FEA33" w:rsidR="00E86F97" w:rsidRPr="00287FB6" w:rsidRDefault="00990923" w:rsidP="00E86F97">
            <w:pPr>
              <w:jc w:val="center"/>
              <w:rPr>
                <w:rFonts w:ascii="Times New Roman" w:hAnsi="Times New Roman" w:cs="Times New Roman"/>
                <w:lang w:val="ro-RO"/>
              </w:rPr>
            </w:pPr>
            <w:r w:rsidRPr="00287FB6">
              <w:rPr>
                <w:rFonts w:ascii="Times New Roman" w:hAnsi="Times New Roman" w:cs="Times New Roman"/>
                <w:lang w:val="ro-RO"/>
              </w:rPr>
              <w:t>1</w:t>
            </w:r>
            <w:r w:rsidR="00287FB6" w:rsidRPr="00287FB6">
              <w:rPr>
                <w:rFonts w:ascii="Times New Roman" w:hAnsi="Times New Roman" w:cs="Times New Roman"/>
                <w:lang w:val="ro-RO"/>
              </w:rPr>
              <w:t>5</w:t>
            </w:r>
          </w:p>
        </w:tc>
        <w:tc>
          <w:tcPr>
            <w:tcW w:w="2560" w:type="pct"/>
            <w:shd w:val="clear" w:color="auto" w:fill="auto"/>
            <w:vAlign w:val="center"/>
          </w:tcPr>
          <w:p w14:paraId="5F80E32A" w14:textId="77777777" w:rsidR="00E86F97" w:rsidRPr="00287FB6" w:rsidRDefault="00E86F97" w:rsidP="00E86F97">
            <w:pPr>
              <w:jc w:val="both"/>
              <w:rPr>
                <w:rFonts w:ascii="Times New Roman" w:hAnsi="Times New Roman" w:cs="Times New Roman"/>
                <w:lang w:val="ro-RO"/>
              </w:rPr>
            </w:pPr>
            <w:r w:rsidRPr="00287FB6">
              <w:rPr>
                <w:rFonts w:ascii="Times New Roman" w:hAnsi="Times New Roman" w:cs="Times New Roman"/>
                <w:lang w:val="ro-RO"/>
              </w:rPr>
              <w:t xml:space="preserve">Limitarea temperaturii interioare la 19 </w:t>
            </w:r>
            <w:r w:rsidRPr="00287FB6">
              <w:rPr>
                <w:rFonts w:ascii="Times New Roman" w:hAnsi="Times New Roman" w:cs="Times New Roman"/>
                <w:vertAlign w:val="superscript"/>
                <w:lang w:val="ro-RO"/>
              </w:rPr>
              <w:t>O</w:t>
            </w:r>
            <w:r w:rsidRPr="00287FB6">
              <w:rPr>
                <w:rFonts w:ascii="Times New Roman" w:hAnsi="Times New Roman" w:cs="Times New Roman"/>
                <w:lang w:val="ro-RO"/>
              </w:rPr>
              <w:t>C în cadrul hotelor, restaurantelor, clădirilor comerciale, publice, gospodării casnice</w:t>
            </w:r>
          </w:p>
        </w:tc>
        <w:tc>
          <w:tcPr>
            <w:tcW w:w="948" w:type="pct"/>
            <w:shd w:val="clear" w:color="auto" w:fill="auto"/>
            <w:vAlign w:val="center"/>
          </w:tcPr>
          <w:p w14:paraId="6E979919" w14:textId="77777777" w:rsidR="00E86F97" w:rsidRPr="00287FB6" w:rsidRDefault="00E86F97" w:rsidP="00E86F97">
            <w:pPr>
              <w:jc w:val="center"/>
              <w:rPr>
                <w:rFonts w:ascii="Times New Roman" w:hAnsi="Times New Roman" w:cs="Times New Roman"/>
                <w:lang w:val="ro-RO"/>
              </w:rPr>
            </w:pPr>
            <w:r w:rsidRPr="00287FB6">
              <w:rPr>
                <w:rFonts w:ascii="Times New Roman" w:hAnsi="Times New Roman" w:cs="Times New Roman"/>
                <w:lang w:val="ro-RO"/>
              </w:rPr>
              <w:t>-</w:t>
            </w:r>
          </w:p>
        </w:tc>
        <w:tc>
          <w:tcPr>
            <w:tcW w:w="1200" w:type="pct"/>
            <w:shd w:val="clear" w:color="auto" w:fill="auto"/>
            <w:vAlign w:val="center"/>
          </w:tcPr>
          <w:p w14:paraId="48D941ED" w14:textId="77777777" w:rsidR="00E86F97" w:rsidRPr="00287FB6" w:rsidRDefault="00E86F97" w:rsidP="00E86F97">
            <w:pPr>
              <w:rPr>
                <w:rFonts w:ascii="Times New Roman" w:hAnsi="Times New Roman" w:cs="Times New Roman"/>
                <w:lang w:val="ro-RO"/>
              </w:rPr>
            </w:pPr>
            <w:r w:rsidRPr="00287FB6">
              <w:rPr>
                <w:rFonts w:ascii="Times New Roman" w:hAnsi="Times New Roman" w:cs="Times New Roman"/>
                <w:lang w:val="ro-RO"/>
              </w:rPr>
              <w:t>Sector public</w:t>
            </w:r>
          </w:p>
          <w:p w14:paraId="51C30606" w14:textId="77777777" w:rsidR="00E86F97" w:rsidRPr="00287FB6" w:rsidRDefault="00E86F97" w:rsidP="00E86F97">
            <w:pPr>
              <w:rPr>
                <w:rFonts w:ascii="Times New Roman" w:hAnsi="Times New Roman" w:cs="Times New Roman"/>
                <w:lang w:val="ro-RO"/>
              </w:rPr>
            </w:pPr>
            <w:r w:rsidRPr="00287FB6">
              <w:rPr>
                <w:rFonts w:ascii="Times New Roman" w:hAnsi="Times New Roman" w:cs="Times New Roman"/>
                <w:lang w:val="ro-RO"/>
              </w:rPr>
              <w:t>Sector privat</w:t>
            </w:r>
          </w:p>
        </w:tc>
      </w:tr>
      <w:tr w:rsidR="00287FB6" w:rsidRPr="00287FB6" w14:paraId="6A422328" w14:textId="77777777" w:rsidTr="00287FB6">
        <w:trPr>
          <w:trHeight w:val="172"/>
        </w:trPr>
        <w:tc>
          <w:tcPr>
            <w:tcW w:w="292" w:type="pct"/>
            <w:vAlign w:val="center"/>
          </w:tcPr>
          <w:p w14:paraId="1D16C339" w14:textId="489FEE6F" w:rsidR="00287FB6" w:rsidRPr="00287FB6" w:rsidRDefault="00287FB6" w:rsidP="00287FB6">
            <w:pPr>
              <w:jc w:val="center"/>
              <w:rPr>
                <w:rFonts w:ascii="Times New Roman" w:hAnsi="Times New Roman" w:cs="Times New Roman"/>
                <w:highlight w:val="yellow"/>
                <w:lang w:val="ro-RO"/>
              </w:rPr>
            </w:pPr>
            <w:r w:rsidRPr="00287FB6">
              <w:rPr>
                <w:rFonts w:ascii="Times New Roman" w:hAnsi="Times New Roman" w:cs="Times New Roman"/>
                <w:lang w:val="ro-RO"/>
              </w:rPr>
              <w:t>16</w:t>
            </w:r>
          </w:p>
        </w:tc>
        <w:tc>
          <w:tcPr>
            <w:tcW w:w="2560" w:type="pct"/>
            <w:shd w:val="clear" w:color="auto" w:fill="auto"/>
            <w:vAlign w:val="center"/>
          </w:tcPr>
          <w:p w14:paraId="0D4C32A2" w14:textId="659ED652" w:rsidR="00287FB6" w:rsidRPr="00287FB6" w:rsidRDefault="00287FB6" w:rsidP="00287FB6">
            <w:pPr>
              <w:jc w:val="both"/>
              <w:rPr>
                <w:rFonts w:ascii="Times New Roman" w:hAnsi="Times New Roman" w:cs="Times New Roman"/>
                <w:highlight w:val="yellow"/>
                <w:lang w:val="ro-RO"/>
              </w:rPr>
            </w:pPr>
            <w:r w:rsidRPr="00287FB6">
              <w:rPr>
                <w:rFonts w:ascii="Times New Roman" w:hAnsi="Times New Roman" w:cs="Times New Roman"/>
                <w:lang w:val="ro-RO"/>
              </w:rPr>
              <w:t>Trecerea consumatorilor la utilizarea combustibililor alternativi (biomasă, cărbune, păcură) și la surse alternative (generatoare electrice, etc.), unde este posibil din punct de vedere tehnic</w:t>
            </w:r>
          </w:p>
        </w:tc>
        <w:tc>
          <w:tcPr>
            <w:tcW w:w="948" w:type="pct"/>
            <w:shd w:val="clear" w:color="auto" w:fill="auto"/>
            <w:vAlign w:val="center"/>
          </w:tcPr>
          <w:p w14:paraId="3F3F2AEC" w14:textId="6768E0EF" w:rsidR="00287FB6" w:rsidRPr="00287FB6" w:rsidRDefault="00287FB6" w:rsidP="00287FB6">
            <w:pPr>
              <w:jc w:val="center"/>
              <w:rPr>
                <w:rFonts w:ascii="Times New Roman" w:hAnsi="Times New Roman" w:cs="Times New Roman"/>
                <w:highlight w:val="yellow"/>
                <w:lang w:val="ro-RO"/>
              </w:rPr>
            </w:pPr>
            <w:r w:rsidRPr="00287FB6">
              <w:rPr>
                <w:rFonts w:ascii="Times New Roman" w:hAnsi="Times New Roman" w:cs="Times New Roman"/>
                <w:lang w:val="ro-RO"/>
              </w:rPr>
              <w:t>-</w:t>
            </w:r>
          </w:p>
        </w:tc>
        <w:tc>
          <w:tcPr>
            <w:tcW w:w="1200" w:type="pct"/>
            <w:shd w:val="clear" w:color="auto" w:fill="auto"/>
            <w:vAlign w:val="center"/>
          </w:tcPr>
          <w:p w14:paraId="74C4E20C" w14:textId="77777777" w:rsidR="00287FB6" w:rsidRPr="00287FB6" w:rsidRDefault="00287FB6" w:rsidP="00287FB6">
            <w:pPr>
              <w:rPr>
                <w:rFonts w:ascii="Times New Roman" w:hAnsi="Times New Roman" w:cs="Times New Roman"/>
                <w:lang w:val="ro-RO"/>
              </w:rPr>
            </w:pPr>
            <w:r w:rsidRPr="00287FB6">
              <w:rPr>
                <w:rFonts w:ascii="Times New Roman" w:hAnsi="Times New Roman" w:cs="Times New Roman"/>
                <w:lang w:val="ro-RO"/>
              </w:rPr>
              <w:t>Sector public</w:t>
            </w:r>
          </w:p>
          <w:p w14:paraId="431A7D35" w14:textId="4020D4BB" w:rsidR="00287FB6" w:rsidRPr="00287FB6" w:rsidRDefault="00287FB6" w:rsidP="00287FB6">
            <w:pPr>
              <w:rPr>
                <w:rFonts w:ascii="Times New Roman" w:hAnsi="Times New Roman" w:cs="Times New Roman"/>
                <w:highlight w:val="yellow"/>
                <w:lang w:val="ro-RO"/>
              </w:rPr>
            </w:pPr>
            <w:r w:rsidRPr="00287FB6">
              <w:rPr>
                <w:rFonts w:ascii="Times New Roman" w:hAnsi="Times New Roman" w:cs="Times New Roman"/>
                <w:lang w:val="ro-RO"/>
              </w:rPr>
              <w:t>Sector privat</w:t>
            </w:r>
          </w:p>
        </w:tc>
      </w:tr>
      <w:tr w:rsidR="00E86F97" w:rsidRPr="00287FB6" w14:paraId="1BD583C7" w14:textId="77777777" w:rsidTr="00287FB6">
        <w:tblPrEx>
          <w:shd w:val="clear" w:color="auto" w:fill="auto"/>
        </w:tblPrEx>
        <w:trPr>
          <w:trHeight w:val="180"/>
        </w:trPr>
        <w:tc>
          <w:tcPr>
            <w:tcW w:w="292" w:type="pct"/>
            <w:vAlign w:val="center"/>
          </w:tcPr>
          <w:p w14:paraId="6028849E" w14:textId="7D681EB9" w:rsidR="00E86F97" w:rsidRPr="00287FB6" w:rsidRDefault="00990923" w:rsidP="00E86F97">
            <w:pPr>
              <w:jc w:val="center"/>
              <w:rPr>
                <w:rFonts w:ascii="Times New Roman" w:hAnsi="Times New Roman" w:cs="Times New Roman"/>
                <w:lang w:val="ro-RO"/>
              </w:rPr>
            </w:pPr>
            <w:r w:rsidRPr="00287FB6">
              <w:rPr>
                <w:rFonts w:ascii="Times New Roman" w:hAnsi="Times New Roman" w:cs="Times New Roman"/>
                <w:lang w:val="ro-RO"/>
              </w:rPr>
              <w:t>1</w:t>
            </w:r>
            <w:r w:rsidR="00287FB6" w:rsidRPr="00287FB6">
              <w:rPr>
                <w:rFonts w:ascii="Times New Roman" w:hAnsi="Times New Roman" w:cs="Times New Roman"/>
                <w:lang w:val="ro-RO"/>
              </w:rPr>
              <w:t>7</w:t>
            </w:r>
          </w:p>
        </w:tc>
        <w:tc>
          <w:tcPr>
            <w:tcW w:w="2560" w:type="pct"/>
            <w:vAlign w:val="center"/>
          </w:tcPr>
          <w:p w14:paraId="0D7495D7" w14:textId="5F743792" w:rsidR="00E86F97" w:rsidRPr="00287FB6" w:rsidRDefault="00E86F97" w:rsidP="00E86F97">
            <w:pPr>
              <w:jc w:val="both"/>
              <w:rPr>
                <w:rFonts w:ascii="Times New Roman" w:hAnsi="Times New Roman" w:cs="Times New Roman"/>
                <w:lang w:val="ro-RO"/>
              </w:rPr>
            </w:pPr>
            <w:r w:rsidRPr="00287FB6">
              <w:rPr>
                <w:rFonts w:ascii="Times New Roman" w:hAnsi="Times New Roman" w:cs="Times New Roman"/>
                <w:lang w:val="ro-RO"/>
              </w:rPr>
              <w:t>Utilizarea la necesitate în cadrul instituțiilor medicale a unităților de generare a energiei electrice proprii</w:t>
            </w:r>
          </w:p>
        </w:tc>
        <w:tc>
          <w:tcPr>
            <w:tcW w:w="948" w:type="pct"/>
            <w:vAlign w:val="center"/>
          </w:tcPr>
          <w:p w14:paraId="4CA516EC" w14:textId="77777777" w:rsidR="00E86F97" w:rsidRPr="00287FB6" w:rsidRDefault="00E86F97" w:rsidP="00E86F97">
            <w:pPr>
              <w:jc w:val="center"/>
              <w:rPr>
                <w:rFonts w:ascii="Times New Roman" w:hAnsi="Times New Roman" w:cs="Times New Roman"/>
                <w:lang w:val="ro-RO"/>
              </w:rPr>
            </w:pPr>
            <w:r w:rsidRPr="00287FB6">
              <w:rPr>
                <w:rFonts w:ascii="Times New Roman" w:hAnsi="Times New Roman" w:cs="Times New Roman"/>
                <w:lang w:val="ro-RO"/>
              </w:rPr>
              <w:t>-</w:t>
            </w:r>
          </w:p>
        </w:tc>
        <w:tc>
          <w:tcPr>
            <w:tcW w:w="1200" w:type="pct"/>
            <w:vAlign w:val="center"/>
          </w:tcPr>
          <w:p w14:paraId="746D2FF3" w14:textId="77777777" w:rsidR="00E86F97" w:rsidRPr="00287FB6" w:rsidRDefault="00E86F97" w:rsidP="00E86F97">
            <w:pPr>
              <w:rPr>
                <w:rFonts w:ascii="Times New Roman" w:hAnsi="Times New Roman" w:cs="Times New Roman"/>
                <w:lang w:val="ro-RO"/>
              </w:rPr>
            </w:pPr>
            <w:r w:rsidRPr="00287FB6">
              <w:rPr>
                <w:rFonts w:ascii="Times New Roman" w:hAnsi="Times New Roman" w:cs="Times New Roman"/>
                <w:lang w:val="ro-RO"/>
              </w:rPr>
              <w:t>Ministerul Sănătății</w:t>
            </w:r>
          </w:p>
        </w:tc>
      </w:tr>
      <w:tr w:rsidR="00287FB6" w:rsidRPr="00287FB6" w14:paraId="70550D7D" w14:textId="77777777" w:rsidTr="00287FB6">
        <w:tblPrEx>
          <w:shd w:val="clear" w:color="auto" w:fill="auto"/>
        </w:tblPrEx>
        <w:trPr>
          <w:trHeight w:val="180"/>
        </w:trPr>
        <w:tc>
          <w:tcPr>
            <w:tcW w:w="292" w:type="pct"/>
            <w:vAlign w:val="center"/>
          </w:tcPr>
          <w:p w14:paraId="53A2EB8E" w14:textId="73D547AF" w:rsidR="00287FB6" w:rsidRPr="00287FB6" w:rsidRDefault="00287FB6" w:rsidP="00287FB6">
            <w:pPr>
              <w:jc w:val="center"/>
              <w:rPr>
                <w:rFonts w:ascii="Times New Roman" w:hAnsi="Times New Roman" w:cs="Times New Roman"/>
                <w:lang w:val="ro-RO"/>
              </w:rPr>
            </w:pPr>
            <w:r w:rsidRPr="00287FB6">
              <w:rPr>
                <w:rFonts w:ascii="Times New Roman" w:hAnsi="Times New Roman" w:cs="Times New Roman"/>
                <w:lang w:val="ro-RO"/>
              </w:rPr>
              <w:t>18</w:t>
            </w:r>
          </w:p>
        </w:tc>
        <w:tc>
          <w:tcPr>
            <w:tcW w:w="2560" w:type="pct"/>
            <w:vAlign w:val="center"/>
          </w:tcPr>
          <w:p w14:paraId="2C339508" w14:textId="2175875A" w:rsidR="00287FB6" w:rsidRPr="00287FB6" w:rsidRDefault="00287FB6" w:rsidP="00287FB6">
            <w:pPr>
              <w:jc w:val="both"/>
              <w:rPr>
                <w:rFonts w:ascii="Times New Roman" w:hAnsi="Times New Roman" w:cs="Times New Roman"/>
                <w:lang w:val="ro-RO"/>
              </w:rPr>
            </w:pPr>
            <w:r w:rsidRPr="00287FB6">
              <w:rPr>
                <w:rFonts w:ascii="Times New Roman" w:hAnsi="Times New Roman" w:cs="Times New Roman"/>
                <w:lang w:val="ro-RO"/>
              </w:rPr>
              <w:t>Importul de energie electrică din SE al Ucrainei și din ENTSO-E, Europa Continentală</w:t>
            </w:r>
          </w:p>
        </w:tc>
        <w:tc>
          <w:tcPr>
            <w:tcW w:w="948" w:type="pct"/>
            <w:vAlign w:val="center"/>
          </w:tcPr>
          <w:p w14:paraId="51E923B4" w14:textId="34D6425D" w:rsidR="00287FB6" w:rsidRPr="00287FB6" w:rsidRDefault="00287FB6" w:rsidP="00287FB6">
            <w:pPr>
              <w:jc w:val="center"/>
              <w:rPr>
                <w:rFonts w:ascii="Times New Roman" w:hAnsi="Times New Roman" w:cs="Times New Roman"/>
                <w:lang w:val="ro-RO"/>
              </w:rPr>
            </w:pPr>
            <w:r w:rsidRPr="00287FB6">
              <w:rPr>
                <w:rFonts w:ascii="Times New Roman" w:hAnsi="Times New Roman" w:cs="Times New Roman"/>
                <w:lang w:val="ro-RO"/>
              </w:rPr>
              <w:t>-</w:t>
            </w:r>
          </w:p>
        </w:tc>
        <w:tc>
          <w:tcPr>
            <w:tcW w:w="1200" w:type="pct"/>
          </w:tcPr>
          <w:p w14:paraId="780B9B63" w14:textId="1ABCCC3E" w:rsidR="00287FB6" w:rsidRPr="00287FB6" w:rsidRDefault="00287FB6" w:rsidP="00287FB6">
            <w:pPr>
              <w:rPr>
                <w:rFonts w:ascii="Times New Roman" w:hAnsi="Times New Roman" w:cs="Times New Roman"/>
                <w:lang w:val="ro-RO"/>
              </w:rPr>
            </w:pPr>
            <w:r w:rsidRPr="00287FB6">
              <w:rPr>
                <w:rFonts w:ascii="Times New Roman" w:hAnsi="Times New Roman" w:cs="Times New Roman"/>
                <w:lang w:val="ro-RO"/>
              </w:rPr>
              <w:t xml:space="preserve">Participanții la piața energiei electrice </w:t>
            </w:r>
          </w:p>
        </w:tc>
      </w:tr>
      <w:tr w:rsidR="00287FB6" w:rsidRPr="00287FB6" w14:paraId="41F82F3D" w14:textId="77777777" w:rsidTr="00287FB6">
        <w:tblPrEx>
          <w:shd w:val="clear" w:color="auto" w:fill="auto"/>
        </w:tblPrEx>
        <w:trPr>
          <w:trHeight w:val="180"/>
        </w:trPr>
        <w:tc>
          <w:tcPr>
            <w:tcW w:w="292" w:type="pct"/>
            <w:vAlign w:val="center"/>
          </w:tcPr>
          <w:p w14:paraId="3D6782F3" w14:textId="24D722E9" w:rsidR="00287FB6" w:rsidRPr="00287FB6" w:rsidRDefault="00287FB6" w:rsidP="00287FB6">
            <w:pPr>
              <w:jc w:val="center"/>
              <w:rPr>
                <w:rFonts w:ascii="Times New Roman" w:hAnsi="Times New Roman" w:cs="Times New Roman"/>
                <w:lang w:val="ro-RO"/>
              </w:rPr>
            </w:pPr>
            <w:r w:rsidRPr="00287FB6">
              <w:rPr>
                <w:rFonts w:ascii="Times New Roman" w:hAnsi="Times New Roman" w:cs="Times New Roman"/>
                <w:lang w:val="ro-RO"/>
              </w:rPr>
              <w:t>19</w:t>
            </w:r>
          </w:p>
        </w:tc>
        <w:tc>
          <w:tcPr>
            <w:tcW w:w="2560" w:type="pct"/>
            <w:vAlign w:val="center"/>
          </w:tcPr>
          <w:p w14:paraId="471782E9" w14:textId="4E78D6ED" w:rsidR="00287FB6" w:rsidRPr="00287FB6" w:rsidRDefault="00287FB6" w:rsidP="00287FB6">
            <w:pPr>
              <w:jc w:val="both"/>
              <w:rPr>
                <w:rFonts w:ascii="Times New Roman" w:hAnsi="Times New Roman" w:cs="Times New Roman"/>
                <w:lang w:val="ro-RO"/>
              </w:rPr>
            </w:pPr>
            <w:r w:rsidRPr="00287FB6">
              <w:rPr>
                <w:rFonts w:ascii="Times New Roman" w:hAnsi="Times New Roman" w:cs="Times New Roman"/>
                <w:lang w:val="ro-RO"/>
              </w:rPr>
              <w:t>Achiziția energiei electrice și gazelor naturale din surse alternative</w:t>
            </w:r>
          </w:p>
        </w:tc>
        <w:tc>
          <w:tcPr>
            <w:tcW w:w="948" w:type="pct"/>
            <w:vAlign w:val="center"/>
          </w:tcPr>
          <w:p w14:paraId="6C060E4B" w14:textId="0CDA150C" w:rsidR="00287FB6" w:rsidRPr="00287FB6" w:rsidRDefault="00287FB6" w:rsidP="00287FB6">
            <w:pPr>
              <w:jc w:val="center"/>
              <w:rPr>
                <w:rFonts w:ascii="Times New Roman" w:hAnsi="Times New Roman" w:cs="Times New Roman"/>
                <w:lang w:val="ro-RO"/>
              </w:rPr>
            </w:pPr>
            <w:r w:rsidRPr="00287FB6">
              <w:rPr>
                <w:rFonts w:ascii="Times New Roman" w:hAnsi="Times New Roman" w:cs="Times New Roman"/>
                <w:lang w:val="ro-RO"/>
              </w:rPr>
              <w:t>-</w:t>
            </w:r>
          </w:p>
        </w:tc>
        <w:tc>
          <w:tcPr>
            <w:tcW w:w="1200" w:type="pct"/>
          </w:tcPr>
          <w:p w14:paraId="256623C2" w14:textId="77777777" w:rsidR="00287FB6" w:rsidRPr="00287FB6" w:rsidRDefault="00287FB6" w:rsidP="00287FB6">
            <w:pPr>
              <w:contextualSpacing/>
              <w:rPr>
                <w:rFonts w:ascii="Times New Roman" w:hAnsi="Times New Roman" w:cs="Times New Roman"/>
                <w:lang w:val="ro-RO"/>
              </w:rPr>
            </w:pPr>
            <w:r w:rsidRPr="00287FB6">
              <w:rPr>
                <w:rFonts w:ascii="Times New Roman" w:hAnsi="Times New Roman" w:cs="Times New Roman"/>
                <w:lang w:val="ro-RO"/>
              </w:rPr>
              <w:t xml:space="preserve">SA „Moldovagaz”; </w:t>
            </w:r>
          </w:p>
          <w:p w14:paraId="3F5F316E" w14:textId="5A769E5E" w:rsidR="00287FB6" w:rsidRPr="00287FB6" w:rsidRDefault="00287FB6" w:rsidP="00287FB6">
            <w:pPr>
              <w:rPr>
                <w:rFonts w:ascii="Times New Roman" w:hAnsi="Times New Roman" w:cs="Times New Roman"/>
                <w:lang w:val="ro-RO"/>
              </w:rPr>
            </w:pPr>
            <w:r w:rsidRPr="00287FB6">
              <w:rPr>
                <w:rFonts w:ascii="Times New Roman" w:hAnsi="Times New Roman" w:cs="Times New Roman"/>
                <w:lang w:val="ro-RO"/>
              </w:rPr>
              <w:t>SA „Energocom”</w:t>
            </w:r>
          </w:p>
        </w:tc>
      </w:tr>
      <w:tr w:rsidR="00287FB6" w:rsidRPr="00287FB6" w14:paraId="36F05664" w14:textId="77777777" w:rsidTr="00287FB6">
        <w:tblPrEx>
          <w:shd w:val="clear" w:color="auto" w:fill="auto"/>
        </w:tblPrEx>
        <w:trPr>
          <w:trHeight w:val="180"/>
        </w:trPr>
        <w:tc>
          <w:tcPr>
            <w:tcW w:w="292" w:type="pct"/>
            <w:vAlign w:val="center"/>
          </w:tcPr>
          <w:p w14:paraId="692D1E91" w14:textId="47EB4272" w:rsidR="00287FB6" w:rsidRPr="00287FB6" w:rsidRDefault="00287FB6" w:rsidP="00287FB6">
            <w:pPr>
              <w:jc w:val="center"/>
              <w:rPr>
                <w:rFonts w:ascii="Times New Roman" w:hAnsi="Times New Roman" w:cs="Times New Roman"/>
                <w:lang w:val="ro-RO"/>
              </w:rPr>
            </w:pPr>
            <w:r w:rsidRPr="00287FB6">
              <w:rPr>
                <w:rFonts w:ascii="Times New Roman" w:hAnsi="Times New Roman" w:cs="Times New Roman"/>
                <w:lang w:val="ro-RO"/>
              </w:rPr>
              <w:t>20</w:t>
            </w:r>
          </w:p>
        </w:tc>
        <w:tc>
          <w:tcPr>
            <w:tcW w:w="2560" w:type="pct"/>
            <w:vAlign w:val="center"/>
          </w:tcPr>
          <w:p w14:paraId="02FA8023" w14:textId="09D84444" w:rsidR="00287FB6" w:rsidRPr="00287FB6" w:rsidRDefault="00287FB6" w:rsidP="00287FB6">
            <w:pPr>
              <w:jc w:val="both"/>
              <w:rPr>
                <w:rFonts w:ascii="Times New Roman" w:hAnsi="Times New Roman" w:cs="Times New Roman"/>
                <w:lang w:val="ro-RO"/>
              </w:rPr>
            </w:pPr>
            <w:r w:rsidRPr="00287FB6">
              <w:rPr>
                <w:rFonts w:ascii="Times New Roman" w:hAnsi="Times New Roman" w:cs="Times New Roman"/>
                <w:lang w:val="ro-RO"/>
              </w:rPr>
              <w:t>Asigurarea alimentării consumatorilor prin intermediul altor scheme de aprovizionare cu energie electrică, decât cele tradiționale, funcție de noua configurație de consum</w:t>
            </w:r>
          </w:p>
        </w:tc>
        <w:tc>
          <w:tcPr>
            <w:tcW w:w="948" w:type="pct"/>
            <w:vAlign w:val="center"/>
          </w:tcPr>
          <w:p w14:paraId="5F1281ED" w14:textId="77777777" w:rsidR="00287FB6" w:rsidRPr="00287FB6" w:rsidRDefault="00287FB6" w:rsidP="00287FB6">
            <w:pPr>
              <w:jc w:val="center"/>
              <w:rPr>
                <w:rFonts w:ascii="Times New Roman" w:hAnsi="Times New Roman" w:cs="Times New Roman"/>
                <w:lang w:val="ro-RO"/>
              </w:rPr>
            </w:pPr>
            <w:r w:rsidRPr="00287FB6">
              <w:rPr>
                <w:rFonts w:ascii="Times New Roman" w:hAnsi="Times New Roman" w:cs="Times New Roman"/>
                <w:lang w:val="ro-RO"/>
              </w:rPr>
              <w:t>-</w:t>
            </w:r>
          </w:p>
        </w:tc>
        <w:tc>
          <w:tcPr>
            <w:tcW w:w="1200" w:type="pct"/>
            <w:vAlign w:val="center"/>
          </w:tcPr>
          <w:p w14:paraId="640F3851" w14:textId="77777777" w:rsidR="00287FB6" w:rsidRPr="00287FB6" w:rsidRDefault="00287FB6" w:rsidP="00287FB6">
            <w:pPr>
              <w:rPr>
                <w:rFonts w:ascii="Times New Roman" w:hAnsi="Times New Roman" w:cs="Times New Roman"/>
                <w:lang w:val="ro-RO"/>
              </w:rPr>
            </w:pPr>
            <w:r w:rsidRPr="00287FB6">
              <w:rPr>
                <w:rFonts w:ascii="Times New Roman" w:hAnsi="Times New Roman" w:cs="Times New Roman"/>
                <w:lang w:val="ro-RO"/>
              </w:rPr>
              <w:t>ÎS „Moldelectrica”</w:t>
            </w:r>
          </w:p>
        </w:tc>
      </w:tr>
    </w:tbl>
    <w:p w14:paraId="3973BA30" w14:textId="77777777" w:rsidR="002F724B" w:rsidRDefault="002F724B" w:rsidP="003F1DB9">
      <w:pPr>
        <w:spacing w:after="0" w:line="240" w:lineRule="auto"/>
        <w:jc w:val="both"/>
        <w:rPr>
          <w:rFonts w:ascii="Times New Roman" w:hAnsi="Times New Roman" w:cs="Times New Roman"/>
          <w:i/>
          <w:sz w:val="20"/>
          <w:szCs w:val="20"/>
          <w:lang w:val="ro-RO"/>
        </w:rPr>
      </w:pPr>
    </w:p>
    <w:p w14:paraId="7EDB5455" w14:textId="610E1296" w:rsidR="00333898" w:rsidRDefault="00427565" w:rsidP="0038425E">
      <w:pPr>
        <w:pStyle w:val="NormalWeb"/>
        <w:spacing w:before="0"/>
        <w:ind w:firstLine="708"/>
        <w:jc w:val="both"/>
        <w:rPr>
          <w:lang w:val="ro-RO"/>
        </w:rPr>
      </w:pPr>
      <w:r>
        <w:rPr>
          <w:lang w:val="ro-RO"/>
        </w:rPr>
        <w:t>P</w:t>
      </w:r>
      <w:r w:rsidRPr="002C0527">
        <w:rPr>
          <w:lang w:val="ro-RO"/>
        </w:rPr>
        <w:t>ersoana desemnată responsabilă</w:t>
      </w:r>
      <w:r w:rsidR="00726A49">
        <w:rPr>
          <w:lang w:val="ro-RO"/>
        </w:rPr>
        <w:t xml:space="preserve"> conform acțiunii</w:t>
      </w:r>
      <w:r w:rsidR="00A312A7">
        <w:rPr>
          <w:lang w:val="ro-RO"/>
        </w:rPr>
        <w:t xml:space="preserve"> </w:t>
      </w:r>
      <w:r w:rsidR="00A312A7" w:rsidRPr="002543F5">
        <w:rPr>
          <w:lang w:val="ro-RO"/>
        </w:rPr>
        <w:t>nr</w:t>
      </w:r>
      <w:r w:rsidR="008B706C" w:rsidRPr="002543F5">
        <w:rPr>
          <w:lang w:val="ro-RO"/>
        </w:rPr>
        <w:t>.</w:t>
      </w:r>
      <w:r w:rsidR="00A312A7" w:rsidRPr="002543F5">
        <w:rPr>
          <w:lang w:val="ro-RO"/>
        </w:rPr>
        <w:t xml:space="preserve"> </w:t>
      </w:r>
      <w:r w:rsidR="002543F5" w:rsidRPr="002543F5">
        <w:rPr>
          <w:lang w:val="ro-RO"/>
        </w:rPr>
        <w:t>2</w:t>
      </w:r>
      <w:r w:rsidR="00287FB6">
        <w:rPr>
          <w:lang w:val="ro-RO"/>
        </w:rPr>
        <w:t>2</w:t>
      </w:r>
      <w:r w:rsidR="001B6DE3" w:rsidRPr="002543F5">
        <w:rPr>
          <w:lang w:val="ro-RO"/>
        </w:rPr>
        <w:t xml:space="preserve"> </w:t>
      </w:r>
      <w:r w:rsidR="00A312A7" w:rsidRPr="002543F5">
        <w:rPr>
          <w:lang w:val="ro-RO"/>
        </w:rPr>
        <w:t xml:space="preserve">din </w:t>
      </w:r>
      <w:r w:rsidR="008B706C" w:rsidRPr="002543F5">
        <w:rPr>
          <w:lang w:val="ro-RO"/>
        </w:rPr>
        <w:t>tabelul</w:t>
      </w:r>
      <w:r w:rsidR="00A312A7" w:rsidRPr="002543F5">
        <w:rPr>
          <w:lang w:val="ro-RO"/>
        </w:rPr>
        <w:t xml:space="preserve"> </w:t>
      </w:r>
      <w:r w:rsidR="00287FB6">
        <w:rPr>
          <w:lang w:val="ro-RO"/>
        </w:rPr>
        <w:t>9</w:t>
      </w:r>
      <w:r w:rsidR="00A312A7">
        <w:rPr>
          <w:lang w:val="ro-RO"/>
        </w:rPr>
        <w:t xml:space="preserve"> </w:t>
      </w:r>
      <w:r w:rsidR="00726A49">
        <w:rPr>
          <w:lang w:val="ro-RO"/>
        </w:rPr>
        <w:t>va asigura</w:t>
      </w:r>
      <w:r w:rsidR="00333898" w:rsidRPr="002C0527">
        <w:rPr>
          <w:lang w:val="ro-RO"/>
        </w:rPr>
        <w:t xml:space="preserve"> verificarea și asigurarea zilnică a consumului rațional de resurse energetice și asigurarea menținerii temperaturii interioare recomandate în cadrul clădirilor de către persoana desemnată responsabilă, conform Planului model prezentat în tabelul</w:t>
      </w:r>
      <w:r w:rsidR="00333898">
        <w:rPr>
          <w:lang w:val="ro-RO"/>
        </w:rPr>
        <w:t xml:space="preserve"> </w:t>
      </w:r>
      <w:r w:rsidR="00A9008E">
        <w:rPr>
          <w:lang w:val="ro-RO"/>
        </w:rPr>
        <w:t>1</w:t>
      </w:r>
      <w:r w:rsidR="00071BA6">
        <w:rPr>
          <w:lang w:val="ro-RO"/>
        </w:rPr>
        <w:t>1</w:t>
      </w:r>
      <w:r w:rsidR="00002D6A">
        <w:rPr>
          <w:lang w:val="ro-RO"/>
        </w:rPr>
        <w:t>.</w:t>
      </w:r>
    </w:p>
    <w:p w14:paraId="74641C95" w14:textId="77777777" w:rsidR="00682C77" w:rsidRDefault="00682C77" w:rsidP="0038425E">
      <w:pPr>
        <w:pStyle w:val="NormalWeb"/>
        <w:spacing w:before="0"/>
        <w:ind w:firstLine="708"/>
        <w:jc w:val="both"/>
        <w:rPr>
          <w:lang w:val="ro-RO"/>
        </w:rPr>
      </w:pPr>
    </w:p>
    <w:p w14:paraId="64FD8B01" w14:textId="77777777" w:rsidR="00682C77" w:rsidRDefault="00682C77" w:rsidP="0038425E">
      <w:pPr>
        <w:pStyle w:val="NormalWeb"/>
        <w:spacing w:before="0"/>
        <w:ind w:firstLine="708"/>
        <w:jc w:val="both"/>
        <w:rPr>
          <w:lang w:val="ro-RO"/>
        </w:rPr>
      </w:pPr>
    </w:p>
    <w:p w14:paraId="081F3852" w14:textId="77777777" w:rsidR="00682C77" w:rsidRDefault="00682C77" w:rsidP="00D5216E">
      <w:pPr>
        <w:pStyle w:val="NormalWeb"/>
        <w:spacing w:before="0"/>
        <w:jc w:val="both"/>
        <w:rPr>
          <w:lang w:val="ro-RO"/>
        </w:rPr>
      </w:pPr>
    </w:p>
    <w:p w14:paraId="2D0D1950" w14:textId="60F19CE5" w:rsidR="008E5679" w:rsidRPr="002C0527" w:rsidRDefault="008E5679" w:rsidP="008E5679">
      <w:pPr>
        <w:pStyle w:val="cb"/>
        <w:spacing w:after="120"/>
        <w:jc w:val="both"/>
        <w:rPr>
          <w:lang w:val="ro-RO"/>
        </w:rPr>
      </w:pPr>
      <w:r w:rsidRPr="002C0527">
        <w:rPr>
          <w:lang w:val="ro-RO"/>
        </w:rPr>
        <w:lastRenderedPageBreak/>
        <w:t xml:space="preserve">Tabelul </w:t>
      </w:r>
      <w:r w:rsidR="00A9008E">
        <w:rPr>
          <w:lang w:val="ro-RO"/>
        </w:rPr>
        <w:t>1</w:t>
      </w:r>
      <w:r w:rsidR="00071BA6">
        <w:rPr>
          <w:lang w:val="ro-RO"/>
        </w:rPr>
        <w:t>1</w:t>
      </w:r>
      <w:r w:rsidRPr="002C0527">
        <w:rPr>
          <w:lang w:val="ro-RO"/>
        </w:rPr>
        <w:t xml:space="preserve">. </w:t>
      </w:r>
      <w:r w:rsidRPr="002C0527">
        <w:rPr>
          <w:b w:val="0"/>
          <w:bCs w:val="0"/>
          <w:lang w:val="ro-RO"/>
        </w:rPr>
        <w:t>Plan model măsuri de eficientizare a consumului de energie în clădiri publice conform recomandărilor autorității responsabile de implementarea politicilor în domeniul eficienței energetice</w:t>
      </w:r>
    </w:p>
    <w:tbl>
      <w:tblPr>
        <w:tblStyle w:val="TableGridLight1"/>
        <w:tblW w:w="5000" w:type="pct"/>
        <w:tblLook w:val="04A0" w:firstRow="1" w:lastRow="0" w:firstColumn="1" w:lastColumn="0" w:noHBand="0" w:noVBand="1"/>
      </w:tblPr>
      <w:tblGrid>
        <w:gridCol w:w="436"/>
        <w:gridCol w:w="2282"/>
        <w:gridCol w:w="1354"/>
        <w:gridCol w:w="437"/>
        <w:gridCol w:w="537"/>
        <w:gridCol w:w="557"/>
        <w:gridCol w:w="496"/>
        <w:gridCol w:w="486"/>
        <w:gridCol w:w="506"/>
        <w:gridCol w:w="477"/>
        <w:gridCol w:w="506"/>
        <w:gridCol w:w="556"/>
        <w:gridCol w:w="526"/>
        <w:gridCol w:w="526"/>
        <w:gridCol w:w="487"/>
      </w:tblGrid>
      <w:tr w:rsidR="00287FB6" w:rsidRPr="00793D95" w14:paraId="57082450" w14:textId="77777777" w:rsidTr="00287FB6">
        <w:tc>
          <w:tcPr>
            <w:tcW w:w="196" w:type="pct"/>
            <w:vMerge w:val="restart"/>
            <w:vAlign w:val="center"/>
          </w:tcPr>
          <w:p w14:paraId="6A90E874" w14:textId="77777777" w:rsidR="008E5679" w:rsidRPr="002C0527" w:rsidRDefault="008E5679" w:rsidP="00C95C78">
            <w:pPr>
              <w:spacing w:before="120" w:line="276" w:lineRule="auto"/>
              <w:jc w:val="center"/>
              <w:rPr>
                <w:rFonts w:ascii="Times New Roman" w:hAnsi="Times New Roman" w:cs="Times New Roman"/>
                <w:b/>
                <w:lang w:val="ro-RO"/>
              </w:rPr>
            </w:pPr>
            <w:r w:rsidRPr="002C0527">
              <w:rPr>
                <w:rFonts w:ascii="Times New Roman" w:hAnsi="Times New Roman" w:cs="Times New Roman"/>
                <w:b/>
                <w:lang w:val="ro-RO"/>
              </w:rPr>
              <w:t>#</w:t>
            </w:r>
          </w:p>
        </w:tc>
        <w:tc>
          <w:tcPr>
            <w:tcW w:w="1551" w:type="pct"/>
            <w:vMerge w:val="restart"/>
            <w:vAlign w:val="center"/>
          </w:tcPr>
          <w:p w14:paraId="5432948A" w14:textId="77777777" w:rsidR="008E5679" w:rsidRPr="002C0527" w:rsidRDefault="008E5679" w:rsidP="00C95C78">
            <w:pPr>
              <w:spacing w:before="120" w:line="276" w:lineRule="auto"/>
              <w:jc w:val="center"/>
              <w:rPr>
                <w:rFonts w:ascii="Times New Roman" w:hAnsi="Times New Roman" w:cs="Times New Roman"/>
                <w:b/>
                <w:lang w:val="ro-RO"/>
              </w:rPr>
            </w:pPr>
            <w:r w:rsidRPr="002C0527">
              <w:rPr>
                <w:rFonts w:ascii="Times New Roman" w:hAnsi="Times New Roman" w:cs="Times New Roman"/>
                <w:b/>
                <w:lang w:val="ro-RO"/>
              </w:rPr>
              <w:t>Obiective și măsuri</w:t>
            </w:r>
          </w:p>
        </w:tc>
        <w:tc>
          <w:tcPr>
            <w:tcW w:w="680" w:type="pct"/>
            <w:vMerge w:val="restart"/>
            <w:vAlign w:val="center"/>
          </w:tcPr>
          <w:p w14:paraId="33794947" w14:textId="77777777" w:rsidR="008E5679" w:rsidRPr="002C0527" w:rsidRDefault="008E5679" w:rsidP="00C95C78">
            <w:pPr>
              <w:spacing w:before="120" w:line="276" w:lineRule="auto"/>
              <w:jc w:val="center"/>
              <w:rPr>
                <w:rFonts w:ascii="Times New Roman" w:hAnsi="Times New Roman" w:cs="Times New Roman"/>
                <w:b/>
                <w:lang w:val="ro-RO"/>
              </w:rPr>
            </w:pPr>
            <w:r w:rsidRPr="002C0527">
              <w:rPr>
                <w:rFonts w:ascii="Times New Roman" w:hAnsi="Times New Roman" w:cs="Times New Roman"/>
                <w:b/>
                <w:lang w:val="ro-RO"/>
              </w:rPr>
              <w:t>Responsabil</w:t>
            </w:r>
          </w:p>
        </w:tc>
        <w:tc>
          <w:tcPr>
            <w:tcW w:w="2573" w:type="pct"/>
            <w:gridSpan w:val="12"/>
            <w:vAlign w:val="center"/>
          </w:tcPr>
          <w:p w14:paraId="4EFCE5C9" w14:textId="77777777" w:rsidR="008E5679" w:rsidRPr="002C0527" w:rsidRDefault="008E5679" w:rsidP="00C95C78">
            <w:pPr>
              <w:spacing w:before="120" w:line="276" w:lineRule="auto"/>
              <w:jc w:val="center"/>
              <w:rPr>
                <w:rFonts w:ascii="Times New Roman" w:hAnsi="Times New Roman" w:cs="Times New Roman"/>
                <w:b/>
                <w:lang w:val="ro-RO"/>
              </w:rPr>
            </w:pPr>
            <w:r w:rsidRPr="002C0527">
              <w:rPr>
                <w:rFonts w:ascii="Times New Roman" w:hAnsi="Times New Roman" w:cs="Times New Roman"/>
                <w:b/>
                <w:lang w:val="ro-RO"/>
              </w:rPr>
              <w:t>Perioada de implementare</w:t>
            </w:r>
          </w:p>
        </w:tc>
      </w:tr>
      <w:tr w:rsidR="00287FB6" w:rsidRPr="00793D95" w14:paraId="4C3AA381" w14:textId="77777777" w:rsidTr="00287FB6">
        <w:trPr>
          <w:trHeight w:val="143"/>
        </w:trPr>
        <w:tc>
          <w:tcPr>
            <w:tcW w:w="196" w:type="pct"/>
            <w:vMerge/>
            <w:vAlign w:val="center"/>
          </w:tcPr>
          <w:p w14:paraId="6E65F829" w14:textId="77777777" w:rsidR="008E5679" w:rsidRPr="002C0527" w:rsidRDefault="008E5679" w:rsidP="00C95C78">
            <w:pPr>
              <w:spacing w:before="120" w:line="276" w:lineRule="auto"/>
              <w:jc w:val="center"/>
              <w:rPr>
                <w:rFonts w:ascii="Times New Roman" w:hAnsi="Times New Roman" w:cs="Times New Roman"/>
                <w:b/>
                <w:lang w:val="ro-RO"/>
              </w:rPr>
            </w:pPr>
          </w:p>
        </w:tc>
        <w:tc>
          <w:tcPr>
            <w:tcW w:w="1551" w:type="pct"/>
            <w:vMerge/>
            <w:vAlign w:val="center"/>
          </w:tcPr>
          <w:p w14:paraId="58EE3AB3" w14:textId="77777777" w:rsidR="008E5679" w:rsidRPr="002C0527" w:rsidRDefault="008E5679" w:rsidP="00C95C78">
            <w:pPr>
              <w:spacing w:before="120" w:line="276" w:lineRule="auto"/>
              <w:jc w:val="center"/>
              <w:rPr>
                <w:rFonts w:ascii="Times New Roman" w:hAnsi="Times New Roman" w:cs="Times New Roman"/>
                <w:b/>
                <w:lang w:val="ro-RO"/>
              </w:rPr>
            </w:pPr>
          </w:p>
        </w:tc>
        <w:tc>
          <w:tcPr>
            <w:tcW w:w="680" w:type="pct"/>
            <w:vMerge/>
            <w:vAlign w:val="center"/>
          </w:tcPr>
          <w:p w14:paraId="464EBDF8" w14:textId="77777777" w:rsidR="008E5679" w:rsidRPr="002C0527" w:rsidRDefault="008E5679" w:rsidP="00C95C78">
            <w:pPr>
              <w:spacing w:before="120" w:line="276" w:lineRule="auto"/>
              <w:jc w:val="center"/>
              <w:rPr>
                <w:rFonts w:ascii="Times New Roman" w:hAnsi="Times New Roman" w:cs="Times New Roman"/>
                <w:b/>
                <w:lang w:val="ro-RO"/>
              </w:rPr>
            </w:pPr>
          </w:p>
        </w:tc>
        <w:tc>
          <w:tcPr>
            <w:tcW w:w="1427" w:type="pct"/>
            <w:gridSpan w:val="6"/>
            <w:vAlign w:val="center"/>
          </w:tcPr>
          <w:p w14:paraId="55DA9DDF" w14:textId="7F2E089E" w:rsidR="008E5679" w:rsidRPr="002C0527" w:rsidRDefault="008E5679" w:rsidP="00C95C78">
            <w:pPr>
              <w:spacing w:before="120" w:line="276" w:lineRule="auto"/>
              <w:jc w:val="center"/>
              <w:rPr>
                <w:rFonts w:ascii="Times New Roman" w:hAnsi="Times New Roman" w:cs="Times New Roman"/>
                <w:b/>
                <w:lang w:val="ro-RO"/>
              </w:rPr>
            </w:pPr>
            <w:r w:rsidRPr="002C0527">
              <w:rPr>
                <w:rFonts w:ascii="Times New Roman" w:hAnsi="Times New Roman" w:cs="Times New Roman"/>
                <w:b/>
                <w:lang w:val="ro-RO"/>
              </w:rPr>
              <w:t>202</w:t>
            </w:r>
            <w:r w:rsidR="003735DF">
              <w:rPr>
                <w:rFonts w:ascii="Times New Roman" w:hAnsi="Times New Roman" w:cs="Times New Roman"/>
                <w:b/>
                <w:lang w:val="ro-RO"/>
              </w:rPr>
              <w:t>3</w:t>
            </w:r>
          </w:p>
        </w:tc>
        <w:tc>
          <w:tcPr>
            <w:tcW w:w="1147" w:type="pct"/>
            <w:gridSpan w:val="6"/>
            <w:vAlign w:val="center"/>
          </w:tcPr>
          <w:p w14:paraId="3EE7587E" w14:textId="356546F8" w:rsidR="008E5679" w:rsidRPr="002C0527" w:rsidRDefault="008E5679" w:rsidP="00C95C78">
            <w:pPr>
              <w:spacing w:before="120" w:line="276" w:lineRule="auto"/>
              <w:jc w:val="center"/>
              <w:rPr>
                <w:rFonts w:ascii="Times New Roman" w:hAnsi="Times New Roman" w:cs="Times New Roman"/>
                <w:b/>
                <w:lang w:val="ro-RO"/>
              </w:rPr>
            </w:pPr>
            <w:r w:rsidRPr="002C0527">
              <w:rPr>
                <w:rFonts w:ascii="Times New Roman" w:hAnsi="Times New Roman" w:cs="Times New Roman"/>
                <w:b/>
                <w:lang w:val="ro-RO"/>
              </w:rPr>
              <w:t>202</w:t>
            </w:r>
            <w:r w:rsidR="003735DF">
              <w:rPr>
                <w:rFonts w:ascii="Times New Roman" w:hAnsi="Times New Roman" w:cs="Times New Roman"/>
                <w:b/>
                <w:lang w:val="ro-RO"/>
              </w:rPr>
              <w:t>4</w:t>
            </w:r>
          </w:p>
        </w:tc>
      </w:tr>
      <w:tr w:rsidR="00287FB6" w:rsidRPr="00793D95" w14:paraId="6F39229C" w14:textId="77777777" w:rsidTr="00287FB6">
        <w:trPr>
          <w:trHeight w:val="391"/>
        </w:trPr>
        <w:tc>
          <w:tcPr>
            <w:tcW w:w="196" w:type="pct"/>
            <w:vMerge/>
            <w:vAlign w:val="center"/>
          </w:tcPr>
          <w:p w14:paraId="009F5B84" w14:textId="77777777" w:rsidR="008E5679" w:rsidRPr="002C0527" w:rsidRDefault="008E5679" w:rsidP="00C95C78">
            <w:pPr>
              <w:spacing w:before="120" w:line="276" w:lineRule="auto"/>
              <w:jc w:val="center"/>
              <w:rPr>
                <w:rFonts w:ascii="Times New Roman" w:hAnsi="Times New Roman" w:cs="Times New Roman"/>
                <w:b/>
                <w:lang w:val="ro-RO"/>
              </w:rPr>
            </w:pPr>
          </w:p>
        </w:tc>
        <w:tc>
          <w:tcPr>
            <w:tcW w:w="1551" w:type="pct"/>
            <w:vMerge/>
            <w:vAlign w:val="center"/>
          </w:tcPr>
          <w:p w14:paraId="7C868DA6" w14:textId="77777777" w:rsidR="008E5679" w:rsidRPr="002C0527" w:rsidRDefault="008E5679" w:rsidP="00C95C78">
            <w:pPr>
              <w:spacing w:before="120" w:line="276" w:lineRule="auto"/>
              <w:jc w:val="center"/>
              <w:rPr>
                <w:rFonts w:ascii="Times New Roman" w:hAnsi="Times New Roman" w:cs="Times New Roman"/>
                <w:b/>
                <w:lang w:val="ro-RO"/>
              </w:rPr>
            </w:pPr>
          </w:p>
        </w:tc>
        <w:tc>
          <w:tcPr>
            <w:tcW w:w="680" w:type="pct"/>
            <w:vMerge/>
            <w:vAlign w:val="center"/>
          </w:tcPr>
          <w:p w14:paraId="50F50A12" w14:textId="77777777" w:rsidR="008E5679" w:rsidRPr="002C0527" w:rsidRDefault="008E5679" w:rsidP="00C95C78">
            <w:pPr>
              <w:spacing w:before="120" w:line="276" w:lineRule="auto"/>
              <w:jc w:val="center"/>
              <w:rPr>
                <w:rFonts w:ascii="Times New Roman" w:hAnsi="Times New Roman" w:cs="Times New Roman"/>
                <w:b/>
                <w:lang w:val="ro-RO"/>
              </w:rPr>
            </w:pPr>
          </w:p>
        </w:tc>
        <w:tc>
          <w:tcPr>
            <w:tcW w:w="259" w:type="pct"/>
            <w:vAlign w:val="center"/>
          </w:tcPr>
          <w:p w14:paraId="63904827" w14:textId="057568E8" w:rsidR="008E5679" w:rsidRPr="00287FB6" w:rsidRDefault="00287FB6" w:rsidP="00C95C78">
            <w:pPr>
              <w:spacing w:before="120" w:line="276" w:lineRule="auto"/>
              <w:jc w:val="center"/>
              <w:rPr>
                <w:rFonts w:ascii="Times New Roman" w:hAnsi="Times New Roman" w:cs="Times New Roman"/>
                <w:b/>
                <w:sz w:val="18"/>
                <w:szCs w:val="18"/>
                <w:lang w:val="ro-RO"/>
              </w:rPr>
            </w:pPr>
            <w:r w:rsidRPr="00287FB6">
              <w:rPr>
                <w:rFonts w:ascii="Times New Roman" w:hAnsi="Times New Roman" w:cs="Times New Roman"/>
                <w:b/>
                <w:sz w:val="18"/>
                <w:szCs w:val="18"/>
                <w:lang w:val="ro-RO"/>
              </w:rPr>
              <w:t>Iul</w:t>
            </w:r>
          </w:p>
        </w:tc>
        <w:tc>
          <w:tcPr>
            <w:tcW w:w="292" w:type="pct"/>
            <w:vAlign w:val="center"/>
          </w:tcPr>
          <w:p w14:paraId="312CE46C" w14:textId="1392E4AA" w:rsidR="008E5679" w:rsidRPr="00287FB6" w:rsidRDefault="00287FB6" w:rsidP="00C95C78">
            <w:pPr>
              <w:spacing w:before="120" w:line="276" w:lineRule="auto"/>
              <w:jc w:val="center"/>
              <w:rPr>
                <w:rFonts w:ascii="Times New Roman" w:hAnsi="Times New Roman" w:cs="Times New Roman"/>
                <w:b/>
                <w:sz w:val="18"/>
                <w:szCs w:val="18"/>
                <w:lang w:val="ro-RO"/>
              </w:rPr>
            </w:pPr>
            <w:r w:rsidRPr="00287FB6">
              <w:rPr>
                <w:rFonts w:ascii="Times New Roman" w:hAnsi="Times New Roman" w:cs="Times New Roman"/>
                <w:b/>
                <w:sz w:val="18"/>
                <w:szCs w:val="18"/>
                <w:lang w:val="ro-RO"/>
              </w:rPr>
              <w:t>Aug</w:t>
            </w:r>
          </w:p>
        </w:tc>
        <w:tc>
          <w:tcPr>
            <w:tcW w:w="218" w:type="pct"/>
            <w:vAlign w:val="center"/>
          </w:tcPr>
          <w:p w14:paraId="2243DE6D" w14:textId="2C2A4BA1" w:rsidR="008E5679" w:rsidRPr="00287FB6" w:rsidRDefault="00287FB6" w:rsidP="00C95C78">
            <w:pPr>
              <w:spacing w:before="120" w:line="276" w:lineRule="auto"/>
              <w:jc w:val="center"/>
              <w:rPr>
                <w:rFonts w:ascii="Times New Roman" w:hAnsi="Times New Roman" w:cs="Times New Roman"/>
                <w:b/>
                <w:sz w:val="18"/>
                <w:szCs w:val="18"/>
                <w:lang w:val="ro-RO"/>
              </w:rPr>
            </w:pPr>
            <w:r w:rsidRPr="00287FB6">
              <w:rPr>
                <w:rFonts w:ascii="Times New Roman" w:hAnsi="Times New Roman" w:cs="Times New Roman"/>
                <w:b/>
                <w:sz w:val="18"/>
                <w:szCs w:val="18"/>
                <w:lang w:val="ro-RO"/>
              </w:rPr>
              <w:t>Sept</w:t>
            </w:r>
          </w:p>
        </w:tc>
        <w:tc>
          <w:tcPr>
            <w:tcW w:w="173" w:type="pct"/>
            <w:vAlign w:val="center"/>
          </w:tcPr>
          <w:p w14:paraId="20B8B140" w14:textId="11D03B9B" w:rsidR="008E5679" w:rsidRPr="00287FB6" w:rsidRDefault="00287FB6" w:rsidP="00C95C78">
            <w:pPr>
              <w:spacing w:before="120" w:line="276" w:lineRule="auto"/>
              <w:jc w:val="center"/>
              <w:rPr>
                <w:rFonts w:ascii="Times New Roman" w:hAnsi="Times New Roman" w:cs="Times New Roman"/>
                <w:b/>
                <w:sz w:val="18"/>
                <w:szCs w:val="18"/>
                <w:lang w:val="ro-RO"/>
              </w:rPr>
            </w:pPr>
            <w:r w:rsidRPr="00287FB6">
              <w:rPr>
                <w:rFonts w:ascii="Times New Roman" w:hAnsi="Times New Roman" w:cs="Times New Roman"/>
                <w:b/>
                <w:sz w:val="18"/>
                <w:szCs w:val="18"/>
                <w:lang w:val="ro-RO"/>
              </w:rPr>
              <w:t>Oct</w:t>
            </w:r>
          </w:p>
        </w:tc>
        <w:tc>
          <w:tcPr>
            <w:tcW w:w="218" w:type="pct"/>
            <w:vAlign w:val="center"/>
          </w:tcPr>
          <w:p w14:paraId="687499D2" w14:textId="45F66118" w:rsidR="008E5679" w:rsidRPr="00287FB6" w:rsidRDefault="00287FB6" w:rsidP="00C95C78">
            <w:pPr>
              <w:spacing w:before="120" w:line="276" w:lineRule="auto"/>
              <w:jc w:val="center"/>
              <w:rPr>
                <w:rFonts w:ascii="Times New Roman" w:hAnsi="Times New Roman" w:cs="Times New Roman"/>
                <w:b/>
                <w:sz w:val="18"/>
                <w:szCs w:val="18"/>
                <w:lang w:val="ro-RO"/>
              </w:rPr>
            </w:pPr>
            <w:r w:rsidRPr="00287FB6">
              <w:rPr>
                <w:rFonts w:ascii="Times New Roman" w:hAnsi="Times New Roman" w:cs="Times New Roman"/>
                <w:b/>
                <w:sz w:val="18"/>
                <w:szCs w:val="18"/>
                <w:lang w:val="ro-RO"/>
              </w:rPr>
              <w:t>Noi</w:t>
            </w:r>
          </w:p>
        </w:tc>
        <w:tc>
          <w:tcPr>
            <w:tcW w:w="267" w:type="pct"/>
            <w:vAlign w:val="center"/>
          </w:tcPr>
          <w:p w14:paraId="5C3E089F" w14:textId="0F9454BD" w:rsidR="008E5679" w:rsidRPr="00287FB6" w:rsidRDefault="00287FB6" w:rsidP="00C95C78">
            <w:pPr>
              <w:spacing w:before="120" w:line="276" w:lineRule="auto"/>
              <w:jc w:val="center"/>
              <w:rPr>
                <w:rFonts w:ascii="Times New Roman" w:hAnsi="Times New Roman" w:cs="Times New Roman"/>
                <w:b/>
                <w:sz w:val="18"/>
                <w:szCs w:val="18"/>
                <w:lang w:val="ro-RO"/>
              </w:rPr>
            </w:pPr>
            <w:r w:rsidRPr="00287FB6">
              <w:rPr>
                <w:rFonts w:ascii="Times New Roman" w:hAnsi="Times New Roman" w:cs="Times New Roman"/>
                <w:b/>
                <w:sz w:val="18"/>
                <w:szCs w:val="18"/>
                <w:lang w:val="ro-RO"/>
              </w:rPr>
              <w:t>Dec</w:t>
            </w:r>
          </w:p>
        </w:tc>
        <w:tc>
          <w:tcPr>
            <w:tcW w:w="132" w:type="pct"/>
            <w:vAlign w:val="center"/>
          </w:tcPr>
          <w:p w14:paraId="52DD94DA" w14:textId="7AB38CF9" w:rsidR="008E5679" w:rsidRPr="00287FB6" w:rsidRDefault="00287FB6" w:rsidP="00C95C78">
            <w:pPr>
              <w:spacing w:before="120" w:line="276" w:lineRule="auto"/>
              <w:jc w:val="center"/>
              <w:rPr>
                <w:rFonts w:ascii="Times New Roman" w:hAnsi="Times New Roman" w:cs="Times New Roman"/>
                <w:b/>
                <w:sz w:val="18"/>
                <w:szCs w:val="18"/>
                <w:lang w:val="ro-RO"/>
              </w:rPr>
            </w:pPr>
            <w:r w:rsidRPr="00287FB6">
              <w:rPr>
                <w:rFonts w:ascii="Times New Roman" w:hAnsi="Times New Roman" w:cs="Times New Roman"/>
                <w:b/>
                <w:sz w:val="18"/>
                <w:szCs w:val="18"/>
                <w:lang w:val="ro-RO"/>
              </w:rPr>
              <w:t>Ian</w:t>
            </w:r>
          </w:p>
        </w:tc>
        <w:tc>
          <w:tcPr>
            <w:tcW w:w="182" w:type="pct"/>
            <w:vAlign w:val="center"/>
          </w:tcPr>
          <w:p w14:paraId="19A447EA" w14:textId="6ECF6917" w:rsidR="008E5679" w:rsidRPr="00287FB6" w:rsidRDefault="00287FB6" w:rsidP="00C95C78">
            <w:pPr>
              <w:spacing w:before="120" w:line="276" w:lineRule="auto"/>
              <w:jc w:val="center"/>
              <w:rPr>
                <w:rFonts w:ascii="Times New Roman" w:hAnsi="Times New Roman" w:cs="Times New Roman"/>
                <w:b/>
                <w:sz w:val="18"/>
                <w:szCs w:val="18"/>
                <w:lang w:val="ro-RO"/>
              </w:rPr>
            </w:pPr>
            <w:r w:rsidRPr="00287FB6">
              <w:rPr>
                <w:rFonts w:ascii="Times New Roman" w:hAnsi="Times New Roman" w:cs="Times New Roman"/>
                <w:b/>
                <w:sz w:val="18"/>
                <w:szCs w:val="18"/>
                <w:lang w:val="ro-RO"/>
              </w:rPr>
              <w:t>Feb</w:t>
            </w:r>
          </w:p>
        </w:tc>
        <w:tc>
          <w:tcPr>
            <w:tcW w:w="218" w:type="pct"/>
            <w:vAlign w:val="center"/>
          </w:tcPr>
          <w:p w14:paraId="4E6791E1" w14:textId="7DB6C3AF" w:rsidR="008E5679" w:rsidRPr="00287FB6" w:rsidRDefault="00287FB6" w:rsidP="00C95C78">
            <w:pPr>
              <w:spacing w:before="120" w:line="276" w:lineRule="auto"/>
              <w:jc w:val="center"/>
              <w:rPr>
                <w:rFonts w:ascii="Times New Roman" w:hAnsi="Times New Roman" w:cs="Times New Roman"/>
                <w:b/>
                <w:sz w:val="18"/>
                <w:szCs w:val="18"/>
                <w:lang w:val="ro-RO"/>
              </w:rPr>
            </w:pPr>
            <w:r w:rsidRPr="00287FB6">
              <w:rPr>
                <w:rFonts w:ascii="Times New Roman" w:hAnsi="Times New Roman" w:cs="Times New Roman"/>
                <w:b/>
                <w:sz w:val="18"/>
                <w:szCs w:val="18"/>
                <w:lang w:val="ro-RO"/>
              </w:rPr>
              <w:t>Mar</w:t>
            </w:r>
          </w:p>
        </w:tc>
        <w:tc>
          <w:tcPr>
            <w:tcW w:w="218" w:type="pct"/>
            <w:vAlign w:val="center"/>
          </w:tcPr>
          <w:p w14:paraId="76545594" w14:textId="22AC1C03" w:rsidR="008E5679" w:rsidRPr="00287FB6" w:rsidRDefault="00287FB6" w:rsidP="00C95C78">
            <w:pPr>
              <w:spacing w:before="120" w:line="276" w:lineRule="auto"/>
              <w:jc w:val="center"/>
              <w:rPr>
                <w:rFonts w:ascii="Times New Roman" w:hAnsi="Times New Roman" w:cs="Times New Roman"/>
                <w:b/>
                <w:sz w:val="18"/>
                <w:szCs w:val="18"/>
                <w:lang w:val="ro-RO"/>
              </w:rPr>
            </w:pPr>
            <w:r w:rsidRPr="00287FB6">
              <w:rPr>
                <w:rFonts w:ascii="Times New Roman" w:hAnsi="Times New Roman" w:cs="Times New Roman"/>
                <w:b/>
                <w:sz w:val="18"/>
                <w:szCs w:val="18"/>
                <w:lang w:val="ro-RO"/>
              </w:rPr>
              <w:t>Apr</w:t>
            </w:r>
          </w:p>
        </w:tc>
        <w:tc>
          <w:tcPr>
            <w:tcW w:w="176" w:type="pct"/>
            <w:vAlign w:val="center"/>
          </w:tcPr>
          <w:p w14:paraId="1C63FDBD" w14:textId="5B8E0023" w:rsidR="008E5679" w:rsidRPr="00287FB6" w:rsidRDefault="00287FB6" w:rsidP="00C95C78">
            <w:pPr>
              <w:spacing w:before="120" w:line="276" w:lineRule="auto"/>
              <w:jc w:val="center"/>
              <w:rPr>
                <w:rFonts w:ascii="Times New Roman" w:hAnsi="Times New Roman" w:cs="Times New Roman"/>
                <w:b/>
                <w:sz w:val="18"/>
                <w:szCs w:val="18"/>
                <w:lang w:val="ro-RO"/>
              </w:rPr>
            </w:pPr>
            <w:r w:rsidRPr="00287FB6">
              <w:rPr>
                <w:rFonts w:ascii="Times New Roman" w:hAnsi="Times New Roman" w:cs="Times New Roman"/>
                <w:b/>
                <w:sz w:val="18"/>
                <w:szCs w:val="18"/>
                <w:lang w:val="ro-RO"/>
              </w:rPr>
              <w:t>Mai</w:t>
            </w:r>
          </w:p>
        </w:tc>
        <w:tc>
          <w:tcPr>
            <w:tcW w:w="218" w:type="pct"/>
            <w:vAlign w:val="center"/>
          </w:tcPr>
          <w:p w14:paraId="4309EF96" w14:textId="1BC18E20" w:rsidR="008E5679" w:rsidRPr="00287FB6" w:rsidRDefault="00287FB6" w:rsidP="00C95C78">
            <w:pPr>
              <w:spacing w:before="120" w:line="276" w:lineRule="auto"/>
              <w:jc w:val="center"/>
              <w:rPr>
                <w:rFonts w:ascii="Times New Roman" w:hAnsi="Times New Roman" w:cs="Times New Roman"/>
                <w:b/>
                <w:sz w:val="18"/>
                <w:szCs w:val="18"/>
                <w:lang w:val="ro-RO"/>
              </w:rPr>
            </w:pPr>
            <w:r w:rsidRPr="00287FB6">
              <w:rPr>
                <w:rFonts w:ascii="Times New Roman" w:hAnsi="Times New Roman" w:cs="Times New Roman"/>
                <w:b/>
                <w:sz w:val="18"/>
                <w:szCs w:val="18"/>
                <w:lang w:val="ro-RO"/>
              </w:rPr>
              <w:t>Iun</w:t>
            </w:r>
          </w:p>
        </w:tc>
      </w:tr>
      <w:tr w:rsidR="00287FB6" w:rsidRPr="00793D95" w14:paraId="153A4565" w14:textId="77777777" w:rsidTr="00287FB6">
        <w:tc>
          <w:tcPr>
            <w:tcW w:w="196" w:type="pct"/>
          </w:tcPr>
          <w:p w14:paraId="7DF1A1B2" w14:textId="77777777" w:rsidR="008E5679" w:rsidRPr="002C0527" w:rsidRDefault="008E5679" w:rsidP="00C95C78">
            <w:pPr>
              <w:spacing w:before="120" w:line="276" w:lineRule="auto"/>
              <w:jc w:val="center"/>
              <w:rPr>
                <w:rFonts w:ascii="Times New Roman" w:hAnsi="Times New Roman" w:cs="Times New Roman"/>
                <w:lang w:val="ro-RO"/>
              </w:rPr>
            </w:pPr>
            <w:r w:rsidRPr="002C0527">
              <w:rPr>
                <w:rFonts w:ascii="Times New Roman" w:hAnsi="Times New Roman" w:cs="Times New Roman"/>
                <w:lang w:val="ro-RO"/>
              </w:rPr>
              <w:t>1</w:t>
            </w:r>
          </w:p>
        </w:tc>
        <w:tc>
          <w:tcPr>
            <w:tcW w:w="1551" w:type="pct"/>
          </w:tcPr>
          <w:p w14:paraId="39D52093" w14:textId="77777777" w:rsidR="008E5679" w:rsidRPr="002C0527" w:rsidRDefault="008E5679" w:rsidP="00C95C78">
            <w:pPr>
              <w:spacing w:before="120" w:line="276" w:lineRule="auto"/>
              <w:rPr>
                <w:rFonts w:ascii="Times New Roman" w:hAnsi="Times New Roman" w:cs="Times New Roman"/>
                <w:lang w:val="ro-RO"/>
              </w:rPr>
            </w:pPr>
            <w:r w:rsidRPr="002C0527">
              <w:rPr>
                <w:rFonts w:ascii="Times New Roman" w:hAnsi="Times New Roman" w:cs="Times New Roman"/>
                <w:lang w:val="ro-RO"/>
              </w:rPr>
              <w:t>Organizarea instruirilor periodice pentru angajații și elevii/studenții din cadrul instituției cu privire la importanța eficientizări consumului de energie</w:t>
            </w:r>
          </w:p>
        </w:tc>
        <w:tc>
          <w:tcPr>
            <w:tcW w:w="680" w:type="pct"/>
          </w:tcPr>
          <w:p w14:paraId="404F8B6F" w14:textId="77777777" w:rsidR="008E5679" w:rsidRPr="002C0527" w:rsidRDefault="008E5679" w:rsidP="00C95C78">
            <w:pPr>
              <w:spacing w:before="120" w:line="276" w:lineRule="auto"/>
              <w:rPr>
                <w:rFonts w:ascii="Times New Roman" w:hAnsi="Times New Roman" w:cs="Times New Roman"/>
                <w:lang w:val="ro-RO"/>
              </w:rPr>
            </w:pPr>
            <w:r w:rsidRPr="002C0527">
              <w:rPr>
                <w:rFonts w:ascii="Times New Roman" w:hAnsi="Times New Roman" w:cs="Times New Roman"/>
                <w:lang w:val="ro-RO"/>
              </w:rPr>
              <w:t>Echipa de management</w:t>
            </w:r>
          </w:p>
        </w:tc>
        <w:tc>
          <w:tcPr>
            <w:tcW w:w="259" w:type="pct"/>
          </w:tcPr>
          <w:p w14:paraId="46A4E79B" w14:textId="77777777" w:rsidR="008E5679" w:rsidRPr="002C0527" w:rsidRDefault="008E5679" w:rsidP="00C95C78">
            <w:pPr>
              <w:spacing w:before="120" w:line="276" w:lineRule="auto"/>
              <w:jc w:val="both"/>
              <w:rPr>
                <w:rFonts w:ascii="Times New Roman" w:hAnsi="Times New Roman" w:cs="Times New Roman"/>
                <w:b/>
                <w:lang w:val="ro-RO"/>
              </w:rPr>
            </w:pPr>
          </w:p>
        </w:tc>
        <w:tc>
          <w:tcPr>
            <w:tcW w:w="292" w:type="pct"/>
          </w:tcPr>
          <w:p w14:paraId="3F560DAF" w14:textId="77777777" w:rsidR="008E5679" w:rsidRPr="002C0527" w:rsidRDefault="008E5679" w:rsidP="00C95C78">
            <w:pPr>
              <w:spacing w:before="120" w:line="276" w:lineRule="auto"/>
              <w:jc w:val="both"/>
              <w:rPr>
                <w:rFonts w:ascii="Times New Roman" w:hAnsi="Times New Roman" w:cs="Times New Roman"/>
                <w:b/>
                <w:lang w:val="ro-RO"/>
              </w:rPr>
            </w:pPr>
          </w:p>
        </w:tc>
        <w:tc>
          <w:tcPr>
            <w:tcW w:w="218" w:type="pct"/>
            <w:shd w:val="clear" w:color="auto" w:fill="92D050"/>
          </w:tcPr>
          <w:p w14:paraId="6357CD63" w14:textId="77777777" w:rsidR="008E5679" w:rsidRPr="002C0527" w:rsidRDefault="008E5679" w:rsidP="00C95C78">
            <w:pPr>
              <w:spacing w:before="120" w:line="276" w:lineRule="auto"/>
              <w:jc w:val="both"/>
              <w:rPr>
                <w:rFonts w:ascii="Times New Roman" w:hAnsi="Times New Roman" w:cs="Times New Roman"/>
                <w:b/>
                <w:lang w:val="ro-RO"/>
              </w:rPr>
            </w:pPr>
          </w:p>
        </w:tc>
        <w:tc>
          <w:tcPr>
            <w:tcW w:w="173" w:type="pct"/>
          </w:tcPr>
          <w:p w14:paraId="3A6F2E80" w14:textId="77777777" w:rsidR="008E5679" w:rsidRPr="002C0527" w:rsidRDefault="008E5679" w:rsidP="00C95C78">
            <w:pPr>
              <w:spacing w:before="120" w:line="276" w:lineRule="auto"/>
              <w:jc w:val="both"/>
              <w:rPr>
                <w:rFonts w:ascii="Times New Roman" w:hAnsi="Times New Roman" w:cs="Times New Roman"/>
                <w:b/>
                <w:lang w:val="ro-RO"/>
              </w:rPr>
            </w:pPr>
          </w:p>
        </w:tc>
        <w:tc>
          <w:tcPr>
            <w:tcW w:w="218" w:type="pct"/>
          </w:tcPr>
          <w:p w14:paraId="5657AEAE" w14:textId="77777777" w:rsidR="008E5679" w:rsidRPr="002C0527" w:rsidRDefault="008E5679" w:rsidP="00C95C78">
            <w:pPr>
              <w:spacing w:before="120" w:line="276" w:lineRule="auto"/>
              <w:jc w:val="both"/>
              <w:rPr>
                <w:rFonts w:ascii="Times New Roman" w:hAnsi="Times New Roman" w:cs="Times New Roman"/>
                <w:b/>
                <w:lang w:val="ro-RO"/>
              </w:rPr>
            </w:pPr>
          </w:p>
        </w:tc>
        <w:tc>
          <w:tcPr>
            <w:tcW w:w="267" w:type="pct"/>
          </w:tcPr>
          <w:p w14:paraId="7CD51C4E" w14:textId="77777777" w:rsidR="008E5679" w:rsidRPr="002C0527" w:rsidRDefault="008E5679" w:rsidP="00C95C78">
            <w:pPr>
              <w:spacing w:before="120" w:line="276" w:lineRule="auto"/>
              <w:jc w:val="both"/>
              <w:rPr>
                <w:rFonts w:ascii="Times New Roman" w:hAnsi="Times New Roman" w:cs="Times New Roman"/>
                <w:b/>
                <w:lang w:val="ro-RO"/>
              </w:rPr>
            </w:pPr>
          </w:p>
        </w:tc>
        <w:tc>
          <w:tcPr>
            <w:tcW w:w="132" w:type="pct"/>
          </w:tcPr>
          <w:p w14:paraId="16ABC709" w14:textId="77777777" w:rsidR="008E5679" w:rsidRPr="002C0527" w:rsidRDefault="008E5679" w:rsidP="00C95C78">
            <w:pPr>
              <w:spacing w:before="120" w:line="276" w:lineRule="auto"/>
              <w:jc w:val="both"/>
              <w:rPr>
                <w:rFonts w:ascii="Times New Roman" w:hAnsi="Times New Roman" w:cs="Times New Roman"/>
                <w:b/>
                <w:lang w:val="ro-RO"/>
              </w:rPr>
            </w:pPr>
          </w:p>
        </w:tc>
        <w:tc>
          <w:tcPr>
            <w:tcW w:w="182" w:type="pct"/>
          </w:tcPr>
          <w:p w14:paraId="56FF70EC" w14:textId="77777777" w:rsidR="008E5679" w:rsidRPr="002C0527" w:rsidRDefault="008E5679" w:rsidP="00C95C78">
            <w:pPr>
              <w:spacing w:before="120" w:line="276" w:lineRule="auto"/>
              <w:jc w:val="both"/>
              <w:rPr>
                <w:rFonts w:ascii="Times New Roman" w:hAnsi="Times New Roman" w:cs="Times New Roman"/>
                <w:b/>
                <w:lang w:val="ro-RO"/>
              </w:rPr>
            </w:pPr>
          </w:p>
        </w:tc>
        <w:tc>
          <w:tcPr>
            <w:tcW w:w="218" w:type="pct"/>
            <w:shd w:val="clear" w:color="auto" w:fill="auto"/>
          </w:tcPr>
          <w:p w14:paraId="209BE09B" w14:textId="77777777" w:rsidR="008E5679" w:rsidRPr="002C0527" w:rsidRDefault="008E5679" w:rsidP="00C95C78">
            <w:pPr>
              <w:spacing w:before="120" w:line="276" w:lineRule="auto"/>
              <w:jc w:val="both"/>
              <w:rPr>
                <w:rFonts w:ascii="Times New Roman" w:hAnsi="Times New Roman" w:cs="Times New Roman"/>
                <w:b/>
                <w:lang w:val="ro-RO"/>
              </w:rPr>
            </w:pPr>
          </w:p>
        </w:tc>
        <w:tc>
          <w:tcPr>
            <w:tcW w:w="218" w:type="pct"/>
          </w:tcPr>
          <w:p w14:paraId="1704701B" w14:textId="77777777" w:rsidR="008E5679" w:rsidRPr="002C0527" w:rsidRDefault="008E5679" w:rsidP="00C95C78">
            <w:pPr>
              <w:spacing w:before="120" w:line="276" w:lineRule="auto"/>
              <w:jc w:val="both"/>
              <w:rPr>
                <w:rFonts w:ascii="Times New Roman" w:hAnsi="Times New Roman" w:cs="Times New Roman"/>
                <w:b/>
                <w:lang w:val="ro-RO"/>
              </w:rPr>
            </w:pPr>
          </w:p>
        </w:tc>
        <w:tc>
          <w:tcPr>
            <w:tcW w:w="176" w:type="pct"/>
            <w:shd w:val="clear" w:color="auto" w:fill="92D050"/>
          </w:tcPr>
          <w:p w14:paraId="204D6E76" w14:textId="77777777" w:rsidR="008E5679" w:rsidRPr="002C0527" w:rsidRDefault="008E5679" w:rsidP="00C95C78">
            <w:pPr>
              <w:spacing w:before="120" w:line="276" w:lineRule="auto"/>
              <w:jc w:val="both"/>
              <w:rPr>
                <w:rFonts w:ascii="Times New Roman" w:hAnsi="Times New Roman" w:cs="Times New Roman"/>
                <w:b/>
                <w:lang w:val="ro-RO"/>
              </w:rPr>
            </w:pPr>
          </w:p>
        </w:tc>
        <w:tc>
          <w:tcPr>
            <w:tcW w:w="218" w:type="pct"/>
          </w:tcPr>
          <w:p w14:paraId="5593769D" w14:textId="77777777" w:rsidR="008E5679" w:rsidRPr="002C0527" w:rsidRDefault="008E5679" w:rsidP="00C95C78">
            <w:pPr>
              <w:spacing w:before="120" w:line="276" w:lineRule="auto"/>
              <w:jc w:val="both"/>
              <w:rPr>
                <w:rFonts w:ascii="Times New Roman" w:hAnsi="Times New Roman" w:cs="Times New Roman"/>
                <w:b/>
                <w:lang w:val="ro-RO"/>
              </w:rPr>
            </w:pPr>
          </w:p>
        </w:tc>
      </w:tr>
      <w:tr w:rsidR="00287FB6" w:rsidRPr="00793D95" w14:paraId="395A1246" w14:textId="77777777" w:rsidTr="00287FB6">
        <w:trPr>
          <w:trHeight w:val="60"/>
        </w:trPr>
        <w:tc>
          <w:tcPr>
            <w:tcW w:w="196" w:type="pct"/>
          </w:tcPr>
          <w:p w14:paraId="7784FDCB" w14:textId="77777777" w:rsidR="008E5679" w:rsidRPr="002C0527" w:rsidRDefault="008E5679" w:rsidP="00C95C78">
            <w:pPr>
              <w:spacing w:before="120" w:line="276" w:lineRule="auto"/>
              <w:jc w:val="center"/>
              <w:rPr>
                <w:rFonts w:ascii="Times New Roman" w:hAnsi="Times New Roman" w:cs="Times New Roman"/>
                <w:lang w:val="ro-RO"/>
              </w:rPr>
            </w:pPr>
            <w:r w:rsidRPr="002C0527">
              <w:rPr>
                <w:rFonts w:ascii="Times New Roman" w:hAnsi="Times New Roman" w:cs="Times New Roman"/>
                <w:lang w:val="ro-RO"/>
              </w:rPr>
              <w:t>2</w:t>
            </w:r>
          </w:p>
        </w:tc>
        <w:tc>
          <w:tcPr>
            <w:tcW w:w="1551" w:type="pct"/>
          </w:tcPr>
          <w:p w14:paraId="637519F6" w14:textId="04CDB8D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Verificarea periodică și setarea în mod optimal a parametrilor centralei termice inclusiv prin ajustarea acesteia la condițiile exterioare, pentru zilele de week-end și perioade nefuncționale a instituției</w:t>
            </w:r>
          </w:p>
        </w:tc>
        <w:tc>
          <w:tcPr>
            <w:tcW w:w="680" w:type="pct"/>
          </w:tcPr>
          <w:p w14:paraId="1E71DD1B" w14:textId="77777777" w:rsidR="008E5679" w:rsidRPr="002C0527" w:rsidRDefault="008E5679" w:rsidP="00C95C78">
            <w:pPr>
              <w:spacing w:before="120" w:line="276" w:lineRule="auto"/>
              <w:rPr>
                <w:rFonts w:ascii="Times New Roman" w:hAnsi="Times New Roman" w:cs="Times New Roman"/>
                <w:lang w:val="ro-RO"/>
              </w:rPr>
            </w:pPr>
            <w:r w:rsidRPr="002C0527">
              <w:rPr>
                <w:rFonts w:ascii="Times New Roman" w:hAnsi="Times New Roman" w:cs="Times New Roman"/>
                <w:lang w:val="ro-RO"/>
              </w:rPr>
              <w:t>Managerul energetic</w:t>
            </w:r>
          </w:p>
          <w:p w14:paraId="113C11CE" w14:textId="77777777" w:rsidR="008E5679" w:rsidRPr="002C0527" w:rsidRDefault="008E5679" w:rsidP="00C95C78">
            <w:pPr>
              <w:spacing w:before="120" w:line="276" w:lineRule="auto"/>
              <w:rPr>
                <w:rFonts w:ascii="Times New Roman" w:hAnsi="Times New Roman" w:cs="Times New Roman"/>
                <w:lang w:val="ro-RO"/>
              </w:rPr>
            </w:pPr>
            <w:r w:rsidRPr="002C0527">
              <w:rPr>
                <w:rFonts w:ascii="Times New Roman" w:hAnsi="Times New Roman" w:cs="Times New Roman"/>
                <w:lang w:val="ro-RO"/>
              </w:rPr>
              <w:t>Operatorul centralei</w:t>
            </w:r>
          </w:p>
        </w:tc>
        <w:tc>
          <w:tcPr>
            <w:tcW w:w="259" w:type="pct"/>
          </w:tcPr>
          <w:p w14:paraId="4883B9C4"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tcPr>
          <w:p w14:paraId="007A7B4F"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75D936C6"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shd w:val="clear" w:color="auto" w:fill="92D050"/>
          </w:tcPr>
          <w:p w14:paraId="29174929"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7D5E793D"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shd w:val="clear" w:color="auto" w:fill="92D050"/>
          </w:tcPr>
          <w:p w14:paraId="2C5E2713"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shd w:val="clear" w:color="auto" w:fill="92D050"/>
          </w:tcPr>
          <w:p w14:paraId="330DDEF1"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shd w:val="clear" w:color="auto" w:fill="92D050"/>
          </w:tcPr>
          <w:p w14:paraId="362E91A1"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33958B4E"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0B0E038F"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Pr>
          <w:p w14:paraId="33AB3EB8"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4B91F468"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58EB1E02" w14:textId="77777777" w:rsidTr="00287FB6">
        <w:tc>
          <w:tcPr>
            <w:tcW w:w="196" w:type="pct"/>
          </w:tcPr>
          <w:p w14:paraId="4F7BCEC3" w14:textId="77777777" w:rsidR="008E5679" w:rsidRPr="002C0527" w:rsidRDefault="008E5679" w:rsidP="00C95C78">
            <w:pPr>
              <w:spacing w:before="120" w:line="276" w:lineRule="auto"/>
              <w:jc w:val="center"/>
              <w:rPr>
                <w:rFonts w:ascii="Times New Roman" w:hAnsi="Times New Roman" w:cs="Times New Roman"/>
                <w:lang w:val="ro-RO"/>
              </w:rPr>
            </w:pPr>
            <w:r w:rsidRPr="002C0527">
              <w:rPr>
                <w:rFonts w:ascii="Times New Roman" w:hAnsi="Times New Roman" w:cs="Times New Roman"/>
                <w:lang w:val="ro-RO"/>
              </w:rPr>
              <w:t>3</w:t>
            </w:r>
          </w:p>
        </w:tc>
        <w:tc>
          <w:tcPr>
            <w:tcW w:w="1551" w:type="pct"/>
          </w:tcPr>
          <w:p w14:paraId="5BB7E5AE"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Verificarea  conductelor de agent termic care traversează spațiile neîncălzite cu izolarea corespunzătoare a acestora, inclusiv înlăturarea imediată a scurgerilor de agent termic</w:t>
            </w:r>
          </w:p>
        </w:tc>
        <w:tc>
          <w:tcPr>
            <w:tcW w:w="680" w:type="pct"/>
          </w:tcPr>
          <w:p w14:paraId="38F3320E"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Operatorul centralei</w:t>
            </w:r>
          </w:p>
          <w:p w14:paraId="64D427DD"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Managerul energetic</w:t>
            </w:r>
          </w:p>
          <w:p w14:paraId="3A0A2EE3"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Specialist instalator</w:t>
            </w:r>
          </w:p>
        </w:tc>
        <w:tc>
          <w:tcPr>
            <w:tcW w:w="259" w:type="pct"/>
            <w:shd w:val="clear" w:color="auto" w:fill="auto"/>
          </w:tcPr>
          <w:p w14:paraId="33B59FFE"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shd w:val="clear" w:color="auto" w:fill="92D050"/>
          </w:tcPr>
          <w:p w14:paraId="59C7B1D5"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5CFE1B0F"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tcPr>
          <w:p w14:paraId="1B60F0C2"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710101F0"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tcPr>
          <w:p w14:paraId="4EB44E9F"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tcPr>
          <w:p w14:paraId="7638FC1B"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tcPr>
          <w:p w14:paraId="032C898E"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5EA5B5DF"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163F0914"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Pr>
          <w:p w14:paraId="0B4BFF50"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7D8E58A1"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399E2728" w14:textId="77777777" w:rsidTr="00287FB6">
        <w:tc>
          <w:tcPr>
            <w:tcW w:w="196" w:type="pct"/>
          </w:tcPr>
          <w:p w14:paraId="4EEB26F1" w14:textId="77777777" w:rsidR="008E5679" w:rsidRPr="002C0527" w:rsidRDefault="008E5679" w:rsidP="00C95C78">
            <w:pPr>
              <w:spacing w:before="120" w:line="276" w:lineRule="auto"/>
              <w:jc w:val="center"/>
              <w:rPr>
                <w:rFonts w:ascii="Times New Roman" w:hAnsi="Times New Roman" w:cs="Times New Roman"/>
                <w:lang w:val="ro-RO"/>
              </w:rPr>
            </w:pPr>
            <w:r w:rsidRPr="002C0527">
              <w:rPr>
                <w:rFonts w:ascii="Times New Roman" w:hAnsi="Times New Roman" w:cs="Times New Roman"/>
                <w:lang w:val="ro-RO"/>
              </w:rPr>
              <w:t>4</w:t>
            </w:r>
          </w:p>
        </w:tc>
        <w:tc>
          <w:tcPr>
            <w:tcW w:w="1551" w:type="pct"/>
          </w:tcPr>
          <w:p w14:paraId="2E41BAD4"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 xml:space="preserve">Verificarea stării ferestrelor și izolarea rosturilor acestora în cazul geamurilor vechi și/sau reglarea ferestrelor din PVC, în vederea reducerii pierderilor de energie datorită infiltrărilor de aer </w:t>
            </w:r>
          </w:p>
        </w:tc>
        <w:tc>
          <w:tcPr>
            <w:tcW w:w="680" w:type="pct"/>
          </w:tcPr>
          <w:p w14:paraId="2AA9113D"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Managerul energetic</w:t>
            </w:r>
          </w:p>
          <w:p w14:paraId="330709CF"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Personalul instituției</w:t>
            </w:r>
          </w:p>
        </w:tc>
        <w:tc>
          <w:tcPr>
            <w:tcW w:w="259" w:type="pct"/>
          </w:tcPr>
          <w:p w14:paraId="301009F7"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tcPr>
          <w:p w14:paraId="725B124F"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2ADA48C7"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shd w:val="clear" w:color="auto" w:fill="92D050"/>
          </w:tcPr>
          <w:p w14:paraId="1326B950"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4F9FDC52"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tcPr>
          <w:p w14:paraId="42D420B6"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tcPr>
          <w:p w14:paraId="5EF7C7AC"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tcPr>
          <w:p w14:paraId="62B3FE5A"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2E31BFFA"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459EA845"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Pr>
          <w:p w14:paraId="72AA3FB9"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085B8230"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7B7F18E2" w14:textId="77777777" w:rsidTr="00287FB6">
        <w:tc>
          <w:tcPr>
            <w:tcW w:w="196" w:type="pct"/>
          </w:tcPr>
          <w:p w14:paraId="0350FA75" w14:textId="77777777" w:rsidR="008E5679" w:rsidRPr="002C0527" w:rsidRDefault="008E5679" w:rsidP="00C95C78">
            <w:pPr>
              <w:spacing w:before="120" w:line="276" w:lineRule="auto"/>
              <w:jc w:val="center"/>
              <w:rPr>
                <w:rFonts w:ascii="Times New Roman" w:hAnsi="Times New Roman" w:cs="Times New Roman"/>
                <w:lang w:val="ro-RO"/>
              </w:rPr>
            </w:pPr>
            <w:r w:rsidRPr="002C0527">
              <w:rPr>
                <w:rFonts w:ascii="Times New Roman" w:hAnsi="Times New Roman" w:cs="Times New Roman"/>
                <w:lang w:val="ro-RO"/>
              </w:rPr>
              <w:t>5</w:t>
            </w:r>
          </w:p>
        </w:tc>
        <w:tc>
          <w:tcPr>
            <w:tcW w:w="1551" w:type="pct"/>
          </w:tcPr>
          <w:p w14:paraId="54A51493"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 xml:space="preserve">Instalarea termostatelor electronice în încăperile interioare sau robinete cu cap termostat pe calorifere </w:t>
            </w:r>
            <w:r w:rsidRPr="002C0527">
              <w:rPr>
                <w:rFonts w:ascii="Times New Roman" w:hAnsi="Times New Roman" w:cs="Times New Roman"/>
                <w:lang w:val="ro-RO"/>
              </w:rPr>
              <w:lastRenderedPageBreak/>
              <w:t>pentru reglarea și funcționarea în regim optim a centralei termice</w:t>
            </w:r>
          </w:p>
        </w:tc>
        <w:tc>
          <w:tcPr>
            <w:tcW w:w="680" w:type="pct"/>
          </w:tcPr>
          <w:p w14:paraId="5C131C7A"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lastRenderedPageBreak/>
              <w:t>Managerul energetic</w:t>
            </w:r>
          </w:p>
          <w:p w14:paraId="64385354"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Specialist instalator</w:t>
            </w:r>
          </w:p>
        </w:tc>
        <w:tc>
          <w:tcPr>
            <w:tcW w:w="259" w:type="pct"/>
          </w:tcPr>
          <w:p w14:paraId="5FE1A3A4"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tcPr>
          <w:p w14:paraId="6E4FBA85"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03B36865"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shd w:val="clear" w:color="auto" w:fill="92D050"/>
          </w:tcPr>
          <w:p w14:paraId="14B8A9B6"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0B535561"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tcPr>
          <w:p w14:paraId="16FF2ECD"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tcPr>
          <w:p w14:paraId="56B329AA"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tcPr>
          <w:p w14:paraId="32524BA1"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1A2C3668"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2D30023C"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Pr>
          <w:p w14:paraId="25D27218"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156FC256"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024FCB08" w14:textId="77777777" w:rsidTr="00287FB6">
        <w:tc>
          <w:tcPr>
            <w:tcW w:w="196" w:type="pct"/>
          </w:tcPr>
          <w:p w14:paraId="55EA866B" w14:textId="77777777" w:rsidR="008E5679" w:rsidRPr="002C0527" w:rsidRDefault="008E5679" w:rsidP="00C95C78">
            <w:pPr>
              <w:spacing w:before="120" w:line="276" w:lineRule="auto"/>
              <w:jc w:val="center"/>
              <w:rPr>
                <w:rFonts w:ascii="Times New Roman" w:hAnsi="Times New Roman" w:cs="Times New Roman"/>
                <w:lang w:val="ro-RO"/>
              </w:rPr>
            </w:pPr>
            <w:r w:rsidRPr="002C0527">
              <w:rPr>
                <w:rFonts w:ascii="Times New Roman" w:hAnsi="Times New Roman" w:cs="Times New Roman"/>
                <w:lang w:val="ro-RO"/>
              </w:rPr>
              <w:t>6</w:t>
            </w:r>
          </w:p>
        </w:tc>
        <w:tc>
          <w:tcPr>
            <w:tcW w:w="1551" w:type="pct"/>
          </w:tcPr>
          <w:p w14:paraId="21339B81" w14:textId="1AFFEFF1"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Înlocuirea pompelor vechi de circulație a agentului termic de încălzire, cu pompe noi</w:t>
            </w:r>
            <w:r w:rsidR="005516D2">
              <w:rPr>
                <w:rFonts w:ascii="Times New Roman" w:hAnsi="Times New Roman" w:cs="Times New Roman"/>
                <w:lang w:val="ro-RO"/>
              </w:rPr>
              <w:t>,</w:t>
            </w:r>
            <w:r w:rsidRPr="002C0527">
              <w:rPr>
                <w:rFonts w:ascii="Times New Roman" w:hAnsi="Times New Roman" w:cs="Times New Roman"/>
                <w:lang w:val="ro-RO"/>
              </w:rPr>
              <w:t xml:space="preserve"> performante</w:t>
            </w:r>
          </w:p>
        </w:tc>
        <w:tc>
          <w:tcPr>
            <w:tcW w:w="680" w:type="pct"/>
          </w:tcPr>
          <w:p w14:paraId="53E1552A"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Managerul energetic</w:t>
            </w:r>
          </w:p>
          <w:p w14:paraId="068D1A08"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Specialist instalator</w:t>
            </w:r>
          </w:p>
        </w:tc>
        <w:tc>
          <w:tcPr>
            <w:tcW w:w="259" w:type="pct"/>
          </w:tcPr>
          <w:p w14:paraId="6E2C5C5A"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tcBorders>
              <w:bottom w:val="single" w:sz="4" w:space="0" w:color="BFBFBF" w:themeColor="background1" w:themeShade="BF"/>
            </w:tcBorders>
            <w:shd w:val="clear" w:color="auto" w:fill="92D050"/>
          </w:tcPr>
          <w:p w14:paraId="36DFD26C"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shd w:val="clear" w:color="auto" w:fill="92D050"/>
          </w:tcPr>
          <w:p w14:paraId="43983819"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tcBorders>
              <w:bottom w:val="single" w:sz="4" w:space="0" w:color="BFBFBF" w:themeColor="background1" w:themeShade="BF"/>
            </w:tcBorders>
          </w:tcPr>
          <w:p w14:paraId="41AD0022"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tcPr>
          <w:p w14:paraId="24EAE528"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tcBorders>
              <w:bottom w:val="single" w:sz="4" w:space="0" w:color="BFBFBF" w:themeColor="background1" w:themeShade="BF"/>
            </w:tcBorders>
          </w:tcPr>
          <w:p w14:paraId="6265E9F9"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tcBorders>
              <w:bottom w:val="single" w:sz="4" w:space="0" w:color="BFBFBF" w:themeColor="background1" w:themeShade="BF"/>
            </w:tcBorders>
          </w:tcPr>
          <w:p w14:paraId="7ACDE95E"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tcBorders>
              <w:bottom w:val="single" w:sz="4" w:space="0" w:color="BFBFBF" w:themeColor="background1" w:themeShade="BF"/>
            </w:tcBorders>
          </w:tcPr>
          <w:p w14:paraId="487EBB47"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tcPr>
          <w:p w14:paraId="40E35DA6"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tcPr>
          <w:p w14:paraId="6D8C6E63"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Pr>
          <w:p w14:paraId="3F73B7F0"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55644249"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662CE10E" w14:textId="77777777" w:rsidTr="00287FB6">
        <w:tc>
          <w:tcPr>
            <w:tcW w:w="196" w:type="pct"/>
          </w:tcPr>
          <w:p w14:paraId="4A2CA395" w14:textId="77777777" w:rsidR="008E5679" w:rsidRPr="002C0527" w:rsidRDefault="008E5679" w:rsidP="00C95C78">
            <w:pPr>
              <w:spacing w:before="120" w:line="276" w:lineRule="auto"/>
              <w:jc w:val="center"/>
              <w:rPr>
                <w:rFonts w:ascii="Times New Roman" w:hAnsi="Times New Roman" w:cs="Times New Roman"/>
                <w:lang w:val="ro-RO"/>
              </w:rPr>
            </w:pPr>
            <w:r w:rsidRPr="002C0527">
              <w:rPr>
                <w:rFonts w:ascii="Times New Roman" w:hAnsi="Times New Roman" w:cs="Times New Roman"/>
                <w:lang w:val="ro-RO"/>
              </w:rPr>
              <w:t>7</w:t>
            </w:r>
          </w:p>
        </w:tc>
        <w:tc>
          <w:tcPr>
            <w:tcW w:w="1551" w:type="pct"/>
          </w:tcPr>
          <w:p w14:paraId="2D8C7562"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Deschiderea draperiilor/ jaluzelelor în zilele însorite pentru a oferi posibilitatea încălzirii camerei de la soare și să le închideți pe noapte (iarna).</w:t>
            </w:r>
          </w:p>
        </w:tc>
        <w:tc>
          <w:tcPr>
            <w:tcW w:w="680" w:type="pct"/>
          </w:tcPr>
          <w:p w14:paraId="007FEA73"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Managerul energetic</w:t>
            </w:r>
          </w:p>
          <w:p w14:paraId="4651F9F2"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Personalul instituției</w:t>
            </w:r>
          </w:p>
        </w:tc>
        <w:tc>
          <w:tcPr>
            <w:tcW w:w="259" w:type="pct"/>
          </w:tcPr>
          <w:p w14:paraId="51EE8D49"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tcBorders>
              <w:bottom w:val="single" w:sz="4" w:space="0" w:color="BFBFBF" w:themeColor="background1" w:themeShade="BF"/>
            </w:tcBorders>
            <w:shd w:val="clear" w:color="auto" w:fill="auto"/>
          </w:tcPr>
          <w:p w14:paraId="47AEFCB1"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shd w:val="clear" w:color="auto" w:fill="auto"/>
          </w:tcPr>
          <w:p w14:paraId="1F20DD9B"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tcBorders>
              <w:bottom w:val="single" w:sz="4" w:space="0" w:color="BFBFBF" w:themeColor="background1" w:themeShade="BF"/>
            </w:tcBorders>
            <w:shd w:val="clear" w:color="auto" w:fill="92D050"/>
          </w:tcPr>
          <w:p w14:paraId="4AE24BD7"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shd w:val="clear" w:color="auto" w:fill="92D050"/>
          </w:tcPr>
          <w:p w14:paraId="66844A59"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tcBorders>
              <w:bottom w:val="single" w:sz="4" w:space="0" w:color="BFBFBF" w:themeColor="background1" w:themeShade="BF"/>
            </w:tcBorders>
            <w:shd w:val="clear" w:color="auto" w:fill="92D050"/>
          </w:tcPr>
          <w:p w14:paraId="7C2530F7"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tcBorders>
              <w:bottom w:val="single" w:sz="4" w:space="0" w:color="BFBFBF" w:themeColor="background1" w:themeShade="BF"/>
            </w:tcBorders>
            <w:shd w:val="clear" w:color="auto" w:fill="92D050"/>
          </w:tcPr>
          <w:p w14:paraId="39D45E81"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tcBorders>
              <w:bottom w:val="single" w:sz="4" w:space="0" w:color="BFBFBF" w:themeColor="background1" w:themeShade="BF"/>
            </w:tcBorders>
            <w:shd w:val="clear" w:color="auto" w:fill="92D050"/>
          </w:tcPr>
          <w:p w14:paraId="233A4E8F"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shd w:val="clear" w:color="auto" w:fill="92D050"/>
          </w:tcPr>
          <w:p w14:paraId="0EE499AC"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shd w:val="clear" w:color="auto" w:fill="92D050"/>
          </w:tcPr>
          <w:p w14:paraId="72E8072A"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Pr>
          <w:p w14:paraId="4A67D27D"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0C02E58C"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3AFC198C" w14:textId="77777777" w:rsidTr="00287FB6">
        <w:tc>
          <w:tcPr>
            <w:tcW w:w="196" w:type="pct"/>
          </w:tcPr>
          <w:p w14:paraId="62C2D4F0" w14:textId="77777777" w:rsidR="008E5679" w:rsidRPr="002C0527" w:rsidRDefault="008E5679" w:rsidP="00C95C78">
            <w:pPr>
              <w:spacing w:before="120" w:line="276" w:lineRule="auto"/>
              <w:jc w:val="center"/>
              <w:rPr>
                <w:rFonts w:ascii="Times New Roman" w:hAnsi="Times New Roman" w:cs="Times New Roman"/>
                <w:lang w:val="ro-RO"/>
              </w:rPr>
            </w:pPr>
            <w:r w:rsidRPr="002C0527">
              <w:rPr>
                <w:rFonts w:ascii="Times New Roman" w:hAnsi="Times New Roman" w:cs="Times New Roman"/>
                <w:lang w:val="ro-RO"/>
              </w:rPr>
              <w:t>8</w:t>
            </w:r>
          </w:p>
        </w:tc>
        <w:tc>
          <w:tcPr>
            <w:tcW w:w="1551" w:type="pct"/>
          </w:tcPr>
          <w:p w14:paraId="676FE8E1"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Aerisire corespunzătoarea a încăperilor pe timp de iarnă prin deschiderea largă a ferestrelor pentru perioade scurte de timp</w:t>
            </w:r>
          </w:p>
        </w:tc>
        <w:tc>
          <w:tcPr>
            <w:tcW w:w="680" w:type="pct"/>
          </w:tcPr>
          <w:p w14:paraId="4B45FCF1"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Managerul energetic</w:t>
            </w:r>
          </w:p>
          <w:p w14:paraId="57059765"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Personalul instituției</w:t>
            </w:r>
          </w:p>
        </w:tc>
        <w:tc>
          <w:tcPr>
            <w:tcW w:w="259" w:type="pct"/>
          </w:tcPr>
          <w:p w14:paraId="0C8DE279"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shd w:val="clear" w:color="auto" w:fill="auto"/>
          </w:tcPr>
          <w:p w14:paraId="3A35FB32"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auto"/>
          </w:tcPr>
          <w:p w14:paraId="43F292B1"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shd w:val="clear" w:color="auto" w:fill="92D050"/>
          </w:tcPr>
          <w:p w14:paraId="4BF26EDC"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2E93D09B"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shd w:val="clear" w:color="auto" w:fill="92D050"/>
          </w:tcPr>
          <w:p w14:paraId="77B68640"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shd w:val="clear" w:color="auto" w:fill="92D050"/>
          </w:tcPr>
          <w:p w14:paraId="30492B14"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shd w:val="clear" w:color="auto" w:fill="92D050"/>
          </w:tcPr>
          <w:p w14:paraId="0206726A"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4C5FFF4F"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19D25963"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Pr>
          <w:p w14:paraId="35BBF3B9"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0681C1FF"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1F47CFFE" w14:textId="77777777" w:rsidTr="00287FB6">
        <w:tc>
          <w:tcPr>
            <w:tcW w:w="196" w:type="pct"/>
          </w:tcPr>
          <w:p w14:paraId="746CD564" w14:textId="77777777" w:rsidR="008E5679" w:rsidRPr="002C0527" w:rsidRDefault="008E5679" w:rsidP="00C95C78">
            <w:pPr>
              <w:spacing w:before="120" w:line="276" w:lineRule="auto"/>
              <w:jc w:val="center"/>
              <w:rPr>
                <w:rFonts w:ascii="Times New Roman" w:hAnsi="Times New Roman" w:cs="Times New Roman"/>
                <w:lang w:val="ro-RO"/>
              </w:rPr>
            </w:pPr>
            <w:r w:rsidRPr="002C0527">
              <w:rPr>
                <w:rFonts w:ascii="Times New Roman" w:hAnsi="Times New Roman" w:cs="Times New Roman"/>
                <w:lang w:val="ro-RO"/>
              </w:rPr>
              <w:t>9</w:t>
            </w:r>
          </w:p>
        </w:tc>
        <w:tc>
          <w:tcPr>
            <w:tcW w:w="1551" w:type="pct"/>
          </w:tcPr>
          <w:p w14:paraId="0E434CC0"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Utilizarea optimă a stațiilor din cadrul clădirilor prin încălzirea preponderentă doar a spațiilor utilizate în carul activității. Evitarea încălzirii spațiilor neutilizate pe parcursul sezonului de încălzire</w:t>
            </w:r>
          </w:p>
        </w:tc>
        <w:tc>
          <w:tcPr>
            <w:tcW w:w="680" w:type="pct"/>
          </w:tcPr>
          <w:p w14:paraId="46E4191F"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Managerul energetic</w:t>
            </w:r>
          </w:p>
          <w:p w14:paraId="37A49D05"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Directorul instituției</w:t>
            </w:r>
          </w:p>
        </w:tc>
        <w:tc>
          <w:tcPr>
            <w:tcW w:w="259" w:type="pct"/>
          </w:tcPr>
          <w:p w14:paraId="41288BBA"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shd w:val="clear" w:color="auto" w:fill="auto"/>
          </w:tcPr>
          <w:p w14:paraId="4B854047"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51FFB83D"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shd w:val="clear" w:color="auto" w:fill="auto"/>
          </w:tcPr>
          <w:p w14:paraId="5A4BCAD5"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auto"/>
          </w:tcPr>
          <w:p w14:paraId="28B142F1"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shd w:val="clear" w:color="auto" w:fill="auto"/>
          </w:tcPr>
          <w:p w14:paraId="3361F12B"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shd w:val="clear" w:color="auto" w:fill="auto"/>
          </w:tcPr>
          <w:p w14:paraId="4F6DBB63"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shd w:val="clear" w:color="auto" w:fill="auto"/>
          </w:tcPr>
          <w:p w14:paraId="3FBAAAB8"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auto"/>
          </w:tcPr>
          <w:p w14:paraId="773421F1"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auto"/>
          </w:tcPr>
          <w:p w14:paraId="2607173C"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Pr>
          <w:p w14:paraId="791315DC"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6C3A9A8C"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4C5CA7D5" w14:textId="77777777" w:rsidTr="00287FB6">
        <w:tc>
          <w:tcPr>
            <w:tcW w:w="196" w:type="pct"/>
          </w:tcPr>
          <w:p w14:paraId="210302BD" w14:textId="77777777" w:rsidR="008E5679" w:rsidRPr="002C0527" w:rsidRDefault="008E5679" w:rsidP="003D699F">
            <w:pPr>
              <w:spacing w:before="120" w:line="276" w:lineRule="auto"/>
              <w:ind w:left="-57"/>
              <w:jc w:val="center"/>
              <w:rPr>
                <w:rFonts w:ascii="Times New Roman" w:hAnsi="Times New Roman" w:cs="Times New Roman"/>
                <w:lang w:val="ro-RO"/>
              </w:rPr>
            </w:pPr>
            <w:r w:rsidRPr="002C0527">
              <w:rPr>
                <w:rFonts w:ascii="Times New Roman" w:hAnsi="Times New Roman" w:cs="Times New Roman"/>
                <w:lang w:val="ro-RO"/>
              </w:rPr>
              <w:t>10</w:t>
            </w:r>
          </w:p>
        </w:tc>
        <w:tc>
          <w:tcPr>
            <w:tcW w:w="1551" w:type="pct"/>
          </w:tcPr>
          <w:p w14:paraId="0B8CE0BC"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Înlocuirea, unde este posibil, a lămpilor incandescente cu lămpi economice (fluorescente sau LED)</w:t>
            </w:r>
          </w:p>
        </w:tc>
        <w:tc>
          <w:tcPr>
            <w:tcW w:w="680" w:type="pct"/>
          </w:tcPr>
          <w:p w14:paraId="36963821"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Managerul energetic</w:t>
            </w:r>
          </w:p>
          <w:p w14:paraId="3BF42DCB"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Specialist instalator</w:t>
            </w:r>
          </w:p>
        </w:tc>
        <w:tc>
          <w:tcPr>
            <w:tcW w:w="259" w:type="pct"/>
          </w:tcPr>
          <w:p w14:paraId="218D9C7D"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shd w:val="clear" w:color="auto" w:fill="92D050"/>
          </w:tcPr>
          <w:p w14:paraId="50B935C9"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6C5139B5"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tcPr>
          <w:p w14:paraId="031FBEDB"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73E992D3"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tcPr>
          <w:p w14:paraId="62B29C7E"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tcPr>
          <w:p w14:paraId="792A77A5"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tcPr>
          <w:p w14:paraId="6D3CE807"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549E54BF"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5925F522"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Pr>
          <w:p w14:paraId="2039F9B6"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6B2D8538"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78DEBDB5" w14:textId="77777777" w:rsidTr="00287FB6">
        <w:trPr>
          <w:trHeight w:val="1740"/>
        </w:trPr>
        <w:tc>
          <w:tcPr>
            <w:tcW w:w="196" w:type="pct"/>
          </w:tcPr>
          <w:p w14:paraId="199F8533" w14:textId="77777777" w:rsidR="008E5679" w:rsidRPr="002C0527" w:rsidRDefault="008E5679" w:rsidP="003D699F">
            <w:pPr>
              <w:spacing w:before="120" w:line="276" w:lineRule="auto"/>
              <w:ind w:left="-57"/>
              <w:jc w:val="center"/>
              <w:rPr>
                <w:rFonts w:ascii="Times New Roman" w:hAnsi="Times New Roman" w:cs="Times New Roman"/>
                <w:lang w:val="ro-RO"/>
              </w:rPr>
            </w:pPr>
            <w:r w:rsidRPr="002C0527">
              <w:rPr>
                <w:rFonts w:ascii="Times New Roman" w:hAnsi="Times New Roman" w:cs="Times New Roman"/>
                <w:lang w:val="ro-RO"/>
              </w:rPr>
              <w:t>11</w:t>
            </w:r>
          </w:p>
        </w:tc>
        <w:tc>
          <w:tcPr>
            <w:tcW w:w="1551" w:type="pct"/>
          </w:tcPr>
          <w:p w14:paraId="17C5C1CF"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Instalarea senzorilor de mișcare pentru iluminatul exterior și pentru iluminatul din WC-uri și/sau holuri</w:t>
            </w:r>
          </w:p>
        </w:tc>
        <w:tc>
          <w:tcPr>
            <w:tcW w:w="680" w:type="pct"/>
          </w:tcPr>
          <w:p w14:paraId="18A8D23B"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Managerul energetic</w:t>
            </w:r>
          </w:p>
          <w:p w14:paraId="1F95E579"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Specialist montator</w:t>
            </w:r>
          </w:p>
          <w:p w14:paraId="549103BC" w14:textId="77777777" w:rsidR="008E5679" w:rsidRPr="002C0527" w:rsidRDefault="008E5679" w:rsidP="00C95C78">
            <w:pPr>
              <w:spacing w:before="120" w:line="276" w:lineRule="auto"/>
              <w:jc w:val="both"/>
              <w:rPr>
                <w:rFonts w:ascii="Times New Roman" w:hAnsi="Times New Roman" w:cs="Times New Roman"/>
                <w:lang w:val="ro-RO"/>
              </w:rPr>
            </w:pPr>
          </w:p>
        </w:tc>
        <w:tc>
          <w:tcPr>
            <w:tcW w:w="259" w:type="pct"/>
            <w:tcBorders>
              <w:bottom w:val="single" w:sz="4" w:space="0" w:color="BFBFBF" w:themeColor="background1" w:themeShade="BF"/>
            </w:tcBorders>
          </w:tcPr>
          <w:p w14:paraId="5A4926A7"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tcBorders>
              <w:bottom w:val="single" w:sz="4" w:space="0" w:color="BFBFBF" w:themeColor="background1" w:themeShade="BF"/>
            </w:tcBorders>
            <w:shd w:val="clear" w:color="auto" w:fill="92D050"/>
          </w:tcPr>
          <w:p w14:paraId="435CA8F6"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shd w:val="clear" w:color="auto" w:fill="92D050"/>
          </w:tcPr>
          <w:p w14:paraId="54CACC78"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tcBorders>
              <w:bottom w:val="single" w:sz="4" w:space="0" w:color="BFBFBF" w:themeColor="background1" w:themeShade="BF"/>
            </w:tcBorders>
          </w:tcPr>
          <w:p w14:paraId="0312EF0A"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tcPr>
          <w:p w14:paraId="08690523"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tcBorders>
              <w:bottom w:val="single" w:sz="4" w:space="0" w:color="BFBFBF" w:themeColor="background1" w:themeShade="BF"/>
            </w:tcBorders>
          </w:tcPr>
          <w:p w14:paraId="3FF6D387"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tcBorders>
              <w:bottom w:val="single" w:sz="4" w:space="0" w:color="BFBFBF" w:themeColor="background1" w:themeShade="BF"/>
            </w:tcBorders>
          </w:tcPr>
          <w:p w14:paraId="7B1DBB45"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tcBorders>
              <w:bottom w:val="single" w:sz="4" w:space="0" w:color="BFBFBF" w:themeColor="background1" w:themeShade="BF"/>
            </w:tcBorders>
          </w:tcPr>
          <w:p w14:paraId="3EA643CC"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tcPr>
          <w:p w14:paraId="0B83BB29"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tcPr>
          <w:p w14:paraId="57AFC366"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Borders>
              <w:bottom w:val="single" w:sz="4" w:space="0" w:color="BFBFBF" w:themeColor="background1" w:themeShade="BF"/>
            </w:tcBorders>
          </w:tcPr>
          <w:p w14:paraId="0CE8000B"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tcPr>
          <w:p w14:paraId="3B564D42"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7F06DAD8" w14:textId="77777777" w:rsidTr="00287FB6">
        <w:tc>
          <w:tcPr>
            <w:tcW w:w="196" w:type="pct"/>
          </w:tcPr>
          <w:p w14:paraId="1420B5B4" w14:textId="77777777" w:rsidR="008E5679" w:rsidRPr="002C0527" w:rsidRDefault="008E5679" w:rsidP="003D699F">
            <w:pPr>
              <w:spacing w:before="120" w:line="276" w:lineRule="auto"/>
              <w:ind w:left="-57"/>
              <w:jc w:val="center"/>
              <w:rPr>
                <w:rFonts w:ascii="Times New Roman" w:hAnsi="Times New Roman" w:cs="Times New Roman"/>
                <w:lang w:val="ro-RO"/>
              </w:rPr>
            </w:pPr>
            <w:r w:rsidRPr="002C0527">
              <w:rPr>
                <w:rFonts w:ascii="Times New Roman" w:hAnsi="Times New Roman" w:cs="Times New Roman"/>
                <w:lang w:val="ro-RO"/>
              </w:rPr>
              <w:t>12</w:t>
            </w:r>
          </w:p>
        </w:tc>
        <w:tc>
          <w:tcPr>
            <w:tcW w:w="1551" w:type="pct"/>
          </w:tcPr>
          <w:p w14:paraId="45E77210"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 xml:space="preserve">Gestionarea eficientă a iluminatului interior și exterior, deconectarea iluminatului în zonele </w:t>
            </w:r>
            <w:r w:rsidRPr="002C0527">
              <w:rPr>
                <w:rFonts w:ascii="Times New Roman" w:hAnsi="Times New Roman" w:cs="Times New Roman"/>
                <w:lang w:val="ro-RO"/>
              </w:rPr>
              <w:lastRenderedPageBreak/>
              <w:t>neutilizate, inclusiv pe timp de zi dacă e cazul</w:t>
            </w:r>
          </w:p>
        </w:tc>
        <w:tc>
          <w:tcPr>
            <w:tcW w:w="680" w:type="pct"/>
          </w:tcPr>
          <w:p w14:paraId="5B0FA814"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lastRenderedPageBreak/>
              <w:t>Managerul energetic</w:t>
            </w:r>
          </w:p>
          <w:p w14:paraId="02AFE00F"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lastRenderedPageBreak/>
              <w:t>Personalul instituției</w:t>
            </w:r>
          </w:p>
        </w:tc>
        <w:tc>
          <w:tcPr>
            <w:tcW w:w="259" w:type="pct"/>
            <w:tcBorders>
              <w:bottom w:val="single" w:sz="4" w:space="0" w:color="BFBFBF" w:themeColor="background1" w:themeShade="BF"/>
            </w:tcBorders>
            <w:shd w:val="clear" w:color="auto" w:fill="92D050"/>
          </w:tcPr>
          <w:p w14:paraId="30335C4B"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tcBorders>
              <w:bottom w:val="single" w:sz="4" w:space="0" w:color="BFBFBF" w:themeColor="background1" w:themeShade="BF"/>
            </w:tcBorders>
            <w:shd w:val="clear" w:color="auto" w:fill="92D050"/>
          </w:tcPr>
          <w:p w14:paraId="3D686F9B"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shd w:val="clear" w:color="auto" w:fill="92D050"/>
          </w:tcPr>
          <w:p w14:paraId="6A8E6D4A"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tcBorders>
              <w:bottom w:val="single" w:sz="4" w:space="0" w:color="BFBFBF" w:themeColor="background1" w:themeShade="BF"/>
            </w:tcBorders>
            <w:shd w:val="clear" w:color="auto" w:fill="92D050"/>
          </w:tcPr>
          <w:p w14:paraId="7503A3DE"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shd w:val="clear" w:color="auto" w:fill="92D050"/>
          </w:tcPr>
          <w:p w14:paraId="27B282BF"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tcBorders>
              <w:bottom w:val="single" w:sz="4" w:space="0" w:color="BFBFBF" w:themeColor="background1" w:themeShade="BF"/>
            </w:tcBorders>
            <w:shd w:val="clear" w:color="auto" w:fill="92D050"/>
          </w:tcPr>
          <w:p w14:paraId="064EA00C"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tcBorders>
              <w:bottom w:val="single" w:sz="4" w:space="0" w:color="BFBFBF" w:themeColor="background1" w:themeShade="BF"/>
            </w:tcBorders>
            <w:shd w:val="clear" w:color="auto" w:fill="92D050"/>
          </w:tcPr>
          <w:p w14:paraId="115EAADA"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tcBorders>
              <w:bottom w:val="single" w:sz="4" w:space="0" w:color="BFBFBF" w:themeColor="background1" w:themeShade="BF"/>
            </w:tcBorders>
            <w:shd w:val="clear" w:color="auto" w:fill="92D050"/>
          </w:tcPr>
          <w:p w14:paraId="77CD3366"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shd w:val="clear" w:color="auto" w:fill="92D050"/>
          </w:tcPr>
          <w:p w14:paraId="1639D7D4"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shd w:val="clear" w:color="auto" w:fill="92D050"/>
          </w:tcPr>
          <w:p w14:paraId="44199896"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Borders>
              <w:bottom w:val="single" w:sz="4" w:space="0" w:color="BFBFBF" w:themeColor="background1" w:themeShade="BF"/>
            </w:tcBorders>
            <w:shd w:val="clear" w:color="auto" w:fill="92D050"/>
          </w:tcPr>
          <w:p w14:paraId="24FF91A7"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Borders>
              <w:bottom w:val="single" w:sz="4" w:space="0" w:color="BFBFBF" w:themeColor="background1" w:themeShade="BF"/>
            </w:tcBorders>
            <w:shd w:val="clear" w:color="auto" w:fill="92D050"/>
          </w:tcPr>
          <w:p w14:paraId="7B83815E"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41586FE5" w14:textId="77777777" w:rsidTr="00287FB6">
        <w:tc>
          <w:tcPr>
            <w:tcW w:w="196" w:type="pct"/>
          </w:tcPr>
          <w:p w14:paraId="45069FA8" w14:textId="77777777" w:rsidR="008E5679" w:rsidRPr="002C0527" w:rsidRDefault="008E5679" w:rsidP="003D699F">
            <w:pPr>
              <w:spacing w:before="120" w:line="276" w:lineRule="auto"/>
              <w:ind w:left="-57"/>
              <w:jc w:val="center"/>
              <w:rPr>
                <w:rFonts w:ascii="Times New Roman" w:hAnsi="Times New Roman" w:cs="Times New Roman"/>
                <w:lang w:val="ro-RO"/>
              </w:rPr>
            </w:pPr>
            <w:r w:rsidRPr="002C0527">
              <w:rPr>
                <w:rFonts w:ascii="Times New Roman" w:hAnsi="Times New Roman" w:cs="Times New Roman"/>
                <w:lang w:val="ro-RO"/>
              </w:rPr>
              <w:t>13</w:t>
            </w:r>
          </w:p>
        </w:tc>
        <w:tc>
          <w:tcPr>
            <w:tcW w:w="1551" w:type="pct"/>
          </w:tcPr>
          <w:p w14:paraId="2A27CE5E"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Deconectarea aparatelor consumatoare de energie electrică de la priză atunci când acestea nu sunt folosite, pentru a evita consumul de energie în regim stand-by</w:t>
            </w:r>
          </w:p>
        </w:tc>
        <w:tc>
          <w:tcPr>
            <w:tcW w:w="680" w:type="pct"/>
          </w:tcPr>
          <w:p w14:paraId="5424B9EC"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Personalul instituției</w:t>
            </w:r>
          </w:p>
        </w:tc>
        <w:tc>
          <w:tcPr>
            <w:tcW w:w="259" w:type="pct"/>
            <w:shd w:val="clear" w:color="auto" w:fill="92D050"/>
          </w:tcPr>
          <w:p w14:paraId="1FFD8168"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shd w:val="clear" w:color="auto" w:fill="92D050"/>
          </w:tcPr>
          <w:p w14:paraId="5B5A311F"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2E1B50E6"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shd w:val="clear" w:color="auto" w:fill="92D050"/>
          </w:tcPr>
          <w:p w14:paraId="68FB4AD7"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0B72F84B"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shd w:val="clear" w:color="auto" w:fill="92D050"/>
          </w:tcPr>
          <w:p w14:paraId="54AC1516"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shd w:val="clear" w:color="auto" w:fill="92D050"/>
          </w:tcPr>
          <w:p w14:paraId="68B1BD8A"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shd w:val="clear" w:color="auto" w:fill="92D050"/>
          </w:tcPr>
          <w:p w14:paraId="05C13B17"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6104A0AB"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0994AC9F"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shd w:val="clear" w:color="auto" w:fill="92D050"/>
          </w:tcPr>
          <w:p w14:paraId="27AF03D7"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00330BCD"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4A19226C" w14:textId="77777777" w:rsidTr="00287FB6">
        <w:tc>
          <w:tcPr>
            <w:tcW w:w="196" w:type="pct"/>
          </w:tcPr>
          <w:p w14:paraId="78C97569" w14:textId="77777777" w:rsidR="008E5679" w:rsidRPr="002C0527" w:rsidRDefault="008E5679" w:rsidP="003D699F">
            <w:pPr>
              <w:spacing w:before="120" w:line="276" w:lineRule="auto"/>
              <w:ind w:left="-57"/>
              <w:jc w:val="center"/>
              <w:rPr>
                <w:rFonts w:ascii="Times New Roman" w:hAnsi="Times New Roman" w:cs="Times New Roman"/>
                <w:lang w:val="ro-RO"/>
              </w:rPr>
            </w:pPr>
            <w:r w:rsidRPr="002C0527">
              <w:rPr>
                <w:rFonts w:ascii="Times New Roman" w:hAnsi="Times New Roman" w:cs="Times New Roman"/>
                <w:lang w:val="ro-RO"/>
              </w:rPr>
              <w:t>14</w:t>
            </w:r>
          </w:p>
        </w:tc>
        <w:tc>
          <w:tcPr>
            <w:tcW w:w="1551" w:type="pct"/>
          </w:tcPr>
          <w:p w14:paraId="63AA47D6"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Monitorizarea consumurilor lunare de energie, instituirea registrului de consum a energiei electrice și a combustibililor utilizați (gaz, cărbune, lemne, pelete, brichete paie, etc), cu desemnarea persoanei responsabile de completare, evidență și raportare corespunzătoare conform solicitărilor parvenite din partea instituțiilor statului</w:t>
            </w:r>
          </w:p>
        </w:tc>
        <w:tc>
          <w:tcPr>
            <w:tcW w:w="680" w:type="pct"/>
          </w:tcPr>
          <w:p w14:paraId="1692BEFA"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Operatorul centralei</w:t>
            </w:r>
          </w:p>
          <w:p w14:paraId="16B53552"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Managerul energetic</w:t>
            </w:r>
          </w:p>
        </w:tc>
        <w:tc>
          <w:tcPr>
            <w:tcW w:w="259" w:type="pct"/>
          </w:tcPr>
          <w:p w14:paraId="40CB3C9E"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shd w:val="clear" w:color="auto" w:fill="auto"/>
          </w:tcPr>
          <w:p w14:paraId="4FE14B38"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auto"/>
          </w:tcPr>
          <w:p w14:paraId="110F8AAC"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shd w:val="clear" w:color="auto" w:fill="92D050"/>
          </w:tcPr>
          <w:p w14:paraId="1C47AE78"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04FCFE19"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shd w:val="clear" w:color="auto" w:fill="92D050"/>
          </w:tcPr>
          <w:p w14:paraId="78ACCA03"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shd w:val="clear" w:color="auto" w:fill="92D050"/>
          </w:tcPr>
          <w:p w14:paraId="17CED97E"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shd w:val="clear" w:color="auto" w:fill="92D050"/>
          </w:tcPr>
          <w:p w14:paraId="757A68BF"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74116D81"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5BA2F376"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Pr>
          <w:p w14:paraId="1562CA9D"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0A03AD39" w14:textId="77777777" w:rsidR="008E5679" w:rsidRPr="002C0527" w:rsidRDefault="008E5679" w:rsidP="00C95C78">
            <w:pPr>
              <w:spacing w:before="120" w:line="276" w:lineRule="auto"/>
              <w:jc w:val="both"/>
              <w:rPr>
                <w:rFonts w:ascii="Times New Roman" w:hAnsi="Times New Roman" w:cs="Times New Roman"/>
                <w:lang w:val="ro-RO"/>
              </w:rPr>
            </w:pPr>
          </w:p>
        </w:tc>
      </w:tr>
      <w:tr w:rsidR="00287FB6" w:rsidRPr="00793D95" w14:paraId="7F7A1EF1" w14:textId="77777777" w:rsidTr="00287FB6">
        <w:tc>
          <w:tcPr>
            <w:tcW w:w="196" w:type="pct"/>
          </w:tcPr>
          <w:p w14:paraId="414A6459" w14:textId="77777777" w:rsidR="008E5679" w:rsidRPr="002C0527" w:rsidRDefault="008E5679" w:rsidP="003D699F">
            <w:pPr>
              <w:spacing w:before="120" w:line="276" w:lineRule="auto"/>
              <w:ind w:right="-57"/>
              <w:jc w:val="center"/>
              <w:rPr>
                <w:rFonts w:ascii="Times New Roman" w:hAnsi="Times New Roman" w:cs="Times New Roman"/>
                <w:lang w:val="ro-RO"/>
              </w:rPr>
            </w:pPr>
            <w:r w:rsidRPr="002C0527">
              <w:rPr>
                <w:rFonts w:ascii="Times New Roman" w:hAnsi="Times New Roman" w:cs="Times New Roman"/>
                <w:lang w:val="ro-RO"/>
              </w:rPr>
              <w:t>15</w:t>
            </w:r>
          </w:p>
        </w:tc>
        <w:tc>
          <w:tcPr>
            <w:tcW w:w="1551" w:type="pct"/>
          </w:tcPr>
          <w:p w14:paraId="5DF87F60"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Desemnarea persoanei responsabile de elaborarea raportului privind măsurarea și raportarea rezultatelor</w:t>
            </w:r>
          </w:p>
        </w:tc>
        <w:tc>
          <w:tcPr>
            <w:tcW w:w="680" w:type="pct"/>
          </w:tcPr>
          <w:p w14:paraId="213B65EF"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Echipa de management</w:t>
            </w:r>
          </w:p>
          <w:p w14:paraId="7EC2566A" w14:textId="77777777" w:rsidR="008E5679" w:rsidRPr="002C0527" w:rsidRDefault="008E5679" w:rsidP="00C95C78">
            <w:pPr>
              <w:spacing w:before="120" w:line="276" w:lineRule="auto"/>
              <w:jc w:val="both"/>
              <w:rPr>
                <w:rFonts w:ascii="Times New Roman" w:hAnsi="Times New Roman" w:cs="Times New Roman"/>
                <w:lang w:val="ro-RO"/>
              </w:rPr>
            </w:pPr>
            <w:r w:rsidRPr="002C0527">
              <w:rPr>
                <w:rFonts w:ascii="Times New Roman" w:hAnsi="Times New Roman" w:cs="Times New Roman"/>
                <w:lang w:val="ro-RO"/>
              </w:rPr>
              <w:t>Managerul energetic</w:t>
            </w:r>
          </w:p>
        </w:tc>
        <w:tc>
          <w:tcPr>
            <w:tcW w:w="259" w:type="pct"/>
          </w:tcPr>
          <w:p w14:paraId="007A237D" w14:textId="77777777" w:rsidR="008E5679" w:rsidRPr="002C0527" w:rsidRDefault="008E5679" w:rsidP="00C95C78">
            <w:pPr>
              <w:spacing w:before="120" w:line="276" w:lineRule="auto"/>
              <w:jc w:val="both"/>
              <w:rPr>
                <w:rFonts w:ascii="Times New Roman" w:hAnsi="Times New Roman" w:cs="Times New Roman"/>
                <w:lang w:val="ro-RO"/>
              </w:rPr>
            </w:pPr>
          </w:p>
        </w:tc>
        <w:tc>
          <w:tcPr>
            <w:tcW w:w="292" w:type="pct"/>
          </w:tcPr>
          <w:p w14:paraId="68B01300"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45D5E7BA" w14:textId="77777777" w:rsidR="008E5679" w:rsidRPr="002C0527" w:rsidRDefault="008E5679" w:rsidP="00C95C78">
            <w:pPr>
              <w:spacing w:before="120" w:line="276" w:lineRule="auto"/>
              <w:jc w:val="both"/>
              <w:rPr>
                <w:rFonts w:ascii="Times New Roman" w:hAnsi="Times New Roman" w:cs="Times New Roman"/>
                <w:lang w:val="ro-RO"/>
              </w:rPr>
            </w:pPr>
          </w:p>
        </w:tc>
        <w:tc>
          <w:tcPr>
            <w:tcW w:w="173" w:type="pct"/>
          </w:tcPr>
          <w:p w14:paraId="3A27B21F"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1FE92A27" w14:textId="77777777" w:rsidR="008E5679" w:rsidRPr="002C0527" w:rsidRDefault="008E5679" w:rsidP="00C95C78">
            <w:pPr>
              <w:spacing w:before="120" w:line="276" w:lineRule="auto"/>
              <w:jc w:val="both"/>
              <w:rPr>
                <w:rFonts w:ascii="Times New Roman" w:hAnsi="Times New Roman" w:cs="Times New Roman"/>
                <w:lang w:val="ro-RO"/>
              </w:rPr>
            </w:pPr>
          </w:p>
        </w:tc>
        <w:tc>
          <w:tcPr>
            <w:tcW w:w="267" w:type="pct"/>
          </w:tcPr>
          <w:p w14:paraId="4F02DA4E" w14:textId="77777777" w:rsidR="008E5679" w:rsidRPr="002C0527" w:rsidRDefault="008E5679" w:rsidP="00C95C78">
            <w:pPr>
              <w:spacing w:before="120" w:line="276" w:lineRule="auto"/>
              <w:jc w:val="both"/>
              <w:rPr>
                <w:rFonts w:ascii="Times New Roman" w:hAnsi="Times New Roman" w:cs="Times New Roman"/>
                <w:lang w:val="ro-RO"/>
              </w:rPr>
            </w:pPr>
          </w:p>
        </w:tc>
        <w:tc>
          <w:tcPr>
            <w:tcW w:w="132" w:type="pct"/>
          </w:tcPr>
          <w:p w14:paraId="3B7DCEC2" w14:textId="77777777" w:rsidR="008E5679" w:rsidRPr="002C0527" w:rsidRDefault="008E5679" w:rsidP="00C95C78">
            <w:pPr>
              <w:spacing w:before="120" w:line="276" w:lineRule="auto"/>
              <w:jc w:val="both"/>
              <w:rPr>
                <w:rFonts w:ascii="Times New Roman" w:hAnsi="Times New Roman" w:cs="Times New Roman"/>
                <w:lang w:val="ro-RO"/>
              </w:rPr>
            </w:pPr>
          </w:p>
        </w:tc>
        <w:tc>
          <w:tcPr>
            <w:tcW w:w="182" w:type="pct"/>
          </w:tcPr>
          <w:p w14:paraId="6471BBF2"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7A441A16"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shd w:val="clear" w:color="auto" w:fill="92D050"/>
          </w:tcPr>
          <w:p w14:paraId="21A9C2C4" w14:textId="77777777" w:rsidR="008E5679" w:rsidRPr="002C0527" w:rsidRDefault="008E5679" w:rsidP="00C95C78">
            <w:pPr>
              <w:spacing w:before="120" w:line="276" w:lineRule="auto"/>
              <w:jc w:val="both"/>
              <w:rPr>
                <w:rFonts w:ascii="Times New Roman" w:hAnsi="Times New Roman" w:cs="Times New Roman"/>
                <w:lang w:val="ro-RO"/>
              </w:rPr>
            </w:pPr>
          </w:p>
        </w:tc>
        <w:tc>
          <w:tcPr>
            <w:tcW w:w="176" w:type="pct"/>
          </w:tcPr>
          <w:p w14:paraId="08A1ADF3" w14:textId="77777777" w:rsidR="008E5679" w:rsidRPr="002C0527" w:rsidRDefault="008E5679" w:rsidP="00C95C78">
            <w:pPr>
              <w:spacing w:before="120" w:line="276" w:lineRule="auto"/>
              <w:jc w:val="both"/>
              <w:rPr>
                <w:rFonts w:ascii="Times New Roman" w:hAnsi="Times New Roman" w:cs="Times New Roman"/>
                <w:lang w:val="ro-RO"/>
              </w:rPr>
            </w:pPr>
          </w:p>
        </w:tc>
        <w:tc>
          <w:tcPr>
            <w:tcW w:w="218" w:type="pct"/>
          </w:tcPr>
          <w:p w14:paraId="3D9B0776" w14:textId="77777777" w:rsidR="008E5679" w:rsidRPr="002C0527" w:rsidRDefault="008E5679" w:rsidP="00C95C78">
            <w:pPr>
              <w:spacing w:before="120" w:line="276" w:lineRule="auto"/>
              <w:jc w:val="both"/>
              <w:rPr>
                <w:rFonts w:ascii="Times New Roman" w:hAnsi="Times New Roman" w:cs="Times New Roman"/>
                <w:lang w:val="ro-RO"/>
              </w:rPr>
            </w:pPr>
          </w:p>
        </w:tc>
      </w:tr>
    </w:tbl>
    <w:p w14:paraId="1864C844" w14:textId="77777777" w:rsidR="008E5679" w:rsidRPr="002C0527" w:rsidRDefault="008E5679" w:rsidP="003F1DB9">
      <w:pPr>
        <w:spacing w:after="0" w:line="240" w:lineRule="auto"/>
        <w:jc w:val="both"/>
        <w:rPr>
          <w:rFonts w:ascii="Times New Roman" w:hAnsi="Times New Roman" w:cs="Times New Roman"/>
          <w:i/>
          <w:sz w:val="20"/>
          <w:szCs w:val="20"/>
          <w:lang w:val="ro-RO"/>
        </w:rPr>
      </w:pPr>
    </w:p>
    <w:sectPr w:rsidR="008E5679" w:rsidRPr="002C0527" w:rsidSect="00AD3333">
      <w:pgSz w:w="11907" w:h="16840" w:code="9"/>
      <w:pgMar w:top="1138" w:right="720" w:bottom="562" w:left="1008" w:header="144"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FF83" w14:textId="77777777" w:rsidR="0068545F" w:rsidRDefault="0068545F" w:rsidP="00736F61">
      <w:pPr>
        <w:spacing w:after="0" w:line="240" w:lineRule="auto"/>
      </w:pPr>
      <w:r>
        <w:separator/>
      </w:r>
    </w:p>
  </w:endnote>
  <w:endnote w:type="continuationSeparator" w:id="0">
    <w:p w14:paraId="0C4070BC" w14:textId="77777777" w:rsidR="0068545F" w:rsidRDefault="0068545F"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A8D3" w14:textId="1369575A" w:rsidR="00E040D4" w:rsidRDefault="00E040D4" w:rsidP="00075921">
    <w:pPr>
      <w:spacing w:after="0"/>
      <w:jc w:val="center"/>
      <w:rPr>
        <w:rStyle w:val="Hyperlink"/>
        <w:rFonts w:asciiTheme="majorHAnsi" w:hAnsiTheme="majorHAnsi" w:cstheme="majorHAnsi"/>
        <w:color w:val="auto"/>
        <w:sz w:val="16"/>
        <w:szCs w:val="16"/>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C0AE" w14:textId="77777777" w:rsidR="0068545F" w:rsidRDefault="0068545F" w:rsidP="00736F61">
      <w:pPr>
        <w:spacing w:after="0" w:line="240" w:lineRule="auto"/>
      </w:pPr>
      <w:r>
        <w:separator/>
      </w:r>
    </w:p>
  </w:footnote>
  <w:footnote w:type="continuationSeparator" w:id="0">
    <w:p w14:paraId="0A95C4B7" w14:textId="77777777" w:rsidR="0068545F" w:rsidRDefault="0068545F" w:rsidP="00736F61">
      <w:pPr>
        <w:spacing w:after="0" w:line="240" w:lineRule="auto"/>
      </w:pPr>
      <w:r>
        <w:continuationSeparator/>
      </w:r>
    </w:p>
  </w:footnote>
  <w:footnote w:id="1">
    <w:p w14:paraId="45EE45A3" w14:textId="77777777" w:rsidR="00B41DD2" w:rsidRPr="00655EBD" w:rsidRDefault="00B41DD2" w:rsidP="00B41DD2">
      <w:pPr>
        <w:pStyle w:val="FootnoteText"/>
        <w:rPr>
          <w:lang w:val="ro-RO"/>
        </w:rPr>
      </w:pPr>
      <w:r>
        <w:rPr>
          <w:rStyle w:val="FootnoteReference"/>
        </w:rPr>
        <w:footnoteRef/>
      </w:r>
      <w:r>
        <w:t xml:space="preserve"> </w:t>
      </w:r>
      <w:hyperlink r:id="rId1" w:history="1">
        <w:r w:rsidRPr="001418FF">
          <w:rPr>
            <w:rStyle w:val="Hyperlink"/>
          </w:rPr>
          <w:t>https://iea.blob.core.windows.net/assets/227fc286-a3a7-41ef-9843-1352a1b0c979/Naturalgassupply-demandbalanceoftheEuropeanUnionin2023.pdf</w:t>
        </w:r>
      </w:hyperlink>
      <w:r>
        <w:t xml:space="preserve"> </w:t>
      </w:r>
    </w:p>
  </w:footnote>
  <w:footnote w:id="2">
    <w:p w14:paraId="0956FACA" w14:textId="23898960" w:rsidR="00E3281A" w:rsidRPr="00E3281A" w:rsidRDefault="00E3281A">
      <w:pPr>
        <w:pStyle w:val="FootnoteText"/>
        <w:rPr>
          <w:lang w:val="ro-RO"/>
        </w:rPr>
      </w:pPr>
      <w:r>
        <w:rPr>
          <w:rStyle w:val="FootnoteReference"/>
        </w:rPr>
        <w:footnoteRef/>
      </w:r>
      <w:r>
        <w:t xml:space="preserve"> </w:t>
      </w:r>
      <w:r w:rsidRPr="00E3281A">
        <w:rPr>
          <w:rFonts w:ascii="Times New Roman" w:hAnsi="Times New Roman" w:cs="Times New Roman"/>
          <w:lang w:val="ro-RO"/>
        </w:rPr>
        <w:t>Datele prezentate în acest tabel sunt unele estimative bazate pe consumurile de facto a gazelor naturale și energiei electrice în anii precedenți, precum și pe estimările disponibile pentru sezonul de încălzire 2023-2024.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3A5"/>
    <w:multiLevelType w:val="multilevel"/>
    <w:tmpl w:val="DDDCD746"/>
    <w:lvl w:ilvl="0">
      <w:start w:val="1"/>
      <w:numFmt w:val="decimal"/>
      <w:lvlText w:val="%1."/>
      <w:lvlJc w:val="left"/>
      <w:pPr>
        <w:ind w:left="1066" w:hanging="360"/>
      </w:pPr>
      <w:rPr>
        <w:rFonts w:hint="default"/>
        <w:b/>
        <w:bCs/>
      </w:rPr>
    </w:lvl>
    <w:lvl w:ilvl="1">
      <w:start w:val="1"/>
      <w:numFmt w:val="decimal"/>
      <w:isLgl/>
      <w:lvlText w:val="%1.%2."/>
      <w:lvlJc w:val="left"/>
      <w:pPr>
        <w:ind w:left="1066"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426" w:hanging="72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1786" w:hanging="1080"/>
      </w:pPr>
      <w:rPr>
        <w:rFonts w:hint="default"/>
      </w:rPr>
    </w:lvl>
    <w:lvl w:ilvl="6">
      <w:start w:val="1"/>
      <w:numFmt w:val="decimal"/>
      <w:isLgl/>
      <w:lvlText w:val="%1.%2.%3.%4.%5.%6.%7."/>
      <w:lvlJc w:val="left"/>
      <w:pPr>
        <w:ind w:left="2146" w:hanging="1440"/>
      </w:pPr>
      <w:rPr>
        <w:rFonts w:hint="default"/>
      </w:rPr>
    </w:lvl>
    <w:lvl w:ilvl="7">
      <w:start w:val="1"/>
      <w:numFmt w:val="decimal"/>
      <w:isLgl/>
      <w:lvlText w:val="%1.%2.%3.%4.%5.%6.%7.%8."/>
      <w:lvlJc w:val="left"/>
      <w:pPr>
        <w:ind w:left="2146" w:hanging="1440"/>
      </w:pPr>
      <w:rPr>
        <w:rFonts w:hint="default"/>
      </w:rPr>
    </w:lvl>
    <w:lvl w:ilvl="8">
      <w:start w:val="1"/>
      <w:numFmt w:val="decimal"/>
      <w:isLgl/>
      <w:lvlText w:val="%1.%2.%3.%4.%5.%6.%7.%8.%9."/>
      <w:lvlJc w:val="left"/>
      <w:pPr>
        <w:ind w:left="2506" w:hanging="1800"/>
      </w:pPr>
      <w:rPr>
        <w:rFonts w:hint="default"/>
      </w:rPr>
    </w:lvl>
  </w:abstractNum>
  <w:abstractNum w:abstractNumId="1" w15:restartNumberingAfterBreak="0">
    <w:nsid w:val="77413C4E"/>
    <w:multiLevelType w:val="hybridMultilevel"/>
    <w:tmpl w:val="9F8ADCB4"/>
    <w:lvl w:ilvl="0" w:tplc="8A88FCB6">
      <w:start w:val="1"/>
      <w:numFmt w:val="decimal"/>
      <w:lvlText w:val="%1."/>
      <w:lvlJc w:val="left"/>
      <w:pPr>
        <w:ind w:left="920" w:hanging="3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239215">
    <w:abstractNumId w:val="1"/>
  </w:num>
  <w:num w:numId="2" w16cid:durableId="7095003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1B"/>
    <w:rsid w:val="000005E5"/>
    <w:rsid w:val="0000176E"/>
    <w:rsid w:val="00002CD9"/>
    <w:rsid w:val="00002D6A"/>
    <w:rsid w:val="000074D5"/>
    <w:rsid w:val="00010A07"/>
    <w:rsid w:val="0001244E"/>
    <w:rsid w:val="000134C0"/>
    <w:rsid w:val="00021036"/>
    <w:rsid w:val="00023008"/>
    <w:rsid w:val="000242B3"/>
    <w:rsid w:val="000261F3"/>
    <w:rsid w:val="0002668B"/>
    <w:rsid w:val="00027584"/>
    <w:rsid w:val="000276FC"/>
    <w:rsid w:val="0002781B"/>
    <w:rsid w:val="00027B66"/>
    <w:rsid w:val="00030D73"/>
    <w:rsid w:val="000347D9"/>
    <w:rsid w:val="00034B8B"/>
    <w:rsid w:val="00034F68"/>
    <w:rsid w:val="00035E0A"/>
    <w:rsid w:val="00040114"/>
    <w:rsid w:val="00041819"/>
    <w:rsid w:val="00042527"/>
    <w:rsid w:val="00042694"/>
    <w:rsid w:val="000434C0"/>
    <w:rsid w:val="00043CD3"/>
    <w:rsid w:val="00046462"/>
    <w:rsid w:val="00050D35"/>
    <w:rsid w:val="0005217B"/>
    <w:rsid w:val="00052479"/>
    <w:rsid w:val="00052FE8"/>
    <w:rsid w:val="00054825"/>
    <w:rsid w:val="0006121C"/>
    <w:rsid w:val="000619B5"/>
    <w:rsid w:val="00065D47"/>
    <w:rsid w:val="000708E1"/>
    <w:rsid w:val="0007144C"/>
    <w:rsid w:val="0007187E"/>
    <w:rsid w:val="00071BA6"/>
    <w:rsid w:val="00072D5B"/>
    <w:rsid w:val="00074264"/>
    <w:rsid w:val="00074893"/>
    <w:rsid w:val="00075921"/>
    <w:rsid w:val="000778B8"/>
    <w:rsid w:val="0008363C"/>
    <w:rsid w:val="0008640A"/>
    <w:rsid w:val="000904E2"/>
    <w:rsid w:val="00090C10"/>
    <w:rsid w:val="00092224"/>
    <w:rsid w:val="00092553"/>
    <w:rsid w:val="000933C4"/>
    <w:rsid w:val="0009457B"/>
    <w:rsid w:val="0009473A"/>
    <w:rsid w:val="00094A8D"/>
    <w:rsid w:val="00095794"/>
    <w:rsid w:val="000A1F5B"/>
    <w:rsid w:val="000A279E"/>
    <w:rsid w:val="000A4F48"/>
    <w:rsid w:val="000A5963"/>
    <w:rsid w:val="000A750D"/>
    <w:rsid w:val="000B0CE1"/>
    <w:rsid w:val="000B2C77"/>
    <w:rsid w:val="000B5E31"/>
    <w:rsid w:val="000B5F2F"/>
    <w:rsid w:val="000B6839"/>
    <w:rsid w:val="000B6B9D"/>
    <w:rsid w:val="000C0822"/>
    <w:rsid w:val="000C1554"/>
    <w:rsid w:val="000C1EF8"/>
    <w:rsid w:val="000C3B4A"/>
    <w:rsid w:val="000D0A94"/>
    <w:rsid w:val="000D1C75"/>
    <w:rsid w:val="000D527C"/>
    <w:rsid w:val="000D7AD8"/>
    <w:rsid w:val="000E1673"/>
    <w:rsid w:val="000E4B06"/>
    <w:rsid w:val="000E6ACE"/>
    <w:rsid w:val="000E6DAB"/>
    <w:rsid w:val="000E72FC"/>
    <w:rsid w:val="000F0526"/>
    <w:rsid w:val="000F26DC"/>
    <w:rsid w:val="000F42BD"/>
    <w:rsid w:val="000F5FFC"/>
    <w:rsid w:val="000F64C4"/>
    <w:rsid w:val="000F6ADA"/>
    <w:rsid w:val="000F790A"/>
    <w:rsid w:val="00100067"/>
    <w:rsid w:val="00101DD3"/>
    <w:rsid w:val="001034FE"/>
    <w:rsid w:val="001040A0"/>
    <w:rsid w:val="001062A3"/>
    <w:rsid w:val="00106789"/>
    <w:rsid w:val="00107AA2"/>
    <w:rsid w:val="0011634D"/>
    <w:rsid w:val="00117842"/>
    <w:rsid w:val="001228AE"/>
    <w:rsid w:val="00123B95"/>
    <w:rsid w:val="001259E3"/>
    <w:rsid w:val="0012773E"/>
    <w:rsid w:val="0013117B"/>
    <w:rsid w:val="00131A7A"/>
    <w:rsid w:val="001369F6"/>
    <w:rsid w:val="001377BD"/>
    <w:rsid w:val="00141B3B"/>
    <w:rsid w:val="00142DFB"/>
    <w:rsid w:val="001451AA"/>
    <w:rsid w:val="00145771"/>
    <w:rsid w:val="00146D6E"/>
    <w:rsid w:val="00151595"/>
    <w:rsid w:val="00152354"/>
    <w:rsid w:val="00152638"/>
    <w:rsid w:val="00153F1A"/>
    <w:rsid w:val="00155158"/>
    <w:rsid w:val="001553EB"/>
    <w:rsid w:val="0015662F"/>
    <w:rsid w:val="00161BFA"/>
    <w:rsid w:val="00166BB7"/>
    <w:rsid w:val="00170A20"/>
    <w:rsid w:val="00171033"/>
    <w:rsid w:val="00173087"/>
    <w:rsid w:val="00175CEB"/>
    <w:rsid w:val="00176301"/>
    <w:rsid w:val="00180F4B"/>
    <w:rsid w:val="00186076"/>
    <w:rsid w:val="00193A2C"/>
    <w:rsid w:val="001942B7"/>
    <w:rsid w:val="00194B2A"/>
    <w:rsid w:val="001A2381"/>
    <w:rsid w:val="001A6DD2"/>
    <w:rsid w:val="001A766C"/>
    <w:rsid w:val="001B280E"/>
    <w:rsid w:val="001B6DE3"/>
    <w:rsid w:val="001C11F6"/>
    <w:rsid w:val="001C3FD4"/>
    <w:rsid w:val="001C56BB"/>
    <w:rsid w:val="001C5BA6"/>
    <w:rsid w:val="001C61DF"/>
    <w:rsid w:val="001D14A1"/>
    <w:rsid w:val="001D23BF"/>
    <w:rsid w:val="001D39D9"/>
    <w:rsid w:val="001D4823"/>
    <w:rsid w:val="001D600F"/>
    <w:rsid w:val="001D730D"/>
    <w:rsid w:val="001E122B"/>
    <w:rsid w:val="001E1552"/>
    <w:rsid w:val="001E307D"/>
    <w:rsid w:val="001E4C5B"/>
    <w:rsid w:val="001E6F0D"/>
    <w:rsid w:val="001E716A"/>
    <w:rsid w:val="001F76FE"/>
    <w:rsid w:val="001F7D13"/>
    <w:rsid w:val="00201198"/>
    <w:rsid w:val="00202393"/>
    <w:rsid w:val="00202D6F"/>
    <w:rsid w:val="0020579E"/>
    <w:rsid w:val="00206358"/>
    <w:rsid w:val="00206CB4"/>
    <w:rsid w:val="00207401"/>
    <w:rsid w:val="00212B4A"/>
    <w:rsid w:val="0021576E"/>
    <w:rsid w:val="00215E5F"/>
    <w:rsid w:val="002249E4"/>
    <w:rsid w:val="00230614"/>
    <w:rsid w:val="00230D17"/>
    <w:rsid w:val="002319AA"/>
    <w:rsid w:val="00233803"/>
    <w:rsid w:val="0023445B"/>
    <w:rsid w:val="0023596B"/>
    <w:rsid w:val="00235EB7"/>
    <w:rsid w:val="00236DF8"/>
    <w:rsid w:val="002379B9"/>
    <w:rsid w:val="00237A1A"/>
    <w:rsid w:val="00242CEF"/>
    <w:rsid w:val="00244A15"/>
    <w:rsid w:val="00245BA8"/>
    <w:rsid w:val="002477FE"/>
    <w:rsid w:val="002543F5"/>
    <w:rsid w:val="002553AE"/>
    <w:rsid w:val="0025624D"/>
    <w:rsid w:val="00257561"/>
    <w:rsid w:val="002627E6"/>
    <w:rsid w:val="00262B58"/>
    <w:rsid w:val="0026385D"/>
    <w:rsid w:val="002640C3"/>
    <w:rsid w:val="00271485"/>
    <w:rsid w:val="00272027"/>
    <w:rsid w:val="00274228"/>
    <w:rsid w:val="00276E65"/>
    <w:rsid w:val="00276F6A"/>
    <w:rsid w:val="0027764E"/>
    <w:rsid w:val="002777F0"/>
    <w:rsid w:val="0027794E"/>
    <w:rsid w:val="002813FD"/>
    <w:rsid w:val="00284527"/>
    <w:rsid w:val="00285368"/>
    <w:rsid w:val="002856F6"/>
    <w:rsid w:val="00285D8D"/>
    <w:rsid w:val="002861C1"/>
    <w:rsid w:val="00287FB6"/>
    <w:rsid w:val="00296429"/>
    <w:rsid w:val="002A1211"/>
    <w:rsid w:val="002A2D86"/>
    <w:rsid w:val="002A33CE"/>
    <w:rsid w:val="002A580B"/>
    <w:rsid w:val="002A6900"/>
    <w:rsid w:val="002B1A05"/>
    <w:rsid w:val="002B1EB5"/>
    <w:rsid w:val="002B3306"/>
    <w:rsid w:val="002B424B"/>
    <w:rsid w:val="002B645F"/>
    <w:rsid w:val="002C0527"/>
    <w:rsid w:val="002C0ED1"/>
    <w:rsid w:val="002C6D7C"/>
    <w:rsid w:val="002D116B"/>
    <w:rsid w:val="002D242C"/>
    <w:rsid w:val="002D2D9B"/>
    <w:rsid w:val="002D4BEA"/>
    <w:rsid w:val="002D4ECF"/>
    <w:rsid w:val="002D5594"/>
    <w:rsid w:val="002E035B"/>
    <w:rsid w:val="002E17F4"/>
    <w:rsid w:val="002E38CE"/>
    <w:rsid w:val="002E3A1C"/>
    <w:rsid w:val="002E698A"/>
    <w:rsid w:val="002F05A1"/>
    <w:rsid w:val="002F1077"/>
    <w:rsid w:val="002F59D2"/>
    <w:rsid w:val="002F724B"/>
    <w:rsid w:val="00302667"/>
    <w:rsid w:val="00304C2F"/>
    <w:rsid w:val="00305248"/>
    <w:rsid w:val="003055EA"/>
    <w:rsid w:val="003070EA"/>
    <w:rsid w:val="00307792"/>
    <w:rsid w:val="00310720"/>
    <w:rsid w:val="00314153"/>
    <w:rsid w:val="00321483"/>
    <w:rsid w:val="00327CAA"/>
    <w:rsid w:val="00330213"/>
    <w:rsid w:val="00333898"/>
    <w:rsid w:val="00334036"/>
    <w:rsid w:val="00334BBC"/>
    <w:rsid w:val="003378A6"/>
    <w:rsid w:val="003409EB"/>
    <w:rsid w:val="003444C9"/>
    <w:rsid w:val="00350C2D"/>
    <w:rsid w:val="00351C32"/>
    <w:rsid w:val="00356CCD"/>
    <w:rsid w:val="00366998"/>
    <w:rsid w:val="00370DB1"/>
    <w:rsid w:val="00370E86"/>
    <w:rsid w:val="003735DF"/>
    <w:rsid w:val="00373D2C"/>
    <w:rsid w:val="003743D1"/>
    <w:rsid w:val="00375196"/>
    <w:rsid w:val="00375403"/>
    <w:rsid w:val="00375FFB"/>
    <w:rsid w:val="00380E48"/>
    <w:rsid w:val="003813EB"/>
    <w:rsid w:val="00381512"/>
    <w:rsid w:val="00382481"/>
    <w:rsid w:val="0038425E"/>
    <w:rsid w:val="00386B78"/>
    <w:rsid w:val="00387A54"/>
    <w:rsid w:val="00387EFA"/>
    <w:rsid w:val="00390110"/>
    <w:rsid w:val="00391B9D"/>
    <w:rsid w:val="00393B31"/>
    <w:rsid w:val="00393DA1"/>
    <w:rsid w:val="003953FC"/>
    <w:rsid w:val="00395AB2"/>
    <w:rsid w:val="003A3BA6"/>
    <w:rsid w:val="003A651E"/>
    <w:rsid w:val="003A73E3"/>
    <w:rsid w:val="003B0625"/>
    <w:rsid w:val="003B0946"/>
    <w:rsid w:val="003B1162"/>
    <w:rsid w:val="003B2413"/>
    <w:rsid w:val="003B587F"/>
    <w:rsid w:val="003B6A0E"/>
    <w:rsid w:val="003C0335"/>
    <w:rsid w:val="003C199E"/>
    <w:rsid w:val="003C1B7F"/>
    <w:rsid w:val="003C6EC0"/>
    <w:rsid w:val="003D699F"/>
    <w:rsid w:val="003D769E"/>
    <w:rsid w:val="003D7D12"/>
    <w:rsid w:val="003E23D4"/>
    <w:rsid w:val="003E2754"/>
    <w:rsid w:val="003E31A2"/>
    <w:rsid w:val="003E5F25"/>
    <w:rsid w:val="003E6826"/>
    <w:rsid w:val="003F1DB9"/>
    <w:rsid w:val="003F2050"/>
    <w:rsid w:val="003F3834"/>
    <w:rsid w:val="003F77AA"/>
    <w:rsid w:val="00400745"/>
    <w:rsid w:val="0040468F"/>
    <w:rsid w:val="00405F11"/>
    <w:rsid w:val="004115AE"/>
    <w:rsid w:val="00414B41"/>
    <w:rsid w:val="00414C30"/>
    <w:rsid w:val="00416C3D"/>
    <w:rsid w:val="00416FE7"/>
    <w:rsid w:val="00417BF8"/>
    <w:rsid w:val="00420CE6"/>
    <w:rsid w:val="0042122B"/>
    <w:rsid w:val="004225F8"/>
    <w:rsid w:val="00424D3D"/>
    <w:rsid w:val="00425A93"/>
    <w:rsid w:val="00426CCF"/>
    <w:rsid w:val="00427565"/>
    <w:rsid w:val="00431EEE"/>
    <w:rsid w:val="0043421E"/>
    <w:rsid w:val="00434ADF"/>
    <w:rsid w:val="00435210"/>
    <w:rsid w:val="00442AAC"/>
    <w:rsid w:val="0044476C"/>
    <w:rsid w:val="0044585E"/>
    <w:rsid w:val="004523AF"/>
    <w:rsid w:val="00453491"/>
    <w:rsid w:val="004607A1"/>
    <w:rsid w:val="004612D8"/>
    <w:rsid w:val="004630CA"/>
    <w:rsid w:val="00465831"/>
    <w:rsid w:val="00465C3F"/>
    <w:rsid w:val="00471246"/>
    <w:rsid w:val="00474049"/>
    <w:rsid w:val="00474D96"/>
    <w:rsid w:val="00476821"/>
    <w:rsid w:val="004770BF"/>
    <w:rsid w:val="00477C96"/>
    <w:rsid w:val="00481932"/>
    <w:rsid w:val="00482A22"/>
    <w:rsid w:val="00483A59"/>
    <w:rsid w:val="00486CAE"/>
    <w:rsid w:val="0048740F"/>
    <w:rsid w:val="0049285A"/>
    <w:rsid w:val="00492EB6"/>
    <w:rsid w:val="00493BB1"/>
    <w:rsid w:val="004949B2"/>
    <w:rsid w:val="0049589E"/>
    <w:rsid w:val="00496A31"/>
    <w:rsid w:val="00496BC4"/>
    <w:rsid w:val="00497505"/>
    <w:rsid w:val="004A374F"/>
    <w:rsid w:val="004B2C75"/>
    <w:rsid w:val="004B34FF"/>
    <w:rsid w:val="004B47CD"/>
    <w:rsid w:val="004B50EA"/>
    <w:rsid w:val="004B5CD3"/>
    <w:rsid w:val="004B7C66"/>
    <w:rsid w:val="004C3160"/>
    <w:rsid w:val="004C62F2"/>
    <w:rsid w:val="004D2CB3"/>
    <w:rsid w:val="004D5061"/>
    <w:rsid w:val="004D5E76"/>
    <w:rsid w:val="004D70AE"/>
    <w:rsid w:val="004D77F1"/>
    <w:rsid w:val="004E0367"/>
    <w:rsid w:val="004E2221"/>
    <w:rsid w:val="004E2960"/>
    <w:rsid w:val="004E2AFD"/>
    <w:rsid w:val="004E546D"/>
    <w:rsid w:val="004E5617"/>
    <w:rsid w:val="004E666B"/>
    <w:rsid w:val="004E7C33"/>
    <w:rsid w:val="004F0D1F"/>
    <w:rsid w:val="004F1024"/>
    <w:rsid w:val="004F160A"/>
    <w:rsid w:val="004F505F"/>
    <w:rsid w:val="004F5374"/>
    <w:rsid w:val="004F6886"/>
    <w:rsid w:val="004F7E41"/>
    <w:rsid w:val="005004F5"/>
    <w:rsid w:val="00500E57"/>
    <w:rsid w:val="005015CB"/>
    <w:rsid w:val="005020B2"/>
    <w:rsid w:val="00503929"/>
    <w:rsid w:val="00503A67"/>
    <w:rsid w:val="0050460E"/>
    <w:rsid w:val="00505342"/>
    <w:rsid w:val="00512EB5"/>
    <w:rsid w:val="00513CE9"/>
    <w:rsid w:val="005167F6"/>
    <w:rsid w:val="00523F9F"/>
    <w:rsid w:val="00524EFC"/>
    <w:rsid w:val="00532376"/>
    <w:rsid w:val="005328A2"/>
    <w:rsid w:val="0053322F"/>
    <w:rsid w:val="0053667C"/>
    <w:rsid w:val="00536ADF"/>
    <w:rsid w:val="00537EBB"/>
    <w:rsid w:val="00542A57"/>
    <w:rsid w:val="00542F2B"/>
    <w:rsid w:val="00543799"/>
    <w:rsid w:val="00545486"/>
    <w:rsid w:val="00546280"/>
    <w:rsid w:val="00546ADF"/>
    <w:rsid w:val="00551185"/>
    <w:rsid w:val="005516D2"/>
    <w:rsid w:val="00552AFE"/>
    <w:rsid w:val="00553D9B"/>
    <w:rsid w:val="00555356"/>
    <w:rsid w:val="00560007"/>
    <w:rsid w:val="0056046C"/>
    <w:rsid w:val="00560F39"/>
    <w:rsid w:val="00561B4D"/>
    <w:rsid w:val="00563E6E"/>
    <w:rsid w:val="00565A48"/>
    <w:rsid w:val="005675FA"/>
    <w:rsid w:val="00570AA8"/>
    <w:rsid w:val="00571D9F"/>
    <w:rsid w:val="005731A0"/>
    <w:rsid w:val="00573656"/>
    <w:rsid w:val="00573E04"/>
    <w:rsid w:val="00573E9E"/>
    <w:rsid w:val="0057495B"/>
    <w:rsid w:val="005750A2"/>
    <w:rsid w:val="00585945"/>
    <w:rsid w:val="00586A38"/>
    <w:rsid w:val="00586D8F"/>
    <w:rsid w:val="00587599"/>
    <w:rsid w:val="005908B9"/>
    <w:rsid w:val="00590EBE"/>
    <w:rsid w:val="005914F1"/>
    <w:rsid w:val="0059269F"/>
    <w:rsid w:val="00594C39"/>
    <w:rsid w:val="00595034"/>
    <w:rsid w:val="00596A93"/>
    <w:rsid w:val="00596C7F"/>
    <w:rsid w:val="00597B31"/>
    <w:rsid w:val="005A0A2A"/>
    <w:rsid w:val="005A16AF"/>
    <w:rsid w:val="005A1EA2"/>
    <w:rsid w:val="005A2A86"/>
    <w:rsid w:val="005A4FFD"/>
    <w:rsid w:val="005B2454"/>
    <w:rsid w:val="005B27C9"/>
    <w:rsid w:val="005B5A6E"/>
    <w:rsid w:val="005B6CAF"/>
    <w:rsid w:val="005B7822"/>
    <w:rsid w:val="005C25A7"/>
    <w:rsid w:val="005C2F4B"/>
    <w:rsid w:val="005C3395"/>
    <w:rsid w:val="005C4FC9"/>
    <w:rsid w:val="005C6B60"/>
    <w:rsid w:val="005C7012"/>
    <w:rsid w:val="005C7636"/>
    <w:rsid w:val="005C7FFC"/>
    <w:rsid w:val="005D190D"/>
    <w:rsid w:val="005D4AD9"/>
    <w:rsid w:val="005D4D28"/>
    <w:rsid w:val="005D5464"/>
    <w:rsid w:val="005D54C5"/>
    <w:rsid w:val="005D5517"/>
    <w:rsid w:val="005D5E46"/>
    <w:rsid w:val="005E33B4"/>
    <w:rsid w:val="005E61A4"/>
    <w:rsid w:val="005F1779"/>
    <w:rsid w:val="005F1790"/>
    <w:rsid w:val="005F5E6D"/>
    <w:rsid w:val="00600F69"/>
    <w:rsid w:val="0060324F"/>
    <w:rsid w:val="006058DE"/>
    <w:rsid w:val="00606473"/>
    <w:rsid w:val="006115BC"/>
    <w:rsid w:val="0061252A"/>
    <w:rsid w:val="00614AE8"/>
    <w:rsid w:val="0061632A"/>
    <w:rsid w:val="00616BD4"/>
    <w:rsid w:val="00617406"/>
    <w:rsid w:val="00620285"/>
    <w:rsid w:val="0062031D"/>
    <w:rsid w:val="00620738"/>
    <w:rsid w:val="00620AE3"/>
    <w:rsid w:val="00626495"/>
    <w:rsid w:val="00627936"/>
    <w:rsid w:val="00627EDE"/>
    <w:rsid w:val="00627FB1"/>
    <w:rsid w:val="00630C0D"/>
    <w:rsid w:val="0063107F"/>
    <w:rsid w:val="0063125E"/>
    <w:rsid w:val="006344BC"/>
    <w:rsid w:val="00634869"/>
    <w:rsid w:val="00635703"/>
    <w:rsid w:val="00635764"/>
    <w:rsid w:val="00635A07"/>
    <w:rsid w:val="00635A97"/>
    <w:rsid w:val="0063614D"/>
    <w:rsid w:val="00640A8F"/>
    <w:rsid w:val="00641D35"/>
    <w:rsid w:val="006460BE"/>
    <w:rsid w:val="00646619"/>
    <w:rsid w:val="00651F9B"/>
    <w:rsid w:val="00653A3A"/>
    <w:rsid w:val="0065466A"/>
    <w:rsid w:val="00655EBD"/>
    <w:rsid w:val="006612EB"/>
    <w:rsid w:val="00664462"/>
    <w:rsid w:val="00665882"/>
    <w:rsid w:val="006660F6"/>
    <w:rsid w:val="00666343"/>
    <w:rsid w:val="006675BE"/>
    <w:rsid w:val="0067044E"/>
    <w:rsid w:val="00673925"/>
    <w:rsid w:val="006777F6"/>
    <w:rsid w:val="00680280"/>
    <w:rsid w:val="00680E12"/>
    <w:rsid w:val="006824F8"/>
    <w:rsid w:val="00682998"/>
    <w:rsid w:val="00682C77"/>
    <w:rsid w:val="0068545F"/>
    <w:rsid w:val="00687100"/>
    <w:rsid w:val="00690AC2"/>
    <w:rsid w:val="006927B2"/>
    <w:rsid w:val="006A0D8E"/>
    <w:rsid w:val="006A1D3D"/>
    <w:rsid w:val="006A6092"/>
    <w:rsid w:val="006B55D5"/>
    <w:rsid w:val="006B7105"/>
    <w:rsid w:val="006C1B66"/>
    <w:rsid w:val="006C24FC"/>
    <w:rsid w:val="006C4183"/>
    <w:rsid w:val="006C5B0D"/>
    <w:rsid w:val="006C651D"/>
    <w:rsid w:val="006C7F4C"/>
    <w:rsid w:val="006D14F2"/>
    <w:rsid w:val="006D2E7D"/>
    <w:rsid w:val="006D3BB3"/>
    <w:rsid w:val="006D4B62"/>
    <w:rsid w:val="006D5420"/>
    <w:rsid w:val="006D5B60"/>
    <w:rsid w:val="006E0EA6"/>
    <w:rsid w:val="006E2D64"/>
    <w:rsid w:val="006E3872"/>
    <w:rsid w:val="006E60E8"/>
    <w:rsid w:val="006E65FB"/>
    <w:rsid w:val="006F0989"/>
    <w:rsid w:val="006F0A0F"/>
    <w:rsid w:val="006F0C64"/>
    <w:rsid w:val="006F22B9"/>
    <w:rsid w:val="006F484B"/>
    <w:rsid w:val="006F4F73"/>
    <w:rsid w:val="006F506E"/>
    <w:rsid w:val="006F5F10"/>
    <w:rsid w:val="006F6467"/>
    <w:rsid w:val="006F6A34"/>
    <w:rsid w:val="006F6C95"/>
    <w:rsid w:val="006F6C9D"/>
    <w:rsid w:val="006F7516"/>
    <w:rsid w:val="006F7519"/>
    <w:rsid w:val="0070141B"/>
    <w:rsid w:val="007020D1"/>
    <w:rsid w:val="00702AFF"/>
    <w:rsid w:val="007071EE"/>
    <w:rsid w:val="007157D7"/>
    <w:rsid w:val="007165A9"/>
    <w:rsid w:val="0071704E"/>
    <w:rsid w:val="00720F85"/>
    <w:rsid w:val="007228B0"/>
    <w:rsid w:val="0072401F"/>
    <w:rsid w:val="00724285"/>
    <w:rsid w:val="00726A49"/>
    <w:rsid w:val="00730FDD"/>
    <w:rsid w:val="00732FB1"/>
    <w:rsid w:val="00733BDC"/>
    <w:rsid w:val="0073448A"/>
    <w:rsid w:val="00736F61"/>
    <w:rsid w:val="00740A8B"/>
    <w:rsid w:val="00741409"/>
    <w:rsid w:val="00743DC2"/>
    <w:rsid w:val="00744A3A"/>
    <w:rsid w:val="0074531F"/>
    <w:rsid w:val="007472A4"/>
    <w:rsid w:val="00750B8D"/>
    <w:rsid w:val="007513FA"/>
    <w:rsid w:val="00753F57"/>
    <w:rsid w:val="0075407B"/>
    <w:rsid w:val="00761F2F"/>
    <w:rsid w:val="0076402A"/>
    <w:rsid w:val="0076483F"/>
    <w:rsid w:val="007670E6"/>
    <w:rsid w:val="00770566"/>
    <w:rsid w:val="00771794"/>
    <w:rsid w:val="00772A5F"/>
    <w:rsid w:val="00772DCA"/>
    <w:rsid w:val="00776100"/>
    <w:rsid w:val="007762C3"/>
    <w:rsid w:val="007763C9"/>
    <w:rsid w:val="00780C29"/>
    <w:rsid w:val="007840C3"/>
    <w:rsid w:val="0078622A"/>
    <w:rsid w:val="00787B06"/>
    <w:rsid w:val="00790293"/>
    <w:rsid w:val="007908B9"/>
    <w:rsid w:val="007935A4"/>
    <w:rsid w:val="00797539"/>
    <w:rsid w:val="007A01B0"/>
    <w:rsid w:val="007A0487"/>
    <w:rsid w:val="007A2A3B"/>
    <w:rsid w:val="007A4666"/>
    <w:rsid w:val="007A505C"/>
    <w:rsid w:val="007B0C15"/>
    <w:rsid w:val="007B0FCB"/>
    <w:rsid w:val="007B2920"/>
    <w:rsid w:val="007B2EB8"/>
    <w:rsid w:val="007B46BB"/>
    <w:rsid w:val="007B4D47"/>
    <w:rsid w:val="007B4FEC"/>
    <w:rsid w:val="007B5235"/>
    <w:rsid w:val="007C02C3"/>
    <w:rsid w:val="007C0A89"/>
    <w:rsid w:val="007C1E02"/>
    <w:rsid w:val="007C36B1"/>
    <w:rsid w:val="007C5516"/>
    <w:rsid w:val="007C79D1"/>
    <w:rsid w:val="007D0E9A"/>
    <w:rsid w:val="007D35C5"/>
    <w:rsid w:val="007D52ED"/>
    <w:rsid w:val="007D57CB"/>
    <w:rsid w:val="007E3041"/>
    <w:rsid w:val="007E41F9"/>
    <w:rsid w:val="007E4ED8"/>
    <w:rsid w:val="007E779A"/>
    <w:rsid w:val="007F1047"/>
    <w:rsid w:val="007F4465"/>
    <w:rsid w:val="007F4820"/>
    <w:rsid w:val="007F5A57"/>
    <w:rsid w:val="0080325D"/>
    <w:rsid w:val="00805DD4"/>
    <w:rsid w:val="00806CC3"/>
    <w:rsid w:val="008078FB"/>
    <w:rsid w:val="008110B3"/>
    <w:rsid w:val="00811D29"/>
    <w:rsid w:val="00812E70"/>
    <w:rsid w:val="00813433"/>
    <w:rsid w:val="00817F3B"/>
    <w:rsid w:val="00821461"/>
    <w:rsid w:val="008255C6"/>
    <w:rsid w:val="0082604B"/>
    <w:rsid w:val="00834D2A"/>
    <w:rsid w:val="0084122E"/>
    <w:rsid w:val="008433B7"/>
    <w:rsid w:val="00844F82"/>
    <w:rsid w:val="00845887"/>
    <w:rsid w:val="0084776E"/>
    <w:rsid w:val="00847DD6"/>
    <w:rsid w:val="0085036D"/>
    <w:rsid w:val="008510C3"/>
    <w:rsid w:val="008522B5"/>
    <w:rsid w:val="00860E13"/>
    <w:rsid w:val="00860E44"/>
    <w:rsid w:val="00861A52"/>
    <w:rsid w:val="008627FD"/>
    <w:rsid w:val="008650F3"/>
    <w:rsid w:val="0086536B"/>
    <w:rsid w:val="00873136"/>
    <w:rsid w:val="008814FA"/>
    <w:rsid w:val="00881F02"/>
    <w:rsid w:val="00882DE0"/>
    <w:rsid w:val="0088491D"/>
    <w:rsid w:val="00885737"/>
    <w:rsid w:val="00893976"/>
    <w:rsid w:val="00894E88"/>
    <w:rsid w:val="008A0E2A"/>
    <w:rsid w:val="008A1149"/>
    <w:rsid w:val="008A1B1E"/>
    <w:rsid w:val="008A23A5"/>
    <w:rsid w:val="008A3BDE"/>
    <w:rsid w:val="008A3D94"/>
    <w:rsid w:val="008A57CF"/>
    <w:rsid w:val="008A7EFA"/>
    <w:rsid w:val="008B1680"/>
    <w:rsid w:val="008B3206"/>
    <w:rsid w:val="008B32F2"/>
    <w:rsid w:val="008B35D6"/>
    <w:rsid w:val="008B6CE6"/>
    <w:rsid w:val="008B706C"/>
    <w:rsid w:val="008C1327"/>
    <w:rsid w:val="008C1A01"/>
    <w:rsid w:val="008C2D72"/>
    <w:rsid w:val="008C3810"/>
    <w:rsid w:val="008C3886"/>
    <w:rsid w:val="008C5890"/>
    <w:rsid w:val="008C6B0B"/>
    <w:rsid w:val="008C6E42"/>
    <w:rsid w:val="008C74F5"/>
    <w:rsid w:val="008D087B"/>
    <w:rsid w:val="008D0DDB"/>
    <w:rsid w:val="008D115B"/>
    <w:rsid w:val="008E03E1"/>
    <w:rsid w:val="008E212F"/>
    <w:rsid w:val="008E53A2"/>
    <w:rsid w:val="008E5679"/>
    <w:rsid w:val="008E5DCA"/>
    <w:rsid w:val="008F037B"/>
    <w:rsid w:val="008F16C8"/>
    <w:rsid w:val="008F2148"/>
    <w:rsid w:val="00902DAF"/>
    <w:rsid w:val="0090445D"/>
    <w:rsid w:val="00907780"/>
    <w:rsid w:val="00907B3F"/>
    <w:rsid w:val="009128F6"/>
    <w:rsid w:val="00914484"/>
    <w:rsid w:val="00915741"/>
    <w:rsid w:val="00920B79"/>
    <w:rsid w:val="0092329E"/>
    <w:rsid w:val="009251A8"/>
    <w:rsid w:val="00930BD6"/>
    <w:rsid w:val="00932E18"/>
    <w:rsid w:val="00934230"/>
    <w:rsid w:val="009358F7"/>
    <w:rsid w:val="009361CC"/>
    <w:rsid w:val="00936CB1"/>
    <w:rsid w:val="00936D4F"/>
    <w:rsid w:val="009371D6"/>
    <w:rsid w:val="0093755D"/>
    <w:rsid w:val="009439AC"/>
    <w:rsid w:val="00943EFD"/>
    <w:rsid w:val="009443B6"/>
    <w:rsid w:val="00944CE4"/>
    <w:rsid w:val="00945BCC"/>
    <w:rsid w:val="009549DC"/>
    <w:rsid w:val="00956FF2"/>
    <w:rsid w:val="00957645"/>
    <w:rsid w:val="00960CDD"/>
    <w:rsid w:val="009646DD"/>
    <w:rsid w:val="00965C4A"/>
    <w:rsid w:val="00966295"/>
    <w:rsid w:val="00967F4B"/>
    <w:rsid w:val="00970EA0"/>
    <w:rsid w:val="00973DDC"/>
    <w:rsid w:val="00974769"/>
    <w:rsid w:val="00976D20"/>
    <w:rsid w:val="0098024D"/>
    <w:rsid w:val="00980671"/>
    <w:rsid w:val="00983E08"/>
    <w:rsid w:val="009902D4"/>
    <w:rsid w:val="00990923"/>
    <w:rsid w:val="00991481"/>
    <w:rsid w:val="0099520D"/>
    <w:rsid w:val="00995C94"/>
    <w:rsid w:val="009A094C"/>
    <w:rsid w:val="009A1DFD"/>
    <w:rsid w:val="009A2BF6"/>
    <w:rsid w:val="009A310B"/>
    <w:rsid w:val="009B1D60"/>
    <w:rsid w:val="009B5059"/>
    <w:rsid w:val="009B5E82"/>
    <w:rsid w:val="009C0396"/>
    <w:rsid w:val="009C25B4"/>
    <w:rsid w:val="009C4101"/>
    <w:rsid w:val="009C7B68"/>
    <w:rsid w:val="009D0FD1"/>
    <w:rsid w:val="009D1580"/>
    <w:rsid w:val="009D48F1"/>
    <w:rsid w:val="009D4CA3"/>
    <w:rsid w:val="009D594E"/>
    <w:rsid w:val="009D60DE"/>
    <w:rsid w:val="009D6346"/>
    <w:rsid w:val="009D6AC2"/>
    <w:rsid w:val="009E0458"/>
    <w:rsid w:val="009E4555"/>
    <w:rsid w:val="009E4590"/>
    <w:rsid w:val="009E67CA"/>
    <w:rsid w:val="009E6E39"/>
    <w:rsid w:val="009F660A"/>
    <w:rsid w:val="00A005A5"/>
    <w:rsid w:val="00A0090C"/>
    <w:rsid w:val="00A02B29"/>
    <w:rsid w:val="00A03CAB"/>
    <w:rsid w:val="00A053B2"/>
    <w:rsid w:val="00A16063"/>
    <w:rsid w:val="00A16FF0"/>
    <w:rsid w:val="00A21B15"/>
    <w:rsid w:val="00A23EBB"/>
    <w:rsid w:val="00A24317"/>
    <w:rsid w:val="00A25319"/>
    <w:rsid w:val="00A3095B"/>
    <w:rsid w:val="00A312A7"/>
    <w:rsid w:val="00A35C07"/>
    <w:rsid w:val="00A420C6"/>
    <w:rsid w:val="00A4211F"/>
    <w:rsid w:val="00A42EBB"/>
    <w:rsid w:val="00A44451"/>
    <w:rsid w:val="00A53BA5"/>
    <w:rsid w:val="00A5465A"/>
    <w:rsid w:val="00A557B7"/>
    <w:rsid w:val="00A57D45"/>
    <w:rsid w:val="00A600D3"/>
    <w:rsid w:val="00A60C8B"/>
    <w:rsid w:val="00A612FE"/>
    <w:rsid w:val="00A6207D"/>
    <w:rsid w:val="00A62153"/>
    <w:rsid w:val="00A649CD"/>
    <w:rsid w:val="00A657BF"/>
    <w:rsid w:val="00A733E9"/>
    <w:rsid w:val="00A73E35"/>
    <w:rsid w:val="00A80721"/>
    <w:rsid w:val="00A80FC4"/>
    <w:rsid w:val="00A82787"/>
    <w:rsid w:val="00A8594E"/>
    <w:rsid w:val="00A8782F"/>
    <w:rsid w:val="00A9008E"/>
    <w:rsid w:val="00A9272B"/>
    <w:rsid w:val="00A93AF1"/>
    <w:rsid w:val="00A94AB7"/>
    <w:rsid w:val="00A95718"/>
    <w:rsid w:val="00A96743"/>
    <w:rsid w:val="00A96818"/>
    <w:rsid w:val="00A96940"/>
    <w:rsid w:val="00AA0259"/>
    <w:rsid w:val="00AA4095"/>
    <w:rsid w:val="00AA77B5"/>
    <w:rsid w:val="00AA7ACC"/>
    <w:rsid w:val="00AA7E1D"/>
    <w:rsid w:val="00AB25E6"/>
    <w:rsid w:val="00AB36DC"/>
    <w:rsid w:val="00AC04AD"/>
    <w:rsid w:val="00AC4FA8"/>
    <w:rsid w:val="00AC656B"/>
    <w:rsid w:val="00AD1D83"/>
    <w:rsid w:val="00AD2727"/>
    <w:rsid w:val="00AD29DD"/>
    <w:rsid w:val="00AD3333"/>
    <w:rsid w:val="00AD467D"/>
    <w:rsid w:val="00AD7CD8"/>
    <w:rsid w:val="00AE15B3"/>
    <w:rsid w:val="00AE17CD"/>
    <w:rsid w:val="00AE1C55"/>
    <w:rsid w:val="00AF4C6F"/>
    <w:rsid w:val="00AF53E7"/>
    <w:rsid w:val="00AF5B6F"/>
    <w:rsid w:val="00B00610"/>
    <w:rsid w:val="00B0091E"/>
    <w:rsid w:val="00B011E9"/>
    <w:rsid w:val="00B02A21"/>
    <w:rsid w:val="00B03844"/>
    <w:rsid w:val="00B05DEB"/>
    <w:rsid w:val="00B07ADC"/>
    <w:rsid w:val="00B11ED3"/>
    <w:rsid w:val="00B13B12"/>
    <w:rsid w:val="00B23200"/>
    <w:rsid w:val="00B23891"/>
    <w:rsid w:val="00B2709A"/>
    <w:rsid w:val="00B418BB"/>
    <w:rsid w:val="00B41DD2"/>
    <w:rsid w:val="00B44C96"/>
    <w:rsid w:val="00B4624F"/>
    <w:rsid w:val="00B51D02"/>
    <w:rsid w:val="00B53536"/>
    <w:rsid w:val="00B55E51"/>
    <w:rsid w:val="00B56987"/>
    <w:rsid w:val="00B57747"/>
    <w:rsid w:val="00B618D6"/>
    <w:rsid w:val="00B61A4E"/>
    <w:rsid w:val="00B62702"/>
    <w:rsid w:val="00B67090"/>
    <w:rsid w:val="00B72E5D"/>
    <w:rsid w:val="00B73840"/>
    <w:rsid w:val="00B7475F"/>
    <w:rsid w:val="00B74F4F"/>
    <w:rsid w:val="00B7602A"/>
    <w:rsid w:val="00B836A5"/>
    <w:rsid w:val="00B8393A"/>
    <w:rsid w:val="00B85869"/>
    <w:rsid w:val="00B903E8"/>
    <w:rsid w:val="00B9042C"/>
    <w:rsid w:val="00B9778B"/>
    <w:rsid w:val="00BA7DB1"/>
    <w:rsid w:val="00BB6323"/>
    <w:rsid w:val="00BB7718"/>
    <w:rsid w:val="00BC0C3C"/>
    <w:rsid w:val="00BC3256"/>
    <w:rsid w:val="00BC4B77"/>
    <w:rsid w:val="00BC531C"/>
    <w:rsid w:val="00BD11CC"/>
    <w:rsid w:val="00BD1840"/>
    <w:rsid w:val="00BD2152"/>
    <w:rsid w:val="00BD2661"/>
    <w:rsid w:val="00BD7901"/>
    <w:rsid w:val="00BE0333"/>
    <w:rsid w:val="00BE29EE"/>
    <w:rsid w:val="00BF4246"/>
    <w:rsid w:val="00BF5F2E"/>
    <w:rsid w:val="00BF5F50"/>
    <w:rsid w:val="00BF6F2F"/>
    <w:rsid w:val="00C02BDF"/>
    <w:rsid w:val="00C044D7"/>
    <w:rsid w:val="00C12FD9"/>
    <w:rsid w:val="00C16149"/>
    <w:rsid w:val="00C168A0"/>
    <w:rsid w:val="00C20621"/>
    <w:rsid w:val="00C21EF2"/>
    <w:rsid w:val="00C232AE"/>
    <w:rsid w:val="00C23E81"/>
    <w:rsid w:val="00C302C6"/>
    <w:rsid w:val="00C30A28"/>
    <w:rsid w:val="00C31335"/>
    <w:rsid w:val="00C34F82"/>
    <w:rsid w:val="00C404E3"/>
    <w:rsid w:val="00C408BA"/>
    <w:rsid w:val="00C409B4"/>
    <w:rsid w:val="00C42073"/>
    <w:rsid w:val="00C42722"/>
    <w:rsid w:val="00C450BA"/>
    <w:rsid w:val="00C45663"/>
    <w:rsid w:val="00C47CD8"/>
    <w:rsid w:val="00C51104"/>
    <w:rsid w:val="00C546B3"/>
    <w:rsid w:val="00C546F8"/>
    <w:rsid w:val="00C569A6"/>
    <w:rsid w:val="00C61302"/>
    <w:rsid w:val="00C61A76"/>
    <w:rsid w:val="00C63CE6"/>
    <w:rsid w:val="00C67B5C"/>
    <w:rsid w:val="00C71ECE"/>
    <w:rsid w:val="00C734A7"/>
    <w:rsid w:val="00C73851"/>
    <w:rsid w:val="00C75155"/>
    <w:rsid w:val="00C75459"/>
    <w:rsid w:val="00C77EB1"/>
    <w:rsid w:val="00C808AA"/>
    <w:rsid w:val="00C813D2"/>
    <w:rsid w:val="00C818EE"/>
    <w:rsid w:val="00C84BC4"/>
    <w:rsid w:val="00C85327"/>
    <w:rsid w:val="00C8582E"/>
    <w:rsid w:val="00C87609"/>
    <w:rsid w:val="00C87A2C"/>
    <w:rsid w:val="00C93E3D"/>
    <w:rsid w:val="00C94540"/>
    <w:rsid w:val="00C95C78"/>
    <w:rsid w:val="00C96C5C"/>
    <w:rsid w:val="00C97A64"/>
    <w:rsid w:val="00CA6F3B"/>
    <w:rsid w:val="00CB719B"/>
    <w:rsid w:val="00CC167E"/>
    <w:rsid w:val="00CC3731"/>
    <w:rsid w:val="00CC3C29"/>
    <w:rsid w:val="00CC4FC9"/>
    <w:rsid w:val="00CC4FF2"/>
    <w:rsid w:val="00CC7647"/>
    <w:rsid w:val="00CC7A67"/>
    <w:rsid w:val="00CC7FFB"/>
    <w:rsid w:val="00CD0420"/>
    <w:rsid w:val="00CD2200"/>
    <w:rsid w:val="00CD301E"/>
    <w:rsid w:val="00CE0328"/>
    <w:rsid w:val="00CE143D"/>
    <w:rsid w:val="00CE2D2B"/>
    <w:rsid w:val="00CE40CC"/>
    <w:rsid w:val="00CE5F53"/>
    <w:rsid w:val="00CE6B38"/>
    <w:rsid w:val="00CE72EC"/>
    <w:rsid w:val="00CF1922"/>
    <w:rsid w:val="00CF3091"/>
    <w:rsid w:val="00CF31CF"/>
    <w:rsid w:val="00CF4D96"/>
    <w:rsid w:val="00CF60F0"/>
    <w:rsid w:val="00D05625"/>
    <w:rsid w:val="00D06229"/>
    <w:rsid w:val="00D068F7"/>
    <w:rsid w:val="00D07CB0"/>
    <w:rsid w:val="00D108D6"/>
    <w:rsid w:val="00D1234D"/>
    <w:rsid w:val="00D1364C"/>
    <w:rsid w:val="00D13D8E"/>
    <w:rsid w:val="00D15153"/>
    <w:rsid w:val="00D200D7"/>
    <w:rsid w:val="00D20795"/>
    <w:rsid w:val="00D223A0"/>
    <w:rsid w:val="00D24F5A"/>
    <w:rsid w:val="00D26AC6"/>
    <w:rsid w:val="00D26AFF"/>
    <w:rsid w:val="00D32420"/>
    <w:rsid w:val="00D32892"/>
    <w:rsid w:val="00D33E08"/>
    <w:rsid w:val="00D33F42"/>
    <w:rsid w:val="00D33FF1"/>
    <w:rsid w:val="00D342C5"/>
    <w:rsid w:val="00D3501B"/>
    <w:rsid w:val="00D36978"/>
    <w:rsid w:val="00D423ED"/>
    <w:rsid w:val="00D425A1"/>
    <w:rsid w:val="00D4268C"/>
    <w:rsid w:val="00D427F9"/>
    <w:rsid w:val="00D44C38"/>
    <w:rsid w:val="00D45BD0"/>
    <w:rsid w:val="00D477C0"/>
    <w:rsid w:val="00D5216E"/>
    <w:rsid w:val="00D53D5C"/>
    <w:rsid w:val="00D6086F"/>
    <w:rsid w:val="00D620F3"/>
    <w:rsid w:val="00D64B57"/>
    <w:rsid w:val="00D659ED"/>
    <w:rsid w:val="00D66AE8"/>
    <w:rsid w:val="00D70BEC"/>
    <w:rsid w:val="00D74DB8"/>
    <w:rsid w:val="00D81289"/>
    <w:rsid w:val="00D81A12"/>
    <w:rsid w:val="00D81DC6"/>
    <w:rsid w:val="00D81E77"/>
    <w:rsid w:val="00D849A1"/>
    <w:rsid w:val="00D84B3F"/>
    <w:rsid w:val="00D85E3C"/>
    <w:rsid w:val="00D8622E"/>
    <w:rsid w:val="00D86872"/>
    <w:rsid w:val="00D8699C"/>
    <w:rsid w:val="00D87A57"/>
    <w:rsid w:val="00D91281"/>
    <w:rsid w:val="00D94BAD"/>
    <w:rsid w:val="00D967E5"/>
    <w:rsid w:val="00DA018D"/>
    <w:rsid w:val="00DA18C1"/>
    <w:rsid w:val="00DA24FB"/>
    <w:rsid w:val="00DA3FED"/>
    <w:rsid w:val="00DA4D5D"/>
    <w:rsid w:val="00DA7038"/>
    <w:rsid w:val="00DB3178"/>
    <w:rsid w:val="00DB38C9"/>
    <w:rsid w:val="00DB44C9"/>
    <w:rsid w:val="00DB4F12"/>
    <w:rsid w:val="00DC23BA"/>
    <w:rsid w:val="00DC6FB3"/>
    <w:rsid w:val="00DD20A4"/>
    <w:rsid w:val="00DD5258"/>
    <w:rsid w:val="00DD5745"/>
    <w:rsid w:val="00DD7208"/>
    <w:rsid w:val="00DE027B"/>
    <w:rsid w:val="00DE212D"/>
    <w:rsid w:val="00DE4B0D"/>
    <w:rsid w:val="00DE62AF"/>
    <w:rsid w:val="00DF079C"/>
    <w:rsid w:val="00DF0CC7"/>
    <w:rsid w:val="00DF5CE4"/>
    <w:rsid w:val="00DF6EBF"/>
    <w:rsid w:val="00E018CC"/>
    <w:rsid w:val="00E01AC8"/>
    <w:rsid w:val="00E04057"/>
    <w:rsid w:val="00E040D4"/>
    <w:rsid w:val="00E051A9"/>
    <w:rsid w:val="00E055B3"/>
    <w:rsid w:val="00E06A43"/>
    <w:rsid w:val="00E10C29"/>
    <w:rsid w:val="00E12C1E"/>
    <w:rsid w:val="00E135A2"/>
    <w:rsid w:val="00E135E4"/>
    <w:rsid w:val="00E14811"/>
    <w:rsid w:val="00E16601"/>
    <w:rsid w:val="00E236CB"/>
    <w:rsid w:val="00E278F7"/>
    <w:rsid w:val="00E3281A"/>
    <w:rsid w:val="00E33565"/>
    <w:rsid w:val="00E33AAF"/>
    <w:rsid w:val="00E3453F"/>
    <w:rsid w:val="00E367DD"/>
    <w:rsid w:val="00E415BF"/>
    <w:rsid w:val="00E41D9F"/>
    <w:rsid w:val="00E422BB"/>
    <w:rsid w:val="00E426A8"/>
    <w:rsid w:val="00E4558C"/>
    <w:rsid w:val="00E45B87"/>
    <w:rsid w:val="00E46A41"/>
    <w:rsid w:val="00E47027"/>
    <w:rsid w:val="00E47213"/>
    <w:rsid w:val="00E47A7A"/>
    <w:rsid w:val="00E530B1"/>
    <w:rsid w:val="00E5420C"/>
    <w:rsid w:val="00E54305"/>
    <w:rsid w:val="00E557C9"/>
    <w:rsid w:val="00E57AB8"/>
    <w:rsid w:val="00E57C24"/>
    <w:rsid w:val="00E61D00"/>
    <w:rsid w:val="00E639B0"/>
    <w:rsid w:val="00E64464"/>
    <w:rsid w:val="00E64853"/>
    <w:rsid w:val="00E6693A"/>
    <w:rsid w:val="00E66B21"/>
    <w:rsid w:val="00E66C78"/>
    <w:rsid w:val="00E713EA"/>
    <w:rsid w:val="00E72F5E"/>
    <w:rsid w:val="00E73943"/>
    <w:rsid w:val="00E80AC8"/>
    <w:rsid w:val="00E85F80"/>
    <w:rsid w:val="00E86F97"/>
    <w:rsid w:val="00E91D5E"/>
    <w:rsid w:val="00E93BA0"/>
    <w:rsid w:val="00E95228"/>
    <w:rsid w:val="00EA2A5C"/>
    <w:rsid w:val="00EB0380"/>
    <w:rsid w:val="00EB0AD7"/>
    <w:rsid w:val="00EB19D6"/>
    <w:rsid w:val="00EC0D49"/>
    <w:rsid w:val="00EC4B55"/>
    <w:rsid w:val="00EC580E"/>
    <w:rsid w:val="00EC5F5B"/>
    <w:rsid w:val="00EC7D67"/>
    <w:rsid w:val="00EC7EA7"/>
    <w:rsid w:val="00ED155C"/>
    <w:rsid w:val="00ED2A2C"/>
    <w:rsid w:val="00ED4906"/>
    <w:rsid w:val="00ED6195"/>
    <w:rsid w:val="00EE1580"/>
    <w:rsid w:val="00EE3852"/>
    <w:rsid w:val="00EE39DD"/>
    <w:rsid w:val="00EE564F"/>
    <w:rsid w:val="00EE62BD"/>
    <w:rsid w:val="00EF3ADD"/>
    <w:rsid w:val="00EF5B61"/>
    <w:rsid w:val="00EF69DE"/>
    <w:rsid w:val="00EF6DC6"/>
    <w:rsid w:val="00EF76F2"/>
    <w:rsid w:val="00F0292D"/>
    <w:rsid w:val="00F03A36"/>
    <w:rsid w:val="00F04145"/>
    <w:rsid w:val="00F04BD2"/>
    <w:rsid w:val="00F04C32"/>
    <w:rsid w:val="00F054F3"/>
    <w:rsid w:val="00F13E4E"/>
    <w:rsid w:val="00F146D1"/>
    <w:rsid w:val="00F22093"/>
    <w:rsid w:val="00F22A5D"/>
    <w:rsid w:val="00F24F07"/>
    <w:rsid w:val="00F251D8"/>
    <w:rsid w:val="00F254F1"/>
    <w:rsid w:val="00F25992"/>
    <w:rsid w:val="00F329F5"/>
    <w:rsid w:val="00F3396D"/>
    <w:rsid w:val="00F34101"/>
    <w:rsid w:val="00F3656A"/>
    <w:rsid w:val="00F41C7B"/>
    <w:rsid w:val="00F4312A"/>
    <w:rsid w:val="00F44111"/>
    <w:rsid w:val="00F44C74"/>
    <w:rsid w:val="00F523C0"/>
    <w:rsid w:val="00F52E14"/>
    <w:rsid w:val="00F5364F"/>
    <w:rsid w:val="00F53663"/>
    <w:rsid w:val="00F55921"/>
    <w:rsid w:val="00F55A4E"/>
    <w:rsid w:val="00F56ADD"/>
    <w:rsid w:val="00F56E9D"/>
    <w:rsid w:val="00F61FD9"/>
    <w:rsid w:val="00F6250B"/>
    <w:rsid w:val="00F62826"/>
    <w:rsid w:val="00F67E13"/>
    <w:rsid w:val="00F705E9"/>
    <w:rsid w:val="00F71058"/>
    <w:rsid w:val="00F73B05"/>
    <w:rsid w:val="00F80BA2"/>
    <w:rsid w:val="00F833AE"/>
    <w:rsid w:val="00F87064"/>
    <w:rsid w:val="00F90B48"/>
    <w:rsid w:val="00F930D5"/>
    <w:rsid w:val="00F96F88"/>
    <w:rsid w:val="00FA07B3"/>
    <w:rsid w:val="00FA1FBE"/>
    <w:rsid w:val="00FA3E89"/>
    <w:rsid w:val="00FA6F0E"/>
    <w:rsid w:val="00FA765C"/>
    <w:rsid w:val="00FB2EB6"/>
    <w:rsid w:val="00FB47EF"/>
    <w:rsid w:val="00FB5CA9"/>
    <w:rsid w:val="00FB7CFC"/>
    <w:rsid w:val="00FC0E9E"/>
    <w:rsid w:val="00FC223B"/>
    <w:rsid w:val="00FC4690"/>
    <w:rsid w:val="00FC5CB4"/>
    <w:rsid w:val="00FC7B57"/>
    <w:rsid w:val="00FD4C28"/>
    <w:rsid w:val="00FD5A75"/>
    <w:rsid w:val="00FD5DAD"/>
    <w:rsid w:val="00FD6518"/>
    <w:rsid w:val="00FD7E82"/>
    <w:rsid w:val="00FE2E3B"/>
    <w:rsid w:val="00FE3D19"/>
    <w:rsid w:val="00FE6886"/>
    <w:rsid w:val="00FE6BC3"/>
    <w:rsid w:val="00FE6F8C"/>
    <w:rsid w:val="00FE7505"/>
    <w:rsid w:val="00FE7745"/>
    <w:rsid w:val="00FF07FB"/>
    <w:rsid w:val="00FF15BD"/>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EDB36"/>
  <w15:docId w15:val="{925C6801-1B16-9343-93D0-FB7DD7D9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FB6"/>
  </w:style>
  <w:style w:type="paragraph" w:styleId="Heading1">
    <w:name w:val="heading 1"/>
    <w:basedOn w:val="Normal"/>
    <w:next w:val="Normal"/>
    <w:link w:val="Heading1Char"/>
    <w:qFormat/>
    <w:rsid w:val="00724285"/>
    <w:pPr>
      <w:keepNext/>
      <w:suppressAutoHyphens/>
      <w:spacing w:after="120" w:line="240" w:lineRule="auto"/>
      <w:jc w:val="center"/>
      <w:outlineLvl w:val="0"/>
    </w:pPr>
    <w:rPr>
      <w:rFonts w:ascii="Times New Roman" w:eastAsia="Times New Roman" w:hAnsi="Times New Roman" w:cs="Times New Roman"/>
      <w:b/>
      <w:bCs/>
      <w:sz w:val="24"/>
      <w:szCs w:val="24"/>
      <w:lang w:val="ro-RO" w:eastAsia="ar-SA"/>
    </w:rPr>
  </w:style>
  <w:style w:type="paragraph" w:styleId="Heading2">
    <w:name w:val="heading 2"/>
    <w:basedOn w:val="Normal"/>
    <w:next w:val="Normal"/>
    <w:link w:val="Heading2Char"/>
    <w:unhideWhenUsed/>
    <w:qFormat/>
    <w:rsid w:val="00BA7D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42EBB"/>
    <w:pPr>
      <w:keepNext/>
      <w:spacing w:after="0" w:line="240" w:lineRule="auto"/>
      <w:jc w:val="both"/>
      <w:outlineLvl w:val="2"/>
    </w:pPr>
    <w:rPr>
      <w:rFonts w:ascii="Times New Roman" w:eastAsia="Times New Roman" w:hAnsi="Times New Roman" w:cs="Times New Roman"/>
      <w:b/>
      <w:bCs/>
      <w:sz w:val="28"/>
      <w:szCs w:val="24"/>
      <w:lang w:val="ro-RO" w:eastAsia="ru-RU"/>
    </w:rPr>
  </w:style>
  <w:style w:type="paragraph" w:styleId="Heading4">
    <w:name w:val="heading 4"/>
    <w:basedOn w:val="Normal"/>
    <w:next w:val="Normal"/>
    <w:link w:val="Heading4Char"/>
    <w:qFormat/>
    <w:rsid w:val="00A42EBB"/>
    <w:pPr>
      <w:keepNext/>
      <w:spacing w:after="0" w:line="240" w:lineRule="auto"/>
      <w:ind w:firstLine="540"/>
      <w:jc w:val="both"/>
      <w:outlineLvl w:val="3"/>
    </w:pPr>
    <w:rPr>
      <w:rFonts w:ascii="Times New Roman" w:eastAsia="Times New Roman" w:hAnsi="Times New Roman" w:cs="Times New Roman"/>
      <w:sz w:val="28"/>
      <w:szCs w:val="24"/>
      <w:lang w:val="ro-RO" w:eastAsia="ru-RU"/>
    </w:rPr>
  </w:style>
  <w:style w:type="paragraph" w:styleId="Heading5">
    <w:name w:val="heading 5"/>
    <w:basedOn w:val="Normal"/>
    <w:next w:val="Normal"/>
    <w:link w:val="Heading5Char"/>
    <w:qFormat/>
    <w:rsid w:val="00772A5F"/>
    <w:pPr>
      <w:keepNext/>
      <w:spacing w:after="0" w:line="240" w:lineRule="auto"/>
      <w:ind w:firstLine="720"/>
      <w:jc w:val="center"/>
      <w:outlineLvl w:val="4"/>
    </w:pPr>
    <w:rPr>
      <w:rFonts w:ascii="$Caslon" w:eastAsia="Times New Roman" w:hAnsi="$Caslon" w:cs="Times New Roman"/>
      <w:sz w:val="24"/>
      <w:szCs w:val="20"/>
    </w:rPr>
  </w:style>
  <w:style w:type="paragraph" w:styleId="Heading6">
    <w:name w:val="heading 6"/>
    <w:basedOn w:val="Normal"/>
    <w:next w:val="Normal"/>
    <w:link w:val="Heading6Char"/>
    <w:qFormat/>
    <w:rsid w:val="00A42EBB"/>
    <w:pPr>
      <w:keepNext/>
      <w:spacing w:after="0" w:line="360" w:lineRule="auto"/>
      <w:ind w:left="703"/>
      <w:jc w:val="both"/>
      <w:outlineLvl w:val="5"/>
    </w:pPr>
    <w:rPr>
      <w:rFonts w:ascii="Times New Roman" w:eastAsia="Times New Roman" w:hAnsi="Times New Roman" w:cs="Times New Roman"/>
      <w:bCs/>
      <w:sz w:val="28"/>
      <w:szCs w:val="24"/>
      <w:lang w:eastAsia="ru-RU"/>
    </w:rPr>
  </w:style>
  <w:style w:type="paragraph" w:styleId="Heading7">
    <w:name w:val="heading 7"/>
    <w:basedOn w:val="Normal"/>
    <w:next w:val="Normal"/>
    <w:link w:val="Heading7Char"/>
    <w:qFormat/>
    <w:rsid w:val="00A42EBB"/>
    <w:pPr>
      <w:keepNext/>
      <w:spacing w:after="0" w:line="240" w:lineRule="auto"/>
      <w:ind w:firstLine="540"/>
      <w:outlineLvl w:val="6"/>
    </w:pPr>
    <w:rPr>
      <w:rFonts w:ascii="Times New Roman" w:eastAsia="Times New Roman" w:hAnsi="Times New Roman" w:cs="Times New Roman"/>
      <w:b/>
      <w:sz w:val="28"/>
      <w:szCs w:val="24"/>
      <w:lang w:val="ro-RO" w:eastAsia="ru-RU"/>
    </w:rPr>
  </w:style>
  <w:style w:type="paragraph" w:styleId="Heading8">
    <w:name w:val="heading 8"/>
    <w:basedOn w:val="Normal"/>
    <w:next w:val="Normal"/>
    <w:link w:val="Heading8Char"/>
    <w:qFormat/>
    <w:rsid w:val="00772A5F"/>
    <w:pPr>
      <w:keepNext/>
      <w:spacing w:after="0" w:line="240" w:lineRule="auto"/>
      <w:ind w:firstLine="720"/>
      <w:jc w:val="center"/>
      <w:outlineLvl w:val="7"/>
    </w:pPr>
    <w:rPr>
      <w:rFonts w:ascii="$Caslon" w:eastAsia="Times New Roman" w:hAnsi="$Caslo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paragraph" w:styleId="ListParagraph">
    <w:name w:val="List Paragraph"/>
    <w:aliases w:val="Scriptoria bullet points,List Paragraph 1,Bullets,List Paragraph (numbered (a)),Numbered Paragraph,Main numbered paragraph,Akapit z listą BS,Lettre d'introduction,List Paragraph11,Bullet Points,Liste Paragraf,Listenabsatz1,References"/>
    <w:basedOn w:val="Normal"/>
    <w:link w:val="ListParagraphChar"/>
    <w:uiPriority w:val="34"/>
    <w:qFormat/>
    <w:rsid w:val="00C31335"/>
    <w:pPr>
      <w:ind w:left="720"/>
      <w:contextualSpacing/>
    </w:pPr>
  </w:style>
  <w:style w:type="table" w:styleId="TableGrid">
    <w:name w:val="Table Grid"/>
    <w:basedOn w:val="TableNormal"/>
    <w:uiPriority w:val="59"/>
    <w:rsid w:val="002A2D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59"/>
    <w:rsid w:val="002A2D86"/>
    <w:pPr>
      <w:spacing w:after="0" w:line="240" w:lineRule="auto"/>
    </w:pPr>
    <w:rPr>
      <w:rFonts w:ascii="Calibri" w:eastAsia="Calibri" w:hAnsi="Calibri" w:cs="Times New Roman"/>
      <w:lang w:val="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2A2D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2D86"/>
    <w:pPr>
      <w:spacing w:after="0" w:line="240" w:lineRule="auto"/>
    </w:pPr>
    <w:rPr>
      <w:lang w:val="en-GB"/>
    </w:rPr>
  </w:style>
  <w:style w:type="paragraph" w:styleId="NormalWeb">
    <w:name w:val="Normal (Web)"/>
    <w:basedOn w:val="Normal"/>
    <w:uiPriority w:val="99"/>
    <w:rsid w:val="002A2D86"/>
    <w:pPr>
      <w:suppressAutoHyphens/>
      <w:spacing w:before="280" w:after="119" w:line="240" w:lineRule="auto"/>
    </w:pPr>
    <w:rPr>
      <w:rFonts w:ascii="Times New Roman" w:eastAsia="Times New Roman" w:hAnsi="Times New Roman" w:cs="Times New Roman"/>
      <w:sz w:val="24"/>
      <w:szCs w:val="24"/>
      <w:lang w:val="ru-RU" w:eastAsia="ar-SA"/>
    </w:rPr>
  </w:style>
  <w:style w:type="character" w:customStyle="1" w:styleId="Heading1Char">
    <w:name w:val="Heading 1 Char"/>
    <w:basedOn w:val="DefaultParagraphFont"/>
    <w:link w:val="Heading1"/>
    <w:rsid w:val="00724285"/>
    <w:rPr>
      <w:rFonts w:ascii="Times New Roman" w:eastAsia="Times New Roman" w:hAnsi="Times New Roman" w:cs="Times New Roman"/>
      <w:b/>
      <w:bCs/>
      <w:sz w:val="24"/>
      <w:szCs w:val="24"/>
      <w:lang w:val="ro-RO" w:eastAsia="ar-SA"/>
    </w:rPr>
  </w:style>
  <w:style w:type="paragraph" w:styleId="BodyText">
    <w:name w:val="Body Text"/>
    <w:basedOn w:val="Normal"/>
    <w:link w:val="BodyTextChar"/>
    <w:rsid w:val="00724285"/>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BodyTextChar">
    <w:name w:val="Body Text Char"/>
    <w:basedOn w:val="DefaultParagraphFont"/>
    <w:link w:val="BodyText"/>
    <w:rsid w:val="00724285"/>
    <w:rPr>
      <w:rFonts w:ascii="Times New Roman" w:eastAsia="Times New Roman" w:hAnsi="Times New Roman" w:cs="Times New Roman"/>
      <w:sz w:val="24"/>
      <w:szCs w:val="24"/>
      <w:lang w:val="ru-RU" w:eastAsia="ar-SA"/>
    </w:rPr>
  </w:style>
  <w:style w:type="paragraph" w:customStyle="1" w:styleId="norm">
    <w:name w:val="norm"/>
    <w:basedOn w:val="Normal"/>
    <w:rsid w:val="00724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A7DB1"/>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rsid w:val="00772A5F"/>
    <w:rPr>
      <w:rFonts w:ascii="$Caslon" w:eastAsia="Times New Roman" w:hAnsi="$Caslon" w:cs="Times New Roman"/>
      <w:sz w:val="24"/>
      <w:szCs w:val="20"/>
    </w:rPr>
  </w:style>
  <w:style w:type="character" w:customStyle="1" w:styleId="Heading8Char">
    <w:name w:val="Heading 8 Char"/>
    <w:basedOn w:val="DefaultParagraphFont"/>
    <w:link w:val="Heading8"/>
    <w:rsid w:val="00772A5F"/>
    <w:rPr>
      <w:rFonts w:ascii="$Caslon" w:eastAsia="Times New Roman" w:hAnsi="$Caslon" w:cs="Times New Roman"/>
      <w:b/>
      <w:sz w:val="24"/>
      <w:szCs w:val="20"/>
    </w:rPr>
  </w:style>
  <w:style w:type="character" w:customStyle="1" w:styleId="Heading3Char">
    <w:name w:val="Heading 3 Char"/>
    <w:basedOn w:val="DefaultParagraphFont"/>
    <w:link w:val="Heading3"/>
    <w:rsid w:val="00A42EBB"/>
    <w:rPr>
      <w:rFonts w:ascii="Times New Roman" w:eastAsia="Times New Roman" w:hAnsi="Times New Roman" w:cs="Times New Roman"/>
      <w:b/>
      <w:bCs/>
      <w:sz w:val="28"/>
      <w:szCs w:val="24"/>
      <w:lang w:val="ro-RO" w:eastAsia="ru-RU"/>
    </w:rPr>
  </w:style>
  <w:style w:type="table" w:customStyle="1" w:styleId="TableGrid2">
    <w:name w:val="Table Grid2"/>
    <w:basedOn w:val="TableNormal"/>
    <w:next w:val="TableGrid"/>
    <w:rsid w:val="00772A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ref">
    <w:name w:val="modref"/>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772A5F"/>
  </w:style>
  <w:style w:type="paragraph" w:customStyle="1" w:styleId="title-article-norm">
    <w:name w:val="title-article-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A5F"/>
    <w:rPr>
      <w:b/>
      <w:bCs/>
    </w:rPr>
  </w:style>
  <w:style w:type="paragraph" w:customStyle="1" w:styleId="title-annex-1">
    <w:name w:val="title-annex-1"/>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2">
    <w:name w:val="title-annex-2"/>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772A5F"/>
  </w:style>
  <w:style w:type="character" w:customStyle="1" w:styleId="italics">
    <w:name w:val="italics"/>
    <w:basedOn w:val="DefaultParagraphFont"/>
    <w:rsid w:val="00772A5F"/>
  </w:style>
  <w:style w:type="paragraph" w:customStyle="1" w:styleId="tbl-norm">
    <w:name w:val="tbl-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772A5F"/>
  </w:style>
  <w:style w:type="paragraph" w:customStyle="1" w:styleId="hd-column">
    <w:name w:val="hd-column"/>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42EBB"/>
    <w:rPr>
      <w:rFonts w:ascii="Times New Roman" w:eastAsia="Times New Roman" w:hAnsi="Times New Roman" w:cs="Times New Roman"/>
      <w:sz w:val="28"/>
      <w:szCs w:val="24"/>
      <w:lang w:val="ro-RO" w:eastAsia="ru-RU"/>
    </w:rPr>
  </w:style>
  <w:style w:type="character" w:styleId="FollowedHyperlink">
    <w:name w:val="FollowedHyperlink"/>
    <w:basedOn w:val="DefaultParagraphFont"/>
    <w:uiPriority w:val="99"/>
    <w:semiHidden/>
    <w:unhideWhenUsed/>
    <w:rsid w:val="00772A5F"/>
    <w:rPr>
      <w:color w:val="800080"/>
      <w:u w:val="single"/>
    </w:rPr>
  </w:style>
  <w:style w:type="paragraph" w:customStyle="1" w:styleId="title-gr-seq-level-2">
    <w:name w:val="title-gr-seq-level-2"/>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DefaultParagraphFont"/>
    <w:rsid w:val="00772A5F"/>
  </w:style>
  <w:style w:type="character" w:styleId="Emphasis">
    <w:name w:val="Emphasis"/>
    <w:basedOn w:val="DefaultParagraphFont"/>
    <w:uiPriority w:val="20"/>
    <w:qFormat/>
    <w:rsid w:val="00772A5F"/>
    <w:rPr>
      <w:i/>
      <w:iCs/>
    </w:rPr>
  </w:style>
  <w:style w:type="table" w:customStyle="1" w:styleId="GrilTabel2">
    <w:name w:val="Grilă Tabel2"/>
    <w:basedOn w:val="TableNormal"/>
    <w:rsid w:val="00772A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D8622E"/>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Normal"/>
    <w:rsid w:val="00D8622E"/>
    <w:pPr>
      <w:spacing w:after="0" w:line="240" w:lineRule="auto"/>
      <w:jc w:val="center"/>
    </w:pPr>
    <w:rPr>
      <w:rFonts w:ascii="Times New Roman" w:eastAsia="Times New Roman" w:hAnsi="Times New Roman" w:cs="Times New Roman"/>
      <w:i/>
      <w:iCs/>
      <w:color w:val="663300"/>
      <w:sz w:val="20"/>
      <w:szCs w:val="20"/>
      <w:lang w:val="ru-RU" w:eastAsia="ru-RU"/>
    </w:rPr>
  </w:style>
  <w:style w:type="character" w:customStyle="1" w:styleId="UnresolvedMention1">
    <w:name w:val="Unresolved Mention1"/>
    <w:basedOn w:val="DefaultParagraphFont"/>
    <w:uiPriority w:val="99"/>
    <w:semiHidden/>
    <w:unhideWhenUsed/>
    <w:rsid w:val="00D45BD0"/>
    <w:rPr>
      <w:color w:val="605E5C"/>
      <w:shd w:val="clear" w:color="auto" w:fill="E1DFDD"/>
    </w:rPr>
  </w:style>
  <w:style w:type="character" w:customStyle="1" w:styleId="Heading6Char">
    <w:name w:val="Heading 6 Char"/>
    <w:basedOn w:val="DefaultParagraphFont"/>
    <w:link w:val="Heading6"/>
    <w:rsid w:val="00A42EBB"/>
    <w:rPr>
      <w:rFonts w:ascii="Times New Roman" w:eastAsia="Times New Roman" w:hAnsi="Times New Roman" w:cs="Times New Roman"/>
      <w:bCs/>
      <w:sz w:val="28"/>
      <w:szCs w:val="24"/>
      <w:lang w:eastAsia="ru-RU"/>
    </w:rPr>
  </w:style>
  <w:style w:type="character" w:customStyle="1" w:styleId="Heading7Char">
    <w:name w:val="Heading 7 Char"/>
    <w:basedOn w:val="DefaultParagraphFont"/>
    <w:link w:val="Heading7"/>
    <w:rsid w:val="00A42EBB"/>
    <w:rPr>
      <w:rFonts w:ascii="Times New Roman" w:eastAsia="Times New Roman" w:hAnsi="Times New Roman" w:cs="Times New Roman"/>
      <w:b/>
      <w:sz w:val="28"/>
      <w:szCs w:val="24"/>
      <w:lang w:val="ro-RO" w:eastAsia="ru-RU"/>
    </w:rPr>
  </w:style>
  <w:style w:type="paragraph" w:styleId="Title">
    <w:name w:val="Title"/>
    <w:basedOn w:val="Normal"/>
    <w:link w:val="TitleChar"/>
    <w:qFormat/>
    <w:rsid w:val="00A42EBB"/>
    <w:pPr>
      <w:spacing w:after="0" w:line="240" w:lineRule="auto"/>
      <w:jc w:val="center"/>
    </w:pPr>
    <w:rPr>
      <w:rFonts w:ascii="Times New Roman" w:eastAsia="Times New Roman" w:hAnsi="Times New Roman" w:cs="Times New Roman"/>
      <w:b/>
      <w:i/>
      <w:sz w:val="28"/>
      <w:szCs w:val="20"/>
      <w:lang w:val="ro-RO" w:eastAsia="ru-RU"/>
    </w:rPr>
  </w:style>
  <w:style w:type="character" w:customStyle="1" w:styleId="TitleChar">
    <w:name w:val="Title Char"/>
    <w:basedOn w:val="DefaultParagraphFont"/>
    <w:link w:val="Title"/>
    <w:rsid w:val="00A42EBB"/>
    <w:rPr>
      <w:rFonts w:ascii="Times New Roman" w:eastAsia="Times New Roman" w:hAnsi="Times New Roman" w:cs="Times New Roman"/>
      <w:b/>
      <w:i/>
      <w:sz w:val="28"/>
      <w:szCs w:val="20"/>
      <w:lang w:val="ro-RO" w:eastAsia="ru-RU"/>
    </w:rPr>
  </w:style>
  <w:style w:type="paragraph" w:styleId="BodyTextIndent">
    <w:name w:val="Body Text Indent"/>
    <w:basedOn w:val="Normal"/>
    <w:link w:val="BodyTextIndentChar"/>
    <w:rsid w:val="00A42EBB"/>
    <w:pPr>
      <w:spacing w:after="0" w:line="240" w:lineRule="auto"/>
      <w:ind w:left="180" w:firstLine="540"/>
      <w:jc w:val="both"/>
    </w:pPr>
    <w:rPr>
      <w:rFonts w:ascii="Times New Roman" w:eastAsia="Times New Roman" w:hAnsi="Times New Roman" w:cs="Times New Roman"/>
      <w:bCs/>
      <w:sz w:val="28"/>
      <w:szCs w:val="24"/>
      <w:lang w:eastAsia="ru-RU"/>
    </w:rPr>
  </w:style>
  <w:style w:type="character" w:customStyle="1" w:styleId="BodyTextIndentChar">
    <w:name w:val="Body Text Indent Char"/>
    <w:basedOn w:val="DefaultParagraphFont"/>
    <w:link w:val="BodyTextIndent"/>
    <w:rsid w:val="00A42EBB"/>
    <w:rPr>
      <w:rFonts w:ascii="Times New Roman" w:eastAsia="Times New Roman" w:hAnsi="Times New Roman" w:cs="Times New Roman"/>
      <w:bCs/>
      <w:sz w:val="28"/>
      <w:szCs w:val="24"/>
      <w:lang w:eastAsia="ru-RU"/>
    </w:rPr>
  </w:style>
  <w:style w:type="paragraph" w:styleId="BodyTextIndent2">
    <w:name w:val="Body Text Indent 2"/>
    <w:basedOn w:val="Normal"/>
    <w:link w:val="BodyTextIndent2Char"/>
    <w:rsid w:val="00A42EBB"/>
    <w:pPr>
      <w:spacing w:after="0" w:line="240" w:lineRule="auto"/>
      <w:ind w:left="180" w:firstLine="525"/>
      <w:jc w:val="both"/>
    </w:pPr>
    <w:rPr>
      <w:rFonts w:ascii="Times New Roman" w:eastAsia="Times New Roman" w:hAnsi="Times New Roman" w:cs="Times New Roman"/>
      <w:bCs/>
      <w:sz w:val="28"/>
      <w:szCs w:val="24"/>
      <w:lang w:eastAsia="ru-RU"/>
    </w:rPr>
  </w:style>
  <w:style w:type="character" w:customStyle="1" w:styleId="BodyTextIndent2Char">
    <w:name w:val="Body Text Indent 2 Char"/>
    <w:basedOn w:val="DefaultParagraphFont"/>
    <w:link w:val="BodyTextIndent2"/>
    <w:rsid w:val="00A42EBB"/>
    <w:rPr>
      <w:rFonts w:ascii="Times New Roman" w:eastAsia="Times New Roman" w:hAnsi="Times New Roman" w:cs="Times New Roman"/>
      <w:bCs/>
      <w:sz w:val="28"/>
      <w:szCs w:val="24"/>
      <w:lang w:eastAsia="ru-RU"/>
    </w:rPr>
  </w:style>
  <w:style w:type="paragraph" w:styleId="BodyText2">
    <w:name w:val="Body Text 2"/>
    <w:basedOn w:val="Normal"/>
    <w:link w:val="BodyText2Char"/>
    <w:rsid w:val="00A42EBB"/>
    <w:pPr>
      <w:spacing w:after="0" w:line="240" w:lineRule="auto"/>
      <w:jc w:val="both"/>
    </w:pPr>
    <w:rPr>
      <w:rFonts w:ascii="Times New Roman" w:eastAsia="Times New Roman" w:hAnsi="Times New Roman" w:cs="Times New Roman"/>
      <w:sz w:val="24"/>
      <w:szCs w:val="20"/>
      <w:lang w:val="ro-RO" w:eastAsia="ru-RU"/>
    </w:rPr>
  </w:style>
  <w:style w:type="character" w:customStyle="1" w:styleId="BodyText2Char">
    <w:name w:val="Body Text 2 Char"/>
    <w:basedOn w:val="DefaultParagraphFont"/>
    <w:link w:val="BodyText2"/>
    <w:rsid w:val="00A42EBB"/>
    <w:rPr>
      <w:rFonts w:ascii="Times New Roman" w:eastAsia="Times New Roman" w:hAnsi="Times New Roman" w:cs="Times New Roman"/>
      <w:sz w:val="24"/>
      <w:szCs w:val="20"/>
      <w:lang w:val="ro-RO" w:eastAsia="ru-RU"/>
    </w:rPr>
  </w:style>
  <w:style w:type="paragraph" w:styleId="BodyText3">
    <w:name w:val="Body Text 3"/>
    <w:basedOn w:val="Normal"/>
    <w:link w:val="BodyText3Char"/>
    <w:rsid w:val="00A42EBB"/>
    <w:pPr>
      <w:spacing w:after="0" w:line="240" w:lineRule="auto"/>
      <w:jc w:val="center"/>
    </w:pPr>
    <w:rPr>
      <w:rFonts w:ascii="Times New Roman" w:eastAsia="Times New Roman" w:hAnsi="Times New Roman" w:cs="Times New Roman"/>
      <w:b/>
      <w:sz w:val="28"/>
      <w:szCs w:val="24"/>
      <w:lang w:val="ro-RO" w:eastAsia="ru-RU"/>
    </w:rPr>
  </w:style>
  <w:style w:type="character" w:customStyle="1" w:styleId="BodyText3Char">
    <w:name w:val="Body Text 3 Char"/>
    <w:basedOn w:val="DefaultParagraphFont"/>
    <w:link w:val="BodyText3"/>
    <w:rsid w:val="00A42EBB"/>
    <w:rPr>
      <w:rFonts w:ascii="Times New Roman" w:eastAsia="Times New Roman" w:hAnsi="Times New Roman" w:cs="Times New Roman"/>
      <w:b/>
      <w:sz w:val="28"/>
      <w:szCs w:val="24"/>
      <w:lang w:val="ro-RO" w:eastAsia="ru-RU"/>
    </w:rPr>
  </w:style>
  <w:style w:type="paragraph" w:styleId="BodyTextIndent3">
    <w:name w:val="Body Text Indent 3"/>
    <w:basedOn w:val="Normal"/>
    <w:link w:val="BodyTextIndent3Char"/>
    <w:rsid w:val="00A42EBB"/>
    <w:pPr>
      <w:spacing w:after="0" w:line="240" w:lineRule="auto"/>
      <w:ind w:right="6" w:firstLine="570"/>
      <w:jc w:val="both"/>
    </w:pPr>
    <w:rPr>
      <w:rFonts w:ascii="Times New Roman" w:eastAsia="Times New Roman" w:hAnsi="Times New Roman" w:cs="Times New Roman"/>
      <w:sz w:val="28"/>
      <w:szCs w:val="24"/>
      <w:lang w:eastAsia="ru-RU"/>
    </w:rPr>
  </w:style>
  <w:style w:type="character" w:customStyle="1" w:styleId="BodyTextIndent3Char">
    <w:name w:val="Body Text Indent 3 Char"/>
    <w:basedOn w:val="DefaultParagraphFont"/>
    <w:link w:val="BodyTextIndent3"/>
    <w:rsid w:val="00A42EBB"/>
    <w:rPr>
      <w:rFonts w:ascii="Times New Roman" w:eastAsia="Times New Roman" w:hAnsi="Times New Roman" w:cs="Times New Roman"/>
      <w:sz w:val="28"/>
      <w:szCs w:val="24"/>
      <w:lang w:eastAsia="ru-RU"/>
    </w:rPr>
  </w:style>
  <w:style w:type="paragraph" w:customStyle="1" w:styleId="cn">
    <w:name w:val="cn"/>
    <w:basedOn w:val="Normal"/>
    <w:rsid w:val="00A42EBB"/>
    <w:pPr>
      <w:spacing w:after="0" w:line="240" w:lineRule="auto"/>
      <w:jc w:val="center"/>
    </w:pPr>
    <w:rPr>
      <w:rFonts w:ascii="Times New Roman" w:eastAsia="Times New Roman" w:hAnsi="Times New Roman" w:cs="Times New Roman"/>
      <w:sz w:val="24"/>
      <w:szCs w:val="24"/>
    </w:rPr>
  </w:style>
  <w:style w:type="paragraph" w:customStyle="1" w:styleId="nt">
    <w:name w:val="nt"/>
    <w:basedOn w:val="Normal"/>
    <w:rsid w:val="00A42EBB"/>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rg">
    <w:name w:val="rg"/>
    <w:basedOn w:val="Normal"/>
    <w:rsid w:val="00A42EBB"/>
    <w:pPr>
      <w:spacing w:after="0" w:line="240" w:lineRule="auto"/>
      <w:jc w:val="right"/>
    </w:pPr>
    <w:rPr>
      <w:rFonts w:ascii="Times New Roman" w:eastAsia="Times New Roman" w:hAnsi="Times New Roman" w:cs="Times New Roman"/>
      <w:sz w:val="24"/>
      <w:szCs w:val="24"/>
    </w:rPr>
  </w:style>
  <w:style w:type="paragraph" w:customStyle="1" w:styleId="cb">
    <w:name w:val="cb"/>
    <w:basedOn w:val="Normal"/>
    <w:rsid w:val="00A42EBB"/>
    <w:pPr>
      <w:spacing w:after="0" w:line="240" w:lineRule="auto"/>
      <w:jc w:val="center"/>
    </w:pPr>
    <w:rPr>
      <w:rFonts w:ascii="Times New Roman" w:eastAsia="Times New Roman" w:hAnsi="Times New Roman" w:cs="Times New Roman"/>
      <w:b/>
      <w:bCs/>
      <w:sz w:val="24"/>
      <w:szCs w:val="24"/>
    </w:rPr>
  </w:style>
  <w:style w:type="paragraph" w:customStyle="1" w:styleId="md">
    <w:name w:val="md"/>
    <w:basedOn w:val="Normal"/>
    <w:rsid w:val="00A42EBB"/>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cu">
    <w:name w:val="cu"/>
    <w:basedOn w:val="Normal"/>
    <w:rsid w:val="00A42EBB"/>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A42EBB"/>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A42EBB"/>
    <w:pPr>
      <w:spacing w:after="0" w:line="240" w:lineRule="auto"/>
      <w:jc w:val="center"/>
    </w:pPr>
    <w:rPr>
      <w:rFonts w:ascii="Times New Roman" w:eastAsia="Times New Roman" w:hAnsi="Times New Roman" w:cs="Times New Roman"/>
      <w:b/>
      <w:bCs/>
      <w:sz w:val="24"/>
      <w:szCs w:val="24"/>
    </w:rPr>
  </w:style>
  <w:style w:type="paragraph" w:customStyle="1" w:styleId="js">
    <w:name w:val="js"/>
    <w:basedOn w:val="Normal"/>
    <w:rsid w:val="00A42EBB"/>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A42EBB"/>
    <w:pPr>
      <w:spacing w:after="0" w:line="240" w:lineRule="auto"/>
    </w:pPr>
    <w:rPr>
      <w:rFonts w:ascii="Times New Roman" w:eastAsia="Times New Roman" w:hAnsi="Times New Roman" w:cs="Times New Roman"/>
      <w:sz w:val="24"/>
      <w:szCs w:val="24"/>
    </w:rPr>
  </w:style>
  <w:style w:type="paragraph" w:customStyle="1" w:styleId="forma">
    <w:name w:val="forma"/>
    <w:basedOn w:val="Normal"/>
    <w:rsid w:val="00A42EBB"/>
    <w:pPr>
      <w:spacing w:after="0" w:line="240" w:lineRule="auto"/>
      <w:ind w:firstLine="567"/>
      <w:jc w:val="both"/>
    </w:pPr>
    <w:rPr>
      <w:rFonts w:ascii="Arial" w:eastAsia="Times New Roman" w:hAnsi="Arial" w:cs="Arial"/>
      <w:sz w:val="20"/>
      <w:szCs w:val="20"/>
    </w:rPr>
  </w:style>
  <w:style w:type="paragraph" w:customStyle="1" w:styleId="sm">
    <w:name w:val="sm"/>
    <w:basedOn w:val="Normal"/>
    <w:rsid w:val="00A42EBB"/>
    <w:pPr>
      <w:spacing w:before="240" w:after="0" w:line="240" w:lineRule="auto"/>
      <w:ind w:left="567" w:firstLine="567"/>
    </w:pPr>
    <w:rPr>
      <w:rFonts w:ascii="Times New Roman" w:eastAsia="Times New Roman" w:hAnsi="Times New Roman" w:cs="Times New Roman"/>
      <w:b/>
      <w:bCs/>
      <w:sz w:val="24"/>
      <w:szCs w:val="24"/>
    </w:rPr>
  </w:style>
  <w:style w:type="paragraph" w:customStyle="1" w:styleId="smfunctia">
    <w:name w:val="sm_functia"/>
    <w:basedOn w:val="Normal"/>
    <w:rsid w:val="00A42EBB"/>
    <w:pPr>
      <w:spacing w:after="0" w:line="240" w:lineRule="auto"/>
      <w:ind w:firstLine="567"/>
      <w:jc w:val="both"/>
    </w:pPr>
    <w:rPr>
      <w:rFonts w:ascii="Times New Roman" w:eastAsia="Times New Roman" w:hAnsi="Times New Roman" w:cs="Times New Roman"/>
      <w:sz w:val="24"/>
      <w:szCs w:val="24"/>
    </w:rPr>
  </w:style>
  <w:style w:type="paragraph" w:customStyle="1" w:styleId="smdata">
    <w:name w:val="sm_data"/>
    <w:basedOn w:val="Normal"/>
    <w:rsid w:val="00A42EBB"/>
    <w:pPr>
      <w:spacing w:after="0" w:line="240" w:lineRule="auto"/>
      <w:ind w:firstLine="567"/>
      <w:jc w:val="both"/>
    </w:pPr>
    <w:rPr>
      <w:rFonts w:ascii="Times New Roman" w:eastAsia="Times New Roman" w:hAnsi="Times New Roman" w:cs="Times New Roman"/>
      <w:sz w:val="24"/>
      <w:szCs w:val="24"/>
    </w:rPr>
  </w:style>
  <w:style w:type="character" w:customStyle="1" w:styleId="ListParagraphChar">
    <w:name w:val="List Paragraph Char"/>
    <w:aliases w:val="Scriptoria bullet points Char,List Paragraph 1 Char,Bullets Char,List Paragraph (numbered (a)) Char,Numbered Paragraph Char,Main numbered paragraph Char,Akapit z listą BS Char,Lettre d'introduction Char,List Paragraph11 Char"/>
    <w:link w:val="ListParagraph"/>
    <w:uiPriority w:val="34"/>
    <w:locked/>
    <w:rsid w:val="00A42EBB"/>
  </w:style>
  <w:style w:type="paragraph" w:styleId="Revision">
    <w:name w:val="Revision"/>
    <w:hidden/>
    <w:uiPriority w:val="99"/>
    <w:semiHidden/>
    <w:rsid w:val="00A42EBB"/>
    <w:pPr>
      <w:spacing w:after="0" w:line="240" w:lineRule="auto"/>
    </w:pPr>
    <w:rPr>
      <w:rFonts w:ascii="Times New Roman" w:eastAsia="Times New Roman" w:hAnsi="Times New Roman" w:cs="Times New Roman"/>
      <w:sz w:val="24"/>
      <w:szCs w:val="24"/>
      <w:lang w:val="ru-RU" w:eastAsia="ru-RU"/>
    </w:rPr>
  </w:style>
  <w:style w:type="table" w:customStyle="1" w:styleId="TableGridLight1">
    <w:name w:val="Table Grid Light1"/>
    <w:basedOn w:val="TableNormal"/>
    <w:uiPriority w:val="40"/>
    <w:rsid w:val="006A0D8E"/>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55E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EBD"/>
    <w:rPr>
      <w:sz w:val="20"/>
      <w:szCs w:val="20"/>
    </w:rPr>
  </w:style>
  <w:style w:type="character" w:styleId="FootnoteReference">
    <w:name w:val="footnote reference"/>
    <w:basedOn w:val="DefaultParagraphFont"/>
    <w:uiPriority w:val="99"/>
    <w:semiHidden/>
    <w:unhideWhenUsed/>
    <w:rsid w:val="00655EBD"/>
    <w:rPr>
      <w:vertAlign w:val="superscript"/>
    </w:rPr>
  </w:style>
  <w:style w:type="character" w:styleId="UnresolvedMention">
    <w:name w:val="Unresolved Mention"/>
    <w:basedOn w:val="DefaultParagraphFont"/>
    <w:uiPriority w:val="99"/>
    <w:semiHidden/>
    <w:unhideWhenUsed/>
    <w:rsid w:val="00655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939066">
      <w:bodyDiv w:val="1"/>
      <w:marLeft w:val="0"/>
      <w:marRight w:val="0"/>
      <w:marTop w:val="0"/>
      <w:marBottom w:val="0"/>
      <w:divBdr>
        <w:top w:val="none" w:sz="0" w:space="0" w:color="auto"/>
        <w:left w:val="none" w:sz="0" w:space="0" w:color="auto"/>
        <w:bottom w:val="none" w:sz="0" w:space="0" w:color="auto"/>
        <w:right w:val="none" w:sz="0" w:space="0" w:color="auto"/>
      </w:divBdr>
    </w:div>
    <w:div w:id="905184373">
      <w:bodyDiv w:val="1"/>
      <w:marLeft w:val="0"/>
      <w:marRight w:val="0"/>
      <w:marTop w:val="0"/>
      <w:marBottom w:val="0"/>
      <w:divBdr>
        <w:top w:val="none" w:sz="0" w:space="0" w:color="auto"/>
        <w:left w:val="none" w:sz="0" w:space="0" w:color="auto"/>
        <w:bottom w:val="none" w:sz="0" w:space="0" w:color="auto"/>
        <w:right w:val="none" w:sz="0" w:space="0" w:color="auto"/>
      </w:divBdr>
    </w:div>
    <w:div w:id="1139301195">
      <w:bodyDiv w:val="1"/>
      <w:marLeft w:val="0"/>
      <w:marRight w:val="0"/>
      <w:marTop w:val="0"/>
      <w:marBottom w:val="0"/>
      <w:divBdr>
        <w:top w:val="none" w:sz="0" w:space="0" w:color="auto"/>
        <w:left w:val="none" w:sz="0" w:space="0" w:color="auto"/>
        <w:bottom w:val="none" w:sz="0" w:space="0" w:color="auto"/>
        <w:right w:val="none" w:sz="0" w:space="0" w:color="auto"/>
      </w:divBdr>
    </w:div>
    <w:div w:id="1239173757">
      <w:bodyDiv w:val="1"/>
      <w:marLeft w:val="0"/>
      <w:marRight w:val="0"/>
      <w:marTop w:val="0"/>
      <w:marBottom w:val="0"/>
      <w:divBdr>
        <w:top w:val="none" w:sz="0" w:space="0" w:color="auto"/>
        <w:left w:val="none" w:sz="0" w:space="0" w:color="auto"/>
        <w:bottom w:val="none" w:sz="0" w:space="0" w:color="auto"/>
        <w:right w:val="none" w:sz="0" w:space="0" w:color="auto"/>
      </w:divBdr>
    </w:div>
    <w:div w:id="1247567307">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319458148">
      <w:bodyDiv w:val="1"/>
      <w:marLeft w:val="0"/>
      <w:marRight w:val="0"/>
      <w:marTop w:val="0"/>
      <w:marBottom w:val="0"/>
      <w:divBdr>
        <w:top w:val="none" w:sz="0" w:space="0" w:color="auto"/>
        <w:left w:val="none" w:sz="0" w:space="0" w:color="auto"/>
        <w:bottom w:val="none" w:sz="0" w:space="0" w:color="auto"/>
        <w:right w:val="none" w:sz="0" w:space="0" w:color="auto"/>
      </w:divBdr>
    </w:div>
    <w:div w:id="1549343579">
      <w:bodyDiv w:val="1"/>
      <w:marLeft w:val="0"/>
      <w:marRight w:val="0"/>
      <w:marTop w:val="0"/>
      <w:marBottom w:val="0"/>
      <w:divBdr>
        <w:top w:val="none" w:sz="0" w:space="0" w:color="auto"/>
        <w:left w:val="none" w:sz="0" w:space="0" w:color="auto"/>
        <w:bottom w:val="none" w:sz="0" w:space="0" w:color="auto"/>
        <w:right w:val="none" w:sz="0" w:space="0" w:color="auto"/>
      </w:divBdr>
    </w:div>
    <w:div w:id="1583761642">
      <w:bodyDiv w:val="1"/>
      <w:marLeft w:val="0"/>
      <w:marRight w:val="0"/>
      <w:marTop w:val="0"/>
      <w:marBottom w:val="0"/>
      <w:divBdr>
        <w:top w:val="none" w:sz="0" w:space="0" w:color="auto"/>
        <w:left w:val="none" w:sz="0" w:space="0" w:color="auto"/>
        <w:bottom w:val="none" w:sz="0" w:space="0" w:color="auto"/>
        <w:right w:val="none" w:sz="0" w:space="0" w:color="auto"/>
      </w:divBdr>
    </w:div>
    <w:div w:id="1826627593">
      <w:bodyDiv w:val="1"/>
      <w:marLeft w:val="0"/>
      <w:marRight w:val="0"/>
      <w:marTop w:val="0"/>
      <w:marBottom w:val="0"/>
      <w:divBdr>
        <w:top w:val="none" w:sz="0" w:space="0" w:color="auto"/>
        <w:left w:val="none" w:sz="0" w:space="0" w:color="auto"/>
        <w:bottom w:val="none" w:sz="0" w:space="0" w:color="auto"/>
        <w:right w:val="none" w:sz="0" w:space="0" w:color="auto"/>
      </w:divBdr>
    </w:div>
    <w:div w:id="1833176901">
      <w:bodyDiv w:val="1"/>
      <w:marLeft w:val="0"/>
      <w:marRight w:val="0"/>
      <w:marTop w:val="0"/>
      <w:marBottom w:val="0"/>
      <w:divBdr>
        <w:top w:val="none" w:sz="0" w:space="0" w:color="auto"/>
        <w:left w:val="none" w:sz="0" w:space="0" w:color="auto"/>
        <w:bottom w:val="none" w:sz="0" w:space="0" w:color="auto"/>
        <w:right w:val="none" w:sz="0" w:space="0" w:color="auto"/>
      </w:divBdr>
    </w:div>
    <w:div w:id="1877038316">
      <w:bodyDiv w:val="1"/>
      <w:marLeft w:val="0"/>
      <w:marRight w:val="0"/>
      <w:marTop w:val="0"/>
      <w:marBottom w:val="0"/>
      <w:divBdr>
        <w:top w:val="none" w:sz="0" w:space="0" w:color="auto"/>
        <w:left w:val="none" w:sz="0" w:space="0" w:color="auto"/>
        <w:bottom w:val="none" w:sz="0" w:space="0" w:color="auto"/>
        <w:right w:val="none" w:sz="0" w:space="0" w:color="auto"/>
      </w:divBdr>
    </w:div>
    <w:div w:id="1919561295">
      <w:bodyDiv w:val="1"/>
      <w:marLeft w:val="0"/>
      <w:marRight w:val="0"/>
      <w:marTop w:val="0"/>
      <w:marBottom w:val="0"/>
      <w:divBdr>
        <w:top w:val="none" w:sz="0" w:space="0" w:color="auto"/>
        <w:left w:val="none" w:sz="0" w:space="0" w:color="auto"/>
        <w:bottom w:val="none" w:sz="0" w:space="0" w:color="auto"/>
        <w:right w:val="none" w:sz="0" w:space="0" w:color="auto"/>
      </w:divBdr>
    </w:div>
    <w:div w:id="207330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agsi.gi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si.gie.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ea.blob.core.windows.net/assets/227fc286-a3a7-41ef-9843-1352a1b0c979/Naturalgassupply-demandbalanceoftheEuropeanUnionin2023.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ina\HG%20Plan%20de%20actiuni\sezonul%20rece%202023-2024\1.%20Evolutia%20consumului%20GN%20si%20E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ina\HG%20Plan%20de%20actiuni\sezonul%20rece%202023-2024\1.%20Evolutia%20consumului%20GN%20si%20E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ina\HG%20Plan%20de%20actiuni\sezonul%20rece%202023-2024\tabel%20stocuri%20modifica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ina\HG%20Plan%20de%20actiuni\sezonul%20rece%202023-2024\tabel%20stocuri%20modifica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Consumul lunar de gaze naturale </a:t>
            </a:r>
          </a:p>
          <a:p>
            <a:pPr>
              <a:defRPr b="1">
                <a:latin typeface="Times New Roman" panose="02020603050405020304" pitchFamily="18" charset="0"/>
                <a:cs typeface="Times New Roman" panose="02020603050405020304" pitchFamily="18" charset="0"/>
              </a:defRPr>
            </a:pPr>
            <a:r>
              <a:rPr lang="ro-MD" b="1">
                <a:latin typeface="Times New Roman" panose="02020603050405020304" pitchFamily="18" charset="0"/>
                <a:cs typeface="Times New Roman" panose="02020603050405020304" pitchFamily="18" charset="0"/>
              </a:rPr>
              <a:t>î</a:t>
            </a:r>
            <a:r>
              <a:rPr lang="en-US" b="1">
                <a:latin typeface="Times New Roman" panose="02020603050405020304" pitchFamily="18" charset="0"/>
                <a:cs typeface="Times New Roman" panose="02020603050405020304" pitchFamily="18" charset="0"/>
              </a:rPr>
              <a:t>n perioada octombrie-martie, mil. m</a:t>
            </a:r>
            <a:r>
              <a:rPr lang="en-US" b="1" baseline="30000">
                <a:latin typeface="Times New Roman" panose="02020603050405020304" pitchFamily="18" charset="0"/>
                <a:cs typeface="Times New Roman" panose="02020603050405020304" pitchFamily="18" charset="0"/>
              </a:rPr>
              <a:t>3</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Sheet3!$A$2</c:f>
              <c:strCache>
                <c:ptCount val="1"/>
                <c:pt idx="0">
                  <c:v>2019-2020</c:v>
                </c:pt>
              </c:strCache>
            </c:strRef>
          </c:tx>
          <c:spPr>
            <a:solidFill>
              <a:schemeClr val="accent1"/>
            </a:solidFill>
            <a:ln>
              <a:noFill/>
            </a:ln>
            <a:effectLst/>
          </c:spPr>
          <c:invertIfNegative val="0"/>
          <c:cat>
            <c:strRef>
              <c:f>Sheet3!$B$1:$G$1</c:f>
              <c:strCache>
                <c:ptCount val="6"/>
                <c:pt idx="0">
                  <c:v>octombrie</c:v>
                </c:pt>
                <c:pt idx="1">
                  <c:v>noiembrie</c:v>
                </c:pt>
                <c:pt idx="2">
                  <c:v>decembrie</c:v>
                </c:pt>
                <c:pt idx="3">
                  <c:v>ianuarie</c:v>
                </c:pt>
                <c:pt idx="4">
                  <c:v>februarie</c:v>
                </c:pt>
                <c:pt idx="5">
                  <c:v>martie</c:v>
                </c:pt>
              </c:strCache>
            </c:strRef>
          </c:cat>
          <c:val>
            <c:numRef>
              <c:f>Sheet3!$B$2:$G$2</c:f>
              <c:numCache>
                <c:formatCode>#,##0.0</c:formatCode>
                <c:ptCount val="6"/>
                <c:pt idx="0">
                  <c:v>65.911000000000001</c:v>
                </c:pt>
                <c:pt idx="1">
                  <c:v>121.386</c:v>
                </c:pt>
                <c:pt idx="2">
                  <c:v>166.46100000000001</c:v>
                </c:pt>
                <c:pt idx="3">
                  <c:v>178.15100000000001</c:v>
                </c:pt>
                <c:pt idx="4">
                  <c:v>146.989</c:v>
                </c:pt>
                <c:pt idx="5">
                  <c:v>113.66500000000001</c:v>
                </c:pt>
              </c:numCache>
            </c:numRef>
          </c:val>
          <c:extLst>
            <c:ext xmlns:c16="http://schemas.microsoft.com/office/drawing/2014/chart" uri="{C3380CC4-5D6E-409C-BE32-E72D297353CC}">
              <c16:uniqueId val="{00000000-855F-4A02-A5F9-96CF8BD8B638}"/>
            </c:ext>
          </c:extLst>
        </c:ser>
        <c:ser>
          <c:idx val="1"/>
          <c:order val="1"/>
          <c:tx>
            <c:strRef>
              <c:f>Sheet3!$A$3</c:f>
              <c:strCache>
                <c:ptCount val="1"/>
                <c:pt idx="0">
                  <c:v>2020-2021</c:v>
                </c:pt>
              </c:strCache>
            </c:strRef>
          </c:tx>
          <c:spPr>
            <a:solidFill>
              <a:schemeClr val="accent2"/>
            </a:solidFill>
            <a:ln>
              <a:noFill/>
            </a:ln>
            <a:effectLst/>
          </c:spPr>
          <c:invertIfNegative val="0"/>
          <c:cat>
            <c:strRef>
              <c:f>Sheet3!$B$1:$G$1</c:f>
              <c:strCache>
                <c:ptCount val="6"/>
                <c:pt idx="0">
                  <c:v>octombrie</c:v>
                </c:pt>
                <c:pt idx="1">
                  <c:v>noiembrie</c:v>
                </c:pt>
                <c:pt idx="2">
                  <c:v>decembrie</c:v>
                </c:pt>
                <c:pt idx="3">
                  <c:v>ianuarie</c:v>
                </c:pt>
                <c:pt idx="4">
                  <c:v>februarie</c:v>
                </c:pt>
                <c:pt idx="5">
                  <c:v>martie</c:v>
                </c:pt>
              </c:strCache>
            </c:strRef>
          </c:cat>
          <c:val>
            <c:numRef>
              <c:f>Sheet3!$B$3:$G$3</c:f>
              <c:numCache>
                <c:formatCode>#,##0.0</c:formatCode>
                <c:ptCount val="6"/>
                <c:pt idx="0">
                  <c:v>47.033999999999999</c:v>
                </c:pt>
                <c:pt idx="1">
                  <c:v>136.85400000000001</c:v>
                </c:pt>
                <c:pt idx="2">
                  <c:v>179.61</c:v>
                </c:pt>
                <c:pt idx="3">
                  <c:v>186.994</c:v>
                </c:pt>
                <c:pt idx="4">
                  <c:v>182.10300000000001</c:v>
                </c:pt>
                <c:pt idx="5">
                  <c:v>159.63499999999999</c:v>
                </c:pt>
              </c:numCache>
            </c:numRef>
          </c:val>
          <c:extLst>
            <c:ext xmlns:c16="http://schemas.microsoft.com/office/drawing/2014/chart" uri="{C3380CC4-5D6E-409C-BE32-E72D297353CC}">
              <c16:uniqueId val="{00000001-855F-4A02-A5F9-96CF8BD8B638}"/>
            </c:ext>
          </c:extLst>
        </c:ser>
        <c:ser>
          <c:idx val="2"/>
          <c:order val="2"/>
          <c:tx>
            <c:strRef>
              <c:f>Sheet3!$A$4</c:f>
              <c:strCache>
                <c:ptCount val="1"/>
                <c:pt idx="0">
                  <c:v>2021-2022</c:v>
                </c:pt>
              </c:strCache>
            </c:strRef>
          </c:tx>
          <c:spPr>
            <a:solidFill>
              <a:schemeClr val="accent3"/>
            </a:solidFill>
            <a:ln>
              <a:noFill/>
            </a:ln>
            <a:effectLst/>
          </c:spPr>
          <c:invertIfNegative val="0"/>
          <c:cat>
            <c:strRef>
              <c:f>Sheet3!$B$1:$G$1</c:f>
              <c:strCache>
                <c:ptCount val="6"/>
                <c:pt idx="0">
                  <c:v>octombrie</c:v>
                </c:pt>
                <c:pt idx="1">
                  <c:v>noiembrie</c:v>
                </c:pt>
                <c:pt idx="2">
                  <c:v>decembrie</c:v>
                </c:pt>
                <c:pt idx="3">
                  <c:v>ianuarie</c:v>
                </c:pt>
                <c:pt idx="4">
                  <c:v>februarie</c:v>
                </c:pt>
                <c:pt idx="5">
                  <c:v>martie</c:v>
                </c:pt>
              </c:strCache>
            </c:strRef>
          </c:cat>
          <c:val>
            <c:numRef>
              <c:f>Sheet3!$B$4:$G$4</c:f>
              <c:numCache>
                <c:formatCode>#,##0.0</c:formatCode>
                <c:ptCount val="6"/>
                <c:pt idx="0">
                  <c:v>78.676000000000002</c:v>
                </c:pt>
                <c:pt idx="1">
                  <c:v>138.066</c:v>
                </c:pt>
                <c:pt idx="2">
                  <c:v>182.11099999999999</c:v>
                </c:pt>
                <c:pt idx="3">
                  <c:v>191.20099999999999</c:v>
                </c:pt>
                <c:pt idx="4">
                  <c:v>139.697</c:v>
                </c:pt>
                <c:pt idx="5">
                  <c:v>151.863</c:v>
                </c:pt>
              </c:numCache>
            </c:numRef>
          </c:val>
          <c:extLst>
            <c:ext xmlns:c16="http://schemas.microsoft.com/office/drawing/2014/chart" uri="{C3380CC4-5D6E-409C-BE32-E72D297353CC}">
              <c16:uniqueId val="{00000002-855F-4A02-A5F9-96CF8BD8B638}"/>
            </c:ext>
          </c:extLst>
        </c:ser>
        <c:ser>
          <c:idx val="3"/>
          <c:order val="3"/>
          <c:tx>
            <c:strRef>
              <c:f>Sheet3!$A$5</c:f>
              <c:strCache>
                <c:ptCount val="1"/>
                <c:pt idx="0">
                  <c:v>2022-2023</c:v>
                </c:pt>
              </c:strCache>
            </c:strRef>
          </c:tx>
          <c:spPr>
            <a:solidFill>
              <a:schemeClr val="accent4"/>
            </a:solidFill>
            <a:ln>
              <a:noFill/>
            </a:ln>
            <a:effectLst/>
          </c:spPr>
          <c:invertIfNegative val="0"/>
          <c:cat>
            <c:strRef>
              <c:f>Sheet3!$B$1:$G$1</c:f>
              <c:strCache>
                <c:ptCount val="6"/>
                <c:pt idx="0">
                  <c:v>octombrie</c:v>
                </c:pt>
                <c:pt idx="1">
                  <c:v>noiembrie</c:v>
                </c:pt>
                <c:pt idx="2">
                  <c:v>decembrie</c:v>
                </c:pt>
                <c:pt idx="3">
                  <c:v>ianuarie</c:v>
                </c:pt>
                <c:pt idx="4">
                  <c:v>februarie</c:v>
                </c:pt>
                <c:pt idx="5">
                  <c:v>martie</c:v>
                </c:pt>
              </c:strCache>
            </c:strRef>
          </c:cat>
          <c:val>
            <c:numRef>
              <c:f>Sheet3!$B$5:$G$5</c:f>
              <c:numCache>
                <c:formatCode>#,##0.0</c:formatCode>
                <c:ptCount val="6"/>
                <c:pt idx="0">
                  <c:v>32.637</c:v>
                </c:pt>
                <c:pt idx="1">
                  <c:v>67.194999999999993</c:v>
                </c:pt>
                <c:pt idx="2">
                  <c:v>108.16500000000001</c:v>
                </c:pt>
                <c:pt idx="3">
                  <c:v>99.799000000000007</c:v>
                </c:pt>
                <c:pt idx="4">
                  <c:v>96.025000000000006</c:v>
                </c:pt>
                <c:pt idx="5">
                  <c:v>66.221999999999994</c:v>
                </c:pt>
              </c:numCache>
            </c:numRef>
          </c:val>
          <c:extLst>
            <c:ext xmlns:c16="http://schemas.microsoft.com/office/drawing/2014/chart" uri="{C3380CC4-5D6E-409C-BE32-E72D297353CC}">
              <c16:uniqueId val="{00000003-855F-4A02-A5F9-96CF8BD8B638}"/>
            </c:ext>
          </c:extLst>
        </c:ser>
        <c:dLbls>
          <c:showLegendKey val="0"/>
          <c:showVal val="0"/>
          <c:showCatName val="0"/>
          <c:showSerName val="0"/>
          <c:showPercent val="0"/>
          <c:showBubbleSize val="0"/>
        </c:dLbls>
        <c:gapWidth val="219"/>
        <c:overlap val="-27"/>
        <c:axId val="369210264"/>
        <c:axId val="369211048"/>
        <c:extLst>
          <c:ext xmlns:c15="http://schemas.microsoft.com/office/drawing/2012/chart" uri="{02D57815-91ED-43cb-92C2-25804820EDAC}">
            <c15:filteredBarSeries>
              <c15:ser>
                <c:idx val="4"/>
                <c:order val="4"/>
                <c:tx>
                  <c:strRef>
                    <c:extLst>
                      <c:ext uri="{02D57815-91ED-43cb-92C2-25804820EDAC}">
                        <c15:formulaRef>
                          <c15:sqref>Sheet3!$A$6</c15:sqref>
                        </c15:formulaRef>
                      </c:ext>
                    </c:extLst>
                    <c:strCache>
                      <c:ptCount val="1"/>
                      <c:pt idx="0">
                        <c:v>2023-2024</c:v>
                      </c:pt>
                    </c:strCache>
                  </c:strRef>
                </c:tx>
                <c:spPr>
                  <a:pattFill prst="wdDnDiag">
                    <a:fgClr>
                      <a:schemeClr val="accent1"/>
                    </a:fgClr>
                    <a:bgClr>
                      <a:schemeClr val="bg1"/>
                    </a:bgClr>
                  </a:pattFill>
                  <a:ln>
                    <a:noFill/>
                  </a:ln>
                  <a:effectLst/>
                </c:spPr>
                <c:invertIfNegative val="0"/>
                <c:cat>
                  <c:strRef>
                    <c:extLst>
                      <c:ext uri="{02D57815-91ED-43cb-92C2-25804820EDAC}">
                        <c15:formulaRef>
                          <c15:sqref>Sheet3!$B$1:$G$1</c15:sqref>
                        </c15:formulaRef>
                      </c:ext>
                    </c:extLst>
                    <c:strCache>
                      <c:ptCount val="6"/>
                      <c:pt idx="0">
                        <c:v>octombrie</c:v>
                      </c:pt>
                      <c:pt idx="1">
                        <c:v>noiembrie</c:v>
                      </c:pt>
                      <c:pt idx="2">
                        <c:v>decembrie</c:v>
                      </c:pt>
                      <c:pt idx="3">
                        <c:v>ianuarie</c:v>
                      </c:pt>
                      <c:pt idx="4">
                        <c:v>februarie</c:v>
                      </c:pt>
                      <c:pt idx="5">
                        <c:v>martie</c:v>
                      </c:pt>
                    </c:strCache>
                  </c:strRef>
                </c:cat>
                <c:val>
                  <c:numRef>
                    <c:extLst>
                      <c:ext uri="{02D57815-91ED-43cb-92C2-25804820EDAC}">
                        <c15:formulaRef>
                          <c15:sqref>Sheet3!$B$6:$G$6</c15:sqref>
                        </c15:formulaRef>
                      </c:ext>
                    </c:extLst>
                    <c:numCache>
                      <c:formatCode>#,##0.0</c:formatCode>
                      <c:ptCount val="6"/>
                      <c:pt idx="0">
                        <c:v>72.3</c:v>
                      </c:pt>
                      <c:pt idx="1">
                        <c:v>134.4</c:v>
                      </c:pt>
                      <c:pt idx="2">
                        <c:v>171.9</c:v>
                      </c:pt>
                      <c:pt idx="3">
                        <c:v>184</c:v>
                      </c:pt>
                      <c:pt idx="4">
                        <c:v>152.30000000000001</c:v>
                      </c:pt>
                      <c:pt idx="5">
                        <c:v>141</c:v>
                      </c:pt>
                    </c:numCache>
                  </c:numRef>
                </c:val>
                <c:extLst>
                  <c:ext xmlns:c16="http://schemas.microsoft.com/office/drawing/2014/chart" uri="{C3380CC4-5D6E-409C-BE32-E72D297353CC}">
                    <c16:uniqueId val="{00000004-855F-4A02-A5F9-96CF8BD8B638}"/>
                  </c:ext>
                </c:extLst>
              </c15:ser>
            </c15:filteredBarSeries>
          </c:ext>
        </c:extLst>
      </c:barChart>
      <c:catAx>
        <c:axId val="369210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9211048"/>
        <c:crosses val="autoZero"/>
        <c:auto val="1"/>
        <c:lblAlgn val="ctr"/>
        <c:lblOffset val="100"/>
        <c:noMultiLvlLbl val="0"/>
      </c:catAx>
      <c:valAx>
        <c:axId val="3692110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9210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MD" sz="1400" b="1" i="0" baseline="0">
                <a:solidFill>
                  <a:sysClr val="windowText" lastClr="000000"/>
                </a:solidFill>
                <a:effectLst/>
                <a:latin typeface="Times New Roman" panose="02020603050405020304" pitchFamily="18" charset="0"/>
                <a:cs typeface="Times New Roman" panose="02020603050405020304" pitchFamily="18" charset="0"/>
              </a:rPr>
              <a:t>Consum lunar de energie electrică </a:t>
            </a:r>
            <a:endParaRPr lang="en-US" sz="1400">
              <a:solidFill>
                <a:sysClr val="windowText" lastClr="000000"/>
              </a:solidFill>
              <a:effectLst/>
              <a:latin typeface="Times New Roman" panose="02020603050405020304" pitchFamily="18" charset="0"/>
              <a:cs typeface="Times New Roman" panose="02020603050405020304" pitchFamily="18" charset="0"/>
            </a:endParaRPr>
          </a:p>
          <a:p>
            <a:pPr>
              <a:defRPr/>
            </a:pPr>
            <a:r>
              <a:rPr lang="ro-MD" sz="1400" b="1" i="0" baseline="0">
                <a:solidFill>
                  <a:sysClr val="windowText" lastClr="000000"/>
                </a:solidFill>
                <a:effectLst/>
                <a:latin typeface="Times New Roman" panose="02020603050405020304" pitchFamily="18" charset="0"/>
                <a:cs typeface="Times New Roman" panose="02020603050405020304" pitchFamily="18" charset="0"/>
              </a:rPr>
              <a:t>în perioada octombrie-martie, mil. kWh</a:t>
            </a:r>
            <a:endParaRPr lang="en-US"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Sheet2!$A$2</c:f>
              <c:strCache>
                <c:ptCount val="1"/>
                <c:pt idx="0">
                  <c:v>2019-2020</c:v>
                </c:pt>
              </c:strCache>
            </c:strRef>
          </c:tx>
          <c:spPr>
            <a:solidFill>
              <a:schemeClr val="accent1"/>
            </a:solidFill>
            <a:ln>
              <a:noFill/>
            </a:ln>
            <a:effectLst/>
          </c:spPr>
          <c:invertIfNegative val="0"/>
          <c:cat>
            <c:strRef>
              <c:f>Sheet2!$B$1:$G$1</c:f>
              <c:strCache>
                <c:ptCount val="6"/>
                <c:pt idx="0">
                  <c:v>octombrie</c:v>
                </c:pt>
                <c:pt idx="1">
                  <c:v>noiembrie</c:v>
                </c:pt>
                <c:pt idx="2">
                  <c:v>decembrie</c:v>
                </c:pt>
                <c:pt idx="3">
                  <c:v>ianuarie</c:v>
                </c:pt>
                <c:pt idx="4">
                  <c:v>februarie</c:v>
                </c:pt>
                <c:pt idx="5">
                  <c:v>martie</c:v>
                </c:pt>
              </c:strCache>
            </c:strRef>
          </c:cat>
          <c:val>
            <c:numRef>
              <c:f>Sheet2!$B$2:$G$2</c:f>
              <c:numCache>
                <c:formatCode>#,##0.0</c:formatCode>
                <c:ptCount val="6"/>
                <c:pt idx="0">
                  <c:v>279.642</c:v>
                </c:pt>
                <c:pt idx="1">
                  <c:v>290.03199999999998</c:v>
                </c:pt>
                <c:pt idx="2">
                  <c:v>305.83699999999999</c:v>
                </c:pt>
                <c:pt idx="3">
                  <c:v>356.57900000000001</c:v>
                </c:pt>
                <c:pt idx="4">
                  <c:v>313.04199999999997</c:v>
                </c:pt>
                <c:pt idx="5">
                  <c:v>294.827</c:v>
                </c:pt>
              </c:numCache>
            </c:numRef>
          </c:val>
          <c:extLst>
            <c:ext xmlns:c16="http://schemas.microsoft.com/office/drawing/2014/chart" uri="{C3380CC4-5D6E-409C-BE32-E72D297353CC}">
              <c16:uniqueId val="{00000000-F1F5-4824-AE0E-DAF615F85A2D}"/>
            </c:ext>
          </c:extLst>
        </c:ser>
        <c:ser>
          <c:idx val="1"/>
          <c:order val="1"/>
          <c:tx>
            <c:strRef>
              <c:f>Sheet2!$A$3</c:f>
              <c:strCache>
                <c:ptCount val="1"/>
                <c:pt idx="0">
                  <c:v>2020-2021</c:v>
                </c:pt>
              </c:strCache>
            </c:strRef>
          </c:tx>
          <c:spPr>
            <a:solidFill>
              <a:schemeClr val="accent2"/>
            </a:solidFill>
            <a:ln>
              <a:noFill/>
            </a:ln>
            <a:effectLst/>
          </c:spPr>
          <c:invertIfNegative val="0"/>
          <c:cat>
            <c:strRef>
              <c:f>Sheet2!$B$1:$G$1</c:f>
              <c:strCache>
                <c:ptCount val="6"/>
                <c:pt idx="0">
                  <c:v>octombrie</c:v>
                </c:pt>
                <c:pt idx="1">
                  <c:v>noiembrie</c:v>
                </c:pt>
                <c:pt idx="2">
                  <c:v>decembrie</c:v>
                </c:pt>
                <c:pt idx="3">
                  <c:v>ianuarie</c:v>
                </c:pt>
                <c:pt idx="4">
                  <c:v>februarie</c:v>
                </c:pt>
                <c:pt idx="5">
                  <c:v>martie</c:v>
                </c:pt>
              </c:strCache>
            </c:strRef>
          </c:cat>
          <c:val>
            <c:numRef>
              <c:f>Sheet2!$B$3:$G$3</c:f>
              <c:numCache>
                <c:formatCode>#,##0.0</c:formatCode>
                <c:ptCount val="6"/>
                <c:pt idx="0">
                  <c:v>283.108</c:v>
                </c:pt>
                <c:pt idx="1">
                  <c:v>303.59500000000003</c:v>
                </c:pt>
                <c:pt idx="2">
                  <c:v>316.15899999999999</c:v>
                </c:pt>
                <c:pt idx="3">
                  <c:v>347.98</c:v>
                </c:pt>
                <c:pt idx="4">
                  <c:v>314.86500000000001</c:v>
                </c:pt>
                <c:pt idx="5">
                  <c:v>325.762</c:v>
                </c:pt>
              </c:numCache>
            </c:numRef>
          </c:val>
          <c:extLst>
            <c:ext xmlns:c16="http://schemas.microsoft.com/office/drawing/2014/chart" uri="{C3380CC4-5D6E-409C-BE32-E72D297353CC}">
              <c16:uniqueId val="{00000001-F1F5-4824-AE0E-DAF615F85A2D}"/>
            </c:ext>
          </c:extLst>
        </c:ser>
        <c:ser>
          <c:idx val="2"/>
          <c:order val="2"/>
          <c:tx>
            <c:strRef>
              <c:f>Sheet2!$A$4</c:f>
              <c:strCache>
                <c:ptCount val="1"/>
                <c:pt idx="0">
                  <c:v>2021-2022</c:v>
                </c:pt>
              </c:strCache>
            </c:strRef>
          </c:tx>
          <c:spPr>
            <a:solidFill>
              <a:schemeClr val="accent3"/>
            </a:solidFill>
            <a:ln>
              <a:noFill/>
            </a:ln>
            <a:effectLst/>
          </c:spPr>
          <c:invertIfNegative val="0"/>
          <c:cat>
            <c:strRef>
              <c:f>Sheet2!$B$1:$G$1</c:f>
              <c:strCache>
                <c:ptCount val="6"/>
                <c:pt idx="0">
                  <c:v>octombrie</c:v>
                </c:pt>
                <c:pt idx="1">
                  <c:v>noiembrie</c:v>
                </c:pt>
                <c:pt idx="2">
                  <c:v>decembrie</c:v>
                </c:pt>
                <c:pt idx="3">
                  <c:v>ianuarie</c:v>
                </c:pt>
                <c:pt idx="4">
                  <c:v>februarie</c:v>
                </c:pt>
                <c:pt idx="5">
                  <c:v>martie</c:v>
                </c:pt>
              </c:strCache>
            </c:strRef>
          </c:cat>
          <c:val>
            <c:numRef>
              <c:f>Sheet2!$B$4:$G$4</c:f>
              <c:numCache>
                <c:formatCode>#,##0.0</c:formatCode>
                <c:ptCount val="6"/>
                <c:pt idx="0">
                  <c:v>326.95600000000002</c:v>
                </c:pt>
                <c:pt idx="1">
                  <c:v>335.68200000000002</c:v>
                </c:pt>
                <c:pt idx="2">
                  <c:v>357.76600000000002</c:v>
                </c:pt>
                <c:pt idx="3">
                  <c:v>401.30500000000001</c:v>
                </c:pt>
                <c:pt idx="4">
                  <c:v>366.71899999999999</c:v>
                </c:pt>
                <c:pt idx="5">
                  <c:v>382.64499999999998</c:v>
                </c:pt>
              </c:numCache>
            </c:numRef>
          </c:val>
          <c:extLst>
            <c:ext xmlns:c16="http://schemas.microsoft.com/office/drawing/2014/chart" uri="{C3380CC4-5D6E-409C-BE32-E72D297353CC}">
              <c16:uniqueId val="{00000002-F1F5-4824-AE0E-DAF615F85A2D}"/>
            </c:ext>
          </c:extLst>
        </c:ser>
        <c:ser>
          <c:idx val="3"/>
          <c:order val="3"/>
          <c:tx>
            <c:strRef>
              <c:f>Sheet2!$A$5</c:f>
              <c:strCache>
                <c:ptCount val="1"/>
                <c:pt idx="0">
                  <c:v>2022-2023</c:v>
                </c:pt>
              </c:strCache>
            </c:strRef>
          </c:tx>
          <c:spPr>
            <a:solidFill>
              <a:schemeClr val="accent4"/>
            </a:solidFill>
            <a:ln>
              <a:noFill/>
            </a:ln>
            <a:effectLst/>
          </c:spPr>
          <c:invertIfNegative val="0"/>
          <c:cat>
            <c:strRef>
              <c:f>Sheet2!$B$1:$G$1</c:f>
              <c:strCache>
                <c:ptCount val="6"/>
                <c:pt idx="0">
                  <c:v>octombrie</c:v>
                </c:pt>
                <c:pt idx="1">
                  <c:v>noiembrie</c:v>
                </c:pt>
                <c:pt idx="2">
                  <c:v>decembrie</c:v>
                </c:pt>
                <c:pt idx="3">
                  <c:v>ianuarie</c:v>
                </c:pt>
                <c:pt idx="4">
                  <c:v>februarie</c:v>
                </c:pt>
                <c:pt idx="5">
                  <c:v>martie</c:v>
                </c:pt>
              </c:strCache>
            </c:strRef>
          </c:cat>
          <c:val>
            <c:numRef>
              <c:f>Sheet2!$B$5:$G$5</c:f>
              <c:numCache>
                <c:formatCode>#,##0.0</c:formatCode>
                <c:ptCount val="6"/>
                <c:pt idx="0">
                  <c:v>306.54599999999999</c:v>
                </c:pt>
                <c:pt idx="1">
                  <c:v>316.44400000000002</c:v>
                </c:pt>
                <c:pt idx="2">
                  <c:v>322.34399999999999</c:v>
                </c:pt>
                <c:pt idx="3">
                  <c:v>353.43599999999998</c:v>
                </c:pt>
                <c:pt idx="4">
                  <c:v>325.06700000000001</c:v>
                </c:pt>
                <c:pt idx="5">
                  <c:v>333.36799999999999</c:v>
                </c:pt>
              </c:numCache>
            </c:numRef>
          </c:val>
          <c:extLst>
            <c:ext xmlns:c16="http://schemas.microsoft.com/office/drawing/2014/chart" uri="{C3380CC4-5D6E-409C-BE32-E72D297353CC}">
              <c16:uniqueId val="{00000003-F1F5-4824-AE0E-DAF615F85A2D}"/>
            </c:ext>
          </c:extLst>
        </c:ser>
        <c:dLbls>
          <c:showLegendKey val="0"/>
          <c:showVal val="0"/>
          <c:showCatName val="0"/>
          <c:showSerName val="0"/>
          <c:showPercent val="0"/>
          <c:showBubbleSize val="0"/>
        </c:dLbls>
        <c:gapWidth val="219"/>
        <c:overlap val="-27"/>
        <c:axId val="369213008"/>
        <c:axId val="369213792"/>
        <c:extLst>
          <c:ext xmlns:c15="http://schemas.microsoft.com/office/drawing/2012/chart" uri="{02D57815-91ED-43cb-92C2-25804820EDAC}">
            <c15:filteredBarSeries>
              <c15:ser>
                <c:idx val="4"/>
                <c:order val="4"/>
                <c:tx>
                  <c:strRef>
                    <c:extLst>
                      <c:ext uri="{02D57815-91ED-43cb-92C2-25804820EDAC}">
                        <c15:formulaRef>
                          <c15:sqref>Sheet2!$A$6</c15:sqref>
                        </c15:formulaRef>
                      </c:ext>
                    </c:extLst>
                    <c:strCache>
                      <c:ptCount val="1"/>
                      <c:pt idx="0">
                        <c:v>2023-2024</c:v>
                      </c:pt>
                    </c:strCache>
                  </c:strRef>
                </c:tx>
                <c:spPr>
                  <a:pattFill prst="wdDnDiag">
                    <a:fgClr>
                      <a:schemeClr val="accent1"/>
                    </a:fgClr>
                    <a:bgClr>
                      <a:schemeClr val="bg1"/>
                    </a:bgClr>
                  </a:pattFill>
                  <a:ln>
                    <a:noFill/>
                  </a:ln>
                  <a:effectLst/>
                </c:spPr>
                <c:invertIfNegative val="0"/>
                <c:cat>
                  <c:strRef>
                    <c:extLst>
                      <c:ext uri="{02D57815-91ED-43cb-92C2-25804820EDAC}">
                        <c15:formulaRef>
                          <c15:sqref>Sheet2!$B$1:$G$1</c15:sqref>
                        </c15:formulaRef>
                      </c:ext>
                    </c:extLst>
                    <c:strCache>
                      <c:ptCount val="6"/>
                      <c:pt idx="0">
                        <c:v>octombrie</c:v>
                      </c:pt>
                      <c:pt idx="1">
                        <c:v>noiembrie</c:v>
                      </c:pt>
                      <c:pt idx="2">
                        <c:v>decembrie</c:v>
                      </c:pt>
                      <c:pt idx="3">
                        <c:v>ianuarie</c:v>
                      </c:pt>
                      <c:pt idx="4">
                        <c:v>februarie</c:v>
                      </c:pt>
                      <c:pt idx="5">
                        <c:v>martie</c:v>
                      </c:pt>
                    </c:strCache>
                  </c:strRef>
                </c:cat>
                <c:val>
                  <c:numRef>
                    <c:extLst>
                      <c:ext uri="{02D57815-91ED-43cb-92C2-25804820EDAC}">
                        <c15:formulaRef>
                          <c15:sqref>Sheet2!$B$6:$G$6</c15:sqref>
                        </c15:formulaRef>
                      </c:ext>
                    </c:extLst>
                    <c:numCache>
                      <c:formatCode>0.0</c:formatCode>
                      <c:ptCount val="6"/>
                      <c:pt idx="0">
                        <c:v>367.00619800000004</c:v>
                      </c:pt>
                      <c:pt idx="1">
                        <c:v>403.19252600000004</c:v>
                      </c:pt>
                      <c:pt idx="2">
                        <c:v>441.84570100000019</c:v>
                      </c:pt>
                      <c:pt idx="3">
                        <c:v>406.31724099999997</c:v>
                      </c:pt>
                      <c:pt idx="4">
                        <c:v>384.56082600000002</c:v>
                      </c:pt>
                      <c:pt idx="5">
                        <c:v>395.01287599999984</c:v>
                      </c:pt>
                    </c:numCache>
                  </c:numRef>
                </c:val>
                <c:extLst>
                  <c:ext xmlns:c16="http://schemas.microsoft.com/office/drawing/2014/chart" uri="{C3380CC4-5D6E-409C-BE32-E72D297353CC}">
                    <c16:uniqueId val="{00000004-F1F5-4824-AE0E-DAF615F85A2D}"/>
                  </c:ext>
                </c:extLst>
              </c15:ser>
            </c15:filteredBarSeries>
          </c:ext>
        </c:extLst>
      </c:barChart>
      <c:catAx>
        <c:axId val="36921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213792"/>
        <c:crosses val="autoZero"/>
        <c:auto val="1"/>
        <c:lblAlgn val="ctr"/>
        <c:lblOffset val="100"/>
        <c:noMultiLvlLbl val="0"/>
      </c:catAx>
      <c:valAx>
        <c:axId val="3692137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92130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o-MD" sz="1400">
                <a:solidFill>
                  <a:sysClr val="windowText" lastClr="000000"/>
                </a:solidFill>
                <a:latin typeface="Times New Roman" panose="02020603050405020304" pitchFamily="18" charset="0"/>
                <a:cs typeface="Times New Roman" panose="02020603050405020304" pitchFamily="18" charset="0"/>
              </a:rPr>
              <a:t>Nivelul stocurilor de gaze naturale în UE și evoluția prețurilor gazelor naturale TTF Futures</a:t>
            </a:r>
            <a:endParaRPr lang="en-US"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lineChart>
        <c:grouping val="standard"/>
        <c:varyColors val="0"/>
        <c:ser>
          <c:idx val="0"/>
          <c:order val="0"/>
          <c:tx>
            <c:strRef>
              <c:f>'Diagrama stocuri UE 2018-2023'!$B$1</c:f>
              <c:strCache>
                <c:ptCount val="1"/>
                <c:pt idx="0">
                  <c:v>Cantitatea de gaze (%)</c:v>
                </c:pt>
              </c:strCache>
            </c:strRef>
          </c:tx>
          <c:spPr>
            <a:ln w="22225" cap="rnd">
              <a:solidFill>
                <a:schemeClr val="accent1"/>
              </a:solidFill>
              <a:round/>
            </a:ln>
            <a:effectLst/>
          </c:spPr>
          <c:marker>
            <c:symbol val="none"/>
          </c:marker>
          <c:dLbls>
            <c:dLbl>
              <c:idx val="1"/>
              <c:layout>
                <c:manualLayout>
                  <c:x val="-6.8027210884353739E-3"/>
                  <c:y val="-4.8780487804878942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2E-4AC1-B85C-ED1482A82D83}"/>
                </c:ext>
              </c:extLst>
            </c:dLbl>
            <c:dLbl>
              <c:idx val="3"/>
              <c:layout>
                <c:manualLayout>
                  <c:x val="-2.0408163265306121E-2"/>
                  <c:y val="-3.902439024390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2E-4AC1-B85C-ED1482A82D83}"/>
                </c:ext>
              </c:extLst>
            </c:dLbl>
            <c:dLbl>
              <c:idx val="5"/>
              <c:layout>
                <c:manualLayout>
                  <c:x val="-2.7210884353741496E-2"/>
                  <c:y val="3.414634146341463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2E-4AC1-B85C-ED1482A82D83}"/>
                </c:ext>
              </c:extLst>
            </c:dLbl>
            <c:dLbl>
              <c:idx val="7"/>
              <c:layout>
                <c:manualLayout>
                  <c:x val="-1.8140589569160998E-2"/>
                  <c:y val="-2.9268292682926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2E-4AC1-B85C-ED1482A82D83}"/>
                </c:ext>
              </c:extLst>
            </c:dLbl>
            <c:dLbl>
              <c:idx val="9"/>
              <c:layout>
                <c:manualLayout>
                  <c:x val="-2.9478458049886622E-2"/>
                  <c:y val="4.390243902439024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2E-4AC1-B85C-ED1482A82D83}"/>
                </c:ext>
              </c:extLst>
            </c:dLbl>
            <c:dLbl>
              <c:idx val="11"/>
              <c:layout>
                <c:manualLayout>
                  <c:x val="-1.5873015873015872E-2"/>
                  <c:y val="-1.9512195121951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2E-4AC1-B85C-ED1482A82D83}"/>
                </c:ext>
              </c:extLst>
            </c:dLbl>
            <c:dLbl>
              <c:idx val="13"/>
              <c:layout>
                <c:manualLayout>
                  <c:x val="-3.4013605442176874E-2"/>
                  <c:y val="2.439024390243902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2E-4AC1-B85C-ED1482A82D83}"/>
                </c:ext>
              </c:extLst>
            </c:dLbl>
            <c:dLbl>
              <c:idx val="15"/>
              <c:layout>
                <c:manualLayout>
                  <c:x val="-2.267573696145133E-2"/>
                  <c:y val="-2.4390243902439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42E-4AC1-B85C-ED1482A82D83}"/>
                </c:ext>
              </c:extLst>
            </c:dLbl>
            <c:dLbl>
              <c:idx val="17"/>
              <c:layout>
                <c:manualLayout>
                  <c:x val="-2.4943310657596373E-2"/>
                  <c:y val="3.414634146341463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42E-4AC1-B85C-ED1482A82D83}"/>
                </c:ext>
              </c:extLst>
            </c:dLbl>
            <c:dLbl>
              <c:idx val="19"/>
              <c:layout>
                <c:manualLayout>
                  <c:x val="-2.9478458049886788E-2"/>
                  <c:y val="-3.41463414634146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42E-4AC1-B85C-ED1482A82D83}"/>
                </c:ext>
              </c:extLst>
            </c:dLbl>
            <c:dLbl>
              <c:idx val="21"/>
              <c:layout>
                <c:manualLayout>
                  <c:x val="-3.578606245647882E-2"/>
                  <c:y val="2.837372767428452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42E-4AC1-B85C-ED1482A82D8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'Diagrama stocuri UE 2018-2023'!$A$2:$A$23</c:f>
              <c:numCache>
                <c:formatCode>[$-418]mmmm/yy;@</c:formatCode>
                <c:ptCount val="22"/>
                <c:pt idx="0">
                  <c:v>43101</c:v>
                </c:pt>
                <c:pt idx="1">
                  <c:v>43191</c:v>
                </c:pt>
                <c:pt idx="2">
                  <c:v>43282</c:v>
                </c:pt>
                <c:pt idx="3">
                  <c:v>43374</c:v>
                </c:pt>
                <c:pt idx="4">
                  <c:v>43466</c:v>
                </c:pt>
                <c:pt idx="5">
                  <c:v>43556</c:v>
                </c:pt>
                <c:pt idx="6">
                  <c:v>43647</c:v>
                </c:pt>
                <c:pt idx="7">
                  <c:v>43739</c:v>
                </c:pt>
                <c:pt idx="8">
                  <c:v>43831</c:v>
                </c:pt>
                <c:pt idx="9">
                  <c:v>43922</c:v>
                </c:pt>
                <c:pt idx="10">
                  <c:v>44013</c:v>
                </c:pt>
                <c:pt idx="11">
                  <c:v>44105</c:v>
                </c:pt>
                <c:pt idx="12">
                  <c:v>44197</c:v>
                </c:pt>
                <c:pt idx="13">
                  <c:v>44287</c:v>
                </c:pt>
                <c:pt idx="14">
                  <c:v>44378</c:v>
                </c:pt>
                <c:pt idx="15">
                  <c:v>44470</c:v>
                </c:pt>
                <c:pt idx="16">
                  <c:v>44562</c:v>
                </c:pt>
                <c:pt idx="17">
                  <c:v>44652</c:v>
                </c:pt>
                <c:pt idx="18">
                  <c:v>44743</c:v>
                </c:pt>
                <c:pt idx="19">
                  <c:v>44835</c:v>
                </c:pt>
                <c:pt idx="20">
                  <c:v>44927</c:v>
                </c:pt>
                <c:pt idx="21">
                  <c:v>45017</c:v>
                </c:pt>
              </c:numCache>
            </c:numRef>
          </c:cat>
          <c:val>
            <c:numRef>
              <c:f>'Diagrama stocuri UE 2018-2023'!$B$2:$B$23</c:f>
              <c:numCache>
                <c:formatCode>0%</c:formatCode>
                <c:ptCount val="22"/>
                <c:pt idx="0">
                  <c:v>0.64019999999999999</c:v>
                </c:pt>
                <c:pt idx="1">
                  <c:v>0.18490000000000001</c:v>
                </c:pt>
                <c:pt idx="2">
                  <c:v>0.49230000000000002</c:v>
                </c:pt>
                <c:pt idx="3">
                  <c:v>0.82169999999999999</c:v>
                </c:pt>
                <c:pt idx="4">
                  <c:v>0.69820000000000004</c:v>
                </c:pt>
                <c:pt idx="5">
                  <c:v>0.43969999999999998</c:v>
                </c:pt>
                <c:pt idx="6">
                  <c:v>0.73360000000000003</c:v>
                </c:pt>
                <c:pt idx="7">
                  <c:v>0.96909999999999996</c:v>
                </c:pt>
                <c:pt idx="8">
                  <c:v>0.88029999999999997</c:v>
                </c:pt>
                <c:pt idx="9">
                  <c:v>0.54400000000000004</c:v>
                </c:pt>
                <c:pt idx="10">
                  <c:v>0.80730000000000002</c:v>
                </c:pt>
                <c:pt idx="11">
                  <c:v>0.94730000000000003</c:v>
                </c:pt>
                <c:pt idx="12">
                  <c:v>0.73740000000000006</c:v>
                </c:pt>
                <c:pt idx="13">
                  <c:v>0.30599999999999999</c:v>
                </c:pt>
                <c:pt idx="14">
                  <c:v>0.47789999999999999</c:v>
                </c:pt>
                <c:pt idx="15">
                  <c:v>0.74890000000000001</c:v>
                </c:pt>
                <c:pt idx="16">
                  <c:v>0.53810000000000002</c:v>
                </c:pt>
                <c:pt idx="17">
                  <c:v>0.26550000000000001</c:v>
                </c:pt>
                <c:pt idx="18">
                  <c:v>0.58540000000000003</c:v>
                </c:pt>
                <c:pt idx="19">
                  <c:v>0.8901</c:v>
                </c:pt>
                <c:pt idx="20">
                  <c:v>0.83499999999999996</c:v>
                </c:pt>
                <c:pt idx="21">
                  <c:v>0.55530000000000002</c:v>
                </c:pt>
              </c:numCache>
            </c:numRef>
          </c:val>
          <c:smooth val="0"/>
          <c:extLst>
            <c:ext xmlns:c16="http://schemas.microsoft.com/office/drawing/2014/chart" uri="{C3380CC4-5D6E-409C-BE32-E72D297353CC}">
              <c16:uniqueId val="{0000000B-D42E-4AC1-B85C-ED1482A82D83}"/>
            </c:ext>
          </c:extLst>
        </c:ser>
        <c:dLbls>
          <c:showLegendKey val="0"/>
          <c:showVal val="0"/>
          <c:showCatName val="0"/>
          <c:showSerName val="0"/>
          <c:showPercent val="0"/>
          <c:showBubbleSize val="0"/>
        </c:dLbls>
        <c:marker val="1"/>
        <c:smooth val="0"/>
        <c:axId val="223279592"/>
        <c:axId val="223278808"/>
      </c:lineChart>
      <c:lineChart>
        <c:grouping val="standard"/>
        <c:varyColors val="0"/>
        <c:ser>
          <c:idx val="1"/>
          <c:order val="1"/>
          <c:tx>
            <c:strRef>
              <c:f>'Diagrama stocuri UE 2018-2023'!$C$1</c:f>
              <c:strCache>
                <c:ptCount val="1"/>
                <c:pt idx="0">
                  <c:v>Preț (Euro/MWh)</c:v>
                </c:pt>
              </c:strCache>
            </c:strRef>
          </c:tx>
          <c:spPr>
            <a:ln w="22225" cap="rnd">
              <a:solidFill>
                <a:schemeClr val="accent2"/>
              </a:solidFill>
              <a:round/>
            </a:ln>
            <a:effectLst/>
          </c:spPr>
          <c:marker>
            <c:symbol val="none"/>
          </c:marker>
          <c:cat>
            <c:numRef>
              <c:f>'Diagrama stocuri UE 2018-2023'!$A$2:$A$23</c:f>
              <c:numCache>
                <c:formatCode>[$-418]mmmm/yy;@</c:formatCode>
                <c:ptCount val="22"/>
                <c:pt idx="0">
                  <c:v>43101</c:v>
                </c:pt>
                <c:pt idx="1">
                  <c:v>43191</c:v>
                </c:pt>
                <c:pt idx="2">
                  <c:v>43282</c:v>
                </c:pt>
                <c:pt idx="3">
                  <c:v>43374</c:v>
                </c:pt>
                <c:pt idx="4">
                  <c:v>43466</c:v>
                </c:pt>
                <c:pt idx="5">
                  <c:v>43556</c:v>
                </c:pt>
                <c:pt idx="6">
                  <c:v>43647</c:v>
                </c:pt>
                <c:pt idx="7">
                  <c:v>43739</c:v>
                </c:pt>
                <c:pt idx="8">
                  <c:v>43831</c:v>
                </c:pt>
                <c:pt idx="9">
                  <c:v>43922</c:v>
                </c:pt>
                <c:pt idx="10">
                  <c:v>44013</c:v>
                </c:pt>
                <c:pt idx="11">
                  <c:v>44105</c:v>
                </c:pt>
                <c:pt idx="12">
                  <c:v>44197</c:v>
                </c:pt>
                <c:pt idx="13">
                  <c:v>44287</c:v>
                </c:pt>
                <c:pt idx="14">
                  <c:v>44378</c:v>
                </c:pt>
                <c:pt idx="15">
                  <c:v>44470</c:v>
                </c:pt>
                <c:pt idx="16">
                  <c:v>44562</c:v>
                </c:pt>
                <c:pt idx="17">
                  <c:v>44652</c:v>
                </c:pt>
                <c:pt idx="18">
                  <c:v>44743</c:v>
                </c:pt>
                <c:pt idx="19">
                  <c:v>44835</c:v>
                </c:pt>
                <c:pt idx="20">
                  <c:v>44927</c:v>
                </c:pt>
                <c:pt idx="21">
                  <c:v>45017</c:v>
                </c:pt>
              </c:numCache>
            </c:numRef>
          </c:cat>
          <c:val>
            <c:numRef>
              <c:f>'Diagrama stocuri UE 2018-2023'!$C$2:$C$23</c:f>
              <c:numCache>
                <c:formatCode>0</c:formatCode>
                <c:ptCount val="22"/>
                <c:pt idx="0">
                  <c:v>17.88</c:v>
                </c:pt>
                <c:pt idx="1">
                  <c:v>20.56</c:v>
                </c:pt>
                <c:pt idx="2">
                  <c:v>22.114999999999998</c:v>
                </c:pt>
                <c:pt idx="3">
                  <c:v>24.335000000000001</c:v>
                </c:pt>
                <c:pt idx="4">
                  <c:v>19.850000000000001</c:v>
                </c:pt>
                <c:pt idx="5">
                  <c:v>14.39</c:v>
                </c:pt>
                <c:pt idx="6">
                  <c:v>11</c:v>
                </c:pt>
                <c:pt idx="7">
                  <c:v>16.135000000000002</c:v>
                </c:pt>
                <c:pt idx="8">
                  <c:v>9.7550000000000008</c:v>
                </c:pt>
                <c:pt idx="9">
                  <c:v>6.22</c:v>
                </c:pt>
                <c:pt idx="10">
                  <c:v>6.0250000000000004</c:v>
                </c:pt>
                <c:pt idx="11">
                  <c:v>14.06</c:v>
                </c:pt>
                <c:pt idx="12">
                  <c:v>19.82</c:v>
                </c:pt>
                <c:pt idx="13">
                  <c:v>23.285</c:v>
                </c:pt>
                <c:pt idx="14">
                  <c:v>40.755000000000003</c:v>
                </c:pt>
                <c:pt idx="15">
                  <c:v>64.864999999999995</c:v>
                </c:pt>
                <c:pt idx="16">
                  <c:v>84.67</c:v>
                </c:pt>
                <c:pt idx="17">
                  <c:v>99.45</c:v>
                </c:pt>
                <c:pt idx="18">
                  <c:v>190.91499999999999</c:v>
                </c:pt>
                <c:pt idx="19">
                  <c:v>123.35</c:v>
                </c:pt>
                <c:pt idx="20">
                  <c:v>57.35</c:v>
                </c:pt>
                <c:pt idx="21">
                  <c:v>51.366999999999997</c:v>
                </c:pt>
              </c:numCache>
            </c:numRef>
          </c:val>
          <c:smooth val="0"/>
          <c:extLst>
            <c:ext xmlns:c16="http://schemas.microsoft.com/office/drawing/2014/chart" uri="{C3380CC4-5D6E-409C-BE32-E72D297353CC}">
              <c16:uniqueId val="{0000000C-D42E-4AC1-B85C-ED1482A82D83}"/>
            </c:ext>
          </c:extLst>
        </c:ser>
        <c:dLbls>
          <c:showLegendKey val="0"/>
          <c:showVal val="0"/>
          <c:showCatName val="0"/>
          <c:showSerName val="0"/>
          <c:showPercent val="0"/>
          <c:showBubbleSize val="0"/>
        </c:dLbls>
        <c:marker val="1"/>
        <c:smooth val="0"/>
        <c:axId val="223281160"/>
        <c:axId val="223280768"/>
      </c:lineChart>
      <c:valAx>
        <c:axId val="223278808"/>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23279592"/>
        <c:crosses val="autoZero"/>
        <c:crossBetween val="midCat"/>
      </c:valAx>
      <c:catAx>
        <c:axId val="223279592"/>
        <c:scaling>
          <c:orientation val="minMax"/>
        </c:scaling>
        <c:delete val="0"/>
        <c:axPos val="b"/>
        <c:majorGridlines>
          <c:spPr>
            <a:ln w="9525" cap="flat" cmpd="sng" algn="ctr">
              <a:solidFill>
                <a:schemeClr val="dk1">
                  <a:lumMod val="15000"/>
                  <a:lumOff val="85000"/>
                </a:schemeClr>
              </a:solidFill>
              <a:round/>
            </a:ln>
            <a:effectLst/>
          </c:spPr>
        </c:majorGridlines>
        <c:minorGridlines>
          <c:spPr>
            <a:ln w="9525" cap="flat" cmpd="sng" algn="ctr">
              <a:solidFill>
                <a:schemeClr val="dk1">
                  <a:lumMod val="5000"/>
                  <a:lumOff val="95000"/>
                </a:schemeClr>
              </a:solidFill>
              <a:round/>
            </a:ln>
            <a:effectLst/>
          </c:spPr>
        </c:minorGridlines>
        <c:numFmt formatCode="[$-10818]d\ mmm\ yyyy;@" sourceLinked="0"/>
        <c:majorTickMark val="out"/>
        <c:minorTickMark val="none"/>
        <c:tickLblPos val="low"/>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3278808"/>
        <c:crosses val="autoZero"/>
        <c:auto val="0"/>
        <c:lblAlgn val="ctr"/>
        <c:lblOffset val="100"/>
        <c:tickMarkSkip val="1"/>
        <c:noMultiLvlLbl val="0"/>
      </c:catAx>
      <c:valAx>
        <c:axId val="223280768"/>
        <c:scaling>
          <c:orientation val="minMax"/>
        </c:scaling>
        <c:delete val="0"/>
        <c:axPos val="l"/>
        <c:majorGridlines>
          <c:spPr>
            <a:ln w="9525" cap="flat" cmpd="sng" algn="ctr">
              <a:solidFill>
                <a:schemeClr val="dk1">
                  <a:lumMod val="15000"/>
                  <a:lumOff val="85000"/>
                </a:schemeClr>
              </a:solidFill>
              <a:round/>
            </a:ln>
            <a:effectLst/>
          </c:spPr>
        </c:majorGridlines>
        <c:minorGridlines>
          <c:spPr>
            <a:ln w="9525" cap="flat" cmpd="sng" algn="ctr">
              <a:solidFill>
                <a:schemeClr val="dk1">
                  <a:lumMod val="5000"/>
                  <a:lumOff val="95000"/>
                </a:schemeClr>
              </a:solidFill>
              <a:round/>
            </a:ln>
            <a:effectLst/>
          </c:spPr>
        </c:min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23281160"/>
        <c:crosses val="autoZero"/>
        <c:crossBetween val="between"/>
      </c:valAx>
      <c:catAx>
        <c:axId val="223281160"/>
        <c:scaling>
          <c:orientation val="minMax"/>
        </c:scaling>
        <c:delete val="1"/>
        <c:axPos val="b"/>
        <c:numFmt formatCode="[$-418]mmmm/yy;@" sourceLinked="1"/>
        <c:majorTickMark val="out"/>
        <c:minorTickMark val="none"/>
        <c:tickLblPos val="nextTo"/>
        <c:crossAx val="223280768"/>
        <c:crosses val="autoZero"/>
        <c:auto val="0"/>
        <c:lblAlgn val="ctr"/>
        <c:lblOffset val="100"/>
        <c:tickLblSkip val="1"/>
        <c:tickMarkSkip val="1"/>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Nivelul stocurilor de gaze naturale în UE </a:t>
            </a:r>
          </a:p>
          <a:p>
            <a:pPr>
              <a:defRPr b="1">
                <a:solidFill>
                  <a:schemeClr val="tx1"/>
                </a:solidFill>
                <a:latin typeface="Times New Roman" panose="02020603050405020304" pitchFamily="18" charset="0"/>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la situația din 1 Aprilie 2018-2023</a:t>
            </a:r>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Sheet2!$B$1</c:f>
              <c:strCache>
                <c:ptCount val="1"/>
                <c:pt idx="0">
                  <c:v>Cantitatea de gaze
 (mlrd m3)</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Sheet2!$A$2:$A$7</c:f>
              <c:strCache>
                <c:ptCount val="6"/>
                <c:pt idx="0">
                  <c:v>01.04.2018</c:v>
                </c:pt>
                <c:pt idx="1">
                  <c:v>01.04.2019</c:v>
                </c:pt>
                <c:pt idx="2">
                  <c:v>01.04.2020</c:v>
                </c:pt>
                <c:pt idx="3">
                  <c:v>01.04.2021</c:v>
                </c:pt>
                <c:pt idx="4">
                  <c:v>01.04.2022</c:v>
                </c:pt>
                <c:pt idx="5">
                  <c:v>01.04.2023</c:v>
                </c:pt>
              </c:strCache>
            </c:strRef>
          </c:cat>
          <c:val>
            <c:numRef>
              <c:f>Sheet2!$B$2:$B$7</c:f>
              <c:numCache>
                <c:formatCode>0.0</c:formatCode>
                <c:ptCount val="6"/>
                <c:pt idx="0">
                  <c:v>20.07</c:v>
                </c:pt>
                <c:pt idx="1">
                  <c:v>45.48</c:v>
                </c:pt>
                <c:pt idx="2">
                  <c:v>62.88</c:v>
                </c:pt>
                <c:pt idx="3">
                  <c:v>35.07</c:v>
                </c:pt>
                <c:pt idx="4">
                  <c:v>30.01</c:v>
                </c:pt>
                <c:pt idx="5">
                  <c:v>63.98</c:v>
                </c:pt>
              </c:numCache>
            </c:numRef>
          </c:val>
          <c:extLst>
            <c:ext xmlns:c16="http://schemas.microsoft.com/office/drawing/2014/chart" uri="{C3380CC4-5D6E-409C-BE32-E72D297353CC}">
              <c16:uniqueId val="{00000000-FFF6-447C-AA24-9439B2FE4264}"/>
            </c:ext>
          </c:extLst>
        </c:ser>
        <c:dLbls>
          <c:showLegendKey val="0"/>
          <c:showVal val="0"/>
          <c:showCatName val="0"/>
          <c:showSerName val="0"/>
          <c:showPercent val="0"/>
          <c:showBubbleSize val="0"/>
        </c:dLbls>
        <c:gapWidth val="269"/>
        <c:axId val="433813344"/>
        <c:axId val="433811776"/>
      </c:barChart>
      <c:lineChart>
        <c:grouping val="standard"/>
        <c:varyColors val="0"/>
        <c:ser>
          <c:idx val="1"/>
          <c:order val="1"/>
          <c:tx>
            <c:strRef>
              <c:f>Sheet2!$C$1</c:f>
              <c:strCache>
                <c:ptCount val="1"/>
                <c:pt idx="0">
                  <c:v>Nivelul (%)</c:v>
                </c:pt>
              </c:strCache>
            </c:strRef>
          </c:tx>
          <c:spPr>
            <a:ln w="15875" cap="rnd">
              <a:solidFill>
                <a:schemeClr val="accent2"/>
              </a:solidFill>
              <a:round/>
            </a:ln>
            <a:effectLst>
              <a:outerShdw blurRad="40000" dist="20000" dir="5400000" rotWithShape="0">
                <a:srgbClr val="000000">
                  <a:alpha val="38000"/>
                </a:srgbClr>
              </a:outerShdw>
            </a:effectLst>
          </c:spPr>
          <c:marker>
            <c:symbol val="none"/>
          </c:marker>
          <c:dLbls>
            <c:dLbl>
              <c:idx val="0"/>
              <c:layout>
                <c:manualLayout>
                  <c:x val="4.884004884004884E-3"/>
                  <c:y val="4.40044004400431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F6-447C-AA24-9439B2FE4264}"/>
                </c:ext>
              </c:extLst>
            </c:dLbl>
            <c:dLbl>
              <c:idx val="1"/>
              <c:layout>
                <c:manualLayout>
                  <c:x val="1.7094017094017096E-2"/>
                  <c:y val="2.6402640264026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F6-447C-AA24-9439B2FE4264}"/>
                </c:ext>
              </c:extLst>
            </c:dLbl>
            <c:dLbl>
              <c:idx val="2"/>
              <c:layout>
                <c:manualLayout>
                  <c:x val="2.4420024420023527E-3"/>
                  <c:y val="-3.52035203520352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F6-447C-AA24-9439B2FE4264}"/>
                </c:ext>
              </c:extLst>
            </c:dLbl>
            <c:dLbl>
              <c:idx val="3"/>
              <c:layout>
                <c:manualLayout>
                  <c:x val="-8.9539055177283466E-17"/>
                  <c:y val="-5.2805280528052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F6-447C-AA24-9439B2FE4264}"/>
                </c:ext>
              </c:extLst>
            </c:dLbl>
            <c:dLbl>
              <c:idx val="4"/>
              <c:layout>
                <c:manualLayout>
                  <c:x val="1.7094017094017096E-2"/>
                  <c:y val="1.320132013201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F6-447C-AA24-9439B2FE4264}"/>
                </c:ext>
              </c:extLst>
            </c:dLbl>
            <c:dLbl>
              <c:idx val="5"/>
              <c:layout>
                <c:manualLayout>
                  <c:x val="-3.1746031746031744E-2"/>
                  <c:y val="-5.7205720572057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F6-447C-AA24-9439B2FE426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01.04.2018</c:v>
                </c:pt>
                <c:pt idx="1">
                  <c:v>01.04.2019</c:v>
                </c:pt>
                <c:pt idx="2">
                  <c:v>01.04.2020</c:v>
                </c:pt>
                <c:pt idx="3">
                  <c:v>01.04.2021</c:v>
                </c:pt>
                <c:pt idx="4">
                  <c:v>01.04.2022</c:v>
                </c:pt>
                <c:pt idx="5">
                  <c:v>01.04.2023</c:v>
                </c:pt>
              </c:strCache>
            </c:strRef>
          </c:cat>
          <c:val>
            <c:numRef>
              <c:f>Sheet2!$C$2:$C$7</c:f>
              <c:numCache>
                <c:formatCode>0.0%</c:formatCode>
                <c:ptCount val="6"/>
                <c:pt idx="0">
                  <c:v>0.18490000000000001</c:v>
                </c:pt>
                <c:pt idx="1">
                  <c:v>0.43969999999999998</c:v>
                </c:pt>
                <c:pt idx="2">
                  <c:v>0.54400000000000004</c:v>
                </c:pt>
                <c:pt idx="3">
                  <c:v>0.30599999999999999</c:v>
                </c:pt>
                <c:pt idx="4">
                  <c:v>0.26550000000000001</c:v>
                </c:pt>
                <c:pt idx="5">
                  <c:v>0.55530000000000002</c:v>
                </c:pt>
              </c:numCache>
            </c:numRef>
          </c:val>
          <c:smooth val="0"/>
          <c:extLst>
            <c:ext xmlns:c16="http://schemas.microsoft.com/office/drawing/2014/chart" uri="{C3380CC4-5D6E-409C-BE32-E72D297353CC}">
              <c16:uniqueId val="{00000007-FFF6-447C-AA24-9439B2FE4264}"/>
            </c:ext>
          </c:extLst>
        </c:ser>
        <c:dLbls>
          <c:showLegendKey val="0"/>
          <c:showVal val="0"/>
          <c:showCatName val="0"/>
          <c:showSerName val="0"/>
          <c:showPercent val="0"/>
          <c:showBubbleSize val="0"/>
        </c:dLbls>
        <c:marker val="1"/>
        <c:smooth val="0"/>
        <c:axId val="433814912"/>
        <c:axId val="433815304"/>
      </c:lineChart>
      <c:valAx>
        <c:axId val="433815304"/>
        <c:scaling>
          <c:orientation val="minMax"/>
        </c:scaling>
        <c:delete val="0"/>
        <c:axPos val="r"/>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33814912"/>
        <c:crosses val="max"/>
        <c:crossBetween val="between"/>
      </c:valAx>
      <c:catAx>
        <c:axId val="43381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33815304"/>
        <c:crosses val="autoZero"/>
        <c:auto val="1"/>
        <c:lblAlgn val="ctr"/>
        <c:lblOffset val="100"/>
        <c:noMultiLvlLbl val="0"/>
      </c:catAx>
      <c:valAx>
        <c:axId val="43381177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33813344"/>
        <c:crosses val="autoZero"/>
        <c:crossBetween val="between"/>
      </c:valAx>
      <c:catAx>
        <c:axId val="433813344"/>
        <c:scaling>
          <c:orientation val="minMax"/>
        </c:scaling>
        <c:delete val="1"/>
        <c:axPos val="b"/>
        <c:numFmt formatCode="General" sourceLinked="1"/>
        <c:majorTickMark val="none"/>
        <c:minorTickMark val="none"/>
        <c:tickLblPos val="nextTo"/>
        <c:crossAx val="433811776"/>
        <c:crosses val="autoZero"/>
        <c:auto val="1"/>
        <c:lblAlgn val="ctr"/>
        <c:lblOffset val="100"/>
        <c:noMultiLvlLbl val="0"/>
      </c:cat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4B85D-CCB4-47B0-BFFE-540C92B5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5084</TotalTime>
  <Pages>20</Pages>
  <Words>8768</Words>
  <Characters>49984</Characters>
  <Application>Microsoft Office Word</Application>
  <DocSecurity>0</DocSecurity>
  <Lines>416</Lines>
  <Paragraphs>117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58635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Jomiru, Serghei</cp:lastModifiedBy>
  <cp:revision>35</cp:revision>
  <cp:lastPrinted>2021-09-28T04:46:00Z</cp:lastPrinted>
  <dcterms:created xsi:type="dcterms:W3CDTF">2022-08-17T08:38:00Z</dcterms:created>
  <dcterms:modified xsi:type="dcterms:W3CDTF">2023-05-23T10:09:00Z</dcterms:modified>
</cp:coreProperties>
</file>