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1" w:rsidRPr="001D0851" w:rsidRDefault="001D0851" w:rsidP="001D0851">
      <w:pPr>
        <w:spacing w:after="0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u-RU"/>
        </w:rPr>
      </w:pPr>
      <w:r w:rsidRPr="001D085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 w:eastAsia="ru-RU"/>
        </w:rPr>
        <w:t>Proiect</w:t>
      </w:r>
    </w:p>
    <w:p w:rsidR="001D0851" w:rsidRPr="001D0851" w:rsidRDefault="001D0851" w:rsidP="001D08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1D0851" w:rsidRPr="001D0851" w:rsidRDefault="001D0851" w:rsidP="001D08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1D085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C21109" w:rsidRDefault="0066145B" w:rsidP="00C21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cu privire la exproprierea pentru cauză de utilitate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C2110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publică</w:t>
      </w:r>
    </w:p>
    <w:p w:rsidR="00C21109" w:rsidRDefault="00C21109" w:rsidP="00C2110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a bunurilor imobile </w:t>
      </w:r>
      <w:r w:rsidR="0066145B" w:rsidRP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(terenurilor) și a dreptului</w:t>
      </w:r>
      <w:r w:rsid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66145B" w:rsidRP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de folosință asupra </w:t>
      </w:r>
    </w:p>
    <w:p w:rsidR="00C21109" w:rsidRPr="001D0851" w:rsidRDefault="0066145B" w:rsidP="00C2110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bunurilor imobile (terenurilor)</w:t>
      </w:r>
      <w:r w:rsidR="00C2110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Pr="0066145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situate pe amplasamentul lucrărilor de interes național</w:t>
      </w:r>
    </w:p>
    <w:p w:rsidR="001D0851" w:rsidRPr="001D0851" w:rsidRDefault="001D0851" w:rsidP="00C2110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1D085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de construcție a apeductului magistral Chișinău – Strășeni – Călărași</w:t>
      </w:r>
      <w:r w:rsidR="00BB1F55" w:rsidRPr="00BB1F55">
        <w:t xml:space="preserve"> </w:t>
      </w:r>
    </w:p>
    <w:p w:rsidR="001D0851" w:rsidRPr="001D0851" w:rsidRDefault="001D0851" w:rsidP="001D085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Style w:val="1"/>
        <w:tblW w:w="10029" w:type="dxa"/>
        <w:jc w:val="center"/>
        <w:tblInd w:w="638" w:type="dxa"/>
        <w:tblLayout w:type="fixed"/>
        <w:tblLook w:val="04A0" w:firstRow="1" w:lastRow="0" w:firstColumn="1" w:lastColumn="0" w:noHBand="0" w:noVBand="1"/>
      </w:tblPr>
      <w:tblGrid>
        <w:gridCol w:w="10029"/>
      </w:tblGrid>
      <w:tr w:rsidR="001D0851" w:rsidRPr="001D0851" w:rsidTr="009619F6">
        <w:trPr>
          <w:trHeight w:val="255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1D0851" w:rsidP="00072133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8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1. Denumirea autorului și, după caz, a participanților responsabili de elaborarea proiectului </w:t>
            </w:r>
          </w:p>
        </w:tc>
      </w:tr>
      <w:tr w:rsidR="001D0851" w:rsidRPr="001D0851" w:rsidTr="009619F6">
        <w:trPr>
          <w:trHeight w:val="1005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851" w:rsidRPr="0066145B" w:rsidRDefault="001D0851" w:rsidP="00DA15FA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Proiectul hotărârii Guvernului </w:t>
            </w:r>
            <w:r w:rsidR="00C21109" w:rsidRPr="00C2110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privire la exproprierea pentru cauză de utilitate publică a bunurilor imobile (terenurilor) și a dreptului de folosință asupra bunurilor imobile (terenurilor)</w:t>
            </w:r>
            <w:r w:rsidR="00C2110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21109" w:rsidRPr="00C2110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situate pe amplasamentul lucrărilor de interes național de construcție a apeductului magistral Chișinău – Strășeni – Călărași</w:t>
            </w:r>
            <w:r w:rsidR="00C21109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este elaborat de către Ministerul Infrastructurii și Dezvoltării Regionale.</w:t>
            </w:r>
          </w:p>
        </w:tc>
      </w:tr>
      <w:tr w:rsidR="001D0851" w:rsidRPr="001D0851" w:rsidTr="009619F6">
        <w:trPr>
          <w:trHeight w:val="30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82214B" w:rsidRDefault="001D0851" w:rsidP="00072133">
            <w:pPr>
              <w:spacing w:before="24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o-RO" w:eastAsia="ru-RU"/>
              </w:rPr>
            </w:pPr>
            <w:r w:rsidRPr="006241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 Condițiile ce au impus elaborarea proiectului actului normativ și finalitățile urmărite</w:t>
            </w:r>
            <w:r w:rsidRPr="006241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1D0851" w:rsidRPr="001D0851" w:rsidTr="009619F6">
        <w:trPr>
          <w:trHeight w:val="1408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D79" w:rsidRDefault="008153CD" w:rsidP="00DA15FA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53C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de hotărâre a fost elaborat în contextul implementării prevederilor </w:t>
            </w:r>
            <w:r w:rsidR="00BE08D1">
              <w:rPr>
                <w:rFonts w:ascii="Times New Roman" w:hAnsi="Times New Roman"/>
                <w:sz w:val="24"/>
                <w:szCs w:val="24"/>
                <w:lang w:val="ro-RO"/>
              </w:rPr>
              <w:t>art.4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</w:t>
            </w:r>
            <w:r w:rsid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070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>normelor stabilite în Anex</w:t>
            </w:r>
            <w:r w:rsidR="00AA7C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Leg</w:t>
            </w:r>
            <w:r w:rsidR="00AA7C18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>296/2022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privind declararea utilității publice 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interes național 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pentru lucrările de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construcţie a </w:t>
            </w:r>
            <w:r w:rsidR="007F6428" w:rsidRPr="007F6428">
              <w:rPr>
                <w:rFonts w:ascii="Times New Roman" w:hAnsi="Times New Roman"/>
                <w:sz w:val="24"/>
                <w:szCs w:val="24"/>
                <w:lang w:val="ro-RO"/>
              </w:rPr>
              <w:t>apeductului magistral Chișinău – Strășeni – Călărași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continuare Legea nr. </w:t>
            </w:r>
            <w:r w:rsidR="007F6428">
              <w:rPr>
                <w:rFonts w:ascii="Times New Roman" w:hAnsi="Times New Roman"/>
                <w:sz w:val="24"/>
                <w:szCs w:val="24"/>
                <w:lang w:val="ro-RO"/>
              </w:rPr>
              <w:t>296/2022</w:t>
            </w:r>
            <w:r w:rsidR="00E67D7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)</w:t>
            </w:r>
            <w:r w:rsidR="00C070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C07050" w:rsidRPr="00C0705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adoptată de Parlament întru consolidarea </w:t>
            </w:r>
            <w:r w:rsidR="0072225B" w:rsidRPr="0072225B">
              <w:rPr>
                <w:rFonts w:ascii="Times New Roman" w:hAnsi="Times New Roman"/>
                <w:sz w:val="24"/>
                <w:szCs w:val="24"/>
                <w:lang w:val="ro-RO"/>
              </w:rPr>
              <w:t>obiective</w:t>
            </w:r>
            <w:r w:rsidR="0072225B">
              <w:rPr>
                <w:rFonts w:ascii="Times New Roman" w:hAnsi="Times New Roman"/>
                <w:sz w:val="24"/>
                <w:szCs w:val="24"/>
                <w:lang w:val="ro-RO"/>
              </w:rPr>
              <w:t>lor</w:t>
            </w:r>
            <w:r w:rsidR="0072225B" w:rsidRPr="0072225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2225B">
              <w:rPr>
                <w:rFonts w:ascii="Times New Roman" w:hAnsi="Times New Roman"/>
                <w:sz w:val="24"/>
                <w:szCs w:val="24"/>
                <w:lang w:val="ro-RO"/>
              </w:rPr>
              <w:t>stabilite pentru dezvoltare</w:t>
            </w:r>
            <w:r w:rsidR="0072225B" w:rsidRPr="0072225B">
              <w:rPr>
                <w:rFonts w:ascii="Times New Roman" w:hAnsi="Times New Roman"/>
                <w:sz w:val="24"/>
                <w:szCs w:val="24"/>
                <w:lang w:val="ro-RO"/>
              </w:rPr>
              <w:t>a serviciului public de alimentare cu apă şi canalizare</w:t>
            </w:r>
            <w:r w:rsidR="00A16A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conform </w:t>
            </w:r>
            <w:r w:rsidR="0072225B">
              <w:rPr>
                <w:rFonts w:ascii="Times New Roman" w:hAnsi="Times New Roman"/>
                <w:sz w:val="24"/>
                <w:szCs w:val="24"/>
                <w:lang w:val="ro-RO"/>
              </w:rPr>
              <w:t>Strategi</w:t>
            </w:r>
            <w:r w:rsidR="00A16A7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ei </w:t>
            </w:r>
            <w:r w:rsidR="0072225B" w:rsidRPr="0072225B">
              <w:rPr>
                <w:rFonts w:ascii="Times New Roman" w:hAnsi="Times New Roman"/>
                <w:sz w:val="24"/>
                <w:szCs w:val="24"/>
                <w:lang w:val="ro-RO"/>
              </w:rPr>
              <w:t>de alimentare cu apă și sanitație 2014-2030, aprobat prin Hotărârea Guvernului nr. 199/2014.</w:t>
            </w:r>
          </w:p>
          <w:p w:rsidR="002407C0" w:rsidRDefault="001D0851" w:rsidP="002407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6241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Astfel, în scopul facilitării lucrărilor de interes naţional de construcţie a </w:t>
            </w:r>
            <w:r w:rsid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apeductului magistral </w:t>
            </w:r>
            <w:r w:rsidR="002407C0" w:rsidRPr="007F6428">
              <w:rPr>
                <w:rFonts w:ascii="Times New Roman" w:hAnsi="Times New Roman"/>
                <w:sz w:val="24"/>
                <w:szCs w:val="24"/>
                <w:lang w:val="ro-RO"/>
              </w:rPr>
              <w:t>Chișinău – Strășeni – Călărași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care reprezintă un obiectiv de importanţă strategică, 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="002407C0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Legea nr.</w:t>
            </w:r>
            <w:r w:rsid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296/2022 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 fost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stabil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ită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procedur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specială de expropriere a bunurilor imobile (terenurilor) și a dreptului de folosință asupra bunurilor imobile (terenurilor) situate pe amplasamentul lucrărilor de interes național</w:t>
            </w:r>
            <w:r w:rsid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de construcție a apeductului magistral Chișinău – Strășeni – Călărași identificate</w:t>
            </w:r>
            <w:r w:rsidR="00725B0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potrivit</w:t>
            </w:r>
            <w:r w:rsid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documentaţiei de proiect. </w:t>
            </w:r>
          </w:p>
          <w:p w:rsidR="000B641B" w:rsidRDefault="008153CD" w:rsidP="000B64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 corespundere cu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procedur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stabilit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 w:rsidR="00AB22D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Anexa 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Leg</w:t>
            </w:r>
            <w:r w:rsidR="00AB22D7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67D79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296/2022 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>în pct.1</w:t>
            </w:r>
            <w:r w:rsidR="000B641B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B641B" w:rsidRPr="000B64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actul de expropriere</w:t>
            </w:r>
            <w:r w:rsidR="000B641B" w:rsidRP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reprezintă </w:t>
            </w:r>
            <w:r w:rsidR="000B641B" w:rsidRPr="000B641B">
              <w:rPr>
                <w:rFonts w:ascii="Times New Roman" w:hAnsi="Times New Roman"/>
                <w:sz w:val="24"/>
                <w:szCs w:val="24"/>
                <w:lang w:val="ro-RO"/>
              </w:rPr>
              <w:t>hotărârea Guvernului Republicii Moldova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0B641B" w:rsidRP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>prin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se </w:t>
            </w:r>
            <w:r w:rsidR="000B641B" w:rsidRP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nominalizează proprietarii bunurilor imobile expropriate, 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 </w:t>
            </w:r>
            <w:r w:rsidR="000B641B" w:rsidRPr="000B641B">
              <w:rPr>
                <w:rFonts w:ascii="Times New Roman" w:hAnsi="Times New Roman"/>
                <w:sz w:val="24"/>
                <w:szCs w:val="24"/>
                <w:lang w:val="ro-RO"/>
              </w:rPr>
              <w:t>indică numerele cadastrale şi suprafeţele acestor bunuri, precum şi categoria de folosinţă a bunurilor imobile în conformitate cu prevederile legale aplicabile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75AB5" w:rsidRPr="00675AB5" w:rsidRDefault="00675AB5" w:rsidP="000B641B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0B641B" w:rsidRDefault="002407C0" w:rsidP="002407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Relevante în acest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>sens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fiind 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</w:t>
            </w:r>
            <w:r w:rsidR="00DE4B47">
              <w:rPr>
                <w:rFonts w:ascii="Times New Roman" w:hAnsi="Times New Roman"/>
                <w:sz w:val="24"/>
                <w:szCs w:val="24"/>
                <w:lang w:val="ro-RO"/>
              </w:rPr>
              <w:t>prevederile pct.</w:t>
            </w:r>
            <w:r w:rsidR="009161E9"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Anexa Leg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161E9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 w:rsidR="009161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296/2022 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potrivit căr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ia, în termen de </w:t>
            </w:r>
            <w:r w:rsidR="00223A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cel mult </w:t>
            </w:r>
            <w:r w:rsidR="00C750C7">
              <w:rPr>
                <w:rFonts w:ascii="Times New Roman" w:hAnsi="Times New Roman"/>
                <w:sz w:val="24"/>
                <w:szCs w:val="24"/>
                <w:lang w:val="ro-RO"/>
              </w:rPr>
              <w:t>9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0 de</w:t>
            </w:r>
            <w:r w:rsidR="00C750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zile d</w:t>
            </w:r>
            <w:r w:rsidR="00C750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upă </w:t>
            </w:r>
            <w:r w:rsidR="00223A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întocmirea Listei </w:t>
            </w:r>
            <w:r w:rsidR="00C750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bunurilor </w:t>
            </w:r>
            <w:r w:rsidR="00223A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imobile supuse exproprierii elaborată în baza proiectului tehnic final, 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xpropriatorul are obligaţia de a</w:t>
            </w:r>
            <w:r w:rsidR="00223A8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B641B">
              <w:rPr>
                <w:rFonts w:ascii="Times New Roman" w:hAnsi="Times New Roman"/>
                <w:sz w:val="24"/>
                <w:szCs w:val="24"/>
                <w:lang w:val="ro-RO"/>
              </w:rPr>
              <w:t>aproba actul de expropriere.</w:t>
            </w:r>
          </w:p>
          <w:p w:rsidR="00675AB5" w:rsidRDefault="00675AB5" w:rsidP="00675AB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B641B">
              <w:rPr>
                <w:rFonts w:ascii="Times New Roman" w:hAnsi="Times New Roman"/>
                <w:sz w:val="24"/>
                <w:szCs w:val="24"/>
                <w:lang w:val="ro-RO"/>
              </w:rPr>
              <w:t>Totodată, prin actul de expropriere se instituie mecanismul de soluţionare a reclamaţiilor şi se definitivează procedura de formare a Comisiei pentru soluţionarea întâmpinărilor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675AB5" w:rsidRPr="000B641B" w:rsidRDefault="00675AB5" w:rsidP="00675AB5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71194B" w:rsidRPr="0054775E" w:rsidRDefault="0071194B" w:rsidP="002407C0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acest context,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Actul de</w:t>
            </w:r>
            <w:r w:rsidR="00F80A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407C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expropriere fiind suficient pentru efectuarea înregistrării corespunzătoare în Registrul bunurilor imobile</w:t>
            </w:r>
            <w:r w:rsidR="00AB22D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potrivit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pct.26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lit.a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) 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>Anexa Leg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E67D79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296/2022</w:t>
            </w:r>
            <w:r w:rsidR="001D21BF">
              <w:rPr>
                <w:rFonts w:ascii="Times New Roman" w:hAnsi="Times New Roman"/>
                <w:sz w:val="24"/>
                <w:szCs w:val="24"/>
                <w:lang w:val="ro-RO"/>
              </w:rPr>
              <w:t>. 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espectiv</w:t>
            </w:r>
            <w:r w:rsidR="001D21BF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întru evitarea tergiversării implementării proiectului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finanțat de către Guvernul Federal German prin intermediul băncii de dezvoltare </w:t>
            </w:r>
            <w:proofErr w:type="spellStart"/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KfW</w:t>
            </w:r>
            <w:proofErr w:type="spellEnd"/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AB22D7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vor putea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 iniţiate lucrările de construcţie în privinţa cărora a fost declarată utilitatea publică de interes naţional, cu desfăşurarea în continuare a procedurii de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expropriere a bunurilor în privinţa cărora </w:t>
            </w:r>
            <w:r w:rsidR="00AB22D7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se va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înregistra provizoriu dreptul corespunzător al statului.</w:t>
            </w:r>
          </w:p>
          <w:p w:rsidR="001D0851" w:rsidRPr="002B7335" w:rsidRDefault="002407C0" w:rsidP="0054775E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Totodată, în scopul asigurării evaluări</w:t>
            </w:r>
            <w:r w:rsidR="00725B05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obiective a prejudiciilor materiale şi determinării cuantumului despăgubirii pentru proprietarii/ deţinătorii de alte drepturi reale, care nu sunt de acord cu plata compensatorie calculată şi specificată în propunerea de </w:t>
            </w:r>
            <w:r w:rsidR="00AB22D7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expropriere, pct.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Anexa la Legea 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nr.296/2022 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prevede necesitatea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instituirii de către Guvern a unei Comisii pentru soluţionarea întâmpinărilor titularilor de drepturi expropriate,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E56B7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care sunt în dezacord cu propunerea de expropriere.</w:t>
            </w:r>
            <w:r w:rsidR="0037124C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Necesitatea instituirii Comisiei pentru soluționarea întâmpinărilor este orientată </w:t>
            </w:r>
            <w:r w:rsidR="00024AD2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="002C591F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24AD2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vederea minimizării impactului social</w:t>
            </w:r>
            <w:r w:rsidR="00725B0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2B7335" w:rsidRPr="00547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7335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urmare a</w:t>
            </w:r>
            <w:r w:rsidR="00AB22D7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eventualelor întâmpinări a</w:t>
            </w:r>
            <w:r w:rsidR="0054775E">
              <w:rPr>
                <w:rFonts w:ascii="Times New Roman" w:hAnsi="Times New Roman"/>
                <w:sz w:val="24"/>
                <w:szCs w:val="24"/>
                <w:lang w:val="ro-RO"/>
              </w:rPr>
              <w:t>le</w:t>
            </w:r>
            <w:r w:rsidR="002B7335"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persoanelor afectate de procedura de expropriere</w:t>
            </w:r>
            <w:r w:rsidR="00024AD2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024AD2" w:rsidRPr="00024AD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1D0851" w:rsidRPr="001D0851" w:rsidTr="009619F6">
        <w:trPr>
          <w:trHeight w:val="24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1D0851" w:rsidP="00D61437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851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lastRenderedPageBreak/>
              <w:t xml:space="preserve">3. </w:t>
            </w:r>
            <w:r w:rsidR="00856639" w:rsidRPr="00856639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Descrierea gradului de compatibilitate pentru proiectele care</w:t>
            </w:r>
            <w:r w:rsidR="00D61437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 xml:space="preserve"> au ca scop armonizarea legislaț</w:t>
            </w:r>
            <w:r w:rsidR="00856639" w:rsidRPr="00856639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iei na</w:t>
            </w:r>
            <w:r w:rsidR="00D61437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ț</w:t>
            </w:r>
            <w:r w:rsidR="00856639" w:rsidRPr="00856639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ionale cu legisla</w:t>
            </w:r>
            <w:r w:rsidR="00D61437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ț</w:t>
            </w:r>
            <w:r w:rsidR="00856639" w:rsidRPr="00856639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ia Uniunii Europene</w:t>
            </w:r>
          </w:p>
        </w:tc>
      </w:tr>
      <w:tr w:rsidR="00856639" w:rsidRPr="001D0851" w:rsidTr="00D61437">
        <w:trPr>
          <w:trHeight w:val="24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56639" w:rsidRPr="000A58BF" w:rsidRDefault="000A58BF" w:rsidP="000A58BF">
            <w:pPr>
              <w:spacing w:before="240"/>
              <w:jc w:val="both"/>
              <w:rPr>
                <w:rFonts w:ascii="Times New Roman" w:hAnsi="Times New Roman"/>
                <w:color w:val="191919"/>
                <w:sz w:val="24"/>
                <w:szCs w:val="24"/>
                <w:lang w:val="ro-RO"/>
              </w:rPr>
            </w:pPr>
            <w:r w:rsidRPr="000A58BF">
              <w:rPr>
                <w:rFonts w:ascii="Times New Roman" w:hAnsi="Times New Roman"/>
                <w:color w:val="191919"/>
                <w:sz w:val="24"/>
                <w:szCs w:val="24"/>
                <w:lang w:val="ro-RO"/>
              </w:rPr>
              <w:t>Proiectul nu are drept scop armonizarea legislației naționale cu legislația Uniunii Europene.</w:t>
            </w:r>
          </w:p>
        </w:tc>
      </w:tr>
      <w:tr w:rsidR="00856639" w:rsidRPr="001D0851" w:rsidTr="009619F6">
        <w:trPr>
          <w:trHeight w:val="24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856639" w:rsidRPr="001D0851" w:rsidRDefault="00856639" w:rsidP="00856639">
            <w:pPr>
              <w:spacing w:before="240"/>
              <w:jc w:val="both"/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4</w:t>
            </w:r>
            <w:r w:rsidRPr="001D0851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 xml:space="preserve">. </w:t>
            </w:r>
            <w:r w:rsidRPr="002B7335">
              <w:rPr>
                <w:rFonts w:ascii="Times New Roman" w:hAnsi="Times New Roman"/>
                <w:b/>
                <w:color w:val="191919"/>
                <w:sz w:val="24"/>
                <w:szCs w:val="24"/>
                <w:lang w:val="ro-RO"/>
              </w:rPr>
              <w:t>Principalele prevederi ale proiectului şi evidenţierea elementelor noi</w:t>
            </w:r>
          </w:p>
        </w:tc>
      </w:tr>
      <w:tr w:rsidR="001D0851" w:rsidRPr="001D0851" w:rsidTr="009619F6">
        <w:trPr>
          <w:trHeight w:val="24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19F6" w:rsidRDefault="0054775E" w:rsidP="00DA15FA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Prevederile proiectului de hotărâre derivă din prevederile </w:t>
            </w:r>
            <w:r w:rsidR="00036B0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>Leg</w:t>
            </w:r>
            <w:r w:rsidR="00036B00"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036B00" w:rsidRPr="002407C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36B00" w:rsidRPr="00E67D79">
              <w:rPr>
                <w:rFonts w:ascii="Times New Roman" w:hAnsi="Times New Roman"/>
                <w:sz w:val="24"/>
                <w:szCs w:val="24"/>
                <w:lang w:val="ro-RO"/>
              </w:rPr>
              <w:t>nr.</w:t>
            </w:r>
            <w:r w:rsidR="00036B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296/2022 </w:t>
            </w:r>
            <w:r w:rsidR="00036B00" w:rsidRPr="00036B00">
              <w:rPr>
                <w:rFonts w:ascii="Times New Roman" w:hAnsi="Times New Roman"/>
                <w:sz w:val="24"/>
                <w:szCs w:val="24"/>
                <w:lang w:val="ro-RO"/>
              </w:rPr>
              <w:t>fiind identificat în anexele la hotărâre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:rsidR="009619F6" w:rsidRDefault="0054775E" w:rsidP="00DA15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Totodată, din momentul intrării în vigoare a proiectului de hotărâre în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calitate de act de expropriere în sensul Legii sus-nominalizate, se va dispune transferul către stat, a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>dreptului de folosință asupra bunurilor imobile (terenurilor) situate pe amplasamentul lucrărilor de interes național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19F6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necesare pentru executarea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19F6" w:rsidRPr="0054775E">
              <w:rPr>
                <w:rFonts w:ascii="Times New Roman" w:hAnsi="Times New Roman"/>
                <w:sz w:val="24"/>
                <w:szCs w:val="24"/>
                <w:lang w:val="ro-RO"/>
              </w:rPr>
              <w:t>lucrărilor de construcție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apeductului magistral Chișinău – Strășeni – Călărași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declarate de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utilitate publică de interes național.</w:t>
            </w:r>
          </w:p>
          <w:p w:rsidR="009619F6" w:rsidRPr="009619F6" w:rsidRDefault="009619F6" w:rsidP="00DA15F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1D0851" w:rsidRDefault="0054775E" w:rsidP="00DA15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Astfel, prin adoptarea proiectului în cauză se va stabili obiectul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exproprierii de interes național, momentul în care are loc cedarea drepturilor patrimoniale către stat pentru</w:t>
            </w:r>
            <w:r w:rsid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cauza de utilitate publică și se va ține cont de impactul social adus peroanelor afectate de expropriere. </w:t>
            </w:r>
          </w:p>
          <w:p w:rsidR="009619F6" w:rsidRPr="0049532F" w:rsidRDefault="009619F6" w:rsidP="00DA15FA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</w:p>
          <w:p w:rsidR="009619F6" w:rsidRPr="007E4E5B" w:rsidRDefault="007E4E5B" w:rsidP="00DA15FA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ntru executarea pct.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Anexa la Legea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nr.296/2022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>, prin hotărârea dată se instituie Comisia pentru soluţionarea întâmpinărilor expropriaţilor</w:t>
            </w:r>
            <w:r w:rsidR="00725B0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Comisia va examina întâmpinările,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conform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procedur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ii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prevăzut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 în art.</w:t>
            </w:r>
            <w:r w:rsidR="009619F6" w:rsidRPr="009619F6">
              <w:rPr>
                <w:rFonts w:ascii="Times New Roman" w:hAnsi="Times New Roman"/>
                <w:sz w:val="24"/>
                <w:szCs w:val="24"/>
                <w:lang w:val="ro-RO"/>
              </w:rPr>
              <w:t>11 al Legii exproprierii pentru cauză de utilitate publică nr. 488/1999</w:t>
            </w:r>
          </w:p>
        </w:tc>
      </w:tr>
      <w:tr w:rsidR="001D0851" w:rsidRPr="001D0851" w:rsidTr="009619F6">
        <w:trPr>
          <w:trHeight w:val="24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856639" w:rsidP="00856639">
            <w:pPr>
              <w:spacing w:before="240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5</w:t>
            </w:r>
            <w:r w:rsidR="001D0851" w:rsidRPr="001D085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="007A2561" w:rsidRPr="007A256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Fundamentarea economico-financiară</w:t>
            </w:r>
          </w:p>
        </w:tc>
      </w:tr>
      <w:tr w:rsidR="001D0851" w:rsidRPr="001D0851" w:rsidTr="00905EB9">
        <w:trPr>
          <w:trHeight w:val="1046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0CB" w:rsidRPr="005F50CB" w:rsidRDefault="00D9763F" w:rsidP="00DA15FA">
            <w:pPr>
              <w:spacing w:before="240" w:after="0"/>
              <w:jc w:val="both"/>
              <w:rPr>
                <w:rFonts w:ascii="Times New Roman" w:hAnsi="Times New Roman"/>
                <w:sz w:val="16"/>
                <w:szCs w:val="16"/>
                <w:lang w:val="ro-RO"/>
              </w:rPr>
            </w:pPr>
            <w:r w:rsidRPr="00D9763F">
              <w:rPr>
                <w:rFonts w:ascii="Times New Roman" w:hAnsi="Times New Roman"/>
                <w:sz w:val="24"/>
                <w:szCs w:val="24"/>
                <w:lang w:val="ro-RO"/>
              </w:rPr>
              <w:t>Implementarea prevederilor proiectului hotărârii de Guvern în partea ce ţine de plata despăgubirilor către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976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expropriaţi se va efectua din mijloacele alocate de la bugetul de stat în conformitate cu art.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D9763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 Legii </w:t>
            </w:r>
            <w:r w:rsidRPr="0054775E">
              <w:rPr>
                <w:rFonts w:ascii="Times New Roman" w:hAnsi="Times New Roman"/>
                <w:sz w:val="24"/>
                <w:szCs w:val="24"/>
                <w:lang w:val="ro-RO"/>
              </w:rPr>
              <w:t>nr.296/2022</w:t>
            </w:r>
            <w:r w:rsidRPr="00D9763F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Pr="00D9763F">
              <w:rPr>
                <w:rFonts w:ascii="Times New Roman" w:hAnsi="Times New Roman"/>
                <w:sz w:val="24"/>
                <w:szCs w:val="24"/>
                <w:lang w:val="ro-RO"/>
              </w:rPr>
              <w:cr/>
            </w:r>
          </w:p>
          <w:p w:rsidR="00506DD3" w:rsidRPr="005F50CB" w:rsidRDefault="00506DD3" w:rsidP="005F50CB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06D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Valoarea despăgubirilor datorate proprietarilor bunurilor imobile și/sau titularilor de drepturi asupra bunurilor imobile expropriate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sunt </w:t>
            </w:r>
            <w:r w:rsidRPr="00506DD3">
              <w:rPr>
                <w:rFonts w:ascii="Times New Roman" w:hAnsi="Times New Roman"/>
                <w:sz w:val="24"/>
                <w:szCs w:val="24"/>
                <w:lang w:val="ro-RO"/>
              </w:rPr>
              <w:t>stabili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te</w:t>
            </w:r>
            <w:r w:rsidRPr="00506DD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conform pct.18-22</w:t>
            </w:r>
            <w:r w:rsidR="005F50C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din Anexa Legii nr.296/2022.</w:t>
            </w:r>
          </w:p>
        </w:tc>
      </w:tr>
      <w:tr w:rsidR="001D0851" w:rsidRPr="001D0851" w:rsidTr="009619F6">
        <w:trPr>
          <w:trHeight w:val="33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856639" w:rsidP="00856639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6</w:t>
            </w:r>
            <w:r w:rsidR="001D0851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7F166C" w:rsidRPr="007F166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Modul de încorporare a actului în cadrul normativ în vigoare</w:t>
            </w:r>
          </w:p>
        </w:tc>
      </w:tr>
      <w:tr w:rsidR="001D0851" w:rsidRPr="001D0851" w:rsidTr="00064469">
        <w:trPr>
          <w:trHeight w:val="697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5FA" w:rsidRPr="00DA15FA" w:rsidRDefault="00DA15FA" w:rsidP="00DA15FA">
            <w:pPr>
              <w:spacing w:before="240"/>
              <w:contextualSpacing/>
              <w:jc w:val="both"/>
              <w:rPr>
                <w:rFonts w:ascii="Times New Roman" w:eastAsia="MS Gothic" w:hAnsi="Times New Roman"/>
                <w:color w:val="000000" w:themeColor="text1"/>
                <w:sz w:val="16"/>
                <w:szCs w:val="16"/>
                <w:lang w:val="ro-RO" w:eastAsia="en-GB"/>
              </w:rPr>
            </w:pPr>
          </w:p>
          <w:p w:rsidR="001D0851" w:rsidRDefault="00064469" w:rsidP="00DA15FA">
            <w:pPr>
              <w:spacing w:before="240"/>
              <w:contextualSpacing/>
              <w:jc w:val="both"/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ro-RO" w:eastAsia="en-GB"/>
              </w:rPr>
            </w:pPr>
            <w:r w:rsidRPr="00064469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ro-RO" w:eastAsia="en-GB"/>
              </w:rPr>
              <w:t xml:space="preserve">Proiectul hotărârii reprezintă un instrument de punere în aplicare a Legii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nr.296/2022 </w:t>
            </w:r>
            <w:r w:rsidRPr="00064469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ro-RO" w:eastAsia="en-GB"/>
              </w:rPr>
              <w:t>și se încadrează în</w:t>
            </w:r>
            <w:r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ro-RO" w:eastAsia="en-GB"/>
              </w:rPr>
              <w:t xml:space="preserve"> </w:t>
            </w:r>
            <w:r w:rsidRPr="00064469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ro-RO" w:eastAsia="en-GB"/>
              </w:rPr>
              <w:t>cadrul normativ secundar de implementare a prevederilor acesteia.</w:t>
            </w:r>
          </w:p>
          <w:p w:rsidR="00DA15FA" w:rsidRPr="00DA15FA" w:rsidRDefault="00DA15FA" w:rsidP="00DA15FA">
            <w:pPr>
              <w:spacing w:before="240"/>
              <w:contextualSpacing/>
              <w:jc w:val="both"/>
              <w:rPr>
                <w:rFonts w:ascii="Times New Roman" w:hAnsi="Times New Roman"/>
                <w:b/>
                <w:color w:val="FF0000"/>
                <w:sz w:val="16"/>
                <w:szCs w:val="16"/>
                <w:lang w:val="ro-RO"/>
              </w:rPr>
            </w:pPr>
          </w:p>
        </w:tc>
      </w:tr>
      <w:tr w:rsidR="001D0851" w:rsidRPr="001D0851" w:rsidTr="009619F6">
        <w:trPr>
          <w:trHeight w:val="285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1D0851" w:rsidRPr="001D0851" w:rsidRDefault="0079416F" w:rsidP="0079416F">
            <w:pPr>
              <w:spacing w:before="24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lastRenderedPageBreak/>
              <w:t>7</w:t>
            </w:r>
            <w:r w:rsidR="001D0851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A0329A" w:rsidRPr="00A0329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Avizarea și consultarea publică a proiectului</w:t>
            </w:r>
          </w:p>
        </w:tc>
      </w:tr>
      <w:tr w:rsidR="001D0851" w:rsidRPr="001D0851" w:rsidTr="009619F6">
        <w:trPr>
          <w:trHeight w:val="990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FBE" w:rsidRDefault="00A0329A" w:rsidP="00DA15FA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În scopul respectării prevederilor Legii nr. 239/2008 privind transparența în procesul decizional, pe site-ul Ministerului Infrastructurii și Dezvoltării Regionale </w:t>
            </w:r>
            <w:hyperlink r:id="rId8" w:history="1">
              <w:r w:rsidRPr="001D0851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www.midr.gov.md</w:t>
              </w:r>
            </w:hyperlink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la compartimentul transparenței decizionale și pe platforma </w:t>
            </w:r>
            <w:hyperlink r:id="rId9" w:history="1">
              <w:r w:rsidRPr="001D0851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www.particip.gov.md</w:t>
              </w:r>
            </w:hyperlink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 este plasat anunțul privind inițierea elaborării proiectului normativ. </w:t>
            </w:r>
          </w:p>
          <w:p w:rsidR="001D0851" w:rsidRPr="0049532F" w:rsidRDefault="00A0329A" w:rsidP="0049532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1D0851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De asemenea, în scop de consultare publică, </w:t>
            </w:r>
            <w:r w:rsidR="000B2FB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</w:t>
            </w:r>
            <w:r w:rsidR="000B2FBE" w:rsidRPr="000B2FB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roiectul hotărârii a fost supus avizării și consultării publice conform art. 32 din Legea nr. 100/2017 cu privire</w:t>
            </w:r>
            <w:r w:rsidR="000B2FB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0B2FBE" w:rsidRPr="000B2FB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la actele normative, fiind expediat părților interesate</w:t>
            </w:r>
          </w:p>
        </w:tc>
      </w:tr>
      <w:tr w:rsidR="001D0851" w:rsidRPr="001D0851" w:rsidTr="009619F6">
        <w:trPr>
          <w:trHeight w:val="270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79416F" w:rsidP="0079416F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8</w:t>
            </w:r>
            <w:r w:rsidR="001D0851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AD5587" w:rsidRPr="00495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Constatările expertizei anticorupție</w:t>
            </w:r>
          </w:p>
        </w:tc>
      </w:tr>
      <w:tr w:rsidR="001D0851" w:rsidRPr="001D0851" w:rsidTr="009619F6">
        <w:trPr>
          <w:trHeight w:val="690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851" w:rsidRPr="000B2FBE" w:rsidRDefault="000B2FBE" w:rsidP="00072133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0B2FBE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a fost supus expertizei anticorupție conform art. 35 din Legea nr. 100/2017, fiind efectuată expertiza de către Centrul Național Anticorupție.</w:t>
            </w:r>
          </w:p>
        </w:tc>
      </w:tr>
      <w:tr w:rsidR="001D0851" w:rsidRPr="001D0851" w:rsidTr="009619F6">
        <w:trPr>
          <w:trHeight w:val="285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1D0851" w:rsidRPr="001D0851" w:rsidRDefault="0079416F" w:rsidP="0079416F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9</w:t>
            </w:r>
            <w:r w:rsidR="001D0851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072133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Constatările expertizei juridice</w:t>
            </w:r>
          </w:p>
        </w:tc>
      </w:tr>
      <w:tr w:rsidR="001D0851" w:rsidRPr="001D0851" w:rsidTr="009619F6">
        <w:trPr>
          <w:trHeight w:val="660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851" w:rsidRPr="00072133" w:rsidRDefault="00072133" w:rsidP="00072133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072133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a fost supus expertizei juridice conform art. 37 din Legea nr. 100/2017, fiind efectuată expertiza de către Ministerul Justiției.</w:t>
            </w:r>
          </w:p>
        </w:tc>
      </w:tr>
      <w:tr w:rsidR="0049532F" w:rsidRPr="001D0851" w:rsidTr="0049532F">
        <w:trPr>
          <w:trHeight w:val="443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9532F" w:rsidRPr="001D0851" w:rsidRDefault="0079416F" w:rsidP="0079416F">
            <w:pPr>
              <w:spacing w:before="2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10</w:t>
            </w:r>
            <w:r w:rsidR="0049532F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. </w:t>
            </w:r>
            <w:r w:rsidR="00815255" w:rsidRPr="0081525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Constatările expertizei financiare</w:t>
            </w:r>
          </w:p>
        </w:tc>
      </w:tr>
      <w:tr w:rsidR="0049532F" w:rsidRPr="001D0851" w:rsidTr="009619F6">
        <w:trPr>
          <w:trHeight w:val="660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32F" w:rsidRPr="00815255" w:rsidRDefault="00815255" w:rsidP="00815255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5255">
              <w:rPr>
                <w:rFonts w:ascii="Times New Roman" w:hAnsi="Times New Roman"/>
                <w:sz w:val="24"/>
                <w:szCs w:val="24"/>
                <w:lang w:val="ro-RO"/>
              </w:rPr>
              <w:t>Proiectul este supus expertizei financiare conform art. 34 alin. (5) din Legea 100/2017, fiind solicitată efectuarea expertizei de către Ministerul Finanțelor.</w:t>
            </w:r>
          </w:p>
        </w:tc>
      </w:tr>
      <w:tr w:rsidR="0049532F" w:rsidRPr="001D0851" w:rsidTr="009619F6">
        <w:trPr>
          <w:trHeight w:val="259"/>
          <w:jc w:val="center"/>
        </w:trPr>
        <w:tc>
          <w:tcPr>
            <w:tcW w:w="10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49532F" w:rsidRPr="001D0851" w:rsidRDefault="00815255" w:rsidP="0079416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79416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1</w:t>
            </w:r>
            <w:r w:rsidR="0049532F" w:rsidRPr="001D08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. Alte expertize</w:t>
            </w:r>
          </w:p>
        </w:tc>
      </w:tr>
      <w:tr w:rsidR="0049532F" w:rsidRPr="001D0851" w:rsidTr="009619F6">
        <w:trPr>
          <w:trHeight w:val="906"/>
          <w:jc w:val="center"/>
        </w:trPr>
        <w:tc>
          <w:tcPr>
            <w:tcW w:w="100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12" w:rsidRPr="00895C12" w:rsidRDefault="00895C12" w:rsidP="00895C12">
            <w:pPr>
              <w:spacing w:before="2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95C1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nu conține prevederi de reglementare a activității de întreprinzător în sensul Legii nr. 235/2006 cu</w:t>
            </w:r>
            <w:r w:rsidR="00C3153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95C1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privire la principiile de bază de reglementare a activității de întreprinzător, astfel decăzând necesitatea</w:t>
            </w:r>
            <w:r w:rsidR="00C3153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895C1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examinării acestuia de către Grupul de lucru pentru reglementarea activității de întreprinzător.</w:t>
            </w:r>
          </w:p>
          <w:p w:rsidR="0049532F" w:rsidRPr="001D0851" w:rsidRDefault="00895C12" w:rsidP="00C31538">
            <w:pPr>
              <w:spacing w:before="24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895C1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De asemenea, proiectul nu cade sub incidența altor expertize necesare a fi efectuate în condițiile Legii nr.100/2017.</w:t>
            </w:r>
          </w:p>
        </w:tc>
      </w:tr>
    </w:tbl>
    <w:p w:rsidR="001D0851" w:rsidRPr="001D0851" w:rsidRDefault="001D0851" w:rsidP="001D08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D0851" w:rsidRPr="001D0851" w:rsidRDefault="001D0851" w:rsidP="001D08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D0851" w:rsidRPr="001D0851" w:rsidRDefault="001D0851" w:rsidP="001D0851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</w:pPr>
    </w:p>
    <w:p w:rsidR="001D0851" w:rsidRPr="001D0851" w:rsidRDefault="00F54A17" w:rsidP="00F54A1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</w:pPr>
      <w:r w:rsidRPr="00F54A17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>Ministrul Infrastructurii și Dezvoltării Regionale</w:t>
      </w:r>
      <w:r w:rsidR="001D0851" w:rsidRPr="001D0851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ab/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 xml:space="preserve"> </w:t>
      </w:r>
      <w:r w:rsidR="001D0851" w:rsidRPr="001D0851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 xml:space="preserve">           </w:t>
      </w:r>
      <w:r w:rsidR="001D0851" w:rsidRPr="001D0851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ab/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 xml:space="preserve">         </w:t>
      </w:r>
      <w:proofErr w:type="spellStart"/>
      <w:r w:rsidR="001D0851" w:rsidRPr="001D0851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>Lilia</w:t>
      </w:r>
      <w:proofErr w:type="spellEnd"/>
      <w:r w:rsidR="001D0851" w:rsidRPr="001D0851">
        <w:rPr>
          <w:rFonts w:ascii="Times New Roman" w:eastAsia="Times New Roman" w:hAnsi="Times New Roman"/>
          <w:b/>
          <w:bCs/>
          <w:color w:val="000000"/>
          <w:sz w:val="26"/>
          <w:szCs w:val="26"/>
          <w:lang w:val="ro-RO" w:eastAsia="ru-MD"/>
        </w:rPr>
        <w:t xml:space="preserve"> DABIJA</w:t>
      </w:r>
    </w:p>
    <w:sectPr w:rsidR="001D0851" w:rsidRPr="001D0851" w:rsidSect="005E7950">
      <w:footerReference w:type="default" r:id="rId10"/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15" w:rsidRDefault="00EA5615" w:rsidP="00D00D0D">
      <w:pPr>
        <w:spacing w:after="0" w:line="240" w:lineRule="auto"/>
      </w:pPr>
      <w:r>
        <w:separator/>
      </w:r>
    </w:p>
  </w:endnote>
  <w:endnote w:type="continuationSeparator" w:id="0">
    <w:p w:rsidR="00EA5615" w:rsidRDefault="00EA5615" w:rsidP="00D0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2397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D0D" w:rsidRDefault="00D00D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B0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0D0D" w:rsidRDefault="00D00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15" w:rsidRDefault="00EA5615" w:rsidP="00D00D0D">
      <w:pPr>
        <w:spacing w:after="0" w:line="240" w:lineRule="auto"/>
      </w:pPr>
      <w:r>
        <w:separator/>
      </w:r>
    </w:p>
  </w:footnote>
  <w:footnote w:type="continuationSeparator" w:id="0">
    <w:p w:rsidR="00EA5615" w:rsidRDefault="00EA5615" w:rsidP="00D00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0B2"/>
    <w:multiLevelType w:val="hybridMultilevel"/>
    <w:tmpl w:val="EDCEC0B8"/>
    <w:lvl w:ilvl="0" w:tplc="DC82E8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8437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89E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48C5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06C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452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FA70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94EC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4AEB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7F0ABF"/>
    <w:multiLevelType w:val="hybridMultilevel"/>
    <w:tmpl w:val="C32879D6"/>
    <w:lvl w:ilvl="0" w:tplc="7DF8F0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708E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EAFD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EE2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CBB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213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4AC0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DAF3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6DE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19957BD"/>
    <w:multiLevelType w:val="hybridMultilevel"/>
    <w:tmpl w:val="316EBEA2"/>
    <w:lvl w:ilvl="0" w:tplc="E682AB1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313A2"/>
    <w:multiLevelType w:val="hybridMultilevel"/>
    <w:tmpl w:val="E42AD4D0"/>
    <w:lvl w:ilvl="0" w:tplc="B672C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3AB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837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2092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A459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A61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6628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2F0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2B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51"/>
    <w:rsid w:val="00024AD2"/>
    <w:rsid w:val="00036B00"/>
    <w:rsid w:val="00064469"/>
    <w:rsid w:val="00072133"/>
    <w:rsid w:val="000A58BF"/>
    <w:rsid w:val="000B2FBE"/>
    <w:rsid w:val="000B641B"/>
    <w:rsid w:val="001679A1"/>
    <w:rsid w:val="001D0851"/>
    <w:rsid w:val="001D21BF"/>
    <w:rsid w:val="00223A83"/>
    <w:rsid w:val="002407C0"/>
    <w:rsid w:val="002B7335"/>
    <w:rsid w:val="002C591F"/>
    <w:rsid w:val="00316450"/>
    <w:rsid w:val="0037124C"/>
    <w:rsid w:val="003D140A"/>
    <w:rsid w:val="0049532F"/>
    <w:rsid w:val="00506DD3"/>
    <w:rsid w:val="0054775E"/>
    <w:rsid w:val="005F50CB"/>
    <w:rsid w:val="0062418D"/>
    <w:rsid w:val="0066145B"/>
    <w:rsid w:val="00675AB5"/>
    <w:rsid w:val="0071194B"/>
    <w:rsid w:val="0072225B"/>
    <w:rsid w:val="00725B05"/>
    <w:rsid w:val="0079416F"/>
    <w:rsid w:val="007A2561"/>
    <w:rsid w:val="007E4E5B"/>
    <w:rsid w:val="007F166C"/>
    <w:rsid w:val="007F6428"/>
    <w:rsid w:val="00815255"/>
    <w:rsid w:val="008153CD"/>
    <w:rsid w:val="0082214B"/>
    <w:rsid w:val="00856639"/>
    <w:rsid w:val="00895C12"/>
    <w:rsid w:val="00905EB9"/>
    <w:rsid w:val="009161E9"/>
    <w:rsid w:val="009325E4"/>
    <w:rsid w:val="009619F6"/>
    <w:rsid w:val="00985C9B"/>
    <w:rsid w:val="00A0329A"/>
    <w:rsid w:val="00A16A78"/>
    <w:rsid w:val="00AA7C18"/>
    <w:rsid w:val="00AB22D7"/>
    <w:rsid w:val="00AD5587"/>
    <w:rsid w:val="00B673D0"/>
    <w:rsid w:val="00BB1F55"/>
    <w:rsid w:val="00BD7375"/>
    <w:rsid w:val="00BE08D1"/>
    <w:rsid w:val="00BF0155"/>
    <w:rsid w:val="00C07050"/>
    <w:rsid w:val="00C21109"/>
    <w:rsid w:val="00C31538"/>
    <w:rsid w:val="00C70164"/>
    <w:rsid w:val="00C750C7"/>
    <w:rsid w:val="00CB7015"/>
    <w:rsid w:val="00D00D0D"/>
    <w:rsid w:val="00D40D3D"/>
    <w:rsid w:val="00D61437"/>
    <w:rsid w:val="00D9763F"/>
    <w:rsid w:val="00DA15FA"/>
    <w:rsid w:val="00DE4B47"/>
    <w:rsid w:val="00E467FC"/>
    <w:rsid w:val="00E56B7F"/>
    <w:rsid w:val="00E67D79"/>
    <w:rsid w:val="00EA5615"/>
    <w:rsid w:val="00F44D56"/>
    <w:rsid w:val="00F54A17"/>
    <w:rsid w:val="00F80A70"/>
    <w:rsid w:val="00FD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5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59"/>
    <w:rsid w:val="001D0851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Normal"/>
    <w:link w:val="ListParagraphChar"/>
    <w:uiPriority w:val="34"/>
    <w:qFormat/>
    <w:rsid w:val="001D08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fontstyle01">
    <w:name w:val="fontstyle01"/>
    <w:basedOn w:val="DefaultParagraphFont"/>
    <w:rsid w:val="001D085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1D0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Scriptoria bullet points Char,List Paragraph 1 Char,Table of contents numbered Char,List Paragraph in table Char,PDP DOCUMENT SUBTITLE Char,Bullets Char,List Paragraph (numbered (a)) Char,Bullet Points Char,Liste Paragraf Char"/>
    <w:link w:val="ListParagraph"/>
    <w:uiPriority w:val="34"/>
    <w:qFormat/>
    <w:locked/>
    <w:rsid w:val="001D0851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uiPriority w:val="99"/>
    <w:rsid w:val="001D0851"/>
    <w:rPr>
      <w:color w:val="0000FF"/>
      <w:u w:val="single"/>
    </w:rPr>
  </w:style>
  <w:style w:type="table" w:styleId="TableGrid">
    <w:name w:val="Table Grid"/>
    <w:basedOn w:val="TableNormal"/>
    <w:uiPriority w:val="59"/>
    <w:rsid w:val="001D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D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D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0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851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59"/>
    <w:rsid w:val="001D0851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Normal"/>
    <w:link w:val="ListParagraphChar"/>
    <w:uiPriority w:val="34"/>
    <w:qFormat/>
    <w:rsid w:val="001D08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fontstyle01">
    <w:name w:val="fontstyle01"/>
    <w:basedOn w:val="DefaultParagraphFont"/>
    <w:rsid w:val="001D085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1D08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Scriptoria bullet points Char,List Paragraph 1 Char,Table of contents numbered Char,List Paragraph in table Char,PDP DOCUMENT SUBTITLE Char,Bullets Char,List Paragraph (numbered (a)) Char,Bullet Points Char,Liste Paragraf Char"/>
    <w:link w:val="ListParagraph"/>
    <w:uiPriority w:val="34"/>
    <w:qFormat/>
    <w:locked/>
    <w:rsid w:val="001D0851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styleId="Hyperlink">
    <w:name w:val="Hyperlink"/>
    <w:uiPriority w:val="99"/>
    <w:rsid w:val="001D0851"/>
    <w:rPr>
      <w:color w:val="0000FF"/>
      <w:u w:val="single"/>
    </w:rPr>
  </w:style>
  <w:style w:type="table" w:styleId="TableGrid">
    <w:name w:val="Table Grid"/>
    <w:basedOn w:val="TableNormal"/>
    <w:uiPriority w:val="59"/>
    <w:rsid w:val="001D0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0D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D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r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2023-04-06T16:25:00Z</cp:lastPrinted>
  <dcterms:created xsi:type="dcterms:W3CDTF">2023-04-11T05:33:00Z</dcterms:created>
  <dcterms:modified xsi:type="dcterms:W3CDTF">2023-04-27T05:59:00Z</dcterms:modified>
</cp:coreProperties>
</file>