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88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Anexa nr. 3</w:t>
      </w:r>
    </w:p>
    <w:p w:rsidR="00000000" w:rsidDel="00000000" w:rsidP="00000000" w:rsidRDefault="00000000" w:rsidRPr="00000000" w14:paraId="00000002">
      <w:pPr>
        <w:ind w:left="288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Regulamentul cu privire la mecanismul de finanțare</w:t>
      </w:r>
    </w:p>
    <w:p w:rsidR="00000000" w:rsidDel="00000000" w:rsidP="00000000" w:rsidRDefault="00000000" w:rsidRPr="00000000" w14:paraId="00000003">
      <w:pPr>
        <w:ind w:left="288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sportului de performanță conform criteriilor distincte</w:t>
      </w:r>
    </w:p>
    <w:p w:rsidR="00000000" w:rsidDel="00000000" w:rsidP="00000000" w:rsidRDefault="00000000" w:rsidRPr="00000000" w14:paraId="00000004">
      <w:pPr>
        <w:ind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MIJLOACELE FINANCIARE DE REZERVĂ </w:t>
      </w:r>
    </w:p>
    <w:p w:rsidR="00000000" w:rsidDel="00000000" w:rsidP="00000000" w:rsidRDefault="00000000" w:rsidRPr="00000000" w14:paraId="00000006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ale autorității publice centrale de specialitate</w:t>
      </w:r>
    </w:p>
    <w:p w:rsidR="00000000" w:rsidDel="00000000" w:rsidP="00000000" w:rsidRDefault="00000000" w:rsidRPr="00000000" w14:paraId="0000000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în domeniul culturii fizice și sportului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  <w:tab w:val="left" w:leader="none" w:pos="567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Mijloacele financiare de rezervă sunt planificate de autoritatea </w:t>
      </w:r>
      <w:r w:rsidDel="00000000" w:rsidR="00000000" w:rsidRPr="00000000">
        <w:rPr>
          <w:sz w:val="24"/>
          <w:szCs w:val="24"/>
          <w:rtl w:val="0"/>
        </w:rPr>
        <w:t xml:space="preserve">publică centrală de specialitate în domeniul culturii fizice și sportului în limitele alocațiilor bugetare, fiind destinate pentru acoperirea unor cheltuieli cu caracter excepțional și imprevizibil în domeniul sportului.</w:t>
      </w:r>
    </w:p>
    <w:p w:rsidR="00000000" w:rsidDel="00000000" w:rsidP="00000000" w:rsidRDefault="00000000" w:rsidRPr="00000000" w14:paraId="0000000A">
      <w:pPr>
        <w:tabs>
          <w:tab w:val="left" w:leader="none" w:pos="426"/>
          <w:tab w:val="left" w:leader="none" w:pos="567"/>
        </w:tabs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26"/>
          <w:tab w:val="left" w:leader="none" w:pos="567"/>
          <w:tab w:val="left" w:leader="none" w:pos="851"/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Mijloacele financiare de rezervă pot fi utilizate pentru: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42"/>
          <w:tab w:val="left" w:leader="none" w:pos="699.0000000000002"/>
          <w:tab w:val="left" w:leader="none" w:pos="851"/>
          <w:tab w:val="left" w:leader="none" w:pos="839.9999999999999"/>
        </w:tabs>
        <w:ind w:left="1133.858267716535" w:hanging="360"/>
        <w:rPr>
          <w:sz w:val="24"/>
          <w:szCs w:val="24"/>
          <w:highlight w:val="white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highlight w:val="white"/>
          <w:rtl w:val="0"/>
        </w:rPr>
        <w:t xml:space="preserve">acordarea ajutorului financiar pentru acoperirea cheltuielilor de organizare a competițiilor de anvergură internațională, desfășurate pe teritoriul Republicii Moldova, după cum urmează: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a) Campionatul Mondial la toate categoriile de vârstă;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b) Campionatul European la toate categoriile de vârstă;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c) Campionatul Universitar Mondial,;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d)Competiții internaționale ce oferă rating european/mondial, aprobate de către Federația Sportivă Internațională; </w:t>
      </w:r>
    </w:p>
    <w:p w:rsidR="00000000" w:rsidDel="00000000" w:rsidP="00000000" w:rsidRDefault="00000000" w:rsidRPr="00000000" w14:paraId="00000011">
      <w:pPr>
        <w:tabs>
          <w:tab w:val="left" w:leader="none" w:pos="851"/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e) turnee internaționale cu participarea a cel puțin 6 țări (ramuri de sport individuale) și 6 țări (jocuri sportive) sub egida federației internaționale;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2"/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3) acordarea suportului financiar pentru pregătirea și reabilitare sportivilor și sportivelor de performanță, membri ai Lotului Național, potențiali candidați să reprezinte  Republica Moldova la Jocurile Olimpice/ Paralimpice;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4) finanțarea unor acțiuni de promovare a sportului pentru toți și a altor activități, având drept scop dezvoltarea culturii fizice și sportului;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99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5) recuperarea cheltuielilor legate de deplasarea sportivelor și sportivilor premianți la campionatele mondiale și europene, în caz de necesitate;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567"/>
          <w:tab w:val="left" w:leader="none" w:pos="993"/>
        </w:tabs>
        <w:ind w:left="0"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acordarea ajutorului financiar pentru achiziționarea echipamentului și a inventarului sportiv;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567"/>
          <w:tab w:val="left" w:leader="none" w:pos="993"/>
        </w:tabs>
        <w:ind w:left="0"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acordarea ajutorului financiar pentru achitarea asigurării medicale;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567"/>
          <w:tab w:val="left" w:leader="none" w:pos="993"/>
        </w:tabs>
        <w:ind w:left="0" w:firstLine="709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alte cheltuieli cu caracter imprevizibil și de urgență, care, conform legislației, țin de competența autorităților publice centrale de specialitate.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  <w:tab w:val="left" w:leader="none" w:pos="567"/>
          <w:tab w:val="left" w:leader="none" w:pos="993"/>
        </w:tabs>
        <w:ind w:left="0" w:firstLine="709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Suma acordată din fondul de rezervă unei federații naționale pentru punctele 3, 6 și 8 nu poate depăși 50% din suma totală acordată unei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federații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după aplicarea sistemului de repartizare a alocațiilor conform criteriilor distincte.</w:t>
      </w:r>
    </w:p>
    <w:p w:rsidR="00000000" w:rsidDel="00000000" w:rsidP="00000000" w:rsidRDefault="00000000" w:rsidRPr="00000000" w14:paraId="00000019">
      <w:pPr>
        <w:tabs>
          <w:tab w:val="left" w:leader="none" w:pos="993"/>
          <w:tab w:val="left" w:leader="none" w:pos="1134"/>
          <w:tab w:val="left" w:leader="none" w:pos="6386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568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$ Benguiat_Bold"/>
  <w:font w:name="$Casl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Y:\004\ANUL 2023\HOTĂRÎRI\402\402-redactat-ro.docx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6"/>
      <w:numFmt w:val="decimal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o-RO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$ Benguiat_Bold" w:cs="$ Benguiat_Bold" w:eastAsia="$ Benguiat_Bold" w:hAnsi="$ Benguiat_Bold"/>
      <w:b w:val="1"/>
      <w:sz w:val="132"/>
      <w:szCs w:val="1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$Caslon" w:cs="$Caslon" w:eastAsia="$Caslon" w:hAnsi="$Caslon"/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$Caslon" w:cs="$Caslon" w:eastAsia="$Caslon" w:hAnsi="$Caslon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$Caslon" w:cs="$Caslon" w:eastAsia="$Caslon" w:hAnsi="$Caslon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$Caslon" w:cs="$Caslon" w:eastAsia="$Caslon" w:hAnsi="$Caslo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 w:val="en-US"/>
    </w:rPr>
  </w:style>
  <w:style w:type="paragraph" w:styleId="1">
    <w:name w:val="heading 1"/>
    <w:basedOn w:val="a"/>
    <w:next w:val="a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2">
    <w:name w:val="heading 2"/>
    <w:basedOn w:val="a"/>
    <w:next w:val="a"/>
    <w:qFormat w:val="1"/>
    <w:pPr>
      <w:keepNext w:val="1"/>
      <w:jc w:val="center"/>
      <w:outlineLvl w:val="1"/>
    </w:pPr>
    <w:rPr>
      <w:rFonts w:ascii="$ Benguiat_Bold" w:hAnsi="$ Benguiat_Bold"/>
      <w:b w:val="1"/>
      <w:sz w:val="132"/>
      <w:lang w:val="x-none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rFonts w:ascii="$Caslon" w:hAnsi="$Caslon"/>
      <w:b w:val="1"/>
      <w:lang w:val="x-none"/>
    </w:rPr>
  </w:style>
  <w:style w:type="paragraph" w:styleId="4">
    <w:name w:val="heading 4"/>
    <w:basedOn w:val="a"/>
    <w:next w:val="a"/>
    <w:qFormat w:val="1"/>
    <w:pPr>
      <w:keepNext w:val="1"/>
      <w:jc w:val="center"/>
      <w:outlineLvl w:val="3"/>
    </w:pPr>
    <w:rPr>
      <w:rFonts w:ascii="$Caslon" w:hAnsi="$Caslon"/>
      <w:b w:val="1"/>
      <w:sz w:val="26"/>
      <w:lang w:val="x-none"/>
    </w:rPr>
  </w:style>
  <w:style w:type="paragraph" w:styleId="5">
    <w:name w:val="heading 5"/>
    <w:basedOn w:val="a"/>
    <w:next w:val="a"/>
    <w:qFormat w:val="1"/>
    <w:pPr>
      <w:keepNext w:val="1"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 w:val="1"/>
    <w:pPr>
      <w:keepNext w:val="1"/>
      <w:jc w:val="center"/>
      <w:outlineLvl w:val="5"/>
    </w:pPr>
    <w:rPr>
      <w:rFonts w:ascii="$Caslon" w:hAnsi="$Caslon"/>
      <w:b w:val="1"/>
      <w:sz w:val="22"/>
      <w:lang w:val="x-none"/>
    </w:rPr>
  </w:style>
  <w:style w:type="paragraph" w:styleId="7">
    <w:name w:val="heading 7"/>
    <w:basedOn w:val="a"/>
    <w:next w:val="a"/>
    <w:qFormat w:val="1"/>
    <w:pPr>
      <w:keepNext w:val="1"/>
      <w:jc w:val="center"/>
      <w:outlineLvl w:val="6"/>
    </w:pPr>
    <w:rPr>
      <w:rFonts w:ascii="Garamond" w:hAnsi="Garamond"/>
      <w:b w:val="1"/>
      <w:sz w:val="28"/>
    </w:rPr>
  </w:style>
  <w:style w:type="paragraph" w:styleId="8">
    <w:name w:val="heading 8"/>
    <w:basedOn w:val="a"/>
    <w:next w:val="a"/>
    <w:qFormat w:val="1"/>
    <w:pPr>
      <w:keepNext w:val="1"/>
      <w:jc w:val="center"/>
      <w:outlineLvl w:val="7"/>
    </w:pPr>
    <w:rPr>
      <w:rFonts w:ascii="$Caslon" w:hAnsi="$Caslon"/>
      <w:b w:val="1"/>
      <w:sz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styleId="a4" w:customStyle="1">
    <w:name w:val="Текст выноски Знак"/>
    <w:link w:val="a3"/>
    <w:uiPriority w:val="99"/>
    <w:rsid w:val="004E1000"/>
    <w:rPr>
      <w:rFonts w:ascii="Tahoma" w:cs="Tahoma" w:hAnsi="Tahoma"/>
      <w:sz w:val="16"/>
      <w:szCs w:val="16"/>
      <w:lang w:eastAsia="en-US" w:val="en-US"/>
    </w:rPr>
  </w:style>
  <w:style w:type="paragraph" w:styleId="CharChar" w:customStyle="1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cs="Arial" w:eastAsia="Batang" w:hAnsi="Arial"/>
    </w:rPr>
  </w:style>
  <w:style w:type="paragraph" w:styleId="a5">
    <w:name w:val="Normal (Web)"/>
    <w:basedOn w:val="a"/>
    <w:uiPriority w:val="99"/>
    <w:unhideWhenUsed w:val="1"/>
    <w:rsid w:val="00A56041"/>
    <w:pPr>
      <w:ind w:firstLine="567"/>
    </w:pPr>
    <w:rPr>
      <w:sz w:val="24"/>
      <w:szCs w:val="24"/>
      <w:lang w:eastAsia="ru-RU" w:val="ru-RU"/>
    </w:rPr>
  </w:style>
  <w:style w:type="paragraph" w:styleId="cn" w:customStyle="1">
    <w:name w:val="cn"/>
    <w:basedOn w:val="a"/>
    <w:rsid w:val="00A56041"/>
    <w:pPr>
      <w:ind w:firstLine="0"/>
      <w:jc w:val="center"/>
    </w:pPr>
    <w:rPr>
      <w:sz w:val="24"/>
      <w:szCs w:val="24"/>
      <w:lang w:eastAsia="ru-RU" w:val="ru-RU"/>
    </w:rPr>
  </w:style>
  <w:style w:type="paragraph" w:styleId="cb" w:customStyle="1">
    <w:name w:val="cb"/>
    <w:basedOn w:val="a"/>
    <w:uiPriority w:val="99"/>
    <w:semiHidden w:val="1"/>
    <w:rsid w:val="00A56041"/>
    <w:pPr>
      <w:ind w:firstLine="0"/>
      <w:jc w:val="center"/>
    </w:pPr>
    <w:rPr>
      <w:b w:val="1"/>
      <w:bCs w:val="1"/>
      <w:sz w:val="24"/>
      <w:szCs w:val="24"/>
      <w:lang w:eastAsia="ru-RU" w:val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link w:val="a6"/>
    <w:uiPriority w:val="99"/>
    <w:rsid w:val="00026B87"/>
    <w:rPr>
      <w:lang w:eastAsia="en-US" w:val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link w:val="a8"/>
    <w:uiPriority w:val="99"/>
    <w:rsid w:val="00026B87"/>
    <w:rPr>
      <w:lang w:eastAsia="en-US" w:val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ws" w:customStyle="1">
    <w:name w:val="news"/>
    <w:basedOn w:val="a"/>
    <w:rsid w:val="009E20E6"/>
    <w:pPr>
      <w:ind w:firstLine="0"/>
      <w:jc w:val="left"/>
    </w:pPr>
    <w:rPr>
      <w:rFonts w:ascii="Arial" w:cs="Arial" w:hAnsi="Arial"/>
      <w:lang w:eastAsia="ru-RU" w:val="ru-RU"/>
    </w:rPr>
  </w:style>
  <w:style w:type="table" w:styleId="GrilTabel1" w:customStyle="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eastAsia="en-US" w:val="ro-RO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b">
    <w:name w:val="List Paragraph"/>
    <w:basedOn w:val="a"/>
    <w:uiPriority w:val="1"/>
    <w:qFormat w:val="1"/>
    <w:rsid w:val="009E20E6"/>
    <w:pPr>
      <w:ind w:left="720"/>
      <w:contextualSpacing w:val="1"/>
    </w:pPr>
  </w:style>
  <w:style w:type="numbering" w:styleId="FrListare1" w:customStyle="1">
    <w:name w:val="Fără Listare1"/>
    <w:next w:val="a2"/>
    <w:semiHidden w:val="1"/>
    <w:rsid w:val="00E216C5"/>
  </w:style>
  <w:style w:type="character" w:styleId="ac">
    <w:name w:val="page number"/>
    <w:basedOn w:val="a0"/>
    <w:rsid w:val="00E216C5"/>
  </w:style>
  <w:style w:type="paragraph" w:styleId="tt" w:customStyle="1">
    <w:name w:val="tt"/>
    <w:basedOn w:val="a"/>
    <w:rsid w:val="00E216C5"/>
    <w:pPr>
      <w:ind w:firstLine="0"/>
      <w:jc w:val="center"/>
    </w:pPr>
    <w:rPr>
      <w:b w:val="1"/>
      <w:bCs w:val="1"/>
      <w:sz w:val="24"/>
      <w:szCs w:val="24"/>
      <w:lang w:eastAsia="ru-RU" w:val="ru-RU"/>
    </w:rPr>
  </w:style>
  <w:style w:type="paragraph" w:styleId="CharChar0" w:customStyle="1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cs="Arial" w:eastAsia="Batang" w:hAnsi="Arial"/>
    </w:rPr>
  </w:style>
  <w:style w:type="character" w:styleId="docheader1" w:customStyle="1">
    <w:name w:val="doc_header1"/>
    <w:rsid w:val="00E216C5"/>
    <w:rPr>
      <w:rFonts w:ascii="Times New Roman" w:cs="Times New Roman" w:hAnsi="Times New Roman" w:hint="default"/>
      <w:b w:val="1"/>
      <w:bCs w:val="1"/>
      <w:color w:val="000000"/>
      <w:sz w:val="24"/>
      <w:szCs w:val="24"/>
    </w:rPr>
  </w:style>
  <w:style w:type="character" w:styleId="ad">
    <w:name w:val="Strong"/>
    <w:uiPriority w:val="22"/>
    <w:qFormat w:val="1"/>
    <w:rsid w:val="00E216C5"/>
    <w:rPr>
      <w:b w:val="1"/>
      <w:bCs w:val="1"/>
    </w:rPr>
  </w:style>
  <w:style w:type="character" w:styleId="docsign11" w:customStyle="1">
    <w:name w:val="doc_sign11"/>
    <w:rsid w:val="00E216C5"/>
    <w:rPr>
      <w:rFonts w:ascii="Times New Roman" w:cs="Times New Roman" w:hAnsi="Times New Roman" w:hint="default"/>
      <w:b w:val="1"/>
      <w:bCs w:val="1"/>
      <w:color w:val="000000"/>
      <w:sz w:val="22"/>
      <w:szCs w:val="22"/>
    </w:rPr>
  </w:style>
  <w:style w:type="character" w:styleId="sttart" w:customStyle="1">
    <w:name w:val="st_tart"/>
    <w:basedOn w:val="a0"/>
    <w:rsid w:val="00E216C5"/>
  </w:style>
  <w:style w:type="character" w:styleId="tal1" w:customStyle="1">
    <w:name w:val="tal1"/>
    <w:rsid w:val="00E216C5"/>
  </w:style>
  <w:style w:type="table" w:styleId="GrilTabel2" w:customStyle="1">
    <w:name w:val="Grilă Tabel2"/>
    <w:basedOn w:val="a1"/>
    <w:next w:val="aa"/>
    <w:rsid w:val="00E216C5"/>
    <w:rPr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justify" w:customStyle="1">
    <w:name w:val="justify"/>
    <w:basedOn w:val="a"/>
    <w:rsid w:val="00E216C5"/>
    <w:pPr>
      <w:spacing w:after="100" w:afterAutospacing="1" w:before="100" w:before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styleId="def" w:customStyle="1">
    <w:name w:val="def"/>
    <w:rsid w:val="00E216C5"/>
  </w:style>
  <w:style w:type="paragraph" w:styleId="cnam1" w:customStyle="1">
    <w:name w:val="cnam1"/>
    <w:basedOn w:val="a"/>
    <w:rsid w:val="00E216C5"/>
    <w:pPr>
      <w:spacing w:after="100" w:afterAutospacing="1" w:before="100" w:before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eastAsia="ru-RU" w:val="ro-RO"/>
    </w:rPr>
  </w:style>
  <w:style w:type="character" w:styleId="af0" w:customStyle="1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rsid w:val="00E216C5"/>
    <w:rPr>
      <w:b w:val="1"/>
      <w:bCs w:val="1"/>
      <w:lang w:val="ro-RO"/>
    </w:rPr>
  </w:style>
  <w:style w:type="character" w:styleId="apple-converted-space" w:customStyle="1">
    <w:name w:val="apple-converted-space"/>
    <w:rsid w:val="00E216C5"/>
  </w:style>
  <w:style w:type="character" w:styleId="docheader" w:customStyle="1">
    <w:name w:val="doc_header"/>
    <w:rsid w:val="00E216C5"/>
  </w:style>
  <w:style w:type="paragraph" w:styleId="Style2" w:customStyle="1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eastAsia="ru-RU" w:val="ru-RU"/>
    </w:rPr>
  </w:style>
  <w:style w:type="paragraph" w:styleId="Style8" w:customStyle="1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eastAsia="ru-RU" w:val="ru-RU"/>
    </w:rPr>
  </w:style>
  <w:style w:type="paragraph" w:styleId="Style9" w:customStyle="1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eastAsia="ru-RU" w:val="ru-RU"/>
    </w:rPr>
  </w:style>
  <w:style w:type="character" w:styleId="FontStyle12" w:customStyle="1">
    <w:name w:val="Font Style12"/>
    <w:basedOn w:val="a0"/>
    <w:uiPriority w:val="99"/>
    <w:rsid w:val="00EA7735"/>
    <w:rPr>
      <w:rFonts w:ascii="Times New Roman" w:cs="Times New Roman" w:hAnsi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styleId="cp" w:customStyle="1">
    <w:name w:val="cp"/>
    <w:basedOn w:val="a"/>
    <w:rsid w:val="000D7A09"/>
    <w:pPr>
      <w:spacing w:after="100" w:afterAutospacing="1" w:before="100" w:beforeAutospacing="1"/>
      <w:ind w:firstLine="0"/>
      <w:jc w:val="left"/>
    </w:pPr>
    <w:rPr>
      <w:sz w:val="24"/>
      <w:szCs w:val="24"/>
      <w:lang w:eastAsia="ru-RU" w:val="ru-RU"/>
    </w:rPr>
  </w:style>
  <w:style w:type="character" w:styleId="object" w:customStyle="1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 w:val="1"/>
    <w:rsid w:val="000D7A09"/>
    <w:pPr>
      <w:ind w:firstLine="0"/>
      <w:jc w:val="left"/>
    </w:pPr>
    <w:rPr>
      <w:rFonts w:ascii="Consolas" w:hAnsi="Consolas"/>
    </w:rPr>
  </w:style>
  <w:style w:type="character" w:styleId="HTML0" w:customStyle="1">
    <w:name w:val="Стандартный HTML Знак"/>
    <w:basedOn w:val="a0"/>
    <w:link w:val="HTML"/>
    <w:uiPriority w:val="99"/>
    <w:rsid w:val="000D7A09"/>
    <w:rPr>
      <w:rFonts w:ascii="Consolas" w:hAnsi="Consolas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8HpWMZcQv7MVT2wjNdsRHCqpw==">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2023-01-12T08:56:00Z</dcterms:created>
  <dc:creator>lll</dc:creator>
</cp:coreProperties>
</file>