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Tabel comparativ</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333333"/>
          <w:sz w:val="24"/>
          <w:szCs w:val="24"/>
          <w:rtl w:val="0"/>
        </w:rPr>
        <w:t xml:space="preserve">cu privire la modificarea Hotărârii Guvernului</w:t>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nr.22/2023 pentru aprobarea Regulamentului cu privire la mecanismul de finanțare a sportului de performanță conform criteriilor distincte</w:t>
      </w:r>
      <w:r w:rsidDel="00000000" w:rsidR="00000000" w:rsidRPr="00000000">
        <w:rPr>
          <w:rtl w:val="0"/>
        </w:rPr>
      </w:r>
    </w:p>
    <w:tbl>
      <w:tblPr>
        <w:tblStyle w:val="Table1"/>
        <w:tblW w:w="1587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5"/>
        <w:gridCol w:w="8775"/>
        <w:tblGridChange w:id="0">
          <w:tblGrid>
            <w:gridCol w:w="7095"/>
            <w:gridCol w:w="87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Reglementările în vigoare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Redacția nouă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tabs>
                <w:tab w:val="left" w:leader="none" w:pos="426"/>
              </w:tabs>
              <w:ind w:left="15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punctul 4 al </w:t>
            </w:r>
            <w:r w:rsidDel="00000000" w:rsidR="00000000" w:rsidRPr="00000000">
              <w:rPr>
                <w:rFonts w:ascii="Times New Roman" w:cs="Times New Roman" w:eastAsia="Times New Roman" w:hAnsi="Times New Roman"/>
                <w:color w:val="333333"/>
                <w:sz w:val="24"/>
                <w:szCs w:val="24"/>
                <w:rtl w:val="0"/>
              </w:rPr>
              <w:t xml:space="preserve">Hotărârii Guvernului nr.22/2023</w:t>
            </w:r>
            <w:r w:rsidDel="00000000" w:rsidR="00000000" w:rsidRPr="00000000">
              <w:rPr>
                <w:rtl w:val="0"/>
              </w:rPr>
            </w:r>
          </w:p>
        </w:tc>
      </w:tr>
      <w:tr>
        <w:trPr>
          <w:cantSplit w:val="0"/>
          <w:trHeight w:val="11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2) tratamentul egal – aplicarea în mod nediscriminatoriu și echitabil a criteriilor și a cerințelor pentru atribuirea contractului de finanțare, astfel încât orice solicitant care depune o cerere de finanțare să fie tratat în mod egal cu alți solicitanți;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tabs>
                <w:tab w:val="left" w:leader="none" w:pos="851"/>
              </w:tabs>
              <w:ind w:left="0" w:right="344.5275590551182"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,,2) tratamentul egal – aplicarea în mod nediscriminatoriu și echitabil a criteriilor și a cerințelor pentru atribuirea contractului de finanțare”;</w:t>
            </w:r>
            <w:r w:rsidDel="00000000" w:rsidR="00000000" w:rsidRPr="00000000">
              <w:rPr>
                <w:rtl w:val="0"/>
              </w:rPr>
            </w:r>
          </w:p>
        </w:tc>
      </w:tr>
      <w:tr>
        <w:trPr>
          <w:cantSplit w:val="0"/>
          <w:trHeight w:val="11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3) proporționalitatea și simplitatea – recunoașterea particularităților fiecărei federații sportive naționale prin crearea condițiilor unice de aderare la proiecte de finanțare organizate de autoritățile publice de specialitate cu respectarea condiției: proceduri mai simple pentru organizații mai mici și finanțări de mai mică valoare;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ind w:left="0" w:firstLine="57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,,3) proporționalitatea – recunoașterea particularităților fiecărei federații sportive naționale prin crearea condițiilor unice de aderare la proiecte de finanțare organizate de autoritățile publice de specialitate”;</w:t>
            </w:r>
          </w:p>
          <w:p w:rsidR="00000000" w:rsidDel="00000000" w:rsidP="00000000" w:rsidRDefault="00000000" w:rsidRPr="00000000" w14:paraId="0000000D">
            <w:pPr>
              <w:tabs>
                <w:tab w:val="left" w:leader="none" w:pos="851"/>
              </w:tabs>
              <w:ind w:left="0" w:right="344.5275590551182" w:firstLine="570"/>
              <w:jc w:val="both"/>
              <w:rPr>
                <w:rFonts w:ascii="Times New Roman" w:cs="Times New Roman" w:eastAsia="Times New Roman" w:hAnsi="Times New Roman"/>
                <w:color w:val="333333"/>
                <w:sz w:val="24"/>
                <w:szCs w:val="24"/>
                <w:highlight w:val="white"/>
              </w:rPr>
            </w:pPr>
            <w:r w:rsidDel="00000000" w:rsidR="00000000" w:rsidRPr="00000000">
              <w:rPr>
                <w:rtl w:val="0"/>
              </w:rPr>
            </w:r>
          </w:p>
        </w:tc>
      </w:tr>
      <w:tr>
        <w:trPr>
          <w:cantSplit w:val="0"/>
          <w:trHeight w:val="11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8) abordarea etică – organizarea și desfășurarea acțiunilor/activităților conform celor mai înalte standarde ale comportamentului etic;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ind w:left="0" w:firstLine="57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,,8) abordarea etică – organizarea și desfășurarea acțiunilor/activităților conform celor mai înalte standarde și codului etic”;</w:t>
            </w:r>
          </w:p>
        </w:tc>
      </w:tr>
      <w:tr>
        <w:trPr>
          <w:cantSplit w:val="0"/>
          <w:trHeight w:val="11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ind w:left="0" w:firstLine="57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11)  importanța și amploarea competițiilor – participarea la Jocurile Olimpice/Jocurile Paralimpice, Campionatele Mondiale, Campionatele Europene, Jocurile Mondiale organizate sub egida unor organizații sportive recunoscute de Comitetul Olimpic Internațional.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ind w:firstLine="57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,,11) importanța și amploarea competițiilor – participarea la Jocurile Olimpice/Jocurile Paralimpice, Jocurile Europene, Campionatele Mondiale, Campionatele Europene, Jocurile Mondiale organizate sub egida unor organizații sportive recunoscute de Comitetul Olimpic Internațional”;</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tabs>
                <w:tab w:val="left" w:leader="none" w:pos="426"/>
              </w:tabs>
              <w:ind w:left="15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punctul 5 al </w:t>
            </w:r>
            <w:r w:rsidDel="00000000" w:rsidR="00000000" w:rsidRPr="00000000">
              <w:rPr>
                <w:rFonts w:ascii="Times New Roman" w:cs="Times New Roman" w:eastAsia="Times New Roman" w:hAnsi="Times New Roman"/>
                <w:color w:val="333333"/>
                <w:sz w:val="24"/>
                <w:szCs w:val="24"/>
                <w:rtl w:val="0"/>
              </w:rPr>
              <w:t xml:space="preserve">Hotărârii Guvernului nr.22/2023</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b) dovada de acumulare pe conturile bancare, în condițiile legislației, a resurselor financiare destinate pentru susținerea programelor și activităților sportive;</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15">
            <w:pPr>
              <w:tabs>
                <w:tab w:val="left" w:leader="none" w:pos="851"/>
              </w:tabs>
              <w:ind w:left="0"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,,b) dovada de acumulare pe conturile bancare, a resurselor financiare destinate pentru susținerea programelor și activităților sportive, altele decât cele de la bugetul de stat”;</w:t>
            </w:r>
            <w:r w:rsidDel="00000000" w:rsidR="00000000" w:rsidRPr="00000000">
              <w:rPr>
                <w:rtl w:val="0"/>
              </w:rPr>
            </w:r>
          </w:p>
        </w:tc>
      </w:tr>
      <w:tr>
        <w:trPr>
          <w:cantSplit w:val="0"/>
          <w:trHeight w:val="470"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6">
            <w:pPr>
              <w:tabs>
                <w:tab w:val="left" w:leader="none" w:pos="426"/>
              </w:tabs>
              <w:ind w:left="15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punctul 7 al </w:t>
            </w:r>
            <w:r w:rsidDel="00000000" w:rsidR="00000000" w:rsidRPr="00000000">
              <w:rPr>
                <w:rFonts w:ascii="Times New Roman" w:cs="Times New Roman" w:eastAsia="Times New Roman" w:hAnsi="Times New Roman"/>
                <w:color w:val="333333"/>
                <w:sz w:val="24"/>
                <w:szCs w:val="24"/>
                <w:rtl w:val="0"/>
              </w:rPr>
              <w:t xml:space="preserve">Hotărârii Guvernului nr.22/2023</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19">
            <w:pPr>
              <w:ind w:left="0" w:firstLine="57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,,1</w:t>
            </w:r>
            <w:r w:rsidDel="00000000" w:rsidR="00000000" w:rsidRPr="00000000">
              <w:rPr>
                <w:rFonts w:ascii="Times New Roman" w:cs="Times New Roman" w:eastAsia="Times New Roman" w:hAnsi="Times New Roman"/>
                <w:color w:val="333333"/>
                <w:sz w:val="24"/>
                <w:szCs w:val="24"/>
                <w:highlight w:val="white"/>
                <w:vertAlign w:val="superscript"/>
                <w:rtl w:val="0"/>
              </w:rPr>
              <w:t xml:space="preserve">1</w:t>
            </w:r>
            <w:r w:rsidDel="00000000" w:rsidR="00000000" w:rsidRPr="00000000">
              <w:rPr>
                <w:rFonts w:ascii="Times New Roman" w:cs="Times New Roman" w:eastAsia="Times New Roman" w:hAnsi="Times New Roman"/>
                <w:color w:val="333333"/>
                <w:sz w:val="24"/>
                <w:szCs w:val="24"/>
                <w:highlight w:val="white"/>
                <w:rtl w:val="0"/>
              </w:rPr>
              <w:t xml:space="preserve">) 2% – pentru ramurile de sport neolimpice și neparalimpice, care se vor împărți proporțional federațiilor sportive naționale, în baza activităților desfășurate din anii precedenți, inclusiv a datelor statistice prezentate. </w:t>
            </w:r>
            <w:r w:rsidDel="00000000" w:rsidR="00000000" w:rsidRPr="00000000">
              <w:rPr>
                <w:rFonts w:ascii="Times New Roman" w:cs="Times New Roman" w:eastAsia="Times New Roman" w:hAnsi="Times New Roman"/>
                <w:sz w:val="24"/>
                <w:szCs w:val="24"/>
                <w:highlight w:val="white"/>
                <w:rtl w:val="0"/>
              </w:rPr>
              <w:t xml:space="preserve">Federațiile sportive naționale au dreptul să depună o cerere pentru finanțare, conform anexei nr.1”;</w:t>
            </w:r>
          </w:p>
          <w:p w:rsidR="00000000" w:rsidDel="00000000" w:rsidP="00000000" w:rsidRDefault="00000000" w:rsidRPr="00000000" w14:paraId="0000001A">
            <w:pPr>
              <w:spacing w:after="0" w:line="240" w:lineRule="auto"/>
              <w:ind w:left="141.7322834645671"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2) 65% – pentru performanțele sportive obținute la ramurile de sport olimpice/paralimpice și neolimpice, din care 85% vor fi alocate pentru ramurile de sport olimpice/paralimpice și 15% pentru ramurile de sport neolimpice. Mijloacele financiare respective se împart proporțional ramurilor de sport, în funcție de rezultatele obținute pe arena internațională și în conformitate cu numărul total de puncte obținute de sportivi la diverse competiții sportive, conform anexei nr. 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1C">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 68% – pentru performanțele sportive obținute la ramurile de sport olimpice/paralimpice și neolimpice, din care 85% vor fi alocate pentru ramurile de sport olimpice/paralimpice și 15% pentru ramurile de sport neolimpice. Mijloacele financiare respective se împart proporțional ramurilor de sport, în funcție de rezultatele obținute pe arena internațională și în conformitate cu numărul total de puncte obținute de sportivi la diverse competiții sportive, conform anexei nr. 2;</w:t>
            </w:r>
          </w:p>
        </w:tc>
      </w:tr>
      <w:tr>
        <w:trPr>
          <w:cantSplit w:val="0"/>
          <w:trHeight w:val="47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1D">
            <w:pPr>
              <w:spacing w:after="0" w:lin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3) 20% – reprezintă mijloacele financiare sub formă de rezervă a autorității centrale de specialitate în domeniul culturii fizice și sportului, care sunt necesare federațiilor sportive naționale pentru acoperirea costurilor cu caracter excepțional și imprevizibil, conform anexei nr. 3.</w:t>
            </w:r>
          </w:p>
        </w:tc>
        <w:tc>
          <w:tcPr>
            <w:tcBorders>
              <w:left w:color="000000" w:space="0" w:sz="4" w:val="single"/>
              <w:right w:color="000000" w:space="0" w:sz="4" w:val="single"/>
            </w:tcBorders>
          </w:tcPr>
          <w:p w:rsidR="00000000" w:rsidDel="00000000" w:rsidP="00000000" w:rsidRDefault="00000000" w:rsidRPr="00000000" w14:paraId="0000001E">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3) 15% – reprezintă mijloacele financiare sub formă de rezervă a autorității centrale de specialitate în domeniul culturii fizice și sportului, care sunt necesare federațiilor sportive naționale pentru acoperirea costurilor cu caracter excepțional și imprevizibil, conform anexei nr. 3.</w:t>
            </w:r>
          </w:p>
        </w:tc>
      </w:tr>
      <w:tr>
        <w:trPr>
          <w:cantSplit w:val="0"/>
          <w:trHeight w:val="470"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F">
            <w:pPr>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0">
            <w:pPr>
              <w:tabs>
                <w:tab w:val="left" w:leader="none" w:pos="426"/>
              </w:tabs>
              <w:ind w:left="1571" w:firstLine="0"/>
              <w:jc w:val="cente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punctul 19 al </w:t>
            </w:r>
            <w:r w:rsidDel="00000000" w:rsidR="00000000" w:rsidRPr="00000000">
              <w:rPr>
                <w:rFonts w:ascii="Times New Roman" w:cs="Times New Roman" w:eastAsia="Times New Roman" w:hAnsi="Times New Roman"/>
                <w:color w:val="333333"/>
                <w:sz w:val="24"/>
                <w:szCs w:val="24"/>
                <w:rtl w:val="0"/>
              </w:rPr>
              <w:t xml:space="preserve">Hotărârii Guvernului nr.22/2023</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tcBorders>
          </w:tcPr>
          <w:p w:rsidR="00000000" w:rsidDel="00000000" w:rsidP="00000000" w:rsidRDefault="00000000" w:rsidRPr="00000000" w14:paraId="00000022">
            <w:pPr>
              <w:shd w:fill="ffffff" w:val="clear"/>
              <w:ind w:firstLine="86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19.</w:t>
            </w:r>
            <w:r w:rsidDel="00000000" w:rsidR="00000000" w:rsidRPr="00000000">
              <w:rPr>
                <w:rFonts w:ascii="Times New Roman" w:cs="Times New Roman" w:eastAsia="Times New Roman" w:hAnsi="Times New Roman"/>
                <w:color w:val="333333"/>
                <w:sz w:val="24"/>
                <w:szCs w:val="24"/>
                <w:highlight w:val="white"/>
                <w:rtl w:val="0"/>
              </w:rPr>
              <w:t xml:space="preserve"> Comisia are următoarea componență:</w:t>
            </w:r>
          </w:p>
          <w:p w:rsidR="00000000" w:rsidDel="00000000" w:rsidP="00000000" w:rsidRDefault="00000000" w:rsidRPr="00000000" w14:paraId="00000023">
            <w:pPr>
              <w:shd w:fill="ffffff" w:val="clear"/>
              <w:ind w:firstLine="86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1) 3 persoane din partea autorității publice centrale de specialitate în domeniul culturii fizice și sportului;</w:t>
            </w:r>
          </w:p>
          <w:p w:rsidR="00000000" w:rsidDel="00000000" w:rsidP="00000000" w:rsidRDefault="00000000" w:rsidRPr="00000000" w14:paraId="00000024">
            <w:pPr>
              <w:shd w:fill="ffffff" w:val="clear"/>
              <w:ind w:firstLine="86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 1 persoană din partea Comitetului Național Olimpic și Sportiv;</w:t>
            </w:r>
          </w:p>
          <w:p w:rsidR="00000000" w:rsidDel="00000000" w:rsidP="00000000" w:rsidRDefault="00000000" w:rsidRPr="00000000" w14:paraId="00000025">
            <w:pPr>
              <w:shd w:fill="ffffff" w:val="clear"/>
              <w:ind w:firstLine="86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3) 1 persoană din partea Comitetului Paralimpic din Republica Moldova;</w:t>
            </w:r>
          </w:p>
          <w:p w:rsidR="00000000" w:rsidDel="00000000" w:rsidP="00000000" w:rsidRDefault="00000000" w:rsidRPr="00000000" w14:paraId="00000026">
            <w:pPr>
              <w:shd w:fill="ffffff" w:val="clear"/>
              <w:ind w:firstLine="86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4) 4 persoane din partea federațiilor sportive naționale.</w:t>
            </w:r>
          </w:p>
          <w:p w:rsidR="00000000" w:rsidDel="00000000" w:rsidP="00000000" w:rsidRDefault="00000000" w:rsidRPr="00000000" w14:paraId="00000027">
            <w:pPr>
              <w:jc w:val="both"/>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28">
            <w:pPr>
              <w:ind w:left="141.7322834645671" w:firstLine="57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,,19 Comisia este formată din minim 5 persoane, din partea autorității publice centrale de specialitate în domeniul culturii fiice și sportului, din partea Comitetului Național Olimpic și Sportiv și din partea Comitetului Paralimpic din Republica Moldova”;</w:t>
            </w:r>
          </w:p>
        </w:tc>
      </w:tr>
      <w:tr>
        <w:trPr>
          <w:cantSplit w:val="0"/>
          <w:trHeight w:val="470" w:hRule="atLeast"/>
          <w:tblHeader w:val="0"/>
        </w:trPr>
        <w:tc>
          <w:tcPr>
            <w:gridSpan w:val="2"/>
            <w:tcBorders>
              <w:top w:color="000000" w:space="0" w:sz="4" w:val="single"/>
              <w:left w:color="000000" w:space="0" w:sz="4" w:val="single"/>
            </w:tcBorders>
          </w:tcPr>
          <w:p w:rsidR="00000000" w:rsidDel="00000000" w:rsidP="00000000" w:rsidRDefault="00000000" w:rsidRPr="00000000" w14:paraId="00000029">
            <w:pPr>
              <w:tabs>
                <w:tab w:val="left" w:leader="none" w:pos="426"/>
              </w:tabs>
              <w:ind w:left="1571" w:firstLine="0"/>
              <w:jc w:val="center"/>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punctul 21 al </w:t>
            </w:r>
            <w:r w:rsidDel="00000000" w:rsidR="00000000" w:rsidRPr="00000000">
              <w:rPr>
                <w:rFonts w:ascii="Times New Roman" w:cs="Times New Roman" w:eastAsia="Times New Roman" w:hAnsi="Times New Roman"/>
                <w:color w:val="333333"/>
                <w:sz w:val="24"/>
                <w:szCs w:val="24"/>
                <w:rtl w:val="0"/>
              </w:rPr>
              <w:t xml:space="preserve">Hotărârii Guvernului nr.22/2023</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tcBorders>
          </w:tcPr>
          <w:p w:rsidR="00000000" w:rsidDel="00000000" w:rsidP="00000000" w:rsidRDefault="00000000" w:rsidRPr="00000000" w14:paraId="0000002B">
            <w:pPr>
              <w:shd w:fill="ffffff" w:val="clear"/>
              <w:ind w:firstLine="86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21. Structurile sportive propun autorității publice centrale de specialitate în domeniul culturii fizice și sportului candidați pentru componența Comisiei. Propunerile sunt înaintate în baza consultărilor publice organizate de către autoritatea publică centrală de specialitate în domeniul culturii fizice și sportului cu structurile sportive.</w:t>
            </w:r>
          </w:p>
        </w:tc>
        <w:tc>
          <w:tcPr>
            <w:tcBorders>
              <w:left w:color="000000" w:space="0" w:sz="4" w:val="single"/>
              <w:right w:color="000000" w:space="0" w:sz="4" w:val="single"/>
            </w:tcBorders>
          </w:tcPr>
          <w:p w:rsidR="00000000" w:rsidDel="00000000" w:rsidP="00000000" w:rsidRDefault="00000000" w:rsidRPr="00000000" w14:paraId="0000002C">
            <w:pPr>
              <w:ind w:left="-567"/>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rtl w:val="0"/>
              </w:rPr>
              <w:t xml:space="preserve">,,21.</w:t>
            </w:r>
            <w:r w:rsidDel="00000000" w:rsidR="00000000" w:rsidRPr="00000000">
              <w:rPr>
                <w:rFonts w:ascii="Times New Roman" w:cs="Times New Roman" w:eastAsia="Times New Roman" w:hAnsi="Times New Roman"/>
                <w:b w:val="1"/>
                <w:color w:val="333333"/>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Structurile sportive propun autorității publice centrale de specialitate în domeniul culturii fizice și sportului candidați pentru componența Comisiei.”</w:t>
            </w:r>
            <w:r w:rsidDel="00000000" w:rsidR="00000000" w:rsidRPr="00000000">
              <w:rPr>
                <w:rtl w:val="0"/>
              </w:rPr>
            </w:r>
          </w:p>
        </w:tc>
      </w:tr>
    </w:tbl>
    <w:p w:rsidR="00000000" w:rsidDel="00000000" w:rsidP="00000000" w:rsidRDefault="00000000" w:rsidRPr="00000000" w14:paraId="0000002D">
      <w:pPr>
        <w:spacing w:after="0" w:line="24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Ministru                                                  Dan PERCIUN</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2">
      <w:pPr>
        <w:spacing w:after="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Ex. Mutruc Petru</w:t>
      </w:r>
    </w:p>
    <w:p w:rsidR="00000000" w:rsidDel="00000000" w:rsidP="00000000" w:rsidRDefault="00000000" w:rsidRPr="00000000" w14:paraId="0000003B">
      <w:pPr>
        <w:spacing w:after="0" w:line="240" w:lineRule="auto"/>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Tel. 022-820-859</w:t>
      </w:r>
    </w:p>
    <w:sectPr>
      <w:pgSz w:h="11906" w:w="16838" w:orient="landscape"/>
      <w:pgMar w:bottom="426" w:top="5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FB5110"/>
    <w:pPr>
      <w:spacing w:after="200" w:line="276" w:lineRule="auto"/>
    </w:pPr>
    <w:rPr>
      <w:lang w:val="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FB5110"/>
    <w:pPr>
      <w:spacing w:after="0" w:line="240" w:lineRule="auto"/>
    </w:pPr>
    <w:rPr>
      <w:lang w:val="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4">
    <w:name w:val="List Paragraph"/>
    <w:basedOn w:val="a"/>
    <w:uiPriority w:val="34"/>
    <w:qFormat w:val="1"/>
    <w:rsid w:val="00AE7995"/>
    <w:pPr>
      <w:ind w:left="720"/>
      <w:contextualSpacing w:val="1"/>
    </w:pPr>
  </w:style>
  <w:style w:type="paragraph" w:styleId="a5">
    <w:name w:val="Balloon Text"/>
    <w:basedOn w:val="a"/>
    <w:link w:val="a6"/>
    <w:uiPriority w:val="99"/>
    <w:semiHidden w:val="1"/>
    <w:unhideWhenUsed w:val="1"/>
    <w:rsid w:val="00744FF9"/>
    <w:pPr>
      <w:spacing w:after="0" w:line="240" w:lineRule="auto"/>
    </w:pPr>
    <w:rPr>
      <w:rFonts w:ascii="Segoe UI" w:cs="Segoe UI" w:hAnsi="Segoe UI"/>
      <w:sz w:val="18"/>
      <w:szCs w:val="18"/>
    </w:rPr>
  </w:style>
  <w:style w:type="character" w:styleId="a6" w:customStyle="1">
    <w:name w:val="Текст выноски Знак"/>
    <w:basedOn w:val="a0"/>
    <w:link w:val="a5"/>
    <w:uiPriority w:val="99"/>
    <w:semiHidden w:val="1"/>
    <w:rsid w:val="00744FF9"/>
    <w:rPr>
      <w:rFonts w:ascii="Segoe UI" w:cs="Segoe UI" w:hAnsi="Segoe UI"/>
      <w:sz w:val="18"/>
      <w:szCs w:val="18"/>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sogp/MoSFY2rpvmI25NkUf6pA==">CgMxLjA4AHIhMTJHdnplN2pIdkl0WkZJa1JvOGRLcm9MTWhFOG5SZ1NM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2022-06-28T06:40:00Z</dcterms:created>
  <dc:creator>Vasile Secrieru MEC</dc:creator>
</cp:coreProperties>
</file>