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0A94" w14:textId="77777777" w:rsidR="008D6564" w:rsidRPr="00574D82" w:rsidRDefault="008D6564" w:rsidP="00C37923">
      <w:pPr>
        <w:tabs>
          <w:tab w:val="left" w:pos="884"/>
          <w:tab w:val="left" w:pos="1196"/>
        </w:tabs>
        <w:spacing w:after="0"/>
        <w:jc w:val="center"/>
        <w:rPr>
          <w:rFonts w:cs="Times New Roman"/>
          <w:b/>
          <w:sz w:val="24"/>
          <w:szCs w:val="24"/>
          <w:lang w:val="ro-MD"/>
        </w:rPr>
      </w:pPr>
      <w:r w:rsidRPr="00574D82">
        <w:rPr>
          <w:rFonts w:cs="Times New Roman"/>
          <w:b/>
          <w:sz w:val="24"/>
          <w:szCs w:val="24"/>
          <w:lang w:val="ro-MD"/>
        </w:rPr>
        <w:t>NOTĂ INFORMATIVĂ</w:t>
      </w:r>
    </w:p>
    <w:p w14:paraId="5816255D" w14:textId="0B52DED6" w:rsidR="000C261A" w:rsidRPr="000C261A" w:rsidRDefault="008D6564" w:rsidP="00C37923">
      <w:pPr>
        <w:tabs>
          <w:tab w:val="left" w:pos="884"/>
          <w:tab w:val="left" w:pos="1196"/>
        </w:tabs>
        <w:spacing w:after="0"/>
        <w:jc w:val="center"/>
        <w:rPr>
          <w:rFonts w:cs="Times New Roman"/>
          <w:b/>
          <w:sz w:val="24"/>
          <w:szCs w:val="24"/>
          <w:lang w:val="ro-MD"/>
        </w:rPr>
      </w:pPr>
      <w:r w:rsidRPr="00574D82">
        <w:rPr>
          <w:rFonts w:cs="Times New Roman"/>
          <w:b/>
          <w:sz w:val="24"/>
          <w:szCs w:val="24"/>
          <w:lang w:val="ro-MD"/>
        </w:rPr>
        <w:t xml:space="preserve">la proiectul </w:t>
      </w:r>
      <w:r w:rsidR="000C261A" w:rsidRPr="000C261A">
        <w:rPr>
          <w:rFonts w:cs="Times New Roman"/>
          <w:b/>
          <w:sz w:val="24"/>
          <w:szCs w:val="24"/>
          <w:lang w:val="ro-MD"/>
        </w:rPr>
        <w:t>de lege</w:t>
      </w:r>
    </w:p>
    <w:p w14:paraId="3BB97716" w14:textId="77777777" w:rsidR="005C66AA" w:rsidRDefault="000C261A" w:rsidP="00C37923">
      <w:pPr>
        <w:tabs>
          <w:tab w:val="left" w:pos="884"/>
          <w:tab w:val="left" w:pos="1196"/>
        </w:tabs>
        <w:spacing w:after="0"/>
        <w:jc w:val="center"/>
        <w:rPr>
          <w:rFonts w:cs="Times New Roman"/>
          <w:b/>
          <w:sz w:val="24"/>
          <w:szCs w:val="24"/>
          <w:lang w:val="ro-MD"/>
        </w:rPr>
      </w:pPr>
      <w:r w:rsidRPr="000C261A">
        <w:rPr>
          <w:rFonts w:cs="Times New Roman"/>
          <w:b/>
          <w:sz w:val="24"/>
          <w:szCs w:val="24"/>
          <w:lang w:val="ro-MD"/>
        </w:rPr>
        <w:t>pentru modificarea unor acte normative</w:t>
      </w:r>
    </w:p>
    <w:p w14:paraId="4FD09646" w14:textId="37CB55D3" w:rsidR="008D6564" w:rsidRDefault="005C66AA" w:rsidP="00C37923">
      <w:pPr>
        <w:tabs>
          <w:tab w:val="left" w:pos="884"/>
          <w:tab w:val="left" w:pos="1196"/>
        </w:tabs>
        <w:spacing w:after="0"/>
        <w:jc w:val="center"/>
        <w:rPr>
          <w:rFonts w:cs="Times New Roman"/>
          <w:b/>
          <w:sz w:val="24"/>
          <w:szCs w:val="24"/>
          <w:lang w:val="ro-MD"/>
        </w:rPr>
      </w:pPr>
      <w:r w:rsidRPr="005C66AA">
        <w:rPr>
          <w:rFonts w:cs="Times New Roman"/>
          <w:b/>
          <w:sz w:val="24"/>
          <w:szCs w:val="24"/>
          <w:lang w:val="ro-MD"/>
        </w:rPr>
        <w:t>(indemnizația</w:t>
      </w:r>
      <w:r w:rsidR="00FA3D5B">
        <w:rPr>
          <w:b/>
          <w:szCs w:val="28"/>
        </w:rPr>
        <w:t xml:space="preserve"> </w:t>
      </w:r>
      <w:r w:rsidR="00FA3D5B" w:rsidRPr="00FA3D5B">
        <w:rPr>
          <w:b/>
          <w:sz w:val="24"/>
          <w:szCs w:val="24"/>
        </w:rPr>
        <w:t>persoanelor nedegrevate sau neconvocate pentru munca prestată în perioada electorală</w:t>
      </w:r>
      <w:r w:rsidRPr="005C66AA">
        <w:rPr>
          <w:rFonts w:cs="Times New Roman"/>
          <w:b/>
          <w:sz w:val="24"/>
          <w:szCs w:val="24"/>
          <w:lang w:val="ro-MD"/>
        </w:rPr>
        <w:t>)</w:t>
      </w:r>
    </w:p>
    <w:p w14:paraId="7C8F6EC7" w14:textId="77777777" w:rsidR="008D6564" w:rsidRPr="00574D82" w:rsidRDefault="008D6564" w:rsidP="00C37923">
      <w:pPr>
        <w:tabs>
          <w:tab w:val="left" w:pos="884"/>
          <w:tab w:val="left" w:pos="1196"/>
        </w:tabs>
        <w:spacing w:after="0"/>
        <w:jc w:val="center"/>
        <w:rPr>
          <w:rFonts w:cs="Times New Roman"/>
          <w:b/>
          <w:sz w:val="24"/>
          <w:szCs w:val="24"/>
          <w:vertAlign w:val="superscript"/>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8D6564" w:rsidRPr="00574D82" w14:paraId="18B31631" w14:textId="77777777" w:rsidTr="00352C5E">
        <w:tc>
          <w:tcPr>
            <w:tcW w:w="5000" w:type="pct"/>
            <w:shd w:val="clear" w:color="auto" w:fill="EDEDED" w:themeFill="accent3" w:themeFillTint="33"/>
          </w:tcPr>
          <w:p w14:paraId="2599CF51" w14:textId="129E1BCE" w:rsidR="008D6564" w:rsidRPr="00574D82" w:rsidRDefault="008D6564" w:rsidP="00C37923">
            <w:pPr>
              <w:numPr>
                <w:ilvl w:val="3"/>
                <w:numId w:val="1"/>
              </w:numPr>
              <w:tabs>
                <w:tab w:val="clear" w:pos="2880"/>
                <w:tab w:val="left" w:pos="284"/>
                <w:tab w:val="left" w:pos="1196"/>
              </w:tabs>
              <w:spacing w:after="0"/>
              <w:ind w:left="0" w:firstLine="0"/>
              <w:jc w:val="both"/>
              <w:rPr>
                <w:rFonts w:cs="Times New Roman"/>
                <w:sz w:val="24"/>
                <w:szCs w:val="24"/>
                <w:lang w:val="ro-MD"/>
              </w:rPr>
            </w:pPr>
            <w:r w:rsidRPr="00574D82">
              <w:rPr>
                <w:rFonts w:cs="Times New Roman"/>
                <w:sz w:val="24"/>
                <w:szCs w:val="24"/>
                <w:lang w:val="ro-MD"/>
              </w:rPr>
              <w:t xml:space="preserve"> Denumirea autorului </w:t>
            </w:r>
            <w:r w:rsidR="004204EF" w:rsidRPr="00574D82">
              <w:rPr>
                <w:rFonts w:cs="Times New Roman"/>
                <w:sz w:val="24"/>
                <w:szCs w:val="24"/>
                <w:lang w:val="ro-MD"/>
              </w:rPr>
              <w:t>și</w:t>
            </w:r>
            <w:r w:rsidRPr="00574D82">
              <w:rPr>
                <w:rFonts w:cs="Times New Roman"/>
                <w:sz w:val="24"/>
                <w:szCs w:val="24"/>
                <w:lang w:val="ro-MD"/>
              </w:rPr>
              <w:t xml:space="preserve">, după caz, a </w:t>
            </w:r>
            <w:r w:rsidR="004204EF" w:rsidRPr="00574D82">
              <w:rPr>
                <w:rFonts w:cs="Times New Roman"/>
                <w:sz w:val="24"/>
                <w:szCs w:val="24"/>
                <w:lang w:val="ro-MD"/>
              </w:rPr>
              <w:t>participanților</w:t>
            </w:r>
            <w:r w:rsidRPr="00574D82">
              <w:rPr>
                <w:rFonts w:cs="Times New Roman"/>
                <w:sz w:val="24"/>
                <w:szCs w:val="24"/>
                <w:lang w:val="ro-MD"/>
              </w:rPr>
              <w:t xml:space="preserve"> la elaborarea proiectului</w:t>
            </w:r>
          </w:p>
        </w:tc>
      </w:tr>
      <w:tr w:rsidR="008D6564" w:rsidRPr="00574D82" w14:paraId="742BB450" w14:textId="77777777" w:rsidTr="00352C5E">
        <w:tc>
          <w:tcPr>
            <w:tcW w:w="5000" w:type="pct"/>
          </w:tcPr>
          <w:p w14:paraId="2938A286" w14:textId="78A5858A" w:rsidR="008D6564" w:rsidRPr="00574D82" w:rsidRDefault="00767187"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Proiectul de lege </w:t>
            </w:r>
            <w:r w:rsidR="000C261A" w:rsidRPr="000C261A">
              <w:rPr>
                <w:rFonts w:cs="Times New Roman"/>
                <w:sz w:val="24"/>
                <w:szCs w:val="24"/>
                <w:lang w:val="ro-MD"/>
              </w:rPr>
              <w:t>pentru modificarea unor acte normative</w:t>
            </w:r>
            <w:r w:rsidR="000C261A">
              <w:rPr>
                <w:rFonts w:cs="Times New Roman"/>
                <w:sz w:val="24"/>
                <w:szCs w:val="24"/>
                <w:lang w:val="ro-MD"/>
              </w:rPr>
              <w:t xml:space="preserve"> </w:t>
            </w:r>
            <w:r w:rsidR="005C66AA" w:rsidRPr="005C66AA">
              <w:rPr>
                <w:rFonts w:cs="Times New Roman"/>
                <w:sz w:val="24"/>
                <w:szCs w:val="24"/>
                <w:lang w:val="ro-MD"/>
              </w:rPr>
              <w:t>(indemnizația</w:t>
            </w:r>
            <w:r w:rsidR="00FA3D5B">
              <w:rPr>
                <w:rFonts w:cs="Times New Roman"/>
                <w:sz w:val="24"/>
                <w:szCs w:val="24"/>
                <w:lang w:val="ro-MD"/>
              </w:rPr>
              <w:t xml:space="preserve"> </w:t>
            </w:r>
            <w:r w:rsidR="00FA3D5B" w:rsidRPr="00FA3D5B">
              <w:rPr>
                <w:bCs/>
                <w:sz w:val="24"/>
                <w:szCs w:val="24"/>
              </w:rPr>
              <w:t>persoanelor nedegrevate sau neconvocate pentru munca prestată în perioada electorală</w:t>
            </w:r>
            <w:r w:rsidR="005C66AA" w:rsidRPr="005C66AA">
              <w:rPr>
                <w:rFonts w:cs="Times New Roman"/>
                <w:sz w:val="24"/>
                <w:szCs w:val="24"/>
                <w:lang w:val="ro-MD"/>
              </w:rPr>
              <w:t>)</w:t>
            </w:r>
            <w:r w:rsidR="005C66AA">
              <w:rPr>
                <w:rFonts w:cs="Times New Roman"/>
                <w:sz w:val="24"/>
                <w:szCs w:val="24"/>
                <w:lang w:val="ro-MD"/>
              </w:rPr>
              <w:t xml:space="preserve"> </w:t>
            </w:r>
            <w:r w:rsidRPr="00574D82">
              <w:rPr>
                <w:rFonts w:cs="Times New Roman"/>
                <w:sz w:val="24"/>
                <w:szCs w:val="24"/>
                <w:lang w:val="ro-MD"/>
              </w:rPr>
              <w:t>a fost elaborat de către Ministerul Muncii și Protecției Sociale.</w:t>
            </w:r>
          </w:p>
          <w:p w14:paraId="29671F62" w14:textId="012E5B24" w:rsidR="00767187" w:rsidRPr="00574D82" w:rsidRDefault="00767187" w:rsidP="00C37923">
            <w:pPr>
              <w:tabs>
                <w:tab w:val="left" w:pos="884"/>
                <w:tab w:val="left" w:pos="1196"/>
              </w:tabs>
              <w:spacing w:after="0"/>
              <w:jc w:val="both"/>
              <w:rPr>
                <w:rFonts w:cs="Times New Roman"/>
                <w:sz w:val="24"/>
                <w:szCs w:val="24"/>
                <w:lang w:val="ro-MD"/>
              </w:rPr>
            </w:pPr>
          </w:p>
        </w:tc>
      </w:tr>
      <w:tr w:rsidR="008D6564" w:rsidRPr="00574D82" w14:paraId="6AE54DCD" w14:textId="77777777" w:rsidTr="00352C5E">
        <w:tc>
          <w:tcPr>
            <w:tcW w:w="5000" w:type="pct"/>
            <w:shd w:val="clear" w:color="auto" w:fill="EDEDED" w:themeFill="accent3" w:themeFillTint="33"/>
          </w:tcPr>
          <w:p w14:paraId="4BB1465D" w14:textId="225FC76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2. </w:t>
            </w:r>
            <w:r w:rsidR="004204EF" w:rsidRPr="00574D82">
              <w:rPr>
                <w:rFonts w:cs="Times New Roman"/>
                <w:sz w:val="24"/>
                <w:szCs w:val="24"/>
                <w:lang w:val="ro-MD"/>
              </w:rPr>
              <w:t>Condițiile</w:t>
            </w:r>
            <w:r w:rsidRPr="00574D82">
              <w:rPr>
                <w:rFonts w:cs="Times New Roman"/>
                <w:sz w:val="24"/>
                <w:szCs w:val="24"/>
                <w:lang w:val="ro-MD"/>
              </w:rPr>
              <w:t xml:space="preserve"> ce au impus elaborarea proiectului de act normativ </w:t>
            </w:r>
            <w:r w:rsidR="004204EF" w:rsidRPr="00574D82">
              <w:rPr>
                <w:rFonts w:cs="Times New Roman"/>
                <w:sz w:val="24"/>
                <w:szCs w:val="24"/>
                <w:lang w:val="ro-MD"/>
              </w:rPr>
              <w:t>și</w:t>
            </w:r>
            <w:r w:rsidRPr="00574D82">
              <w:rPr>
                <w:rFonts w:cs="Times New Roman"/>
                <w:sz w:val="24"/>
                <w:szCs w:val="24"/>
                <w:lang w:val="ro-MD"/>
              </w:rPr>
              <w:t xml:space="preserve"> </w:t>
            </w:r>
            <w:r w:rsidR="004204EF" w:rsidRPr="00574D82">
              <w:rPr>
                <w:rFonts w:cs="Times New Roman"/>
                <w:sz w:val="24"/>
                <w:szCs w:val="24"/>
                <w:lang w:val="ro-MD"/>
              </w:rPr>
              <w:t>finalitățile</w:t>
            </w:r>
            <w:r w:rsidRPr="00574D82">
              <w:rPr>
                <w:rFonts w:cs="Times New Roman"/>
                <w:sz w:val="24"/>
                <w:szCs w:val="24"/>
                <w:lang w:val="ro-MD"/>
              </w:rPr>
              <w:t xml:space="preserve"> urmărite</w:t>
            </w:r>
          </w:p>
        </w:tc>
      </w:tr>
      <w:tr w:rsidR="008D6564" w:rsidRPr="00574D82" w14:paraId="1FA8C94A" w14:textId="77777777" w:rsidTr="00352C5E">
        <w:tc>
          <w:tcPr>
            <w:tcW w:w="5000" w:type="pct"/>
          </w:tcPr>
          <w:p w14:paraId="282A5480" w14:textId="12DF8A9B" w:rsidR="00F97CF3" w:rsidRDefault="00F97CF3" w:rsidP="00F97CF3">
            <w:pPr>
              <w:shd w:val="clear" w:color="auto" w:fill="FFFFFF"/>
              <w:tabs>
                <w:tab w:val="left" w:pos="567"/>
              </w:tabs>
              <w:spacing w:before="120" w:after="0"/>
              <w:jc w:val="both"/>
              <w:textAlignment w:val="baseline"/>
              <w:rPr>
                <w:rFonts w:cs="Times New Roman"/>
                <w:sz w:val="24"/>
                <w:szCs w:val="24"/>
                <w:lang w:val="ro-MD" w:eastAsia="ro-MD"/>
              </w:rPr>
            </w:pPr>
            <w:r>
              <w:rPr>
                <w:rFonts w:cs="Times New Roman"/>
                <w:sz w:val="24"/>
                <w:szCs w:val="24"/>
                <w:shd w:val="clear" w:color="auto" w:fill="FFFFFF"/>
              </w:rPr>
              <w:t xml:space="preserve">Condițiile ce au impus elaborarea proiectului </w:t>
            </w:r>
            <w:r w:rsidR="004935C2">
              <w:rPr>
                <w:rFonts w:cs="Times New Roman"/>
                <w:sz w:val="24"/>
                <w:szCs w:val="24"/>
                <w:shd w:val="clear" w:color="auto" w:fill="FFFFFF"/>
              </w:rPr>
              <w:t xml:space="preserve">de lege </w:t>
            </w:r>
            <w:r>
              <w:rPr>
                <w:rFonts w:cs="Times New Roman"/>
                <w:sz w:val="24"/>
                <w:szCs w:val="24"/>
                <w:shd w:val="clear" w:color="auto" w:fill="FFFFFF"/>
              </w:rPr>
              <w:t>au fost determinate de necesitatea</w:t>
            </w:r>
            <w:r w:rsidR="008402D0">
              <w:rPr>
                <w:rFonts w:cs="Times New Roman"/>
                <w:sz w:val="24"/>
                <w:szCs w:val="24"/>
                <w:shd w:val="clear" w:color="auto" w:fill="FFFFFF"/>
              </w:rPr>
              <w:t xml:space="preserve"> </w:t>
            </w:r>
            <w:r w:rsidR="00D951CE" w:rsidRPr="00574D82">
              <w:rPr>
                <w:rFonts w:cs="Times New Roman"/>
                <w:sz w:val="24"/>
                <w:szCs w:val="24"/>
                <w:lang w:val="ro-MD" w:eastAsia="ro-MD"/>
              </w:rPr>
              <w:t>corect</w:t>
            </w:r>
            <w:r>
              <w:rPr>
                <w:rFonts w:cs="Times New Roman"/>
                <w:sz w:val="24"/>
                <w:szCs w:val="24"/>
                <w:lang w:val="ro-MD" w:eastAsia="ro-MD"/>
              </w:rPr>
              <w:t>ării</w:t>
            </w:r>
            <w:r w:rsidR="00D951CE" w:rsidRPr="00574D82">
              <w:rPr>
                <w:rFonts w:cs="Times New Roman"/>
                <w:sz w:val="24"/>
                <w:szCs w:val="24"/>
                <w:lang w:val="ro-MD" w:eastAsia="ro-MD"/>
              </w:rPr>
              <w:t xml:space="preserve"> omisiunii legislative</w:t>
            </w:r>
            <w:r w:rsidR="00D951CE">
              <w:rPr>
                <w:rFonts w:cs="Times New Roman"/>
                <w:sz w:val="24"/>
                <w:szCs w:val="24"/>
                <w:lang w:val="ro-MD" w:eastAsia="ro-MD"/>
              </w:rPr>
              <w:t>,</w:t>
            </w:r>
            <w:r w:rsidR="00D951CE" w:rsidRPr="00574D82">
              <w:rPr>
                <w:rFonts w:cs="Times New Roman"/>
                <w:sz w:val="24"/>
                <w:szCs w:val="24"/>
                <w:lang w:val="ro-MD" w:eastAsia="ro-MD"/>
              </w:rPr>
              <w:t xml:space="preserve"> identificată în procesul de aplicare a </w:t>
            </w:r>
            <w:r w:rsidR="004935C2">
              <w:rPr>
                <w:rFonts w:cs="Times New Roman"/>
                <w:sz w:val="24"/>
                <w:szCs w:val="24"/>
                <w:lang w:val="ro-MD" w:eastAsia="ro-MD"/>
              </w:rPr>
              <w:t>d</w:t>
            </w:r>
            <w:r w:rsidR="004935C2" w:rsidRPr="004935C2">
              <w:rPr>
                <w:rFonts w:cs="Times New Roman"/>
                <w:sz w:val="24"/>
                <w:szCs w:val="24"/>
                <w:lang w:val="ro-MD" w:eastAsia="ro-MD"/>
              </w:rPr>
              <w:t>ispozițiilor</w:t>
            </w:r>
            <w:r w:rsidR="004935C2">
              <w:rPr>
                <w:rFonts w:cs="Times New Roman"/>
                <w:sz w:val="24"/>
                <w:szCs w:val="24"/>
                <w:lang w:eastAsia="ro-MD"/>
              </w:rPr>
              <w:t xml:space="preserve"> </w:t>
            </w:r>
            <w:r w:rsidR="00D951CE">
              <w:rPr>
                <w:rFonts w:cs="Times New Roman"/>
                <w:sz w:val="24"/>
                <w:szCs w:val="24"/>
                <w:lang w:val="ro-MD" w:eastAsia="ro-MD"/>
              </w:rPr>
              <w:t xml:space="preserve">Legii nr. 489/1999 </w:t>
            </w:r>
            <w:r w:rsidR="00D951CE" w:rsidRPr="00C37923">
              <w:rPr>
                <w:rFonts w:cs="Times New Roman"/>
                <w:sz w:val="24"/>
                <w:szCs w:val="24"/>
                <w:lang w:val="ro-MD" w:eastAsia="ro-MD"/>
              </w:rPr>
              <w:t xml:space="preserve">privind sistemul public de asigurări sociale </w:t>
            </w:r>
            <w:r w:rsidR="00D951CE" w:rsidRPr="00574D82">
              <w:rPr>
                <w:rFonts w:cs="Times New Roman"/>
                <w:sz w:val="24"/>
                <w:szCs w:val="24"/>
                <w:lang w:val="ro-MD" w:eastAsia="ro-MD"/>
              </w:rPr>
              <w:t xml:space="preserve">și </w:t>
            </w:r>
            <w:r w:rsidR="00D951CE">
              <w:rPr>
                <w:rFonts w:cs="Times New Roman"/>
                <w:sz w:val="24"/>
                <w:szCs w:val="24"/>
                <w:lang w:val="ro-MD" w:eastAsia="ro-MD"/>
              </w:rPr>
              <w:t xml:space="preserve">corelării </w:t>
            </w:r>
            <w:r w:rsidR="004935C2">
              <w:rPr>
                <w:rFonts w:cs="Times New Roman"/>
                <w:sz w:val="24"/>
                <w:szCs w:val="24"/>
                <w:lang w:val="ro-MD" w:eastAsia="ro-MD"/>
              </w:rPr>
              <w:t>acestora</w:t>
            </w:r>
            <w:r w:rsidR="00D951CE">
              <w:rPr>
                <w:rFonts w:cs="Times New Roman"/>
                <w:sz w:val="24"/>
                <w:szCs w:val="24"/>
                <w:lang w:val="ro-MD" w:eastAsia="ro-MD"/>
              </w:rPr>
              <w:t xml:space="preserve"> cu </w:t>
            </w:r>
            <w:r w:rsidR="00D951CE" w:rsidRPr="00574D82">
              <w:rPr>
                <w:rFonts w:cs="Times New Roman"/>
                <w:sz w:val="24"/>
                <w:szCs w:val="24"/>
                <w:lang w:val="ro-MD" w:eastAsia="ro-MD"/>
              </w:rPr>
              <w:t>prevederile legii fiscale și celei electorale</w:t>
            </w:r>
            <w:r w:rsidR="00D951CE">
              <w:rPr>
                <w:rFonts w:cs="Times New Roman"/>
                <w:sz w:val="24"/>
                <w:szCs w:val="24"/>
                <w:lang w:val="ro-MD" w:eastAsia="ro-MD"/>
              </w:rPr>
              <w:t>.</w:t>
            </w:r>
          </w:p>
          <w:p w14:paraId="754EF18D" w14:textId="6D50895D" w:rsidR="00F97CF3" w:rsidRPr="00F97CF3" w:rsidRDefault="00F97CF3" w:rsidP="00F97CF3">
            <w:pPr>
              <w:shd w:val="clear" w:color="auto" w:fill="FFFFFF"/>
              <w:tabs>
                <w:tab w:val="left" w:pos="567"/>
              </w:tabs>
              <w:spacing w:before="120" w:after="0"/>
              <w:jc w:val="both"/>
              <w:textAlignment w:val="baseline"/>
              <w:rPr>
                <w:rFonts w:cs="Times New Roman"/>
                <w:sz w:val="24"/>
                <w:szCs w:val="24"/>
                <w:lang w:val="ro-MD" w:eastAsia="ro-MD"/>
              </w:rPr>
            </w:pPr>
            <w:r>
              <w:rPr>
                <w:rFonts w:cs="Times New Roman"/>
                <w:sz w:val="24"/>
                <w:szCs w:val="24"/>
                <w:lang w:val="ro-MD" w:eastAsia="ro-MD"/>
              </w:rPr>
              <w:t>În legislația actuală, atât în normele Codului electoral</w:t>
            </w:r>
            <w:r w:rsidR="004935C2">
              <w:rPr>
                <w:rFonts w:cs="Times New Roman"/>
                <w:sz w:val="24"/>
                <w:szCs w:val="24"/>
                <w:lang w:val="ro-MD" w:eastAsia="ro-MD"/>
              </w:rPr>
              <w:t xml:space="preserve"> nr. 325/2022</w:t>
            </w:r>
            <w:r>
              <w:rPr>
                <w:rFonts w:cs="Times New Roman"/>
                <w:sz w:val="24"/>
                <w:szCs w:val="24"/>
                <w:lang w:val="ro-MD" w:eastAsia="ro-MD"/>
              </w:rPr>
              <w:t xml:space="preserve">, cât și în normele Codului fiscal </w:t>
            </w:r>
            <w:r w:rsidR="004935C2">
              <w:rPr>
                <w:rFonts w:cs="Times New Roman"/>
                <w:sz w:val="24"/>
                <w:szCs w:val="24"/>
                <w:lang w:val="ro-MD" w:eastAsia="ro-MD"/>
              </w:rPr>
              <w:t xml:space="preserve">nr. 1163/1997 </w:t>
            </w:r>
            <w:r>
              <w:rPr>
                <w:rFonts w:cs="Times New Roman"/>
                <w:sz w:val="24"/>
                <w:szCs w:val="24"/>
                <w:lang w:val="ro-MD" w:eastAsia="ro-MD"/>
              </w:rPr>
              <w:t xml:space="preserve">se regăsesc prevederi </w:t>
            </w:r>
            <w:r w:rsidR="00A154F9">
              <w:rPr>
                <w:rFonts w:cs="Times New Roman"/>
                <w:sz w:val="24"/>
                <w:szCs w:val="24"/>
                <w:lang w:val="ro-MD" w:eastAsia="ro-MD"/>
              </w:rPr>
              <w:t>referitoare</w:t>
            </w:r>
            <w:r>
              <w:rPr>
                <w:rFonts w:cs="Times New Roman"/>
                <w:sz w:val="24"/>
                <w:szCs w:val="24"/>
                <w:lang w:val="ro-MD" w:eastAsia="ro-MD"/>
              </w:rPr>
              <w:t xml:space="preserve"> </w:t>
            </w:r>
            <w:r w:rsidR="00A154F9">
              <w:rPr>
                <w:rFonts w:cs="Times New Roman"/>
                <w:sz w:val="24"/>
                <w:szCs w:val="24"/>
                <w:lang w:val="ro-MD" w:eastAsia="ro-MD"/>
              </w:rPr>
              <w:t>la indemnizația pentru munca prestată în perioada electorală</w:t>
            </w:r>
            <w:r w:rsidR="004935C2">
              <w:rPr>
                <w:rFonts w:cs="Times New Roman"/>
                <w:sz w:val="24"/>
                <w:szCs w:val="24"/>
                <w:lang w:val="ro-MD" w:eastAsia="ro-MD"/>
              </w:rPr>
              <w:t>.</w:t>
            </w:r>
          </w:p>
          <w:p w14:paraId="36FA6E8F" w14:textId="5ECACC84" w:rsidR="00A9545C" w:rsidRDefault="004935C2" w:rsidP="008E1A41">
            <w:pPr>
              <w:spacing w:before="120" w:after="0"/>
              <w:jc w:val="both"/>
              <w:rPr>
                <w:rFonts w:cs="Times New Roman"/>
                <w:sz w:val="24"/>
                <w:szCs w:val="24"/>
                <w:shd w:val="clear" w:color="auto" w:fill="FFFFFF"/>
              </w:rPr>
            </w:pPr>
            <w:r>
              <w:rPr>
                <w:rFonts w:cs="Times New Roman"/>
                <w:sz w:val="24"/>
                <w:szCs w:val="24"/>
              </w:rPr>
              <w:t>Astfel, î</w:t>
            </w:r>
            <w:r w:rsidR="00DB7B9F">
              <w:rPr>
                <w:rFonts w:cs="Times New Roman"/>
                <w:sz w:val="24"/>
                <w:szCs w:val="24"/>
              </w:rPr>
              <w:t>ntru susținerea celor expuse</w:t>
            </w:r>
            <w:r w:rsidR="00A9545C">
              <w:rPr>
                <w:rFonts w:cs="Times New Roman"/>
                <w:sz w:val="24"/>
                <w:szCs w:val="24"/>
              </w:rPr>
              <w:t>,</w:t>
            </w:r>
            <w:r w:rsidR="00D951CE">
              <w:rPr>
                <w:rFonts w:cs="Times New Roman"/>
                <w:sz w:val="24"/>
                <w:szCs w:val="24"/>
              </w:rPr>
              <w:t xml:space="preserve"> menționăm că</w:t>
            </w:r>
            <w:r w:rsidR="00A9545C">
              <w:rPr>
                <w:rFonts w:cs="Times New Roman"/>
                <w:sz w:val="24"/>
                <w:szCs w:val="24"/>
              </w:rPr>
              <w:t xml:space="preserve"> potrivit normelor </w:t>
            </w:r>
            <w:r w:rsidR="00574D82" w:rsidRPr="00574D82">
              <w:rPr>
                <w:rFonts w:cs="Times New Roman"/>
                <w:sz w:val="24"/>
                <w:szCs w:val="24"/>
              </w:rPr>
              <w:t>Codul</w:t>
            </w:r>
            <w:r w:rsidR="00A9545C">
              <w:rPr>
                <w:rFonts w:cs="Times New Roman"/>
                <w:sz w:val="24"/>
                <w:szCs w:val="24"/>
              </w:rPr>
              <w:t>ui</w:t>
            </w:r>
            <w:r w:rsidR="00574D82" w:rsidRPr="00574D82">
              <w:rPr>
                <w:rFonts w:cs="Times New Roman"/>
                <w:sz w:val="24"/>
                <w:szCs w:val="24"/>
              </w:rPr>
              <w:t xml:space="preserve"> electoral</w:t>
            </w:r>
            <w:r w:rsidR="00A9545C">
              <w:rPr>
                <w:rFonts w:cs="Times New Roman"/>
                <w:sz w:val="24"/>
                <w:szCs w:val="24"/>
              </w:rPr>
              <w:t xml:space="preserve"> sunt </w:t>
            </w:r>
            <w:r w:rsidR="00A440FE">
              <w:rPr>
                <w:rFonts w:cs="Times New Roman"/>
                <w:sz w:val="24"/>
                <w:szCs w:val="24"/>
              </w:rPr>
              <w:t xml:space="preserve">identificate </w:t>
            </w:r>
            <w:r w:rsidR="00A9545C">
              <w:rPr>
                <w:rFonts w:cs="Times New Roman"/>
                <w:sz w:val="24"/>
                <w:szCs w:val="24"/>
              </w:rPr>
              <w:t xml:space="preserve">două tipuri de remunerări acordate funcționarilor electorali </w:t>
            </w:r>
            <w:r w:rsidR="00574D82" w:rsidRPr="00574D82">
              <w:rPr>
                <w:rFonts w:cs="Times New Roman"/>
                <w:sz w:val="24"/>
                <w:szCs w:val="24"/>
              </w:rPr>
              <w:t>p</w:t>
            </w:r>
            <w:r w:rsidR="00574D82" w:rsidRPr="00574D82">
              <w:rPr>
                <w:rFonts w:cs="Times New Roman"/>
                <w:sz w:val="24"/>
                <w:szCs w:val="24"/>
                <w:shd w:val="clear" w:color="auto" w:fill="FFFFFF"/>
              </w:rPr>
              <w:t>entru activitatea în perioada electorală</w:t>
            </w:r>
            <w:r w:rsidR="00A9545C">
              <w:rPr>
                <w:rFonts w:cs="Times New Roman"/>
                <w:sz w:val="24"/>
                <w:szCs w:val="24"/>
                <w:shd w:val="clear" w:color="auto" w:fill="FFFFFF"/>
              </w:rPr>
              <w:t>.</w:t>
            </w:r>
          </w:p>
          <w:p w14:paraId="424E82BA" w14:textId="48E0BB86" w:rsidR="00574D82" w:rsidRPr="004935C2" w:rsidRDefault="004935C2" w:rsidP="004935C2">
            <w:pPr>
              <w:pStyle w:val="ListParagraph"/>
              <w:numPr>
                <w:ilvl w:val="0"/>
                <w:numId w:val="4"/>
              </w:numPr>
              <w:tabs>
                <w:tab w:val="left" w:pos="330"/>
              </w:tabs>
              <w:spacing w:before="120" w:after="0"/>
              <w:ind w:left="0" w:firstLine="0"/>
              <w:jc w:val="both"/>
              <w:rPr>
                <w:rFonts w:cs="Times New Roman"/>
                <w:sz w:val="24"/>
                <w:szCs w:val="24"/>
                <w:shd w:val="clear" w:color="auto" w:fill="FFFFFF"/>
                <w:lang w:val="ro-MD"/>
              </w:rPr>
            </w:pPr>
            <w:r w:rsidRPr="004935C2">
              <w:rPr>
                <w:rFonts w:ascii="Times New Roman" w:hAnsi="Times New Roman" w:cs="Times New Roman"/>
                <w:sz w:val="24"/>
                <w:szCs w:val="24"/>
                <w:shd w:val="clear" w:color="auto" w:fill="FFFFFF"/>
                <w:lang w:val="ro-MD"/>
              </w:rPr>
              <w:t>P</w:t>
            </w:r>
            <w:r w:rsidR="00A9545C" w:rsidRPr="004935C2">
              <w:rPr>
                <w:rFonts w:ascii="Times New Roman" w:hAnsi="Times New Roman" w:cs="Times New Roman"/>
                <w:sz w:val="24"/>
                <w:szCs w:val="24"/>
                <w:shd w:val="clear" w:color="auto" w:fill="FFFFFF"/>
                <w:lang w:val="ro-MD"/>
              </w:rPr>
              <w:t>otrivit art. 45</w:t>
            </w:r>
            <w:r w:rsidR="00A9545C" w:rsidRPr="007C5AFE">
              <w:rPr>
                <w:rFonts w:ascii="Times New Roman" w:hAnsi="Times New Roman" w:cs="Times New Roman"/>
                <w:sz w:val="24"/>
                <w:szCs w:val="24"/>
                <w:shd w:val="clear" w:color="auto" w:fill="FFFFFF"/>
                <w:lang w:val="ro-RO"/>
              </w:rPr>
              <w:t xml:space="preserve"> alin. (5) din Codul Electoral, </w:t>
            </w:r>
            <w:r w:rsidR="002A453E" w:rsidRPr="007C5AFE">
              <w:rPr>
                <w:rFonts w:ascii="Times New Roman" w:hAnsi="Times New Roman" w:cs="Times New Roman"/>
                <w:sz w:val="24"/>
                <w:szCs w:val="24"/>
                <w:shd w:val="clear" w:color="auto" w:fill="FFFFFF"/>
                <w:lang w:val="ro-RO"/>
              </w:rPr>
              <w:t xml:space="preserve">pentru activitatea în perioada electorală, </w:t>
            </w:r>
            <w:r w:rsidR="002A453E" w:rsidRPr="007C5AFE">
              <w:rPr>
                <w:rFonts w:ascii="Times New Roman" w:hAnsi="Times New Roman" w:cs="Times New Roman"/>
                <w:i/>
                <w:iCs/>
                <w:sz w:val="24"/>
                <w:szCs w:val="24"/>
                <w:shd w:val="clear" w:color="auto" w:fill="FFFFFF"/>
                <w:lang w:val="ro-RO"/>
              </w:rPr>
              <w:t>persoanele degrevate</w:t>
            </w:r>
            <w:r w:rsidR="002A453E" w:rsidRPr="007C5AFE">
              <w:rPr>
                <w:rFonts w:ascii="Times New Roman" w:hAnsi="Times New Roman" w:cs="Times New Roman"/>
                <w:sz w:val="24"/>
                <w:szCs w:val="24"/>
                <w:shd w:val="clear" w:color="auto" w:fill="FFFFFF"/>
                <w:lang w:val="ro-RO"/>
              </w:rPr>
              <w:t xml:space="preserve"> din instituțiile bugetare sau din alte unități decât cele bugetare și cele </w:t>
            </w:r>
            <w:r w:rsidR="002A453E" w:rsidRPr="007C5AFE">
              <w:rPr>
                <w:rFonts w:ascii="Times New Roman" w:hAnsi="Times New Roman" w:cs="Times New Roman"/>
                <w:i/>
                <w:iCs/>
                <w:sz w:val="24"/>
                <w:szCs w:val="24"/>
                <w:shd w:val="clear" w:color="auto" w:fill="FFFFFF"/>
                <w:lang w:val="ro-RO"/>
              </w:rPr>
              <w:t>convocate</w:t>
            </w:r>
            <w:r w:rsidR="002A453E" w:rsidRPr="007C5AFE">
              <w:rPr>
                <w:rFonts w:ascii="Times New Roman" w:hAnsi="Times New Roman" w:cs="Times New Roman"/>
                <w:sz w:val="24"/>
                <w:szCs w:val="24"/>
                <w:shd w:val="clear" w:color="auto" w:fill="FFFFFF"/>
                <w:lang w:val="ro-RO"/>
              </w:rPr>
              <w:t xml:space="preserve"> beneficiază de o </w:t>
            </w:r>
            <w:r w:rsidR="002A453E" w:rsidRPr="007C5AFE">
              <w:rPr>
                <w:rFonts w:ascii="Times New Roman" w:hAnsi="Times New Roman" w:cs="Times New Roman"/>
                <w:i/>
                <w:iCs/>
                <w:sz w:val="24"/>
                <w:szCs w:val="24"/>
                <w:shd w:val="clear" w:color="auto" w:fill="FFFFFF"/>
                <w:lang w:val="ro-RO"/>
              </w:rPr>
              <w:t>indemnizație</w:t>
            </w:r>
            <w:r w:rsidR="002A453E" w:rsidRPr="007C5AFE">
              <w:rPr>
                <w:rFonts w:ascii="Times New Roman" w:hAnsi="Times New Roman" w:cs="Times New Roman"/>
                <w:sz w:val="24"/>
                <w:szCs w:val="24"/>
                <w:shd w:val="clear" w:color="auto" w:fill="FFFFFF"/>
                <w:lang w:val="ro-RO"/>
              </w:rPr>
              <w:t xml:space="preserve">, calculată în baza salariului mediu lunar pe economie pentru anul precedent și achitată din mijloacele </w:t>
            </w:r>
            <w:r w:rsidR="002A453E" w:rsidRPr="004935C2">
              <w:rPr>
                <w:rFonts w:ascii="Times New Roman" w:hAnsi="Times New Roman" w:cs="Times New Roman"/>
                <w:sz w:val="24"/>
                <w:szCs w:val="24"/>
                <w:shd w:val="clear" w:color="auto" w:fill="FFFFFF"/>
                <w:lang w:val="ro-MD"/>
              </w:rPr>
              <w:t>financiare alocate pentru alegeri</w:t>
            </w:r>
            <w:r w:rsidR="00574D82" w:rsidRPr="004935C2">
              <w:rPr>
                <w:rFonts w:cs="Times New Roman"/>
                <w:sz w:val="24"/>
                <w:szCs w:val="24"/>
                <w:shd w:val="clear" w:color="auto" w:fill="FFFFFF"/>
                <w:lang w:val="ro-MD"/>
              </w:rPr>
              <w:t>.</w:t>
            </w:r>
          </w:p>
          <w:p w14:paraId="4D3B79C2" w14:textId="7EE138C2" w:rsidR="00574D82" w:rsidRPr="007C5AFE" w:rsidRDefault="004935C2" w:rsidP="004935C2">
            <w:pPr>
              <w:pStyle w:val="ListParagraph"/>
              <w:numPr>
                <w:ilvl w:val="0"/>
                <w:numId w:val="4"/>
              </w:numPr>
              <w:tabs>
                <w:tab w:val="left" w:pos="330"/>
              </w:tabs>
              <w:spacing w:before="120" w:after="0"/>
              <w:ind w:left="-30" w:firstLine="30"/>
              <w:jc w:val="both"/>
              <w:rPr>
                <w:rFonts w:ascii="Times New Roman" w:hAnsi="Times New Roman" w:cs="Times New Roman"/>
                <w:sz w:val="24"/>
                <w:szCs w:val="24"/>
                <w:shd w:val="clear" w:color="auto" w:fill="FFFFFF"/>
                <w:lang w:val="ro-MD"/>
              </w:rPr>
            </w:pPr>
            <w:r w:rsidRPr="004935C2">
              <w:rPr>
                <w:rFonts w:ascii="Times New Roman" w:hAnsi="Times New Roman" w:cs="Times New Roman"/>
                <w:sz w:val="24"/>
                <w:szCs w:val="24"/>
                <w:lang w:val="ro-MD"/>
              </w:rPr>
              <w:t>C</w:t>
            </w:r>
            <w:r w:rsidR="00574D82" w:rsidRPr="004935C2">
              <w:rPr>
                <w:rFonts w:ascii="Times New Roman" w:hAnsi="Times New Roman" w:cs="Times New Roman"/>
                <w:sz w:val="24"/>
                <w:szCs w:val="24"/>
                <w:lang w:val="ro-MD"/>
              </w:rPr>
              <w:t>onform art.</w:t>
            </w:r>
            <w:r w:rsidR="00574D82" w:rsidRPr="007C5AFE">
              <w:rPr>
                <w:rFonts w:ascii="Times New Roman" w:hAnsi="Times New Roman" w:cs="Times New Roman"/>
                <w:sz w:val="24"/>
                <w:szCs w:val="24"/>
                <w:lang w:val="ro-MD"/>
              </w:rPr>
              <w:t xml:space="preserve"> 45 alin. (8) din Codul electoral, </w:t>
            </w:r>
            <w:r w:rsidR="00574D82" w:rsidRPr="007C5AFE">
              <w:rPr>
                <w:rFonts w:ascii="Times New Roman" w:hAnsi="Times New Roman" w:cs="Times New Roman"/>
                <w:color w:val="000000" w:themeColor="text1"/>
                <w:sz w:val="24"/>
                <w:szCs w:val="24"/>
                <w:lang w:val="ro-MD"/>
              </w:rPr>
              <w:t>p</w:t>
            </w:r>
            <w:r w:rsidR="00574D82" w:rsidRPr="007C5AFE">
              <w:rPr>
                <w:rFonts w:ascii="Times New Roman" w:hAnsi="Times New Roman" w:cs="Times New Roman"/>
                <w:color w:val="000000" w:themeColor="text1"/>
                <w:sz w:val="24"/>
                <w:szCs w:val="24"/>
                <w:shd w:val="clear" w:color="auto" w:fill="FFFFFF"/>
                <w:lang w:val="ro-MD"/>
              </w:rPr>
              <w:t xml:space="preserve">entru activitatea în perioada electorală, inclusiv în ziua alegerilor, </w:t>
            </w:r>
            <w:r w:rsidR="00574D82" w:rsidRPr="007C5AFE">
              <w:rPr>
                <w:rFonts w:ascii="Times New Roman" w:hAnsi="Times New Roman" w:cs="Times New Roman"/>
                <w:i/>
                <w:iCs/>
                <w:sz w:val="24"/>
                <w:szCs w:val="24"/>
                <w:shd w:val="clear" w:color="auto" w:fill="FFFFFF"/>
                <w:lang w:val="ro-MD"/>
              </w:rPr>
              <w:t>membrilor organelor electorale nedegrevați și celor neconvocați</w:t>
            </w:r>
            <w:r w:rsidR="00574D82" w:rsidRPr="007C5AFE">
              <w:rPr>
                <w:rFonts w:ascii="Times New Roman" w:hAnsi="Times New Roman" w:cs="Times New Roman"/>
                <w:sz w:val="24"/>
                <w:szCs w:val="24"/>
                <w:shd w:val="clear" w:color="auto" w:fill="FFFFFF"/>
                <w:lang w:val="ro-MD"/>
              </w:rPr>
              <w:t xml:space="preserve">, precum și funcționarilor aparatelor birourilor electorale, li se stabilește o </w:t>
            </w:r>
            <w:r w:rsidR="00574D82" w:rsidRPr="007C5AFE">
              <w:rPr>
                <w:rFonts w:ascii="Times New Roman" w:hAnsi="Times New Roman" w:cs="Times New Roman"/>
                <w:i/>
                <w:iCs/>
                <w:sz w:val="24"/>
                <w:szCs w:val="24"/>
                <w:shd w:val="clear" w:color="auto" w:fill="FFFFFF"/>
                <w:lang w:val="ro-MD"/>
              </w:rPr>
              <w:t>indemnizație</w:t>
            </w:r>
            <w:r w:rsidR="00574D82" w:rsidRPr="007C5AFE">
              <w:rPr>
                <w:rFonts w:ascii="Times New Roman" w:hAnsi="Times New Roman" w:cs="Times New Roman"/>
                <w:sz w:val="24"/>
                <w:szCs w:val="24"/>
                <w:shd w:val="clear" w:color="auto" w:fill="FFFFFF"/>
                <w:lang w:val="ro-MD"/>
              </w:rPr>
              <w:t xml:space="preserve"> în mărime de 20% din salariul mediu lunar pe economie pentru anul precedent, achitată din mijloacele </w:t>
            </w:r>
            <w:r w:rsidR="00574D82" w:rsidRPr="004935C2">
              <w:rPr>
                <w:rFonts w:ascii="Times New Roman" w:hAnsi="Times New Roman" w:cs="Times New Roman"/>
                <w:sz w:val="24"/>
                <w:szCs w:val="24"/>
                <w:shd w:val="clear" w:color="auto" w:fill="FFFFFF"/>
                <w:lang w:val="ro-MD"/>
              </w:rPr>
              <w:t>financiare alocate pentru alegeri.</w:t>
            </w:r>
          </w:p>
          <w:p w14:paraId="745E8D61" w14:textId="062FFBAA" w:rsidR="002A453E" w:rsidRDefault="002A453E" w:rsidP="00E73BDD">
            <w:pPr>
              <w:spacing w:before="120" w:after="0"/>
              <w:jc w:val="both"/>
              <w:rPr>
                <w:rFonts w:cs="Times New Roman"/>
                <w:sz w:val="24"/>
                <w:szCs w:val="24"/>
                <w:shd w:val="clear" w:color="auto" w:fill="FFFFFF"/>
              </w:rPr>
            </w:pPr>
            <w:r w:rsidRPr="002A453E">
              <w:rPr>
                <w:rFonts w:cs="Times New Roman"/>
                <w:sz w:val="24"/>
                <w:szCs w:val="24"/>
                <w:shd w:val="clear" w:color="auto" w:fill="FFFFFF"/>
              </w:rPr>
              <w:t xml:space="preserve">În </w:t>
            </w:r>
            <w:r w:rsidR="004935C2">
              <w:rPr>
                <w:rFonts w:cs="Times New Roman"/>
                <w:sz w:val="24"/>
                <w:szCs w:val="24"/>
                <w:shd w:val="clear" w:color="auto" w:fill="FFFFFF"/>
              </w:rPr>
              <w:t xml:space="preserve">același timp, alin. (14) al art. </w:t>
            </w:r>
            <w:r w:rsidR="007C5AFE">
              <w:rPr>
                <w:rFonts w:cs="Times New Roman"/>
                <w:sz w:val="24"/>
                <w:szCs w:val="24"/>
                <w:shd w:val="clear" w:color="auto" w:fill="FFFFFF"/>
              </w:rPr>
              <w:t>4</w:t>
            </w:r>
            <w:r w:rsidR="004935C2">
              <w:rPr>
                <w:rFonts w:cs="Times New Roman"/>
                <w:sz w:val="24"/>
                <w:szCs w:val="24"/>
                <w:shd w:val="clear" w:color="auto" w:fill="FFFFFF"/>
              </w:rPr>
              <w:t xml:space="preserve">5 prevede că în </w:t>
            </w:r>
            <w:r w:rsidRPr="002A453E">
              <w:rPr>
                <w:rFonts w:cs="Times New Roman"/>
                <w:sz w:val="24"/>
                <w:szCs w:val="24"/>
                <w:shd w:val="clear" w:color="auto" w:fill="FFFFFF"/>
              </w:rPr>
              <w:t xml:space="preserve">condițiile legislației fiscale, indemnizația achitată funcționarilor electorali, </w:t>
            </w:r>
            <w:r w:rsidRPr="004935C2">
              <w:rPr>
                <w:rFonts w:cs="Times New Roman"/>
                <w:i/>
                <w:iCs/>
                <w:sz w:val="24"/>
                <w:szCs w:val="24"/>
                <w:u w:val="single"/>
                <w:shd w:val="clear" w:color="auto" w:fill="FFFFFF"/>
              </w:rPr>
              <w:t>care nu sunt degrevați sau convocați</w:t>
            </w:r>
            <w:r w:rsidRPr="002A453E">
              <w:rPr>
                <w:rFonts w:cs="Times New Roman"/>
                <w:sz w:val="24"/>
                <w:szCs w:val="24"/>
                <w:shd w:val="clear" w:color="auto" w:fill="FFFFFF"/>
              </w:rPr>
              <w:t xml:space="preserve">, pentru activitatea desfășurată în cadrul organelor electorale se califică </w:t>
            </w:r>
            <w:r w:rsidRPr="004935C2">
              <w:rPr>
                <w:rFonts w:cs="Times New Roman"/>
                <w:sz w:val="24"/>
                <w:szCs w:val="24"/>
                <w:shd w:val="clear" w:color="auto" w:fill="FFFFFF"/>
              </w:rPr>
              <w:t>drept</w:t>
            </w:r>
            <w:r w:rsidRPr="004935C2">
              <w:rPr>
                <w:rFonts w:cs="Times New Roman"/>
                <w:b/>
                <w:bCs/>
                <w:sz w:val="24"/>
                <w:szCs w:val="24"/>
                <w:shd w:val="clear" w:color="auto" w:fill="FFFFFF"/>
              </w:rPr>
              <w:t xml:space="preserve"> sursă de </w:t>
            </w:r>
            <w:r w:rsidRPr="004935C2">
              <w:rPr>
                <w:rFonts w:cs="Times New Roman"/>
                <w:b/>
                <w:bCs/>
                <w:i/>
                <w:iCs/>
                <w:sz w:val="24"/>
                <w:szCs w:val="24"/>
                <w:shd w:val="clear" w:color="auto" w:fill="FFFFFF"/>
              </w:rPr>
              <w:t>venit neimpozabilă</w:t>
            </w:r>
            <w:r w:rsidRPr="004935C2">
              <w:rPr>
                <w:rFonts w:cs="Times New Roman"/>
                <w:b/>
                <w:bCs/>
                <w:sz w:val="24"/>
                <w:szCs w:val="24"/>
                <w:shd w:val="clear" w:color="auto" w:fill="FFFFFF"/>
              </w:rPr>
              <w:t>.</w:t>
            </w:r>
          </w:p>
          <w:p w14:paraId="2DE19B45" w14:textId="0374F44E" w:rsidR="00574D82" w:rsidRDefault="00E73BDD" w:rsidP="00E73BDD">
            <w:pPr>
              <w:spacing w:before="120" w:after="0"/>
              <w:jc w:val="both"/>
              <w:rPr>
                <w:rFonts w:eastAsia="Calibri" w:cs="Times New Roman"/>
                <w:sz w:val="24"/>
                <w:szCs w:val="24"/>
              </w:rPr>
            </w:pPr>
            <w:r w:rsidRPr="00E73BDD">
              <w:rPr>
                <w:rFonts w:eastAsia="Calibri" w:cs="Times New Roman"/>
                <w:sz w:val="24"/>
                <w:szCs w:val="24"/>
              </w:rPr>
              <w:t xml:space="preserve">Raportând situația </w:t>
            </w:r>
            <w:r w:rsidR="004935C2">
              <w:rPr>
                <w:rFonts w:eastAsia="Calibri" w:cs="Times New Roman"/>
                <w:sz w:val="24"/>
                <w:szCs w:val="24"/>
              </w:rPr>
              <w:t xml:space="preserve">actuală </w:t>
            </w:r>
            <w:r w:rsidRPr="00E73BDD">
              <w:rPr>
                <w:rFonts w:eastAsia="Calibri" w:cs="Times New Roman"/>
                <w:sz w:val="24"/>
                <w:szCs w:val="24"/>
              </w:rPr>
              <w:t>expusă la cadrul normativ</w:t>
            </w:r>
            <w:r>
              <w:rPr>
                <w:rFonts w:eastAsia="Calibri" w:cs="Times New Roman"/>
                <w:sz w:val="24"/>
                <w:szCs w:val="24"/>
              </w:rPr>
              <w:t>,</w:t>
            </w:r>
            <w:r w:rsidRPr="00E73BDD">
              <w:rPr>
                <w:rFonts w:eastAsia="Calibri" w:cs="Times New Roman"/>
                <w:sz w:val="24"/>
                <w:szCs w:val="24"/>
              </w:rPr>
              <w:t xml:space="preserve"> </w:t>
            </w:r>
            <w:r>
              <w:rPr>
                <w:rFonts w:eastAsia="Calibri" w:cs="Times New Roman"/>
                <w:sz w:val="24"/>
                <w:szCs w:val="24"/>
              </w:rPr>
              <w:t xml:space="preserve">menționăm că la </w:t>
            </w:r>
            <w:r w:rsidRPr="00E73BDD">
              <w:rPr>
                <w:rFonts w:eastAsia="Calibri" w:cs="Times New Roman"/>
                <w:sz w:val="24"/>
                <w:szCs w:val="24"/>
              </w:rPr>
              <w:t xml:space="preserve">art. 20 </w:t>
            </w:r>
            <w:r>
              <w:rPr>
                <w:rFonts w:eastAsia="Calibri" w:cs="Times New Roman"/>
                <w:sz w:val="24"/>
                <w:szCs w:val="24"/>
              </w:rPr>
              <w:t xml:space="preserve">lit. </w:t>
            </w:r>
            <w:r w:rsidR="00574D82" w:rsidRPr="00574D82">
              <w:rPr>
                <w:rFonts w:eastAsia="Calibri" w:cs="Times New Roman"/>
                <w:sz w:val="24"/>
                <w:szCs w:val="24"/>
              </w:rPr>
              <w:t>z</w:t>
            </w:r>
            <w:r w:rsidR="00574D82" w:rsidRPr="00574D82">
              <w:rPr>
                <w:rFonts w:eastAsia="Calibri" w:cs="Times New Roman"/>
                <w:sz w:val="24"/>
                <w:szCs w:val="24"/>
                <w:vertAlign w:val="superscript"/>
              </w:rPr>
              <w:t>14</w:t>
            </w:r>
            <w:r w:rsidR="00574D82" w:rsidRPr="00574D82">
              <w:rPr>
                <w:rFonts w:eastAsia="Calibri" w:cs="Times New Roman"/>
                <w:sz w:val="24"/>
                <w:szCs w:val="24"/>
              </w:rPr>
              <w:t>)</w:t>
            </w:r>
            <w:r>
              <w:t xml:space="preserve"> </w:t>
            </w:r>
            <w:r w:rsidRPr="00E73BDD">
              <w:rPr>
                <w:rFonts w:eastAsia="Calibri" w:cs="Times New Roman"/>
                <w:sz w:val="24"/>
                <w:szCs w:val="24"/>
              </w:rPr>
              <w:t>din Codul fiscal nr. 1163/1997</w:t>
            </w:r>
            <w:r>
              <w:rPr>
                <w:rFonts w:eastAsia="Calibri" w:cs="Times New Roman"/>
                <w:sz w:val="24"/>
                <w:szCs w:val="24"/>
              </w:rPr>
              <w:t xml:space="preserve"> drept</w:t>
            </w:r>
            <w:r w:rsidR="00574D82" w:rsidRPr="00574D82">
              <w:rPr>
                <w:rFonts w:eastAsia="Calibri" w:cs="Times New Roman"/>
                <w:sz w:val="24"/>
                <w:szCs w:val="24"/>
              </w:rPr>
              <w:t xml:space="preserve"> </w:t>
            </w:r>
            <w:r>
              <w:rPr>
                <w:rFonts w:eastAsia="Calibri" w:cs="Times New Roman"/>
                <w:sz w:val="24"/>
                <w:szCs w:val="24"/>
              </w:rPr>
              <w:t>s</w:t>
            </w:r>
            <w:r w:rsidRPr="00E73BDD">
              <w:rPr>
                <w:rFonts w:eastAsia="Calibri" w:cs="Times New Roman"/>
                <w:sz w:val="24"/>
                <w:szCs w:val="24"/>
              </w:rPr>
              <w:t>urse de venit neimpozabile</w:t>
            </w:r>
            <w:r>
              <w:rPr>
                <w:rFonts w:eastAsia="Calibri" w:cs="Times New Roman"/>
                <w:sz w:val="24"/>
                <w:szCs w:val="24"/>
              </w:rPr>
              <w:t xml:space="preserve"> sunt calificate </w:t>
            </w:r>
            <w:r w:rsidR="00574D82" w:rsidRPr="00574D82">
              <w:rPr>
                <w:rFonts w:eastAsia="Calibri" w:cs="Times New Roman"/>
                <w:sz w:val="24"/>
                <w:szCs w:val="24"/>
              </w:rPr>
              <w:t>veniturile obținute sub formă de indemnizație pentru munca prestată în ziua alegerilor, achitată membrilor consiliilor electorale de circumscripție, membrilor birourilor electorale ale secțiilor de votare și funcționarilor aparatelor consiliilor și birourilor respective.</w:t>
            </w:r>
          </w:p>
          <w:p w14:paraId="3D4AC8D8" w14:textId="0F2016B8" w:rsidR="00EE7460" w:rsidRDefault="00EE7460" w:rsidP="00E73BDD">
            <w:pPr>
              <w:spacing w:before="120" w:after="0"/>
              <w:jc w:val="both"/>
              <w:rPr>
                <w:rFonts w:eastAsia="Calibri" w:cs="Times New Roman"/>
                <w:sz w:val="24"/>
                <w:szCs w:val="24"/>
              </w:rPr>
            </w:pPr>
            <w:r w:rsidRPr="00EE7460">
              <w:rPr>
                <w:rFonts w:eastAsia="Calibri" w:cs="Times New Roman"/>
                <w:sz w:val="24"/>
                <w:szCs w:val="24"/>
              </w:rPr>
              <w:t xml:space="preserve">În contextul celor expuse survine necesitatea operării modificărilor la Codul fiscal, prin </w:t>
            </w:r>
            <w:r>
              <w:rPr>
                <w:rFonts w:eastAsia="Calibri" w:cs="Times New Roman"/>
                <w:sz w:val="24"/>
                <w:szCs w:val="24"/>
              </w:rPr>
              <w:t>concretizarea</w:t>
            </w:r>
            <w:r w:rsidRPr="00EE7460">
              <w:rPr>
                <w:rFonts w:eastAsia="Calibri" w:cs="Times New Roman"/>
                <w:sz w:val="24"/>
                <w:szCs w:val="24"/>
              </w:rPr>
              <w:t xml:space="preserve"> categoriei de funcționari electorali (funcționari electorali nedegrevați/neconvocați) a căror remunerare/indemnizație pentru munca prestată în perioada electorală, inclusiv în ziua alegerilor reprezintă sursă de venit neimpozabilă.</w:t>
            </w:r>
          </w:p>
          <w:p w14:paraId="79F24A57" w14:textId="5B4D60A0" w:rsidR="00EE7460" w:rsidRDefault="00EE7460" w:rsidP="00E73BDD">
            <w:pPr>
              <w:spacing w:before="120" w:after="0"/>
              <w:jc w:val="both"/>
              <w:rPr>
                <w:rFonts w:eastAsia="Calibri" w:cs="Times New Roman"/>
                <w:sz w:val="24"/>
                <w:szCs w:val="24"/>
              </w:rPr>
            </w:pPr>
            <w:r w:rsidRPr="00EE7460">
              <w:rPr>
                <w:rFonts w:eastAsia="Calibri" w:cs="Times New Roman"/>
                <w:sz w:val="24"/>
                <w:szCs w:val="24"/>
              </w:rPr>
              <w:t xml:space="preserve">Adițional, comunicăm că membrii biroului electoral, degrevați și cei nedegrevați, participă în mod obligatoriu la ședințele acestuia, consultă proiectele de hotărâri și se pronunță asupra lor prin vot, iar în preziua votării participă la acțiuni pregătitoare pentru ziua alegerilor (numărarea buletinelor de vot, pregătirea localului secției de votare pentru procesul de vot, repartizarea atribuțiilor și sarcinilor în ziua alegerilor etc.) și la toate acțiunile din ziua votării (desfășurarea </w:t>
            </w:r>
            <w:r w:rsidRPr="00EE7460">
              <w:rPr>
                <w:rFonts w:eastAsia="Calibri" w:cs="Times New Roman"/>
                <w:sz w:val="24"/>
                <w:szCs w:val="24"/>
              </w:rPr>
              <w:lastRenderedPageBreak/>
              <w:t>procesului de votare, numărarea și totalizarea voturilor pe secția de votare, transmiterea buletinelor de vot, listelor electorale, proceselor-verbale de numărare, rapoartelor și altor documente necesare către consiliul electoral de circumscripție etc.).</w:t>
            </w:r>
          </w:p>
          <w:p w14:paraId="4CD1B0E0" w14:textId="7337B3D7" w:rsidR="00EE7460" w:rsidRDefault="00EE7460" w:rsidP="00E73BDD">
            <w:pPr>
              <w:spacing w:before="120" w:after="0"/>
              <w:jc w:val="both"/>
              <w:rPr>
                <w:rFonts w:eastAsia="Calibri" w:cs="Times New Roman"/>
                <w:sz w:val="24"/>
                <w:szCs w:val="24"/>
              </w:rPr>
            </w:pPr>
            <w:r w:rsidRPr="00EE7460">
              <w:rPr>
                <w:rFonts w:eastAsia="Calibri" w:cs="Times New Roman"/>
                <w:sz w:val="24"/>
                <w:szCs w:val="24"/>
              </w:rPr>
              <w:t>Totodată, precizăm că activitățile care se desfășoară câteva ore pe zi (activitatea funcționarilor electorali nedegrevați sau neconvocați) și doar în ziua votării pe zi deplină, sunt remunerate cu o indemnizație pentru activitatea în perioada electorală, inclusiv în ziua alegerilor, această perioadă neputând fi catalogată ca relații de muncă clasice și inclusă în stagiul de cotizare.</w:t>
            </w:r>
          </w:p>
          <w:p w14:paraId="6FAF3457" w14:textId="3B18B2A2" w:rsidR="0088325D" w:rsidRDefault="0088325D" w:rsidP="001338D9">
            <w:pPr>
              <w:spacing w:before="120" w:after="0"/>
              <w:jc w:val="both"/>
              <w:rPr>
                <w:rFonts w:eastAsia="Calibri" w:cs="Times New Roman"/>
                <w:sz w:val="24"/>
                <w:szCs w:val="24"/>
              </w:rPr>
            </w:pPr>
            <w:r>
              <w:rPr>
                <w:rFonts w:eastAsia="Calibri" w:cs="Times New Roman"/>
                <w:sz w:val="24"/>
                <w:szCs w:val="24"/>
              </w:rPr>
              <w:t>Așadar, prin achitarea acestor indemnizații, Comisia Electorală Centrală nu este plătitor de contribuții la bugetul asigurărilor sociale de stat, dat fiind faptul că aceste indemnizații</w:t>
            </w:r>
            <w:r w:rsidR="0081504C">
              <w:rPr>
                <w:rFonts w:eastAsia="Calibri" w:cs="Times New Roman"/>
                <w:sz w:val="24"/>
                <w:szCs w:val="24"/>
              </w:rPr>
              <w:t xml:space="preserve"> (indemnizații achitate funcționarilor electorali nedegrevați/neconvocați)</w:t>
            </w:r>
            <w:r>
              <w:rPr>
                <w:rFonts w:eastAsia="Calibri" w:cs="Times New Roman"/>
                <w:sz w:val="24"/>
                <w:szCs w:val="24"/>
              </w:rPr>
              <w:t xml:space="preserve"> nu sunt supuse impozitării</w:t>
            </w:r>
            <w:r w:rsidR="001338D9">
              <w:rPr>
                <w:rFonts w:eastAsia="Calibri" w:cs="Times New Roman"/>
                <w:sz w:val="24"/>
                <w:szCs w:val="24"/>
              </w:rPr>
              <w:t>, fapt pentru care survine necesitatea includerii indemnizațiilor sus-menționate în t</w:t>
            </w:r>
            <w:r w:rsidR="001338D9" w:rsidRPr="001338D9">
              <w:rPr>
                <w:rFonts w:eastAsia="Calibri" w:cs="Times New Roman"/>
                <w:sz w:val="24"/>
                <w:szCs w:val="24"/>
              </w:rPr>
              <w:t>ipuri</w:t>
            </w:r>
            <w:r w:rsidR="001338D9">
              <w:rPr>
                <w:rFonts w:eastAsia="Calibri" w:cs="Times New Roman"/>
                <w:sz w:val="24"/>
                <w:szCs w:val="24"/>
              </w:rPr>
              <w:t>le</w:t>
            </w:r>
            <w:r w:rsidR="001338D9" w:rsidRPr="001338D9">
              <w:rPr>
                <w:rFonts w:eastAsia="Calibri" w:cs="Times New Roman"/>
                <w:sz w:val="24"/>
                <w:szCs w:val="24"/>
              </w:rPr>
              <w:t xml:space="preserve"> de venituri aferent cărora nu se calculează </w:t>
            </w:r>
            <w:r w:rsidR="00992EBD" w:rsidRPr="001338D9">
              <w:rPr>
                <w:rFonts w:eastAsia="Calibri" w:cs="Times New Roman"/>
                <w:sz w:val="24"/>
                <w:szCs w:val="24"/>
              </w:rPr>
              <w:t>contribuții</w:t>
            </w:r>
            <w:r w:rsidR="001338D9" w:rsidRPr="001338D9">
              <w:rPr>
                <w:rFonts w:eastAsia="Calibri" w:cs="Times New Roman"/>
                <w:sz w:val="24"/>
                <w:szCs w:val="24"/>
              </w:rPr>
              <w:t xml:space="preserve"> de asigurări sociale</w:t>
            </w:r>
            <w:r w:rsidR="001338D9">
              <w:rPr>
                <w:rFonts w:eastAsia="Calibri" w:cs="Times New Roman"/>
                <w:sz w:val="24"/>
                <w:szCs w:val="24"/>
              </w:rPr>
              <w:t xml:space="preserve"> </w:t>
            </w:r>
            <w:r w:rsidR="001338D9" w:rsidRPr="001338D9">
              <w:rPr>
                <w:rFonts w:eastAsia="Calibri" w:cs="Times New Roman"/>
                <w:sz w:val="24"/>
                <w:szCs w:val="24"/>
              </w:rPr>
              <w:t>de stat obligatorii</w:t>
            </w:r>
            <w:r w:rsidR="001338D9">
              <w:rPr>
                <w:rFonts w:eastAsia="Calibri" w:cs="Times New Roman"/>
                <w:sz w:val="24"/>
                <w:szCs w:val="24"/>
              </w:rPr>
              <w:t xml:space="preserve"> prevăzute în Anexa nr. 3 din Legea nr. 489/1999.</w:t>
            </w:r>
          </w:p>
          <w:p w14:paraId="50FB2B00" w14:textId="7A7E05FA" w:rsidR="00EE7460" w:rsidRPr="00574D82" w:rsidRDefault="00EE7460" w:rsidP="001338D9">
            <w:pPr>
              <w:spacing w:before="120" w:after="0"/>
              <w:jc w:val="both"/>
              <w:rPr>
                <w:rFonts w:eastAsia="Calibri" w:cs="Times New Roman"/>
                <w:sz w:val="24"/>
                <w:szCs w:val="24"/>
              </w:rPr>
            </w:pPr>
            <w:r>
              <w:rPr>
                <w:rFonts w:eastAsia="Calibri" w:cs="Times New Roman"/>
                <w:sz w:val="24"/>
                <w:szCs w:val="24"/>
              </w:rPr>
              <w:t>Prin urmare, proiectul de lege pentru modificarea unor acte normative a fost elaborat urmare a deficiențelor depistate în aplicarea legilor menționate supra și racordarea acestora la prevederile Codului electoral.</w:t>
            </w:r>
          </w:p>
          <w:p w14:paraId="14F0EB3C" w14:textId="541E352E" w:rsidR="00574D82" w:rsidRPr="003F5465" w:rsidRDefault="00AA1AB8" w:rsidP="003F5465">
            <w:pPr>
              <w:shd w:val="clear" w:color="auto" w:fill="FFFFFF"/>
              <w:tabs>
                <w:tab w:val="left" w:pos="567"/>
              </w:tabs>
              <w:spacing w:before="120" w:after="0"/>
              <w:jc w:val="both"/>
              <w:textAlignment w:val="baseline"/>
              <w:rPr>
                <w:rFonts w:cs="Times New Roman"/>
                <w:sz w:val="24"/>
                <w:szCs w:val="24"/>
              </w:rPr>
            </w:pPr>
            <w:r>
              <w:rPr>
                <w:rFonts w:cs="Times New Roman"/>
                <w:sz w:val="24"/>
                <w:szCs w:val="24"/>
              </w:rPr>
              <w:t xml:space="preserve">În scopul argumentării necesității operării modificărilor propuse, </w:t>
            </w:r>
            <w:r w:rsidR="00574D82" w:rsidRPr="00574D82">
              <w:rPr>
                <w:rFonts w:cs="Times New Roman"/>
                <w:sz w:val="24"/>
                <w:szCs w:val="24"/>
              </w:rPr>
              <w:t>se prezintă următorul calcul</w:t>
            </w:r>
            <w:r w:rsidR="00EE7460">
              <w:rPr>
                <w:rFonts w:cs="Times New Roman"/>
                <w:sz w:val="24"/>
                <w:szCs w:val="24"/>
              </w:rPr>
              <w:t>, având la bază</w:t>
            </w:r>
            <w:r w:rsidR="00574D82" w:rsidRPr="00574D82">
              <w:rPr>
                <w:rFonts w:cs="Times New Roman"/>
                <w:sz w:val="24"/>
                <w:szCs w:val="24"/>
              </w:rPr>
              <w:t xml:space="preserve"> </w:t>
            </w:r>
            <w:r w:rsidR="00EE7460">
              <w:rPr>
                <w:rFonts w:cs="Times New Roman"/>
                <w:sz w:val="24"/>
                <w:szCs w:val="24"/>
              </w:rPr>
              <w:t xml:space="preserve">organizarea și desfășurarea </w:t>
            </w:r>
            <w:r w:rsidR="00574D82" w:rsidRPr="00574D82">
              <w:rPr>
                <w:rFonts w:cs="Times New Roman"/>
                <w:sz w:val="24"/>
                <w:szCs w:val="24"/>
              </w:rPr>
              <w:t>alegeril</w:t>
            </w:r>
            <w:r w:rsidR="00EE7460">
              <w:rPr>
                <w:rFonts w:cs="Times New Roman"/>
                <w:sz w:val="24"/>
                <w:szCs w:val="24"/>
              </w:rPr>
              <w:t>or</w:t>
            </w:r>
            <w:r w:rsidR="00574D82" w:rsidRPr="00574D82">
              <w:rPr>
                <w:rFonts w:cs="Times New Roman"/>
                <w:sz w:val="24"/>
                <w:szCs w:val="24"/>
              </w:rPr>
              <w:t xml:space="preserve"> parlamentare anticipate din 11 iulie 2021</w:t>
            </w:r>
            <w:r w:rsidR="00EE7460">
              <w:rPr>
                <w:rFonts w:cs="Times New Roman"/>
                <w:sz w:val="24"/>
                <w:szCs w:val="24"/>
              </w:rPr>
              <w:t>.</w:t>
            </w:r>
            <w:r w:rsidR="00574D82" w:rsidRPr="00574D82">
              <w:rPr>
                <w:rFonts w:cs="Times New Roman"/>
                <w:sz w:val="24"/>
                <w:szCs w:val="24"/>
              </w:rPr>
              <w:t xml:space="preserve"> </w:t>
            </w:r>
            <w:r w:rsidR="00EE7460">
              <w:rPr>
                <w:rFonts w:cs="Times New Roman"/>
                <w:sz w:val="24"/>
                <w:szCs w:val="24"/>
              </w:rPr>
              <w:t>S</w:t>
            </w:r>
            <w:r w:rsidR="00574D82" w:rsidRPr="00574D82">
              <w:rPr>
                <w:rFonts w:cs="Times New Roman"/>
                <w:sz w:val="24"/>
                <w:szCs w:val="24"/>
              </w:rPr>
              <w:t xml:space="preserve">uma indemnizației care a fost achitată </w:t>
            </w:r>
            <w:r w:rsidR="00574D82" w:rsidRPr="00574D82">
              <w:rPr>
                <w:rFonts w:cs="Times New Roman"/>
                <w:sz w:val="24"/>
                <w:szCs w:val="24"/>
                <w:shd w:val="clear" w:color="auto" w:fill="FFFFFF"/>
              </w:rPr>
              <w:t>membrilor organelor electorale nedegrevați și celor neconvocați, precum și funcționarilor aparatelor birourilor electorale,</w:t>
            </w:r>
            <w:r w:rsidR="00574D82" w:rsidRPr="00574D82" w:rsidDel="00713F8B">
              <w:rPr>
                <w:rFonts w:cs="Times New Roman"/>
                <w:sz w:val="24"/>
                <w:szCs w:val="24"/>
              </w:rPr>
              <w:t xml:space="preserve"> </w:t>
            </w:r>
            <w:r w:rsidR="00574D82" w:rsidRPr="00574D82">
              <w:rPr>
                <w:rFonts w:cs="Times New Roman"/>
                <w:sz w:val="24"/>
                <w:szCs w:val="24"/>
              </w:rPr>
              <w:t>p</w:t>
            </w:r>
            <w:r w:rsidR="00574D82" w:rsidRPr="00574D82">
              <w:rPr>
                <w:rFonts w:cs="Times New Roman"/>
                <w:sz w:val="24"/>
                <w:szCs w:val="24"/>
                <w:shd w:val="clear" w:color="auto" w:fill="FFFFFF"/>
              </w:rPr>
              <w:t xml:space="preserve">entru activitatea în perioada electorală, inclusiv în ziua alegerilor, </w:t>
            </w:r>
            <w:r w:rsidR="00EE7460">
              <w:rPr>
                <w:rFonts w:cs="Times New Roman"/>
                <w:sz w:val="24"/>
                <w:szCs w:val="24"/>
                <w:shd w:val="clear" w:color="auto" w:fill="FFFFFF"/>
              </w:rPr>
              <w:t xml:space="preserve">a </w:t>
            </w:r>
            <w:r w:rsidR="00574D82" w:rsidRPr="00574D82">
              <w:rPr>
                <w:rFonts w:cs="Times New Roman"/>
                <w:sz w:val="24"/>
                <w:szCs w:val="24"/>
                <w:shd w:val="clear" w:color="auto" w:fill="FFFFFF"/>
              </w:rPr>
              <w:t>constitui</w:t>
            </w:r>
            <w:r w:rsidR="00EE7460">
              <w:rPr>
                <w:rFonts w:cs="Times New Roman"/>
                <w:sz w:val="24"/>
                <w:szCs w:val="24"/>
                <w:shd w:val="clear" w:color="auto" w:fill="FFFFFF"/>
              </w:rPr>
              <w:t>t</w:t>
            </w:r>
            <w:r w:rsidR="00574D82" w:rsidRPr="00574D82">
              <w:rPr>
                <w:rFonts w:cs="Times New Roman"/>
                <w:sz w:val="24"/>
                <w:szCs w:val="24"/>
                <w:shd w:val="clear" w:color="auto" w:fill="FFFFFF"/>
              </w:rPr>
              <w:t xml:space="preserve"> 40,4 </w:t>
            </w:r>
            <w:proofErr w:type="spellStart"/>
            <w:r w:rsidR="00574D82" w:rsidRPr="00574D82">
              <w:rPr>
                <w:rFonts w:cs="Times New Roman"/>
                <w:sz w:val="24"/>
                <w:szCs w:val="24"/>
                <w:shd w:val="clear" w:color="auto" w:fill="FFFFFF"/>
              </w:rPr>
              <w:t>mln</w:t>
            </w:r>
            <w:proofErr w:type="spellEnd"/>
            <w:r w:rsidR="00574D82" w:rsidRPr="00574D82">
              <w:rPr>
                <w:rFonts w:cs="Times New Roman"/>
                <w:sz w:val="24"/>
                <w:szCs w:val="24"/>
                <w:shd w:val="clear" w:color="auto" w:fill="FFFFFF"/>
              </w:rPr>
              <w:t xml:space="preserve">. lei. </w:t>
            </w:r>
          </w:p>
          <w:p w14:paraId="797D2087" w14:textId="0BC13D6F" w:rsidR="00574D82" w:rsidRPr="00574D82" w:rsidRDefault="00574D82" w:rsidP="00C37923">
            <w:pPr>
              <w:shd w:val="clear" w:color="auto" w:fill="FFFFFF"/>
              <w:tabs>
                <w:tab w:val="left" w:pos="567"/>
              </w:tabs>
              <w:spacing w:after="0"/>
              <w:jc w:val="both"/>
              <w:textAlignment w:val="baseline"/>
              <w:rPr>
                <w:rFonts w:cs="Times New Roman"/>
                <w:sz w:val="24"/>
                <w:szCs w:val="24"/>
                <w:shd w:val="clear" w:color="auto" w:fill="FFFFFF"/>
              </w:rPr>
            </w:pPr>
            <w:r w:rsidRPr="00574D82">
              <w:rPr>
                <w:rFonts w:cs="Times New Roman"/>
                <w:sz w:val="24"/>
                <w:szCs w:val="24"/>
                <w:shd w:val="clear" w:color="auto" w:fill="FFFFFF"/>
              </w:rPr>
              <w:t xml:space="preserve">Astfel, în cazul calculării contribuțiilor de asigurări sociale de stat (29%), suma cheltuielilor executate pentru organizarea și desfășurarea alegerilor parlamentare anticipate din 11 iulie 2021 ar fi crescut cu 11,7 </w:t>
            </w:r>
            <w:proofErr w:type="spellStart"/>
            <w:r w:rsidRPr="00574D82">
              <w:rPr>
                <w:rFonts w:cs="Times New Roman"/>
                <w:sz w:val="24"/>
                <w:szCs w:val="24"/>
                <w:shd w:val="clear" w:color="auto" w:fill="FFFFFF"/>
              </w:rPr>
              <w:t>mln</w:t>
            </w:r>
            <w:proofErr w:type="spellEnd"/>
            <w:r w:rsidRPr="00574D82">
              <w:rPr>
                <w:rFonts w:cs="Times New Roman"/>
                <w:sz w:val="24"/>
                <w:szCs w:val="24"/>
                <w:shd w:val="clear" w:color="auto" w:fill="FFFFFF"/>
              </w:rPr>
              <w:t>. lei.</w:t>
            </w:r>
          </w:p>
          <w:p w14:paraId="79E6A083" w14:textId="02DF04C4" w:rsidR="00402988" w:rsidRPr="00402988" w:rsidRDefault="00402988" w:rsidP="003F5465">
            <w:pPr>
              <w:shd w:val="clear" w:color="auto" w:fill="FFFFFF"/>
              <w:tabs>
                <w:tab w:val="left" w:pos="567"/>
              </w:tabs>
              <w:spacing w:after="0"/>
              <w:jc w:val="both"/>
              <w:textAlignment w:val="baseline"/>
              <w:rPr>
                <w:rFonts w:cs="Times New Roman"/>
                <w:sz w:val="24"/>
                <w:szCs w:val="24"/>
              </w:rPr>
            </w:pPr>
          </w:p>
        </w:tc>
      </w:tr>
      <w:tr w:rsidR="008D6564" w:rsidRPr="00574D82" w14:paraId="6960D132" w14:textId="77777777" w:rsidTr="00352C5E">
        <w:tc>
          <w:tcPr>
            <w:tcW w:w="5000" w:type="pct"/>
            <w:shd w:val="clear" w:color="auto" w:fill="EDEDED" w:themeFill="accent3" w:themeFillTint="33"/>
          </w:tcPr>
          <w:p w14:paraId="293ECD90" w14:textId="441D8129"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lastRenderedPageBreak/>
              <w:t xml:space="preserve">3. Descrierea gradului de compatibilitate pentru proiectele care au ca scop armonizarea </w:t>
            </w:r>
            <w:r w:rsidR="00105B00" w:rsidRPr="00574D82">
              <w:rPr>
                <w:rFonts w:cs="Times New Roman"/>
                <w:sz w:val="24"/>
                <w:szCs w:val="24"/>
                <w:lang w:val="ro-MD"/>
              </w:rPr>
              <w:t>legislației</w:t>
            </w:r>
            <w:r w:rsidRPr="00574D82">
              <w:rPr>
                <w:rFonts w:cs="Times New Roman"/>
                <w:sz w:val="24"/>
                <w:szCs w:val="24"/>
                <w:lang w:val="ro-MD"/>
              </w:rPr>
              <w:t xml:space="preserve"> </w:t>
            </w:r>
            <w:r w:rsidR="00105B00" w:rsidRPr="00574D82">
              <w:rPr>
                <w:rFonts w:cs="Times New Roman"/>
                <w:sz w:val="24"/>
                <w:szCs w:val="24"/>
                <w:lang w:val="ro-MD"/>
              </w:rPr>
              <w:t>naționale</w:t>
            </w:r>
            <w:r w:rsidRPr="00574D82">
              <w:rPr>
                <w:rFonts w:cs="Times New Roman"/>
                <w:sz w:val="24"/>
                <w:szCs w:val="24"/>
                <w:lang w:val="ro-MD"/>
              </w:rPr>
              <w:t xml:space="preserve"> cu </w:t>
            </w:r>
            <w:r w:rsidR="00105B00" w:rsidRPr="00574D82">
              <w:rPr>
                <w:rFonts w:cs="Times New Roman"/>
                <w:sz w:val="24"/>
                <w:szCs w:val="24"/>
                <w:lang w:val="ro-MD"/>
              </w:rPr>
              <w:t>legislația</w:t>
            </w:r>
            <w:r w:rsidRPr="00574D82">
              <w:rPr>
                <w:rFonts w:cs="Times New Roman"/>
                <w:sz w:val="24"/>
                <w:szCs w:val="24"/>
                <w:lang w:val="ro-MD"/>
              </w:rPr>
              <w:t xml:space="preserve"> Uniunii Europene</w:t>
            </w:r>
          </w:p>
        </w:tc>
      </w:tr>
      <w:tr w:rsidR="008D6564" w:rsidRPr="00574D82" w14:paraId="2013A388" w14:textId="77777777" w:rsidTr="00352C5E">
        <w:tc>
          <w:tcPr>
            <w:tcW w:w="5000" w:type="pct"/>
          </w:tcPr>
          <w:p w14:paraId="3B818820" w14:textId="0959FB11" w:rsidR="00E05802" w:rsidRPr="00574D82" w:rsidRDefault="00E05802" w:rsidP="00C37923">
            <w:pPr>
              <w:tabs>
                <w:tab w:val="left" w:pos="884"/>
                <w:tab w:val="left" w:pos="1196"/>
              </w:tabs>
              <w:spacing w:after="0"/>
              <w:jc w:val="both"/>
              <w:rPr>
                <w:rFonts w:cs="Times New Roman"/>
                <w:sz w:val="24"/>
                <w:szCs w:val="24"/>
              </w:rPr>
            </w:pPr>
            <w:r w:rsidRPr="00E05802">
              <w:rPr>
                <w:rFonts w:cs="Times New Roman"/>
                <w:sz w:val="24"/>
                <w:szCs w:val="24"/>
              </w:rPr>
              <w:t>Proiectul de lege nu are drept scop armonizarea legislației naționale cu legislația Uniunii Europene și nu contravine angajamentelor asumate de către Republica Moldova în raport cu Uniunea Europeană, precum și prevederilor Acordului de Asociere.</w:t>
            </w:r>
          </w:p>
          <w:p w14:paraId="42465ABC" w14:textId="79DA008E" w:rsidR="00105B00" w:rsidRPr="00574D82" w:rsidRDefault="00105B00" w:rsidP="00C37923">
            <w:pPr>
              <w:tabs>
                <w:tab w:val="left" w:pos="884"/>
                <w:tab w:val="left" w:pos="1196"/>
              </w:tabs>
              <w:spacing w:after="0"/>
              <w:jc w:val="both"/>
              <w:rPr>
                <w:rFonts w:cs="Times New Roman"/>
                <w:sz w:val="24"/>
                <w:szCs w:val="24"/>
                <w:lang w:val="ro-MD"/>
              </w:rPr>
            </w:pPr>
          </w:p>
        </w:tc>
      </w:tr>
      <w:tr w:rsidR="008D6564" w:rsidRPr="00574D82" w14:paraId="2FBB376C" w14:textId="77777777" w:rsidTr="00352C5E">
        <w:tc>
          <w:tcPr>
            <w:tcW w:w="5000" w:type="pct"/>
            <w:shd w:val="clear" w:color="auto" w:fill="EDEDED" w:themeFill="accent3" w:themeFillTint="33"/>
          </w:tcPr>
          <w:p w14:paraId="2C756BF4" w14:textId="2A965F29"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4. Principalele prevederi ale proiectului </w:t>
            </w:r>
            <w:r w:rsidR="00105B00" w:rsidRPr="00574D82">
              <w:rPr>
                <w:rFonts w:cs="Times New Roman"/>
                <w:sz w:val="24"/>
                <w:szCs w:val="24"/>
                <w:lang w:val="ro-MD"/>
              </w:rPr>
              <w:t>și</w:t>
            </w:r>
            <w:r w:rsidRPr="00574D82">
              <w:rPr>
                <w:rFonts w:cs="Times New Roman"/>
                <w:sz w:val="24"/>
                <w:szCs w:val="24"/>
                <w:lang w:val="ro-MD"/>
              </w:rPr>
              <w:t xml:space="preserve"> </w:t>
            </w:r>
            <w:r w:rsidR="00105B00" w:rsidRPr="00574D82">
              <w:rPr>
                <w:rFonts w:cs="Times New Roman"/>
                <w:sz w:val="24"/>
                <w:szCs w:val="24"/>
                <w:lang w:val="ro-MD"/>
              </w:rPr>
              <w:t>evidențierea</w:t>
            </w:r>
            <w:r w:rsidRPr="00574D82">
              <w:rPr>
                <w:rFonts w:cs="Times New Roman"/>
                <w:sz w:val="24"/>
                <w:szCs w:val="24"/>
                <w:lang w:val="ro-MD"/>
              </w:rPr>
              <w:t xml:space="preserve"> elementelor noi</w:t>
            </w:r>
          </w:p>
        </w:tc>
      </w:tr>
      <w:tr w:rsidR="008D6564" w:rsidRPr="00574D82" w14:paraId="7E9C5DCB" w14:textId="77777777" w:rsidTr="00352C5E">
        <w:tc>
          <w:tcPr>
            <w:tcW w:w="5000" w:type="pct"/>
          </w:tcPr>
          <w:p w14:paraId="654AC4B3" w14:textId="497F1C81" w:rsidR="00E05802" w:rsidRDefault="00E05802" w:rsidP="00C37923">
            <w:pPr>
              <w:spacing w:after="0"/>
              <w:jc w:val="both"/>
              <w:rPr>
                <w:rFonts w:eastAsia="Calibri"/>
                <w:color w:val="8496B0" w:themeColor="text2" w:themeTint="99"/>
                <w:sz w:val="24"/>
                <w:szCs w:val="24"/>
              </w:rPr>
            </w:pPr>
            <w:r w:rsidRPr="00E05802">
              <w:rPr>
                <w:rFonts w:eastAsia="Calibri"/>
                <w:sz w:val="24"/>
                <w:szCs w:val="24"/>
              </w:rPr>
              <w:t xml:space="preserve">Proiectul de lege </w:t>
            </w:r>
            <w:r>
              <w:rPr>
                <w:rFonts w:eastAsia="Calibri"/>
                <w:sz w:val="24"/>
                <w:szCs w:val="24"/>
              </w:rPr>
              <w:t>prevede</w:t>
            </w:r>
            <w:r w:rsidRPr="00E05802">
              <w:rPr>
                <w:rFonts w:eastAsia="Calibri"/>
                <w:color w:val="000000" w:themeColor="text1"/>
                <w:sz w:val="24"/>
                <w:szCs w:val="24"/>
              </w:rPr>
              <w:t>:</w:t>
            </w:r>
          </w:p>
          <w:p w14:paraId="31ABDED9" w14:textId="7576D8E0" w:rsidR="00E05802" w:rsidRPr="004D71B3" w:rsidRDefault="00E05802" w:rsidP="00C37923">
            <w:pPr>
              <w:spacing w:after="0"/>
              <w:jc w:val="both"/>
              <w:rPr>
                <w:sz w:val="24"/>
                <w:szCs w:val="24"/>
              </w:rPr>
            </w:pPr>
            <w:r>
              <w:rPr>
                <w:rFonts w:eastAsia="Calibri"/>
                <w:sz w:val="24"/>
                <w:szCs w:val="24"/>
              </w:rPr>
              <w:t xml:space="preserve">- </w:t>
            </w:r>
            <w:r w:rsidRPr="00E05802">
              <w:rPr>
                <w:rFonts w:eastAsia="Calibri"/>
                <w:sz w:val="24"/>
                <w:szCs w:val="24"/>
              </w:rPr>
              <w:t xml:space="preserve">completarea Anexei nr. 3 </w:t>
            </w:r>
            <w:r>
              <w:rPr>
                <w:rFonts w:eastAsia="Calibri"/>
                <w:sz w:val="24"/>
                <w:szCs w:val="24"/>
              </w:rPr>
              <w:t>,,</w:t>
            </w:r>
            <w:r w:rsidRPr="00E05802">
              <w:rPr>
                <w:rFonts w:eastAsia="Calibri"/>
                <w:sz w:val="24"/>
                <w:szCs w:val="24"/>
              </w:rPr>
              <w:t>Tipuri de drepturi și de venituri aferent cărora nu se calculează contribuții de asigurări sociale</w:t>
            </w:r>
            <w:r>
              <w:rPr>
                <w:rFonts w:eastAsia="Calibri"/>
                <w:sz w:val="24"/>
                <w:szCs w:val="24"/>
              </w:rPr>
              <w:t xml:space="preserve"> </w:t>
            </w:r>
            <w:r w:rsidRPr="00E05802">
              <w:rPr>
                <w:rFonts w:eastAsia="Calibri"/>
                <w:sz w:val="24"/>
                <w:szCs w:val="24"/>
              </w:rPr>
              <w:t>de stat obligatorii</w:t>
            </w:r>
            <w:r>
              <w:rPr>
                <w:rFonts w:eastAsia="Calibri"/>
                <w:sz w:val="24"/>
                <w:szCs w:val="24"/>
              </w:rPr>
              <w:t>” l</w:t>
            </w:r>
            <w:r w:rsidRPr="00E05802">
              <w:rPr>
                <w:sz w:val="24"/>
                <w:szCs w:val="24"/>
              </w:rPr>
              <w:t>a Leg</w:t>
            </w:r>
            <w:r>
              <w:rPr>
                <w:sz w:val="24"/>
                <w:szCs w:val="24"/>
              </w:rPr>
              <w:t>ea</w:t>
            </w:r>
            <w:r w:rsidRPr="00E05802">
              <w:rPr>
                <w:sz w:val="24"/>
                <w:szCs w:val="24"/>
              </w:rPr>
              <w:t xml:space="preserve"> nr. 489/1999 privind sistemul public de asigurări sociale cu un nou punct 4</w:t>
            </w:r>
            <w:r w:rsidR="00A64481">
              <w:rPr>
                <w:sz w:val="24"/>
                <w:szCs w:val="24"/>
              </w:rPr>
              <w:t>3</w:t>
            </w:r>
            <w:r w:rsidRPr="00E05802">
              <w:rPr>
                <w:sz w:val="24"/>
                <w:szCs w:val="24"/>
              </w:rPr>
              <w:t>, potrivit căruia contribuțiile de asigurări sociale de stat obligatorii</w:t>
            </w:r>
            <w:r>
              <w:rPr>
                <w:sz w:val="24"/>
                <w:szCs w:val="24"/>
              </w:rPr>
              <w:t xml:space="preserve"> </w:t>
            </w:r>
            <w:r w:rsidRPr="00E05802">
              <w:rPr>
                <w:sz w:val="24"/>
                <w:szCs w:val="24"/>
              </w:rPr>
              <w:t xml:space="preserve">nu se calculează </w:t>
            </w:r>
            <w:r>
              <w:rPr>
                <w:sz w:val="24"/>
                <w:szCs w:val="24"/>
              </w:rPr>
              <w:t xml:space="preserve">din </w:t>
            </w:r>
            <w:r w:rsidRPr="00E05802">
              <w:rPr>
                <w:sz w:val="24"/>
                <w:szCs w:val="24"/>
              </w:rPr>
              <w:t>indemnizațiil</w:t>
            </w:r>
            <w:r>
              <w:rPr>
                <w:sz w:val="24"/>
                <w:szCs w:val="24"/>
              </w:rPr>
              <w:t>e</w:t>
            </w:r>
            <w:r w:rsidRPr="00E05802">
              <w:rPr>
                <w:sz w:val="24"/>
                <w:szCs w:val="24"/>
              </w:rPr>
              <w:t xml:space="preserve"> pentru munca prestată </w:t>
            </w:r>
            <w:r w:rsidRPr="00E05802">
              <w:rPr>
                <w:color w:val="000000" w:themeColor="text1"/>
                <w:sz w:val="24"/>
                <w:szCs w:val="24"/>
                <w:shd w:val="clear" w:color="auto" w:fill="FFFFFF"/>
              </w:rPr>
              <w:t>în perioada electorală, inclusiv în ziua alegerilor,</w:t>
            </w:r>
            <w:r w:rsidRPr="00E05802">
              <w:rPr>
                <w:color w:val="000000" w:themeColor="text1"/>
                <w:sz w:val="24"/>
                <w:szCs w:val="24"/>
              </w:rPr>
              <w:t xml:space="preserve"> </w:t>
            </w:r>
            <w:r w:rsidRPr="00E05802">
              <w:rPr>
                <w:sz w:val="24"/>
                <w:szCs w:val="24"/>
              </w:rPr>
              <w:t xml:space="preserve">achitate </w:t>
            </w:r>
            <w:r w:rsidR="009D7318">
              <w:rPr>
                <w:sz w:val="24"/>
                <w:szCs w:val="24"/>
              </w:rPr>
              <w:t>funcționarilor electorali nedegrevați sau neconvocați care activează în cadrul</w:t>
            </w:r>
            <w:r w:rsidRPr="00E05802">
              <w:rPr>
                <w:sz w:val="24"/>
                <w:szCs w:val="24"/>
              </w:rPr>
              <w:t xml:space="preserve"> consiliilor electorale de circumscripție, birourilor electorale ale secțiilor de votare și aparatelor consiliilor și birourilor respective</w:t>
            </w:r>
            <w:r w:rsidRPr="004D71B3">
              <w:rPr>
                <w:sz w:val="24"/>
                <w:szCs w:val="24"/>
              </w:rPr>
              <w:t>;</w:t>
            </w:r>
          </w:p>
          <w:p w14:paraId="7E3F534A" w14:textId="5702ADD7" w:rsidR="000505A5" w:rsidRDefault="00E05802" w:rsidP="00C37923">
            <w:pPr>
              <w:spacing w:after="0"/>
              <w:jc w:val="both"/>
              <w:rPr>
                <w:sz w:val="24"/>
                <w:szCs w:val="24"/>
              </w:rPr>
            </w:pPr>
            <w:r>
              <w:rPr>
                <w:sz w:val="24"/>
                <w:szCs w:val="24"/>
              </w:rPr>
              <w:t xml:space="preserve">- </w:t>
            </w:r>
            <w:r w:rsidRPr="00E05802">
              <w:rPr>
                <w:sz w:val="24"/>
                <w:szCs w:val="24"/>
              </w:rPr>
              <w:t>unificarea normei de la art. 20 lit. z</w:t>
            </w:r>
            <w:r w:rsidRPr="00E05802">
              <w:rPr>
                <w:sz w:val="24"/>
                <w:szCs w:val="24"/>
                <w:vertAlign w:val="superscript"/>
              </w:rPr>
              <w:t>14</w:t>
            </w:r>
            <w:r w:rsidRPr="00E05802">
              <w:rPr>
                <w:sz w:val="24"/>
                <w:szCs w:val="24"/>
              </w:rPr>
              <w:t>) din Codul Fiscal al Republicii Moldova nr. 1163</w:t>
            </w:r>
            <w:r>
              <w:rPr>
                <w:sz w:val="24"/>
                <w:szCs w:val="24"/>
              </w:rPr>
              <w:t>/</w:t>
            </w:r>
            <w:r w:rsidRPr="00E05802">
              <w:rPr>
                <w:sz w:val="24"/>
                <w:szCs w:val="24"/>
              </w:rPr>
              <w:t xml:space="preserve">1997, care prevede sursele de venit neimpozabile, inclusiv veniturile obținute sub formă de indemnizație </w:t>
            </w:r>
            <w:r w:rsidR="00F86029">
              <w:rPr>
                <w:sz w:val="24"/>
                <w:szCs w:val="24"/>
              </w:rPr>
              <w:t>pentru munca prestată în perioada electorală, inclusiv în ziua alegerilor achitată funcționarilor publici nedegrevați sau neconvocați care activează în cadrul</w:t>
            </w:r>
            <w:r w:rsidRPr="00E05802">
              <w:rPr>
                <w:sz w:val="24"/>
                <w:szCs w:val="24"/>
              </w:rPr>
              <w:t xml:space="preserve"> consiliilor electorale de circumscripție, birourilor electorale ale secțiilor de votare și aparatelor consiliilor și birourilor respective.</w:t>
            </w:r>
          </w:p>
          <w:p w14:paraId="3C4A0486" w14:textId="194EFB63" w:rsidR="00E05802" w:rsidRPr="00E05802" w:rsidRDefault="00E05802" w:rsidP="00C37923">
            <w:pPr>
              <w:spacing w:after="0"/>
              <w:jc w:val="both"/>
              <w:rPr>
                <w:rFonts w:eastAsia="Calibri"/>
                <w:sz w:val="24"/>
                <w:szCs w:val="24"/>
              </w:rPr>
            </w:pPr>
          </w:p>
        </w:tc>
      </w:tr>
      <w:tr w:rsidR="008D6564" w:rsidRPr="00574D82" w14:paraId="2A410944" w14:textId="77777777" w:rsidTr="00352C5E">
        <w:tc>
          <w:tcPr>
            <w:tcW w:w="5000" w:type="pct"/>
            <w:shd w:val="clear" w:color="auto" w:fill="EDEDED" w:themeFill="accent3" w:themeFillTint="33"/>
          </w:tcPr>
          <w:p w14:paraId="4FC74223"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5. Fundamentarea </w:t>
            </w:r>
            <w:proofErr w:type="spellStart"/>
            <w:r w:rsidRPr="00574D82">
              <w:rPr>
                <w:rFonts w:cs="Times New Roman"/>
                <w:sz w:val="24"/>
                <w:szCs w:val="24"/>
                <w:lang w:val="ro-MD"/>
              </w:rPr>
              <w:t>economico</w:t>
            </w:r>
            <w:proofErr w:type="spellEnd"/>
            <w:r w:rsidRPr="00574D82">
              <w:rPr>
                <w:rFonts w:cs="Times New Roman"/>
                <w:sz w:val="24"/>
                <w:szCs w:val="24"/>
                <w:lang w:val="ro-MD"/>
              </w:rPr>
              <w:t>-financiară</w:t>
            </w:r>
          </w:p>
        </w:tc>
      </w:tr>
      <w:tr w:rsidR="008D6564" w:rsidRPr="00574D82" w14:paraId="4175A9ED" w14:textId="77777777" w:rsidTr="00352C5E">
        <w:tc>
          <w:tcPr>
            <w:tcW w:w="5000" w:type="pct"/>
          </w:tcPr>
          <w:p w14:paraId="78620F4B" w14:textId="77777777" w:rsidR="00AC33C0" w:rsidRDefault="00E05802" w:rsidP="00C37923">
            <w:pPr>
              <w:tabs>
                <w:tab w:val="left" w:pos="884"/>
                <w:tab w:val="left" w:pos="1196"/>
              </w:tabs>
              <w:spacing w:after="0"/>
              <w:jc w:val="both"/>
              <w:rPr>
                <w:rFonts w:cs="Times New Roman"/>
                <w:sz w:val="24"/>
                <w:szCs w:val="24"/>
              </w:rPr>
            </w:pPr>
            <w:r w:rsidRPr="00E05802">
              <w:rPr>
                <w:rFonts w:cs="Times New Roman"/>
                <w:sz w:val="24"/>
                <w:szCs w:val="24"/>
              </w:rPr>
              <w:t>Implementarea prevederilor actului normativ nu implică cheltuieli financiare suplimentare celor planificate.</w:t>
            </w:r>
          </w:p>
          <w:p w14:paraId="1C0D334C" w14:textId="346AFCF4" w:rsidR="00E05802" w:rsidRPr="00574D82" w:rsidRDefault="00E05802" w:rsidP="00C37923">
            <w:pPr>
              <w:tabs>
                <w:tab w:val="left" w:pos="884"/>
                <w:tab w:val="left" w:pos="1196"/>
              </w:tabs>
              <w:spacing w:after="0"/>
              <w:jc w:val="both"/>
              <w:rPr>
                <w:rFonts w:cs="Times New Roman"/>
                <w:sz w:val="24"/>
                <w:szCs w:val="24"/>
              </w:rPr>
            </w:pPr>
          </w:p>
        </w:tc>
      </w:tr>
      <w:tr w:rsidR="008D6564" w:rsidRPr="00574D82" w14:paraId="00C344E0" w14:textId="77777777" w:rsidTr="00352C5E">
        <w:tc>
          <w:tcPr>
            <w:tcW w:w="5000" w:type="pct"/>
            <w:shd w:val="clear" w:color="auto" w:fill="EDEDED" w:themeFill="accent3" w:themeFillTint="33"/>
          </w:tcPr>
          <w:p w14:paraId="5A04AF3B"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lastRenderedPageBreak/>
              <w:t>6. Modul de încorporare a actului în cadrul normativ în vigoare</w:t>
            </w:r>
          </w:p>
        </w:tc>
      </w:tr>
      <w:tr w:rsidR="008D6564" w:rsidRPr="00574D82" w14:paraId="58FA24F6" w14:textId="77777777" w:rsidTr="00352C5E">
        <w:tc>
          <w:tcPr>
            <w:tcW w:w="5000" w:type="pct"/>
          </w:tcPr>
          <w:p w14:paraId="6DB0E11D" w14:textId="77777777" w:rsidR="008D6564" w:rsidRPr="00574D82" w:rsidRDefault="00AC33C0"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Aprobarea proiectului vizat nu implică operarea anumitor modificări și completări în actele normative în vigoare din domeniu.</w:t>
            </w:r>
          </w:p>
          <w:p w14:paraId="5E360211" w14:textId="5CEDF11C" w:rsidR="00AC33C0" w:rsidRPr="00574D82" w:rsidRDefault="00AC33C0" w:rsidP="00C37923">
            <w:pPr>
              <w:tabs>
                <w:tab w:val="left" w:pos="884"/>
                <w:tab w:val="left" w:pos="1196"/>
              </w:tabs>
              <w:spacing w:after="0"/>
              <w:jc w:val="both"/>
              <w:rPr>
                <w:rFonts w:cs="Times New Roman"/>
                <w:sz w:val="24"/>
                <w:szCs w:val="24"/>
                <w:lang w:val="ro-MD"/>
              </w:rPr>
            </w:pPr>
          </w:p>
        </w:tc>
      </w:tr>
      <w:tr w:rsidR="008D6564" w:rsidRPr="00574D82" w14:paraId="42B5BD03" w14:textId="77777777" w:rsidTr="00352C5E">
        <w:tc>
          <w:tcPr>
            <w:tcW w:w="5000" w:type="pct"/>
            <w:shd w:val="clear" w:color="auto" w:fill="EDEDED" w:themeFill="accent3" w:themeFillTint="33"/>
          </w:tcPr>
          <w:p w14:paraId="0F68CE0F"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7. Avizarea </w:t>
            </w:r>
            <w:proofErr w:type="spellStart"/>
            <w:r w:rsidRPr="00574D82">
              <w:rPr>
                <w:rFonts w:cs="Times New Roman"/>
                <w:sz w:val="24"/>
                <w:szCs w:val="24"/>
                <w:lang w:val="ro-MD"/>
              </w:rPr>
              <w:t>şi</w:t>
            </w:r>
            <w:proofErr w:type="spellEnd"/>
            <w:r w:rsidRPr="00574D82">
              <w:rPr>
                <w:rFonts w:cs="Times New Roman"/>
                <w:sz w:val="24"/>
                <w:szCs w:val="24"/>
                <w:lang w:val="ro-MD"/>
              </w:rPr>
              <w:t xml:space="preserve"> consultarea publică a proiectului</w:t>
            </w:r>
          </w:p>
        </w:tc>
      </w:tr>
      <w:tr w:rsidR="008D6564" w:rsidRPr="00574D82" w14:paraId="77FD8356" w14:textId="77777777" w:rsidTr="00352C5E">
        <w:tc>
          <w:tcPr>
            <w:tcW w:w="5000" w:type="pct"/>
          </w:tcPr>
          <w:p w14:paraId="56FD71FA" w14:textId="7EF47D00" w:rsidR="001664DF" w:rsidRDefault="00FC221A" w:rsidP="00C37923">
            <w:pPr>
              <w:tabs>
                <w:tab w:val="left" w:pos="884"/>
                <w:tab w:val="left" w:pos="1196"/>
              </w:tabs>
              <w:spacing w:after="0"/>
              <w:jc w:val="both"/>
              <w:rPr>
                <w:rStyle w:val="Hyperlink"/>
                <w:rFonts w:cs="Times New Roman"/>
                <w:sz w:val="24"/>
                <w:szCs w:val="24"/>
                <w:u w:val="none"/>
                <w:lang w:val="ro-MD"/>
              </w:rPr>
            </w:pPr>
            <w:r>
              <w:rPr>
                <w:rFonts w:cs="Times New Roman"/>
                <w:sz w:val="24"/>
                <w:szCs w:val="24"/>
                <w:lang w:val="ro-MD"/>
              </w:rPr>
              <w:t>În scopul respectării prevederilor Legii nr. 239/2008 privind transparența în procesul decizional și actele normative în domeniul transparenței în procesul decizional, a</w:t>
            </w:r>
            <w:r w:rsidR="00AC33C0" w:rsidRPr="00574D82">
              <w:rPr>
                <w:rFonts w:cs="Times New Roman"/>
                <w:sz w:val="24"/>
                <w:szCs w:val="24"/>
                <w:lang w:val="ro-MD"/>
              </w:rPr>
              <w:t>nunțul privind inițierea elaborării proiectului actului normativ</w:t>
            </w:r>
            <w:r w:rsidR="00E05802">
              <w:rPr>
                <w:rFonts w:cs="Times New Roman"/>
                <w:sz w:val="24"/>
                <w:szCs w:val="24"/>
                <w:lang w:val="ro-MD"/>
              </w:rPr>
              <w:t xml:space="preserve"> a </w:t>
            </w:r>
            <w:r w:rsidR="001664DF">
              <w:rPr>
                <w:rFonts w:cs="Times New Roman"/>
                <w:sz w:val="24"/>
                <w:szCs w:val="24"/>
                <w:lang w:val="ro-MD"/>
              </w:rPr>
              <w:t>fost</w:t>
            </w:r>
            <w:r w:rsidR="00E05802">
              <w:rPr>
                <w:rFonts w:cs="Times New Roman"/>
                <w:sz w:val="24"/>
                <w:szCs w:val="24"/>
                <w:lang w:val="ro-MD"/>
              </w:rPr>
              <w:t xml:space="preserve"> </w:t>
            </w:r>
            <w:r w:rsidR="00AC33C0" w:rsidRPr="00574D82">
              <w:rPr>
                <w:rFonts w:cs="Times New Roman"/>
                <w:sz w:val="24"/>
                <w:szCs w:val="24"/>
                <w:lang w:val="ro-MD"/>
              </w:rPr>
              <w:t xml:space="preserve">plasat pe pagina web: </w:t>
            </w:r>
            <w:hyperlink r:id="rId5" w:history="1">
              <w:r w:rsidR="00E5180C" w:rsidRPr="001664DF">
                <w:rPr>
                  <w:rStyle w:val="Hyperlink"/>
                  <w:rFonts w:cs="Times New Roman"/>
                  <w:sz w:val="24"/>
                  <w:szCs w:val="24"/>
                  <w:u w:val="none"/>
                  <w:lang w:val="ro-MD"/>
                </w:rPr>
                <w:t>www.particip.gov.md</w:t>
              </w:r>
            </w:hyperlink>
            <w:r w:rsidR="001664DF">
              <w:rPr>
                <w:rStyle w:val="Hyperlink"/>
                <w:rFonts w:cs="Times New Roman"/>
                <w:sz w:val="24"/>
                <w:szCs w:val="24"/>
                <w:u w:val="none"/>
                <w:lang w:val="ro-MD"/>
              </w:rPr>
              <w:t xml:space="preserve"> </w:t>
            </w:r>
            <w:r w:rsidR="001664DF" w:rsidRPr="001664DF">
              <w:rPr>
                <w:rStyle w:val="Hyperlink"/>
                <w:rFonts w:cs="Times New Roman"/>
                <w:color w:val="auto"/>
                <w:sz w:val="24"/>
                <w:szCs w:val="24"/>
                <w:u w:val="none"/>
                <w:lang w:val="ro-MD"/>
              </w:rPr>
              <w:t xml:space="preserve">și poate fi accesat la următorul link </w:t>
            </w:r>
            <w:hyperlink r:id="rId6" w:history="1">
              <w:r w:rsidR="001664DF" w:rsidRPr="008154A5">
                <w:rPr>
                  <w:rStyle w:val="Hyperlink"/>
                  <w:rFonts w:cs="Times New Roman"/>
                  <w:sz w:val="24"/>
                  <w:szCs w:val="24"/>
                  <w:lang w:val="ro-MD"/>
                </w:rPr>
                <w:t>https://particip.gov.md/ro/document/stages/*/11097</w:t>
              </w:r>
            </w:hyperlink>
            <w:r w:rsidR="001664DF">
              <w:rPr>
                <w:rStyle w:val="Hyperlink"/>
                <w:rFonts w:cs="Times New Roman"/>
                <w:sz w:val="24"/>
                <w:szCs w:val="24"/>
                <w:u w:val="none"/>
                <w:lang w:val="ro-MD"/>
              </w:rPr>
              <w:t>.</w:t>
            </w:r>
          </w:p>
          <w:p w14:paraId="5120F255" w14:textId="35BE28AD" w:rsidR="00E5180C" w:rsidRPr="00574D82" w:rsidRDefault="00E5180C" w:rsidP="00C37923">
            <w:pPr>
              <w:tabs>
                <w:tab w:val="left" w:pos="884"/>
                <w:tab w:val="left" w:pos="1196"/>
              </w:tabs>
              <w:spacing w:after="0"/>
              <w:jc w:val="both"/>
              <w:rPr>
                <w:rFonts w:cs="Times New Roman"/>
                <w:sz w:val="24"/>
                <w:szCs w:val="24"/>
                <w:lang w:val="ro-MD"/>
              </w:rPr>
            </w:pPr>
          </w:p>
        </w:tc>
      </w:tr>
      <w:tr w:rsidR="008D6564" w:rsidRPr="00574D82" w14:paraId="68CEEF97" w14:textId="77777777" w:rsidTr="00352C5E">
        <w:tc>
          <w:tcPr>
            <w:tcW w:w="5000" w:type="pct"/>
            <w:shd w:val="clear" w:color="auto" w:fill="EDEDED" w:themeFill="accent3" w:themeFillTint="33"/>
          </w:tcPr>
          <w:p w14:paraId="53A47FFD"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8. Constatările expertizei anticorupție</w:t>
            </w:r>
          </w:p>
        </w:tc>
      </w:tr>
      <w:tr w:rsidR="008D6564" w:rsidRPr="00574D82" w14:paraId="1E5848B9" w14:textId="77777777" w:rsidTr="00352C5E">
        <w:tc>
          <w:tcPr>
            <w:tcW w:w="5000" w:type="pct"/>
          </w:tcPr>
          <w:p w14:paraId="74053F2B" w14:textId="77777777" w:rsidR="0026116C" w:rsidRDefault="00FC221A" w:rsidP="00FC221A">
            <w:pPr>
              <w:tabs>
                <w:tab w:val="left" w:pos="884"/>
                <w:tab w:val="left" w:pos="1196"/>
              </w:tabs>
              <w:spacing w:after="0"/>
              <w:jc w:val="both"/>
              <w:rPr>
                <w:rFonts w:cs="Times New Roman"/>
                <w:sz w:val="24"/>
                <w:szCs w:val="24"/>
                <w:lang w:val="ro-MD"/>
              </w:rPr>
            </w:pPr>
            <w:r>
              <w:rPr>
                <w:rFonts w:cs="Times New Roman"/>
                <w:sz w:val="24"/>
                <w:szCs w:val="24"/>
                <w:lang w:val="ro-MD"/>
              </w:rPr>
              <w:t>Proiectul se va transmite pentru efectuarea expertizei anticorupție, conform art. 35 din Legea nr. 100/2017 cu privire la actele normative.</w:t>
            </w:r>
          </w:p>
          <w:p w14:paraId="65CA5629" w14:textId="6A70067F" w:rsidR="00FC221A" w:rsidRPr="00574D82" w:rsidRDefault="00FC221A" w:rsidP="00FC221A">
            <w:pPr>
              <w:tabs>
                <w:tab w:val="left" w:pos="884"/>
                <w:tab w:val="left" w:pos="1196"/>
              </w:tabs>
              <w:spacing w:after="0"/>
              <w:jc w:val="both"/>
              <w:rPr>
                <w:rFonts w:cs="Times New Roman"/>
                <w:sz w:val="24"/>
                <w:szCs w:val="24"/>
                <w:lang w:val="ro-MD"/>
              </w:rPr>
            </w:pPr>
          </w:p>
        </w:tc>
      </w:tr>
      <w:tr w:rsidR="008D6564" w:rsidRPr="00574D82" w14:paraId="363936FD" w14:textId="77777777" w:rsidTr="00352C5E">
        <w:tc>
          <w:tcPr>
            <w:tcW w:w="5000" w:type="pct"/>
            <w:shd w:val="clear" w:color="auto" w:fill="EDEDED" w:themeFill="accent3" w:themeFillTint="33"/>
          </w:tcPr>
          <w:p w14:paraId="3BEAB547"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9. Constatările expertizei de compatibilitate</w:t>
            </w:r>
          </w:p>
        </w:tc>
      </w:tr>
      <w:tr w:rsidR="008D6564" w:rsidRPr="00574D82" w14:paraId="20D42339" w14:textId="77777777" w:rsidTr="00352C5E">
        <w:tc>
          <w:tcPr>
            <w:tcW w:w="5000" w:type="pct"/>
          </w:tcPr>
          <w:p w14:paraId="73D132BC" w14:textId="01DC4869" w:rsidR="008D6564" w:rsidRPr="00574D82" w:rsidRDefault="00904A38"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Proiectul de </w:t>
            </w:r>
            <w:r w:rsidR="00E5180C">
              <w:rPr>
                <w:rFonts w:cs="Times New Roman"/>
                <w:sz w:val="24"/>
                <w:szCs w:val="24"/>
                <w:lang w:val="ro-MD"/>
              </w:rPr>
              <w:t xml:space="preserve">lege </w:t>
            </w:r>
            <w:r w:rsidRPr="00574D82">
              <w:rPr>
                <w:rFonts w:cs="Times New Roman"/>
                <w:sz w:val="24"/>
                <w:szCs w:val="24"/>
                <w:lang w:val="ro-MD"/>
              </w:rPr>
              <w:t>nu are ca scop armonizarea legislației naționale cu legislația Uniunii Europene.</w:t>
            </w:r>
          </w:p>
          <w:p w14:paraId="4BFF6BB7" w14:textId="0DB60DD4" w:rsidR="00904A38" w:rsidRPr="00574D82" w:rsidRDefault="00904A38" w:rsidP="00C37923">
            <w:pPr>
              <w:tabs>
                <w:tab w:val="left" w:pos="884"/>
                <w:tab w:val="left" w:pos="1196"/>
              </w:tabs>
              <w:spacing w:after="0"/>
              <w:jc w:val="both"/>
              <w:rPr>
                <w:rFonts w:cs="Times New Roman"/>
                <w:sz w:val="24"/>
                <w:szCs w:val="24"/>
                <w:lang w:val="ro-MD"/>
              </w:rPr>
            </w:pPr>
          </w:p>
        </w:tc>
      </w:tr>
      <w:tr w:rsidR="008D6564" w:rsidRPr="00574D82" w14:paraId="1E6DCF52" w14:textId="77777777" w:rsidTr="00352C5E">
        <w:tc>
          <w:tcPr>
            <w:tcW w:w="5000" w:type="pct"/>
            <w:shd w:val="clear" w:color="auto" w:fill="EDEDED" w:themeFill="accent3" w:themeFillTint="33"/>
          </w:tcPr>
          <w:p w14:paraId="05581016"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10. Constatările expertizei juridice</w:t>
            </w:r>
          </w:p>
        </w:tc>
      </w:tr>
      <w:tr w:rsidR="008D6564" w:rsidRPr="00574D82" w14:paraId="12333650" w14:textId="77777777" w:rsidTr="00352C5E">
        <w:tc>
          <w:tcPr>
            <w:tcW w:w="5000" w:type="pct"/>
          </w:tcPr>
          <w:p w14:paraId="75B74085" w14:textId="6452F8E6" w:rsidR="00FC221A" w:rsidRPr="00574D82" w:rsidRDefault="00427766" w:rsidP="00427766">
            <w:pPr>
              <w:tabs>
                <w:tab w:val="left" w:pos="884"/>
                <w:tab w:val="left" w:pos="1196"/>
              </w:tabs>
              <w:spacing w:after="0"/>
              <w:jc w:val="both"/>
              <w:rPr>
                <w:rFonts w:cs="Times New Roman"/>
                <w:sz w:val="24"/>
                <w:szCs w:val="24"/>
                <w:lang w:val="ro-MD"/>
              </w:rPr>
            </w:pPr>
            <w:r w:rsidRPr="00427766">
              <w:rPr>
                <w:rFonts w:cs="Times New Roman"/>
                <w:sz w:val="24"/>
                <w:szCs w:val="24"/>
                <w:lang w:val="ro-MD"/>
              </w:rPr>
              <w:t xml:space="preserve">Obiecții de ordin conceptual </w:t>
            </w:r>
            <w:r>
              <w:rPr>
                <w:rFonts w:cs="Times New Roman"/>
                <w:sz w:val="24"/>
                <w:szCs w:val="24"/>
                <w:lang w:val="ro-MD"/>
              </w:rPr>
              <w:t xml:space="preserve">asupra proiectului </w:t>
            </w:r>
            <w:r w:rsidRPr="00427766">
              <w:rPr>
                <w:rFonts w:cs="Times New Roman"/>
                <w:sz w:val="24"/>
                <w:szCs w:val="24"/>
                <w:lang w:val="ro-MD"/>
              </w:rPr>
              <w:t xml:space="preserve">nu </w:t>
            </w:r>
            <w:r>
              <w:rPr>
                <w:rFonts w:cs="Times New Roman"/>
                <w:sz w:val="24"/>
                <w:szCs w:val="24"/>
                <w:lang w:val="ro-MD"/>
              </w:rPr>
              <w:t>fost</w:t>
            </w:r>
            <w:r w:rsidRPr="00427766">
              <w:rPr>
                <w:rFonts w:cs="Times New Roman"/>
                <w:sz w:val="24"/>
                <w:szCs w:val="24"/>
                <w:lang w:val="ro-MD"/>
              </w:rPr>
              <w:t xml:space="preserve"> formulat</w:t>
            </w:r>
            <w:r>
              <w:rPr>
                <w:rFonts w:cs="Times New Roman"/>
                <w:sz w:val="24"/>
                <w:szCs w:val="24"/>
                <w:lang w:val="ro-MD"/>
              </w:rPr>
              <w:t>e</w:t>
            </w:r>
            <w:r w:rsidRPr="00427766">
              <w:rPr>
                <w:rFonts w:cs="Times New Roman"/>
                <w:sz w:val="24"/>
                <w:szCs w:val="24"/>
                <w:lang w:val="ro-MD"/>
              </w:rPr>
              <w:t>, or, modificările propuse nu</w:t>
            </w:r>
            <w:r>
              <w:rPr>
                <w:rFonts w:cs="Times New Roman"/>
                <w:sz w:val="24"/>
                <w:szCs w:val="24"/>
                <w:lang w:val="ro-MD"/>
              </w:rPr>
              <w:t xml:space="preserve"> </w:t>
            </w:r>
            <w:r w:rsidRPr="00427766">
              <w:rPr>
                <w:rFonts w:cs="Times New Roman"/>
                <w:sz w:val="24"/>
                <w:szCs w:val="24"/>
                <w:lang w:val="ro-MD"/>
              </w:rPr>
              <w:t>contravin prevederilor Constituției.</w:t>
            </w:r>
          </w:p>
        </w:tc>
      </w:tr>
      <w:tr w:rsidR="008D6564" w:rsidRPr="00574D82" w14:paraId="043528CE" w14:textId="77777777" w:rsidTr="00352C5E">
        <w:tc>
          <w:tcPr>
            <w:tcW w:w="5000" w:type="pct"/>
            <w:shd w:val="clear" w:color="auto" w:fill="EDEDED" w:themeFill="accent3" w:themeFillTint="33"/>
          </w:tcPr>
          <w:p w14:paraId="51B7689D" w14:textId="77777777" w:rsidR="008D6564" w:rsidRPr="00574D82" w:rsidRDefault="008D6564"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11. Constatările altor expertize</w:t>
            </w:r>
          </w:p>
        </w:tc>
      </w:tr>
      <w:tr w:rsidR="008D6564" w:rsidRPr="00574D82" w14:paraId="53989ADB" w14:textId="77777777" w:rsidTr="00352C5E">
        <w:tc>
          <w:tcPr>
            <w:tcW w:w="5000" w:type="pct"/>
          </w:tcPr>
          <w:p w14:paraId="19050A88" w14:textId="77777777" w:rsidR="008D6564" w:rsidRDefault="00F46E62" w:rsidP="00C37923">
            <w:pPr>
              <w:tabs>
                <w:tab w:val="left" w:pos="884"/>
                <w:tab w:val="left" w:pos="1196"/>
              </w:tabs>
              <w:spacing w:after="0"/>
              <w:jc w:val="both"/>
              <w:rPr>
                <w:rFonts w:cs="Times New Roman"/>
                <w:sz w:val="24"/>
                <w:szCs w:val="24"/>
                <w:lang w:val="ro-MD"/>
              </w:rPr>
            </w:pPr>
            <w:r w:rsidRPr="00574D82">
              <w:rPr>
                <w:rFonts w:cs="Times New Roman"/>
                <w:sz w:val="24"/>
                <w:szCs w:val="24"/>
                <w:lang w:val="ro-MD"/>
              </w:rPr>
              <w:t xml:space="preserve">Prezentul proiect </w:t>
            </w:r>
            <w:r w:rsidR="00FC221A">
              <w:rPr>
                <w:rFonts w:cs="Times New Roman"/>
                <w:sz w:val="24"/>
                <w:szCs w:val="24"/>
                <w:lang w:val="ro-MD"/>
              </w:rPr>
              <w:t xml:space="preserve">nu cade sub incidența altor expertize necesare de a fi efectuate </w:t>
            </w:r>
            <w:r w:rsidR="005E25BC">
              <w:rPr>
                <w:rFonts w:cs="Times New Roman"/>
                <w:sz w:val="24"/>
                <w:szCs w:val="24"/>
                <w:lang w:val="ro-MD"/>
              </w:rPr>
              <w:t xml:space="preserve">în condițiile </w:t>
            </w:r>
            <w:r w:rsidR="005E25BC" w:rsidRPr="005E25BC">
              <w:rPr>
                <w:rFonts w:cs="Times New Roman"/>
                <w:sz w:val="24"/>
                <w:szCs w:val="24"/>
                <w:lang w:val="ro-MD"/>
              </w:rPr>
              <w:t>Leg</w:t>
            </w:r>
            <w:r w:rsidR="005E25BC">
              <w:rPr>
                <w:rFonts w:cs="Times New Roman"/>
                <w:sz w:val="24"/>
                <w:szCs w:val="24"/>
                <w:lang w:val="ro-MD"/>
              </w:rPr>
              <w:t xml:space="preserve">ii </w:t>
            </w:r>
            <w:r w:rsidR="005E25BC" w:rsidRPr="005E25BC">
              <w:rPr>
                <w:rFonts w:cs="Times New Roman"/>
                <w:sz w:val="24"/>
                <w:szCs w:val="24"/>
                <w:lang w:val="ro-MD"/>
              </w:rPr>
              <w:t>nr. 100/2017 cu privire la actele normative</w:t>
            </w:r>
            <w:r w:rsidRPr="00574D82">
              <w:rPr>
                <w:rFonts w:cs="Times New Roman"/>
                <w:sz w:val="24"/>
                <w:szCs w:val="24"/>
                <w:lang w:val="ro-MD"/>
              </w:rPr>
              <w:t>.</w:t>
            </w:r>
          </w:p>
          <w:p w14:paraId="066B0B2E" w14:textId="104564B9" w:rsidR="005E25BC" w:rsidRPr="00574D82" w:rsidRDefault="005E25BC" w:rsidP="00C37923">
            <w:pPr>
              <w:tabs>
                <w:tab w:val="left" w:pos="884"/>
                <w:tab w:val="left" w:pos="1196"/>
              </w:tabs>
              <w:spacing w:after="0"/>
              <w:jc w:val="both"/>
              <w:rPr>
                <w:rFonts w:cs="Times New Roman"/>
                <w:sz w:val="24"/>
                <w:szCs w:val="24"/>
                <w:lang w:val="ro-MD"/>
              </w:rPr>
            </w:pPr>
          </w:p>
        </w:tc>
      </w:tr>
    </w:tbl>
    <w:p w14:paraId="2079B7C6" w14:textId="77777777" w:rsidR="008D6564" w:rsidRPr="00574D82" w:rsidRDefault="008D6564" w:rsidP="00C37923">
      <w:pPr>
        <w:tabs>
          <w:tab w:val="left" w:pos="884"/>
          <w:tab w:val="left" w:pos="1196"/>
        </w:tabs>
        <w:spacing w:after="0"/>
        <w:jc w:val="both"/>
        <w:rPr>
          <w:rFonts w:cs="Times New Roman"/>
          <w:bCs/>
          <w:sz w:val="24"/>
          <w:szCs w:val="24"/>
          <w:vertAlign w:val="superscript"/>
          <w:lang w:val="ro-MD"/>
        </w:rPr>
      </w:pPr>
    </w:p>
    <w:p w14:paraId="4D2C48CD" w14:textId="77777777" w:rsidR="00130323" w:rsidRDefault="00130323" w:rsidP="00C37923">
      <w:pPr>
        <w:tabs>
          <w:tab w:val="left" w:pos="884"/>
          <w:tab w:val="left" w:pos="1196"/>
        </w:tabs>
        <w:spacing w:after="0"/>
        <w:jc w:val="both"/>
        <w:rPr>
          <w:rFonts w:cs="Times New Roman"/>
          <w:bCs/>
          <w:sz w:val="24"/>
          <w:szCs w:val="24"/>
          <w:lang w:val="ro-MD"/>
        </w:rPr>
      </w:pPr>
    </w:p>
    <w:p w14:paraId="4A680A38" w14:textId="77777777" w:rsidR="004D71B3" w:rsidRPr="00574D82" w:rsidRDefault="004D71B3" w:rsidP="00C37923">
      <w:pPr>
        <w:tabs>
          <w:tab w:val="left" w:pos="884"/>
          <w:tab w:val="left" w:pos="1196"/>
        </w:tabs>
        <w:spacing w:after="0"/>
        <w:jc w:val="both"/>
        <w:rPr>
          <w:rFonts w:cs="Times New Roman"/>
          <w:bCs/>
          <w:sz w:val="24"/>
          <w:szCs w:val="24"/>
          <w:lang w:val="ro-MD"/>
        </w:rPr>
      </w:pPr>
    </w:p>
    <w:p w14:paraId="0B9D14A0" w14:textId="5B685252" w:rsidR="00130323" w:rsidRPr="004D71B3" w:rsidRDefault="004D71B3" w:rsidP="00C37923">
      <w:pPr>
        <w:tabs>
          <w:tab w:val="left" w:pos="884"/>
          <w:tab w:val="left" w:pos="1196"/>
        </w:tabs>
        <w:spacing w:after="0"/>
        <w:jc w:val="both"/>
        <w:rPr>
          <w:rFonts w:cs="Times New Roman"/>
          <w:b/>
          <w:szCs w:val="28"/>
          <w:lang w:val="ro-MD"/>
        </w:rPr>
      </w:pPr>
      <w:r w:rsidRPr="004D71B3">
        <w:rPr>
          <w:rFonts w:cs="Times New Roman"/>
          <w:b/>
          <w:szCs w:val="28"/>
          <w:lang w:val="ro-MD"/>
        </w:rPr>
        <w:t>Secretar</w:t>
      </w:r>
      <w:r w:rsidR="00427766">
        <w:rPr>
          <w:rFonts w:cs="Times New Roman"/>
          <w:b/>
          <w:szCs w:val="28"/>
          <w:lang w:val="ro-MD"/>
        </w:rPr>
        <w:t xml:space="preserve"> de Stat</w:t>
      </w:r>
      <w:r w:rsidRPr="004D71B3">
        <w:rPr>
          <w:rFonts w:cs="Times New Roman"/>
          <w:b/>
          <w:szCs w:val="28"/>
          <w:lang w:val="ro-MD"/>
        </w:rPr>
        <w:t xml:space="preserve">                                                                            </w:t>
      </w:r>
      <w:r w:rsidR="00427766">
        <w:rPr>
          <w:rFonts w:cs="Times New Roman"/>
          <w:b/>
          <w:szCs w:val="28"/>
          <w:lang w:val="ro-MD"/>
        </w:rPr>
        <w:t>Corina AJDER</w:t>
      </w:r>
    </w:p>
    <w:p w14:paraId="69F0019E" w14:textId="77777777" w:rsidR="00130323" w:rsidRPr="004D71B3" w:rsidRDefault="00130323" w:rsidP="00C37923">
      <w:pPr>
        <w:tabs>
          <w:tab w:val="left" w:pos="884"/>
          <w:tab w:val="left" w:pos="1196"/>
        </w:tabs>
        <w:spacing w:after="0"/>
        <w:jc w:val="both"/>
        <w:rPr>
          <w:rFonts w:cs="Times New Roman"/>
          <w:b/>
          <w:szCs w:val="28"/>
          <w:lang w:val="en-US"/>
        </w:rPr>
      </w:pPr>
    </w:p>
    <w:p w14:paraId="701FF1DD" w14:textId="6A16F867" w:rsidR="00F12C76" w:rsidRPr="00574D82" w:rsidRDefault="00F12C76" w:rsidP="00C37923">
      <w:pPr>
        <w:spacing w:after="0"/>
        <w:jc w:val="both"/>
        <w:rPr>
          <w:rFonts w:cs="Times New Roman"/>
          <w:b/>
          <w:bCs/>
          <w:sz w:val="24"/>
          <w:szCs w:val="24"/>
        </w:rPr>
      </w:pPr>
    </w:p>
    <w:sectPr w:rsidR="00F12C76" w:rsidRPr="00574D82" w:rsidSect="009F1C4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F23"/>
    <w:multiLevelType w:val="hybridMultilevel"/>
    <w:tmpl w:val="AD74D6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3C3C7B"/>
    <w:multiLevelType w:val="hybridMultilevel"/>
    <w:tmpl w:val="514A1160"/>
    <w:lvl w:ilvl="0" w:tplc="7EAE4B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522EB7"/>
    <w:multiLevelType w:val="hybridMultilevel"/>
    <w:tmpl w:val="E2E043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2029865783">
    <w:abstractNumId w:val="3"/>
  </w:num>
  <w:num w:numId="2" w16cid:durableId="1095396236">
    <w:abstractNumId w:val="1"/>
  </w:num>
  <w:num w:numId="3" w16cid:durableId="15622032">
    <w:abstractNumId w:val="0"/>
  </w:num>
  <w:num w:numId="4" w16cid:durableId="65884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64"/>
    <w:rsid w:val="00001AD6"/>
    <w:rsid w:val="000505A5"/>
    <w:rsid w:val="00072971"/>
    <w:rsid w:val="00073EE4"/>
    <w:rsid w:val="000A79C8"/>
    <w:rsid w:val="000C261A"/>
    <w:rsid w:val="00105B00"/>
    <w:rsid w:val="00130323"/>
    <w:rsid w:val="001338D9"/>
    <w:rsid w:val="001664DF"/>
    <w:rsid w:val="001B7217"/>
    <w:rsid w:val="0020794A"/>
    <w:rsid w:val="00220375"/>
    <w:rsid w:val="002310BB"/>
    <w:rsid w:val="0026116C"/>
    <w:rsid w:val="00296FFF"/>
    <w:rsid w:val="002A16DF"/>
    <w:rsid w:val="002A453E"/>
    <w:rsid w:val="002E5E70"/>
    <w:rsid w:val="002F6961"/>
    <w:rsid w:val="00355161"/>
    <w:rsid w:val="00396488"/>
    <w:rsid w:val="003A421A"/>
    <w:rsid w:val="003A6F42"/>
    <w:rsid w:val="003F5465"/>
    <w:rsid w:val="00402988"/>
    <w:rsid w:val="004204EF"/>
    <w:rsid w:val="00427766"/>
    <w:rsid w:val="004372A6"/>
    <w:rsid w:val="00471F73"/>
    <w:rsid w:val="00474E6D"/>
    <w:rsid w:val="004935C2"/>
    <w:rsid w:val="004D71B3"/>
    <w:rsid w:val="005045F1"/>
    <w:rsid w:val="0052486A"/>
    <w:rsid w:val="00574D82"/>
    <w:rsid w:val="0059671B"/>
    <w:rsid w:val="005C66AA"/>
    <w:rsid w:val="005E25BC"/>
    <w:rsid w:val="006C0B77"/>
    <w:rsid w:val="006F175B"/>
    <w:rsid w:val="0073317C"/>
    <w:rsid w:val="007347EC"/>
    <w:rsid w:val="00755B65"/>
    <w:rsid w:val="00767187"/>
    <w:rsid w:val="007814A8"/>
    <w:rsid w:val="007A31A1"/>
    <w:rsid w:val="007C5AFE"/>
    <w:rsid w:val="007E3442"/>
    <w:rsid w:val="007F01A7"/>
    <w:rsid w:val="0081504C"/>
    <w:rsid w:val="008242FF"/>
    <w:rsid w:val="00835603"/>
    <w:rsid w:val="008402D0"/>
    <w:rsid w:val="00846BC6"/>
    <w:rsid w:val="0086781E"/>
    <w:rsid w:val="00870751"/>
    <w:rsid w:val="0088325D"/>
    <w:rsid w:val="008C1250"/>
    <w:rsid w:val="008D1575"/>
    <w:rsid w:val="008D6564"/>
    <w:rsid w:val="008E1A41"/>
    <w:rsid w:val="008E3DD9"/>
    <w:rsid w:val="008E457D"/>
    <w:rsid w:val="00904A38"/>
    <w:rsid w:val="00922C48"/>
    <w:rsid w:val="009424C7"/>
    <w:rsid w:val="00987540"/>
    <w:rsid w:val="00992EBD"/>
    <w:rsid w:val="009D7318"/>
    <w:rsid w:val="009E7CE0"/>
    <w:rsid w:val="009F1C49"/>
    <w:rsid w:val="009F2C8C"/>
    <w:rsid w:val="00A03824"/>
    <w:rsid w:val="00A05D8F"/>
    <w:rsid w:val="00A154F9"/>
    <w:rsid w:val="00A25704"/>
    <w:rsid w:val="00A440FE"/>
    <w:rsid w:val="00A46297"/>
    <w:rsid w:val="00A64481"/>
    <w:rsid w:val="00A9545C"/>
    <w:rsid w:val="00AA1AB8"/>
    <w:rsid w:val="00AC33C0"/>
    <w:rsid w:val="00AE49F0"/>
    <w:rsid w:val="00B915B7"/>
    <w:rsid w:val="00C120D8"/>
    <w:rsid w:val="00C23568"/>
    <w:rsid w:val="00C37923"/>
    <w:rsid w:val="00C42127"/>
    <w:rsid w:val="00C47227"/>
    <w:rsid w:val="00C6395F"/>
    <w:rsid w:val="00CA44B7"/>
    <w:rsid w:val="00D9378C"/>
    <w:rsid w:val="00D951CE"/>
    <w:rsid w:val="00DB7B9F"/>
    <w:rsid w:val="00E05802"/>
    <w:rsid w:val="00E24ABE"/>
    <w:rsid w:val="00E4261D"/>
    <w:rsid w:val="00E50438"/>
    <w:rsid w:val="00E5180C"/>
    <w:rsid w:val="00E73BDD"/>
    <w:rsid w:val="00E7553E"/>
    <w:rsid w:val="00E93858"/>
    <w:rsid w:val="00EA59DF"/>
    <w:rsid w:val="00EB21A6"/>
    <w:rsid w:val="00EC74B1"/>
    <w:rsid w:val="00EE4070"/>
    <w:rsid w:val="00EE7460"/>
    <w:rsid w:val="00F12C76"/>
    <w:rsid w:val="00F46E62"/>
    <w:rsid w:val="00F55D03"/>
    <w:rsid w:val="00F626D6"/>
    <w:rsid w:val="00F65957"/>
    <w:rsid w:val="00F86029"/>
    <w:rsid w:val="00F97CF3"/>
    <w:rsid w:val="00FA3D5B"/>
    <w:rsid w:val="00FC22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2A9587-663D-4B21-946B-575945B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64"/>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70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ListParagraph">
    <w:name w:val="List Paragraph"/>
    <w:basedOn w:val="Normal"/>
    <w:uiPriority w:val="34"/>
    <w:qFormat/>
    <w:rsid w:val="00E93858"/>
    <w:pPr>
      <w:spacing w:line="259" w:lineRule="auto"/>
      <w:ind w:left="720"/>
      <w:contextualSpacing/>
    </w:pPr>
    <w:rPr>
      <w:rFonts w:asciiTheme="minorHAnsi" w:hAnsiTheme="minorHAnsi"/>
      <w:sz w:val="22"/>
      <w:lang w:val="ru-RU"/>
    </w:rPr>
  </w:style>
  <w:style w:type="character" w:styleId="Hyperlink">
    <w:name w:val="Hyperlink"/>
    <w:basedOn w:val="DefaultParagraphFont"/>
    <w:uiPriority w:val="99"/>
    <w:unhideWhenUsed/>
    <w:rsid w:val="00E5180C"/>
    <w:rPr>
      <w:color w:val="0563C1" w:themeColor="hyperlink"/>
      <w:u w:val="single"/>
    </w:rPr>
  </w:style>
  <w:style w:type="character" w:styleId="UnresolvedMention">
    <w:name w:val="Unresolved Mention"/>
    <w:basedOn w:val="DefaultParagraphFont"/>
    <w:uiPriority w:val="99"/>
    <w:semiHidden/>
    <w:unhideWhenUsed/>
    <w:rsid w:val="00E5180C"/>
    <w:rPr>
      <w:color w:val="605E5C"/>
      <w:shd w:val="clear" w:color="auto" w:fill="E1DFDD"/>
    </w:rPr>
  </w:style>
  <w:style w:type="character" w:styleId="Emphasis">
    <w:name w:val="Emphasis"/>
    <w:basedOn w:val="DefaultParagraphFont"/>
    <w:uiPriority w:val="20"/>
    <w:qFormat/>
    <w:rsid w:val="00C42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9492">
      <w:bodyDiv w:val="1"/>
      <w:marLeft w:val="0"/>
      <w:marRight w:val="0"/>
      <w:marTop w:val="0"/>
      <w:marBottom w:val="0"/>
      <w:divBdr>
        <w:top w:val="none" w:sz="0" w:space="0" w:color="auto"/>
        <w:left w:val="none" w:sz="0" w:space="0" w:color="auto"/>
        <w:bottom w:val="none" w:sz="0" w:space="0" w:color="auto"/>
        <w:right w:val="none" w:sz="0" w:space="0" w:color="auto"/>
      </w:divBdr>
    </w:div>
    <w:div w:id="823200149">
      <w:bodyDiv w:val="1"/>
      <w:marLeft w:val="0"/>
      <w:marRight w:val="0"/>
      <w:marTop w:val="0"/>
      <w:marBottom w:val="0"/>
      <w:divBdr>
        <w:top w:val="none" w:sz="0" w:space="0" w:color="auto"/>
        <w:left w:val="none" w:sz="0" w:space="0" w:color="auto"/>
        <w:bottom w:val="none" w:sz="0" w:space="0" w:color="auto"/>
        <w:right w:val="none" w:sz="0" w:space="0" w:color="auto"/>
      </w:divBdr>
    </w:div>
    <w:div w:id="12989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1097"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7691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Serviciul  Monitorizare și Evaluare a Politicilor</cp:lastModifiedBy>
  <cp:revision>2</cp:revision>
  <cp:lastPrinted>2023-08-01T06:52:00Z</cp:lastPrinted>
  <dcterms:created xsi:type="dcterms:W3CDTF">2023-10-20T11:44:00Z</dcterms:created>
  <dcterms:modified xsi:type="dcterms:W3CDTF">2023-10-20T11:44:00Z</dcterms:modified>
</cp:coreProperties>
</file>