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64296" w14:textId="77777777" w:rsidR="00894847" w:rsidRPr="00F87E65" w:rsidRDefault="00305D2F">
      <w:pPr>
        <w:spacing w:after="0" w:line="240" w:lineRule="auto"/>
        <w:jc w:val="right"/>
        <w:rPr>
          <w:rFonts w:ascii="Times New Roman" w:eastAsia="Times New Roman" w:hAnsi="Times New Roman" w:cs="Times New Roman"/>
          <w:b/>
          <w:i/>
          <w:iCs/>
          <w:sz w:val="24"/>
          <w:szCs w:val="24"/>
          <w:lang w:val="ro-MD" w:eastAsia="ru-RU"/>
        </w:rPr>
      </w:pPr>
      <w:r w:rsidRPr="00F87E65">
        <w:rPr>
          <w:rFonts w:ascii="Times New Roman" w:eastAsia="Times New Roman" w:hAnsi="Times New Roman" w:cs="Times New Roman"/>
          <w:b/>
          <w:i/>
          <w:iCs/>
          <w:sz w:val="24"/>
          <w:szCs w:val="24"/>
          <w:lang w:val="ro-MD" w:eastAsia="ru-RU"/>
        </w:rPr>
        <w:t>Proiect</w:t>
      </w:r>
    </w:p>
    <w:p w14:paraId="4E654CE8" w14:textId="77777777" w:rsidR="00894847" w:rsidRPr="00F87E65" w:rsidRDefault="00894847">
      <w:pPr>
        <w:spacing w:after="0" w:line="240" w:lineRule="auto"/>
        <w:jc w:val="center"/>
        <w:rPr>
          <w:rFonts w:ascii="Times New Roman" w:eastAsia="Times New Roman" w:hAnsi="Times New Roman" w:cs="Times New Roman"/>
          <w:b/>
          <w:sz w:val="24"/>
          <w:szCs w:val="24"/>
          <w:lang w:val="ro-MD" w:eastAsia="ru-RU"/>
        </w:rPr>
      </w:pPr>
    </w:p>
    <w:p w14:paraId="1F444703" w14:textId="77777777" w:rsidR="00894847" w:rsidRPr="00F87E65" w:rsidRDefault="00305D2F">
      <w:pPr>
        <w:spacing w:after="0" w:line="240" w:lineRule="auto"/>
        <w:jc w:val="center"/>
        <w:rPr>
          <w:rFonts w:ascii="Times New Roman" w:eastAsia="Times New Roman" w:hAnsi="Times New Roman" w:cs="Times New Roman"/>
          <w:b/>
          <w:sz w:val="24"/>
          <w:szCs w:val="24"/>
          <w:lang w:val="ro-MD" w:eastAsia="ru-RU"/>
        </w:rPr>
      </w:pPr>
      <w:r w:rsidRPr="00F87E65">
        <w:rPr>
          <w:rFonts w:ascii="Times New Roman" w:eastAsia="Times New Roman" w:hAnsi="Times New Roman" w:cs="Times New Roman"/>
          <w:b/>
          <w:sz w:val="24"/>
          <w:szCs w:val="24"/>
          <w:lang w:val="ro-MD" w:eastAsia="ru-RU"/>
        </w:rPr>
        <w:t>NOTĂ INFORMATIVĂ</w:t>
      </w:r>
    </w:p>
    <w:p w14:paraId="52BD7915" w14:textId="2427F107" w:rsidR="00894847" w:rsidRPr="00F87E65" w:rsidRDefault="00305D2F" w:rsidP="00117848">
      <w:pPr>
        <w:spacing w:after="0" w:line="240" w:lineRule="auto"/>
        <w:jc w:val="center"/>
        <w:rPr>
          <w:rFonts w:ascii="Times New Roman" w:eastAsia="Times New Roman" w:hAnsi="Times New Roman" w:cs="Times New Roman"/>
          <w:sz w:val="24"/>
          <w:szCs w:val="24"/>
          <w:lang w:val="ro-MD" w:eastAsia="ru-RU"/>
        </w:rPr>
      </w:pPr>
      <w:r w:rsidRPr="00F87E65">
        <w:rPr>
          <w:rFonts w:ascii="Times New Roman" w:eastAsia="Times New Roman" w:hAnsi="Times New Roman" w:cs="Times New Roman"/>
          <w:b/>
          <w:bCs/>
          <w:sz w:val="24"/>
          <w:szCs w:val="24"/>
          <w:lang w:val="ro-MD" w:eastAsia="ru-RU"/>
        </w:rPr>
        <w:t xml:space="preserve">la proiectul </w:t>
      </w:r>
      <w:r w:rsidR="00FB0FD7" w:rsidRPr="00F87E65">
        <w:rPr>
          <w:rFonts w:ascii="Times New Roman" w:eastAsia="Times New Roman" w:hAnsi="Times New Roman" w:cs="Times New Roman"/>
          <w:b/>
          <w:bCs/>
          <w:sz w:val="24"/>
          <w:szCs w:val="24"/>
          <w:lang w:val="ro-MD" w:eastAsia="ru-RU"/>
        </w:rPr>
        <w:t>hotărârii</w:t>
      </w:r>
      <w:r w:rsidRPr="00F87E65">
        <w:rPr>
          <w:rFonts w:ascii="Times New Roman" w:eastAsia="Times New Roman" w:hAnsi="Times New Roman" w:cs="Times New Roman"/>
          <w:b/>
          <w:bCs/>
          <w:sz w:val="24"/>
          <w:szCs w:val="24"/>
          <w:lang w:val="ro-MD" w:eastAsia="ru-RU"/>
        </w:rPr>
        <w:t xml:space="preserve"> </w:t>
      </w:r>
      <w:r w:rsidR="00117848" w:rsidRPr="00117848">
        <w:rPr>
          <w:rFonts w:ascii="Times New Roman" w:eastAsia="Times New Roman" w:hAnsi="Times New Roman" w:cs="Times New Roman"/>
          <w:b/>
          <w:bCs/>
          <w:sz w:val="24"/>
          <w:szCs w:val="24"/>
          <w:lang w:val="ro-MD" w:eastAsia="ru-RU"/>
        </w:rPr>
        <w:t>cu privire la exproprierea pentru cauză de utilitate publică a bunurilor imobile și a dreptului de folosință asupra bunurilor imobile situate pe amplasamentul lucrărilor de interes național</w:t>
      </w:r>
      <w:r w:rsidR="0009347E">
        <w:rPr>
          <w:rFonts w:ascii="Times New Roman" w:eastAsia="Times New Roman" w:hAnsi="Times New Roman" w:cs="Times New Roman"/>
          <w:b/>
          <w:bCs/>
          <w:sz w:val="24"/>
          <w:szCs w:val="24"/>
          <w:lang w:val="ro-MD" w:eastAsia="ru-RU"/>
        </w:rPr>
        <w:t xml:space="preserve"> </w:t>
      </w:r>
      <w:r w:rsidR="00117848" w:rsidRPr="00117848">
        <w:rPr>
          <w:rFonts w:ascii="Times New Roman" w:eastAsia="Times New Roman" w:hAnsi="Times New Roman" w:cs="Times New Roman"/>
          <w:b/>
          <w:bCs/>
          <w:sz w:val="24"/>
          <w:szCs w:val="24"/>
          <w:lang w:val="ro-MD" w:eastAsia="ru-RU"/>
        </w:rPr>
        <w:t>de construcție a liniei electrice aeriene (LEA) 400 kV de transport al energiei electrice Vulcănești–Chișinău</w:t>
      </w:r>
    </w:p>
    <w:tbl>
      <w:tblPr>
        <w:tblStyle w:val="1"/>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894847" w:rsidRPr="00F87E65" w14:paraId="40C1FFD7" w14:textId="77777777" w:rsidTr="00C71008">
        <w:trPr>
          <w:trHeight w:val="270"/>
          <w:jc w:val="center"/>
        </w:trPr>
        <w:tc>
          <w:tcPr>
            <w:tcW w:w="10632" w:type="dxa"/>
            <w:shd w:val="clear" w:color="auto" w:fill="E7E6E6" w:themeFill="background2"/>
          </w:tcPr>
          <w:p w14:paraId="6EFB7B9C" w14:textId="6A16F1CF" w:rsidR="00894847" w:rsidRPr="00F87E65" w:rsidRDefault="00305D2F" w:rsidP="00C71008">
            <w:pPr>
              <w:shd w:val="clear" w:color="auto" w:fill="E7E6E6" w:themeFill="background2"/>
              <w:spacing w:after="0" w:line="240" w:lineRule="auto"/>
              <w:contextualSpacing/>
              <w:jc w:val="both"/>
              <w:rPr>
                <w:rFonts w:ascii="Times New Roman" w:eastAsia="Calibri" w:hAnsi="Times New Roman"/>
                <w:b/>
                <w:sz w:val="24"/>
                <w:szCs w:val="24"/>
                <w:lang w:val="ro-MD"/>
              </w:rPr>
            </w:pPr>
            <w:r w:rsidRPr="00F87E65">
              <w:rPr>
                <w:rFonts w:ascii="Times New Roman" w:eastAsia="Calibri" w:hAnsi="Times New Roman"/>
                <w:b/>
                <w:sz w:val="24"/>
                <w:szCs w:val="24"/>
                <w:lang w:val="ro-MD"/>
              </w:rPr>
              <w:t>1. Denumirea autorului și, după caz, a participanților la elaborare</w:t>
            </w:r>
          </w:p>
        </w:tc>
      </w:tr>
      <w:tr w:rsidR="00004D6C" w:rsidRPr="00F87E65" w14:paraId="3EB4C6E0" w14:textId="77777777" w:rsidTr="00004D6C">
        <w:trPr>
          <w:trHeight w:val="825"/>
          <w:jc w:val="center"/>
        </w:trPr>
        <w:tc>
          <w:tcPr>
            <w:tcW w:w="10632" w:type="dxa"/>
          </w:tcPr>
          <w:p w14:paraId="342D08BB" w14:textId="0D477016" w:rsidR="00004D6C" w:rsidRPr="00F87E65" w:rsidRDefault="008F68D5" w:rsidP="00C71008">
            <w:pPr>
              <w:spacing w:after="0" w:line="240" w:lineRule="auto"/>
              <w:ind w:firstLine="738"/>
              <w:contextualSpacing/>
              <w:jc w:val="both"/>
              <w:rPr>
                <w:rFonts w:ascii="Times New Roman" w:eastAsia="Calibri" w:hAnsi="Times New Roman"/>
                <w:b/>
                <w:sz w:val="24"/>
                <w:szCs w:val="24"/>
                <w:lang w:val="ro-MD"/>
              </w:rPr>
            </w:pPr>
            <w:r>
              <w:rPr>
                <w:rFonts w:ascii="Times New Roman" w:eastAsia="Calibri" w:hAnsi="Times New Roman"/>
                <w:bCs/>
                <w:sz w:val="24"/>
                <w:szCs w:val="24"/>
                <w:lang w:val="ro-MD"/>
              </w:rPr>
              <w:t>Proiectului H</w:t>
            </w:r>
            <w:r w:rsidR="00004D6C" w:rsidRPr="00F87E65">
              <w:rPr>
                <w:rFonts w:ascii="Times New Roman" w:eastAsia="Calibri" w:hAnsi="Times New Roman"/>
                <w:bCs/>
                <w:sz w:val="24"/>
                <w:szCs w:val="24"/>
                <w:lang w:val="ro-MD"/>
              </w:rPr>
              <w:t>otărârii</w:t>
            </w:r>
            <w:r>
              <w:rPr>
                <w:rFonts w:ascii="Times New Roman" w:eastAsia="Calibri" w:hAnsi="Times New Roman"/>
                <w:bCs/>
                <w:sz w:val="24"/>
                <w:szCs w:val="24"/>
                <w:lang w:val="ro-MD"/>
              </w:rPr>
              <w:t xml:space="preserve"> de Guvern</w:t>
            </w:r>
            <w:r w:rsidR="00004D6C" w:rsidRPr="00F87E65">
              <w:rPr>
                <w:rFonts w:ascii="Times New Roman" w:eastAsia="Times New Roman" w:hAnsi="Times New Roman"/>
                <w:bCs/>
                <w:sz w:val="24"/>
                <w:szCs w:val="24"/>
                <w:lang w:val="ro-MD" w:eastAsia="ru-RU"/>
              </w:rPr>
              <w:t xml:space="preserve"> </w:t>
            </w:r>
            <w:r w:rsidR="00785346" w:rsidRPr="00785346">
              <w:rPr>
                <w:rFonts w:ascii="Times New Roman" w:eastAsia="Times New Roman" w:hAnsi="Times New Roman"/>
                <w:bCs/>
                <w:sz w:val="24"/>
                <w:szCs w:val="24"/>
                <w:lang w:val="ro-MD" w:eastAsia="ru-RU"/>
              </w:rPr>
              <w:t>cu privire la exproprierea pentru cauză de utilitate publică a bunurilor imobile și a dreptului de folosință asupra bunurilor imobile situate pe amplasamentul lucrărilor de interes național de construcție a liniei electrice aeriene (LEA) 400 kV de transport al energiei electrice Vulcănești–Chișinău</w:t>
            </w:r>
            <w:r w:rsidR="00004D6C" w:rsidRPr="00F87E65">
              <w:rPr>
                <w:rFonts w:ascii="Times New Roman" w:eastAsia="Calibri" w:hAnsi="Times New Roman"/>
                <w:bCs/>
                <w:sz w:val="24"/>
                <w:szCs w:val="24"/>
                <w:lang w:val="ro-MD"/>
              </w:rPr>
              <w:t>,</w:t>
            </w:r>
            <w:r w:rsidR="00004D6C" w:rsidRPr="00F87E65">
              <w:rPr>
                <w:rFonts w:ascii="Times New Roman" w:eastAsia="Calibri" w:hAnsi="Times New Roman"/>
                <w:sz w:val="24"/>
                <w:szCs w:val="24"/>
                <w:lang w:val="ro-MD"/>
              </w:rPr>
              <w:t xml:space="preserve"> este </w:t>
            </w:r>
            <w:r w:rsidR="00004D6C" w:rsidRPr="00F87E65">
              <w:rPr>
                <w:rFonts w:ascii="Times New Roman" w:hAnsi="Times New Roman"/>
                <w:sz w:val="24"/>
                <w:szCs w:val="24"/>
                <w:lang w:val="ro-MD"/>
              </w:rPr>
              <w:t xml:space="preserve">elaborat de către Ministerul </w:t>
            </w:r>
            <w:r w:rsidR="00004D6C">
              <w:rPr>
                <w:rFonts w:ascii="Times New Roman" w:hAnsi="Times New Roman"/>
                <w:sz w:val="24"/>
                <w:szCs w:val="24"/>
                <w:lang w:val="ro-MD"/>
              </w:rPr>
              <w:t>Energiei (MEn)</w:t>
            </w:r>
            <w:r w:rsidR="00004D6C" w:rsidRPr="00F87E65">
              <w:rPr>
                <w:rFonts w:ascii="Times New Roman" w:hAnsi="Times New Roman"/>
                <w:sz w:val="24"/>
                <w:szCs w:val="24"/>
                <w:lang w:val="ro-MD"/>
              </w:rPr>
              <w:t>.</w:t>
            </w:r>
          </w:p>
        </w:tc>
      </w:tr>
      <w:tr w:rsidR="00950A32" w:rsidRPr="00F87E65" w14:paraId="3B5C701C" w14:textId="77777777" w:rsidTr="00C71008">
        <w:trPr>
          <w:trHeight w:val="272"/>
          <w:jc w:val="center"/>
        </w:trPr>
        <w:tc>
          <w:tcPr>
            <w:tcW w:w="10632" w:type="dxa"/>
            <w:shd w:val="clear" w:color="auto" w:fill="E7E6E6" w:themeFill="background2"/>
          </w:tcPr>
          <w:p w14:paraId="3898074A" w14:textId="4DB99772" w:rsidR="00950A32" w:rsidRPr="001628FD" w:rsidRDefault="00950A32" w:rsidP="00C71008">
            <w:pPr>
              <w:shd w:val="clear" w:color="auto" w:fill="E7E6E6" w:themeFill="background2"/>
              <w:spacing w:after="0" w:line="276" w:lineRule="auto"/>
              <w:contextualSpacing/>
              <w:jc w:val="both"/>
              <w:rPr>
                <w:rFonts w:ascii="Times New Roman" w:eastAsia="Calibri" w:hAnsi="Times New Roman"/>
                <w:sz w:val="24"/>
                <w:szCs w:val="24"/>
                <w:lang w:val="ro-MD"/>
              </w:rPr>
            </w:pPr>
            <w:r w:rsidRPr="00F87E65">
              <w:rPr>
                <w:rFonts w:ascii="Times New Roman" w:eastAsia="Calibri" w:hAnsi="Times New Roman"/>
                <w:b/>
                <w:sz w:val="24"/>
                <w:szCs w:val="24"/>
                <w:lang w:val="ro-MD"/>
              </w:rPr>
              <w:t>2. Condițiile ce au impus elaborarea proiectului actului normativ și finalitățile urmărite</w:t>
            </w:r>
            <w:r w:rsidRPr="00F87E65">
              <w:rPr>
                <w:rFonts w:ascii="Times New Roman" w:eastAsia="Calibri" w:hAnsi="Times New Roman"/>
                <w:sz w:val="24"/>
                <w:szCs w:val="24"/>
                <w:lang w:val="ro-MD"/>
              </w:rPr>
              <w:t xml:space="preserve"> </w:t>
            </w:r>
          </w:p>
        </w:tc>
      </w:tr>
      <w:tr w:rsidR="00894847" w:rsidRPr="00F87E65" w14:paraId="0A51675C" w14:textId="77777777" w:rsidTr="00C71008">
        <w:trPr>
          <w:jc w:val="center"/>
        </w:trPr>
        <w:tc>
          <w:tcPr>
            <w:tcW w:w="10632" w:type="dxa"/>
          </w:tcPr>
          <w:p w14:paraId="7D31BF04" w14:textId="77777777" w:rsidR="00894847" w:rsidRDefault="00305D2F" w:rsidP="00C71008">
            <w:pPr>
              <w:spacing w:after="0" w:line="276" w:lineRule="auto"/>
              <w:ind w:firstLine="738"/>
              <w:contextualSpacing/>
              <w:jc w:val="both"/>
              <w:rPr>
                <w:rFonts w:ascii="Times New Roman" w:eastAsia="Calibri" w:hAnsi="Times New Roman"/>
                <w:sz w:val="24"/>
                <w:szCs w:val="24"/>
                <w:lang w:val="ro-MD"/>
              </w:rPr>
            </w:pPr>
            <w:r w:rsidRPr="00F87E65">
              <w:rPr>
                <w:rFonts w:ascii="Times New Roman" w:eastAsia="Calibri" w:hAnsi="Times New Roman"/>
                <w:sz w:val="24"/>
                <w:szCs w:val="24"/>
                <w:lang w:val="ro-MD"/>
              </w:rPr>
              <w:t xml:space="preserve">Proiectul de hotărâre a fost elaborat în scopul executării prevederilor </w:t>
            </w:r>
            <w:r w:rsidR="00F52E39" w:rsidRPr="00F87E65">
              <w:rPr>
                <w:rFonts w:ascii="Times New Roman" w:eastAsia="Calibri" w:hAnsi="Times New Roman"/>
                <w:sz w:val="24"/>
                <w:szCs w:val="24"/>
                <w:lang w:val="ro-MD"/>
              </w:rPr>
              <w:t xml:space="preserve">pct. </w:t>
            </w:r>
            <w:r w:rsidRPr="00F87E65">
              <w:rPr>
                <w:rFonts w:ascii="Times New Roman" w:eastAsia="Calibri" w:hAnsi="Times New Roman"/>
                <w:sz w:val="24"/>
                <w:szCs w:val="24"/>
                <w:lang w:val="ro-MD"/>
              </w:rPr>
              <w:t>3, 6</w:t>
            </w:r>
            <w:r w:rsidR="00F52E39" w:rsidRPr="00F87E65">
              <w:rPr>
                <w:rFonts w:ascii="Times New Roman" w:eastAsia="Calibri" w:hAnsi="Times New Roman"/>
                <w:sz w:val="24"/>
                <w:szCs w:val="24"/>
                <w:lang w:val="ro-MD"/>
              </w:rPr>
              <w:t>, 7</w:t>
            </w:r>
            <w:r w:rsidRPr="00F87E65">
              <w:rPr>
                <w:rFonts w:ascii="Times New Roman" w:eastAsia="Calibri" w:hAnsi="Times New Roman"/>
                <w:sz w:val="24"/>
                <w:szCs w:val="24"/>
                <w:lang w:val="ro-MD"/>
              </w:rPr>
              <w:t xml:space="preserve"> și 17 din Anexa l</w:t>
            </w:r>
            <w:r w:rsidR="00F87E65" w:rsidRPr="00F87E65">
              <w:rPr>
                <w:rFonts w:ascii="Times New Roman" w:eastAsia="Calibri" w:hAnsi="Times New Roman"/>
                <w:sz w:val="24"/>
                <w:szCs w:val="24"/>
                <w:lang w:val="ro-MD"/>
              </w:rPr>
              <w:t>a</w:t>
            </w:r>
            <w:r w:rsidRPr="00F87E65">
              <w:rPr>
                <w:rFonts w:ascii="Times New Roman" w:eastAsia="Calibri" w:hAnsi="Times New Roman"/>
                <w:sz w:val="24"/>
                <w:szCs w:val="24"/>
                <w:lang w:val="ro-MD"/>
              </w:rPr>
              <w:t xml:space="preserve"> Legii nr. 120/2022 privind declararea utilității publice de interes național a lucrărilor de construcție a liniei electrice aeriene (LEA) 400 kV de transport al energiei electrice Vulcănești–Chișinău și a stației Back-to-Back Vulcănești (în continuare Legea nr. 120/2022), adoptată de Parlament întru consolidarea securității energetice a țării.</w:t>
            </w:r>
          </w:p>
          <w:p w14:paraId="02C60401" w14:textId="6F719A12" w:rsidR="00DD755F" w:rsidRPr="00F87E65" w:rsidRDefault="00C71008" w:rsidP="00C71008">
            <w:pPr>
              <w:spacing w:after="0" w:line="276" w:lineRule="auto"/>
              <w:ind w:firstLine="738"/>
              <w:contextualSpacing/>
              <w:jc w:val="both"/>
              <w:rPr>
                <w:rFonts w:ascii="Times New Roman" w:eastAsia="Calibri" w:hAnsi="Times New Roman"/>
                <w:sz w:val="24"/>
                <w:szCs w:val="24"/>
                <w:lang w:val="ro-MD"/>
              </w:rPr>
            </w:pPr>
            <w:r>
              <w:rPr>
                <w:rFonts w:ascii="Times New Roman" w:eastAsia="Calibri" w:hAnsi="Times New Roman"/>
                <w:sz w:val="24"/>
                <w:szCs w:val="24"/>
                <w:lang w:val="ro-MD"/>
              </w:rPr>
              <w:t>De menționat că, i</w:t>
            </w:r>
            <w:r w:rsidR="00DD755F" w:rsidRPr="00DD755F">
              <w:rPr>
                <w:rFonts w:ascii="Times New Roman" w:eastAsia="Calibri" w:hAnsi="Times New Roman"/>
                <w:sz w:val="24"/>
                <w:szCs w:val="24"/>
                <w:lang w:val="ro-MD"/>
              </w:rPr>
              <w:t>mplementarea Proiectului de interconexiune LEA</w:t>
            </w:r>
            <w:r w:rsidR="00DD755F">
              <w:rPr>
                <w:rFonts w:ascii="Times New Roman" w:eastAsia="Calibri" w:hAnsi="Times New Roman"/>
                <w:sz w:val="24"/>
                <w:szCs w:val="24"/>
                <w:lang w:val="ro-MD"/>
              </w:rPr>
              <w:t xml:space="preserve"> </w:t>
            </w:r>
            <w:r w:rsidR="00DD755F" w:rsidRPr="00DD755F">
              <w:rPr>
                <w:rFonts w:ascii="Times New Roman" w:eastAsia="Calibri" w:hAnsi="Times New Roman"/>
                <w:sz w:val="24"/>
                <w:szCs w:val="24"/>
                <w:lang w:val="ro-MD"/>
              </w:rPr>
              <w:t>400 kV Vulcănești-Chișinău reprezintă un obiectiv specific prevăzut în Strategia</w:t>
            </w:r>
            <w:r w:rsidR="00DD755F">
              <w:rPr>
                <w:rFonts w:ascii="Times New Roman" w:eastAsia="Calibri" w:hAnsi="Times New Roman"/>
                <w:sz w:val="24"/>
                <w:szCs w:val="24"/>
                <w:lang w:val="ro-MD"/>
              </w:rPr>
              <w:t xml:space="preserve"> </w:t>
            </w:r>
            <w:r w:rsidR="00DD755F" w:rsidRPr="00DD755F">
              <w:rPr>
                <w:rFonts w:ascii="Times New Roman" w:eastAsia="Calibri" w:hAnsi="Times New Roman"/>
                <w:sz w:val="24"/>
                <w:szCs w:val="24"/>
                <w:lang w:val="ro-MD"/>
              </w:rPr>
              <w:t>energetică a Republicii Moldova până în anul 2030, aprobată prin Hotărârea</w:t>
            </w:r>
            <w:r w:rsidR="00DD755F">
              <w:rPr>
                <w:rFonts w:ascii="Times New Roman" w:eastAsia="Calibri" w:hAnsi="Times New Roman"/>
                <w:sz w:val="24"/>
                <w:szCs w:val="24"/>
                <w:lang w:val="ro-MD"/>
              </w:rPr>
              <w:t xml:space="preserve"> </w:t>
            </w:r>
            <w:r w:rsidR="00DD755F" w:rsidRPr="00DD755F">
              <w:rPr>
                <w:rFonts w:ascii="Times New Roman" w:eastAsia="Calibri" w:hAnsi="Times New Roman"/>
                <w:sz w:val="24"/>
                <w:szCs w:val="24"/>
                <w:lang w:val="ro-MD"/>
              </w:rPr>
              <w:t>Guvernului nr. 102/2013, iar realizarea Proiectului reprezintă o măsură prevăzută de</w:t>
            </w:r>
            <w:r w:rsidR="00DD755F">
              <w:rPr>
                <w:rFonts w:ascii="Times New Roman" w:eastAsia="Calibri" w:hAnsi="Times New Roman"/>
                <w:sz w:val="24"/>
                <w:szCs w:val="24"/>
                <w:lang w:val="ro-MD"/>
              </w:rPr>
              <w:t xml:space="preserve"> </w:t>
            </w:r>
            <w:r w:rsidR="00DD755F" w:rsidRPr="00DD755F">
              <w:rPr>
                <w:rFonts w:ascii="Times New Roman" w:eastAsia="Calibri" w:hAnsi="Times New Roman"/>
                <w:sz w:val="24"/>
                <w:szCs w:val="24"/>
                <w:lang w:val="ro-MD"/>
              </w:rPr>
              <w:t>Foaia de parcurs pentru sectorul electroenergetic din Republica Moldova, aprobată</w:t>
            </w:r>
            <w:r w:rsidR="00DD755F">
              <w:rPr>
                <w:rFonts w:ascii="Times New Roman" w:eastAsia="Calibri" w:hAnsi="Times New Roman"/>
                <w:sz w:val="24"/>
                <w:szCs w:val="24"/>
                <w:lang w:val="ro-MD"/>
              </w:rPr>
              <w:t xml:space="preserve"> </w:t>
            </w:r>
            <w:r w:rsidR="00DD755F" w:rsidRPr="00DD755F">
              <w:rPr>
                <w:rFonts w:ascii="Times New Roman" w:eastAsia="Calibri" w:hAnsi="Times New Roman"/>
                <w:sz w:val="24"/>
                <w:szCs w:val="24"/>
                <w:lang w:val="ro-MD"/>
              </w:rPr>
              <w:t>prin Hotărârea Guvernului nr. 409/2015</w:t>
            </w:r>
            <w:r w:rsidR="0019053D">
              <w:rPr>
                <w:rFonts w:ascii="Times New Roman" w:eastAsia="Calibri" w:hAnsi="Times New Roman"/>
                <w:sz w:val="24"/>
                <w:szCs w:val="24"/>
                <w:lang w:val="ro-MD"/>
              </w:rPr>
              <w:t>.</w:t>
            </w:r>
            <w:r w:rsidR="008D740A" w:rsidRPr="00C71008">
              <w:rPr>
                <w:lang w:val="ro-MD"/>
              </w:rPr>
              <w:t xml:space="preserve"> </w:t>
            </w:r>
            <w:r w:rsidR="008D740A" w:rsidRPr="008D740A">
              <w:rPr>
                <w:rFonts w:ascii="Times New Roman" w:eastAsia="Calibri" w:hAnsi="Times New Roman"/>
                <w:sz w:val="24"/>
                <w:szCs w:val="24"/>
                <w:lang w:val="ro-MD"/>
              </w:rPr>
              <w:t>Suplimentar, rel</w:t>
            </w:r>
            <w:r w:rsidR="00676C1C">
              <w:rPr>
                <w:rFonts w:ascii="Times New Roman" w:eastAsia="Calibri" w:hAnsi="Times New Roman"/>
                <w:sz w:val="24"/>
                <w:szCs w:val="24"/>
                <w:lang w:val="ro-MD"/>
              </w:rPr>
              <w:t>iefăm că, datorită importanței P</w:t>
            </w:r>
            <w:r w:rsidR="008D740A" w:rsidRPr="008D740A">
              <w:rPr>
                <w:rFonts w:ascii="Times New Roman" w:eastAsia="Calibri" w:hAnsi="Times New Roman"/>
                <w:sz w:val="24"/>
                <w:szCs w:val="24"/>
                <w:lang w:val="ro-MD"/>
              </w:rPr>
              <w:t>roiectului, în ceea ce privește</w:t>
            </w:r>
            <w:r w:rsidR="008D740A">
              <w:rPr>
                <w:rFonts w:ascii="Times New Roman" w:eastAsia="Calibri" w:hAnsi="Times New Roman"/>
                <w:sz w:val="24"/>
                <w:szCs w:val="24"/>
                <w:lang w:val="ro-MD"/>
              </w:rPr>
              <w:t xml:space="preserve"> </w:t>
            </w:r>
            <w:r w:rsidR="008D740A" w:rsidRPr="008D740A">
              <w:rPr>
                <w:rFonts w:ascii="Times New Roman" w:eastAsia="Calibri" w:hAnsi="Times New Roman"/>
                <w:sz w:val="24"/>
                <w:szCs w:val="24"/>
                <w:lang w:val="ro-MD"/>
              </w:rPr>
              <w:t>securitatea alimentării cu energie electrică a consumatorilor din Republica Moldova,</w:t>
            </w:r>
            <w:r w:rsidR="008D740A">
              <w:rPr>
                <w:rFonts w:ascii="Times New Roman" w:eastAsia="Calibri" w:hAnsi="Times New Roman"/>
                <w:sz w:val="24"/>
                <w:szCs w:val="24"/>
                <w:lang w:val="ro-MD"/>
              </w:rPr>
              <w:t xml:space="preserve"> </w:t>
            </w:r>
            <w:r w:rsidR="008D740A" w:rsidRPr="008D740A">
              <w:rPr>
                <w:rFonts w:ascii="Times New Roman" w:eastAsia="Calibri" w:hAnsi="Times New Roman"/>
                <w:sz w:val="24"/>
                <w:szCs w:val="24"/>
                <w:lang w:val="ro-MD"/>
              </w:rPr>
              <w:t>lucrările de construcție a LEA 400 kV Vulcănești-Chișinău au fost declarate de</w:t>
            </w:r>
            <w:r w:rsidR="008D740A">
              <w:rPr>
                <w:rFonts w:ascii="Times New Roman" w:eastAsia="Calibri" w:hAnsi="Times New Roman"/>
                <w:sz w:val="24"/>
                <w:szCs w:val="24"/>
                <w:lang w:val="ro-MD"/>
              </w:rPr>
              <w:t xml:space="preserve"> </w:t>
            </w:r>
            <w:r w:rsidR="008D740A" w:rsidRPr="008D740A">
              <w:rPr>
                <w:rFonts w:ascii="Times New Roman" w:eastAsia="Calibri" w:hAnsi="Times New Roman"/>
                <w:sz w:val="24"/>
                <w:szCs w:val="24"/>
                <w:lang w:val="ro-MD"/>
              </w:rPr>
              <w:t>utilitate publică de interes național, în conformitate cu prevederile Legii nr. 120/2022.</w:t>
            </w:r>
          </w:p>
          <w:p w14:paraId="5F0576F7" w14:textId="610B7FB0" w:rsidR="00407F8B" w:rsidRDefault="00305D2F" w:rsidP="00C71008">
            <w:pPr>
              <w:spacing w:after="0"/>
              <w:ind w:firstLine="738"/>
              <w:jc w:val="both"/>
              <w:rPr>
                <w:rFonts w:ascii="Times New Roman" w:eastAsia="Calibri" w:hAnsi="Times New Roman"/>
                <w:sz w:val="24"/>
                <w:szCs w:val="24"/>
                <w:lang w:val="ro-MD"/>
              </w:rPr>
            </w:pPr>
            <w:r w:rsidRPr="00F87E65">
              <w:rPr>
                <w:rFonts w:ascii="Times New Roman" w:eastAsia="Calibri" w:hAnsi="Times New Roman"/>
                <w:sz w:val="24"/>
                <w:szCs w:val="24"/>
                <w:lang w:val="ro-MD"/>
              </w:rPr>
              <w:t xml:space="preserve">Astfel, în scopul facilitării lucrărilor de construcție de interes național a lucrărilor de construcție a LEA 400 kV de transport al energiei electrice Vulcănești–Chișinău, care reprezintă un obiectiv de importanță strategică, Legea nr. 120/2022 stabilește o procedură specială de expropriere a bunurilor imobile/drepturilor de folosință și altor drepturi reale asupra bunurilor imobile situate pe amplasamentul lucrărilor de utilitate publică, </w:t>
            </w:r>
            <w:r w:rsidRPr="0090345D">
              <w:rPr>
                <w:rFonts w:ascii="Times New Roman" w:eastAsia="Calibri" w:hAnsi="Times New Roman"/>
                <w:sz w:val="24"/>
                <w:szCs w:val="24"/>
                <w:lang w:val="ro-MD"/>
              </w:rPr>
              <w:t>identificate potrivit documentației de proiect</w:t>
            </w:r>
            <w:r w:rsidRPr="00F87E65">
              <w:rPr>
                <w:rFonts w:ascii="Times New Roman" w:eastAsia="Calibri" w:hAnsi="Times New Roman"/>
                <w:sz w:val="24"/>
                <w:szCs w:val="24"/>
                <w:lang w:val="ro-MD"/>
              </w:rPr>
              <w:t xml:space="preserve">. Potrivit procedurii stabilite de lege, transmiterea de la expropriați la expropriator a drepturilor de proprietate și a drepturilor de folosință sau a altor drepturi reale asupra bunurilor imobile necesare lucrărilor de construcție de interes național, are loc în temeiul actului de expropriere emis de Guvern. </w:t>
            </w:r>
          </w:p>
          <w:p w14:paraId="1127D9B2" w14:textId="77777777" w:rsidR="00407F8B" w:rsidRDefault="00305D2F" w:rsidP="00C71008">
            <w:pPr>
              <w:spacing w:after="0"/>
              <w:ind w:firstLine="738"/>
              <w:jc w:val="both"/>
              <w:rPr>
                <w:rFonts w:ascii="Times New Roman" w:eastAsia="Calibri" w:hAnsi="Times New Roman"/>
                <w:i/>
                <w:iCs/>
                <w:sz w:val="24"/>
                <w:szCs w:val="24"/>
                <w:lang w:val="ro-MD"/>
              </w:rPr>
            </w:pPr>
            <w:r w:rsidRPr="00F87E65">
              <w:rPr>
                <w:rFonts w:ascii="Times New Roman" w:eastAsia="Calibri" w:hAnsi="Times New Roman"/>
                <w:sz w:val="24"/>
                <w:szCs w:val="24"/>
                <w:lang w:val="ro-MD"/>
              </w:rPr>
              <w:t>Relevante în acest sens fiind prevederile pct. 7 din Anexa la Legea nr. 120/2022 potrivit cărora:</w:t>
            </w:r>
            <w:r w:rsidRPr="00F87E65">
              <w:rPr>
                <w:rFonts w:eastAsia="Calibri"/>
                <w:lang w:val="ro-MD"/>
              </w:rPr>
              <w:t xml:space="preserve"> </w:t>
            </w:r>
            <w:r w:rsidRPr="00F87E65">
              <w:rPr>
                <w:rFonts w:eastAsia="Calibri"/>
                <w:i/>
                <w:iCs/>
                <w:lang w:val="ro-MD"/>
              </w:rPr>
              <w:t>,,</w:t>
            </w:r>
            <w:r w:rsidRPr="00F87E65">
              <w:rPr>
                <w:rFonts w:ascii="Times New Roman" w:eastAsia="Calibri" w:hAnsi="Times New Roman"/>
                <w:i/>
                <w:iCs/>
                <w:sz w:val="24"/>
                <w:szCs w:val="24"/>
                <w:lang w:val="ro-MD"/>
              </w:rPr>
              <w:t xml:space="preserve">în termen de cel mult 90 de zile, expropriatorul va aproba actul de expropriere, care va cuprinde în anexă lista bunurilor imobile supuse exproprierii, elaborată în baza proiectului tehnic final, cu numerele cadastrale și suprafețele bunurilor imobile expropriate, precum și categoria de folosință a bunurilor imobile, în conformitate cu prevederile legale aplicabile”. </w:t>
            </w:r>
          </w:p>
          <w:p w14:paraId="7879E978" w14:textId="112E738F" w:rsidR="00894847" w:rsidRPr="00F87E65" w:rsidRDefault="00305D2F" w:rsidP="00C71008">
            <w:pPr>
              <w:spacing w:after="0"/>
              <w:ind w:firstLine="738"/>
              <w:jc w:val="both"/>
              <w:rPr>
                <w:rFonts w:ascii="Times New Roman" w:eastAsia="Calibri" w:hAnsi="Times New Roman"/>
                <w:sz w:val="24"/>
                <w:szCs w:val="24"/>
                <w:lang w:val="ro-MD"/>
              </w:rPr>
            </w:pPr>
            <w:r w:rsidRPr="00F87E65">
              <w:rPr>
                <w:rFonts w:ascii="Times New Roman" w:eastAsia="Calibri" w:hAnsi="Times New Roman"/>
                <w:sz w:val="24"/>
                <w:szCs w:val="24"/>
                <w:lang w:val="ro-MD"/>
              </w:rPr>
              <w:t>La caz,</w:t>
            </w:r>
            <w:r w:rsidRPr="00F87E65">
              <w:rPr>
                <w:rFonts w:ascii="Times New Roman" w:eastAsia="Calibri" w:hAnsi="Times New Roman"/>
                <w:i/>
                <w:iCs/>
                <w:sz w:val="24"/>
                <w:szCs w:val="24"/>
                <w:lang w:val="ro-MD"/>
              </w:rPr>
              <w:t xml:space="preserve"> </w:t>
            </w:r>
            <w:r w:rsidRPr="00F87E65">
              <w:rPr>
                <w:rFonts w:ascii="Times New Roman" w:eastAsia="Calibri" w:hAnsi="Times New Roman"/>
                <w:sz w:val="24"/>
                <w:szCs w:val="24"/>
                <w:lang w:val="ro-MD"/>
              </w:rPr>
              <w:t xml:space="preserve"> măsura respectivă este suficientă pentru obligarea atât a expropriaților cât și a celor ce pretind un drept asupra bunului imobil expropriat de a preda expropriatorului bunul expropriat. În acest context, </w:t>
            </w:r>
            <w:r w:rsidR="00CF252B">
              <w:rPr>
                <w:rFonts w:ascii="Times New Roman" w:eastAsia="Calibri" w:hAnsi="Times New Roman"/>
                <w:sz w:val="24"/>
                <w:szCs w:val="24"/>
                <w:lang w:val="ro-MD"/>
              </w:rPr>
              <w:t>H</w:t>
            </w:r>
            <w:r w:rsidRPr="00F87E65">
              <w:rPr>
                <w:rFonts w:ascii="Times New Roman" w:eastAsia="Calibri" w:hAnsi="Times New Roman"/>
                <w:sz w:val="24"/>
                <w:szCs w:val="24"/>
                <w:lang w:val="ro-MD"/>
              </w:rPr>
              <w:t>otărârea Guvernului Republicii Moldova care nominalizează proprietarii bunurilor imobile expropriate, indică numerele cadastrale și suprafețele acestor bunuri, precum și categoria de folosință a bunurilor imobile în conformitate cu prevederile legale aplicabile, și prin care se instituie Comisia pentru soluționarea întâmpinărilor.</w:t>
            </w:r>
          </w:p>
          <w:p w14:paraId="77FEABE2" w14:textId="38453153" w:rsidR="00894847" w:rsidRPr="00F87E65" w:rsidRDefault="00305D2F" w:rsidP="00C71008">
            <w:pPr>
              <w:spacing w:after="0"/>
              <w:ind w:firstLine="738"/>
              <w:jc w:val="both"/>
              <w:rPr>
                <w:rFonts w:ascii="Times New Roman" w:eastAsia="Calibri" w:hAnsi="Times New Roman"/>
                <w:sz w:val="24"/>
                <w:szCs w:val="24"/>
                <w:lang w:val="ro-MD"/>
              </w:rPr>
            </w:pPr>
            <w:r w:rsidRPr="00F87E65">
              <w:rPr>
                <w:rFonts w:ascii="Times New Roman" w:eastAsia="Calibri" w:hAnsi="Times New Roman"/>
                <w:sz w:val="24"/>
                <w:szCs w:val="24"/>
                <w:lang w:val="ro-MD"/>
              </w:rPr>
              <w:t xml:space="preserve">De asemenea, în conformitate cu  pct. 3, lit. a) din Anexa la Legea 120/2022 prevede că, transferul de la expropriat la expropriator al dreptului de proprietate asupra bunurilor imobile și, după caz, al dreptului de </w:t>
            </w:r>
            <w:r w:rsidRPr="00F87E65">
              <w:rPr>
                <w:rFonts w:ascii="Times New Roman" w:eastAsia="Calibri" w:hAnsi="Times New Roman"/>
                <w:sz w:val="24"/>
                <w:szCs w:val="24"/>
                <w:lang w:val="ro-MD"/>
              </w:rPr>
              <w:lastRenderedPageBreak/>
              <w:t>folosință sau al altor drepturi reale,</w:t>
            </w:r>
            <w:r w:rsidRPr="00F87E65">
              <w:rPr>
                <w:rFonts w:eastAsia="Calibri"/>
                <w:lang w:val="ro-MD"/>
              </w:rPr>
              <w:t xml:space="preserve"> </w:t>
            </w:r>
            <w:r w:rsidRPr="00F87E65">
              <w:rPr>
                <w:rFonts w:ascii="Times New Roman" w:eastAsia="Calibri" w:hAnsi="Times New Roman"/>
                <w:sz w:val="24"/>
                <w:szCs w:val="24"/>
                <w:lang w:val="ro-MD"/>
              </w:rPr>
              <w:t>se realizează etapizat. La data publicării în Monitorul Oficial al Republicii Moldova a actului de expropriere de către expropriator, prin efectul prezentei legi, se instituie temeiul juridic pentru înregistrarea provizorie a dreptului de proprietate publică, a dreptului de folosință sau, după caz, a altor drepturi reale ale statului asupra bunurilor. Dreptul real corespunzător supus înregistrării provizorii este afectat de condiția suspensivă privind plata despăgubirilor către expropriat. Autoritățile competente potrivit prezentei legi vor efectua înregistrările provizorii privind dobândirea drepturilor reale asupra bunurilor imobile din Legea nr. 12</w:t>
            </w:r>
            <w:r w:rsidR="00FB0FD7">
              <w:rPr>
                <w:rFonts w:ascii="Times New Roman" w:eastAsia="Calibri" w:hAnsi="Times New Roman"/>
                <w:sz w:val="24"/>
                <w:szCs w:val="24"/>
                <w:lang w:val="ro-MD"/>
              </w:rPr>
              <w:t>0</w:t>
            </w:r>
            <w:r w:rsidRPr="00F87E65">
              <w:rPr>
                <w:rFonts w:ascii="Times New Roman" w:eastAsia="Calibri" w:hAnsi="Times New Roman"/>
                <w:sz w:val="24"/>
                <w:szCs w:val="24"/>
                <w:lang w:val="ro-MD"/>
              </w:rPr>
              <w:t>/2022 în Registrul bunurilor imobile. Actul de expropriere este suficient pentru efectuarea înregistrării corespunzătoare în Registrul bunurilor imobile de către Agenția Servicii Publice.</w:t>
            </w:r>
          </w:p>
          <w:p w14:paraId="3E6380CF" w14:textId="3E13E8A6" w:rsidR="00894847" w:rsidRPr="00F87E65" w:rsidRDefault="00305D2F" w:rsidP="00C71008">
            <w:pPr>
              <w:spacing w:after="0" w:line="276" w:lineRule="auto"/>
              <w:ind w:firstLine="738"/>
              <w:contextualSpacing/>
              <w:jc w:val="both"/>
              <w:rPr>
                <w:rFonts w:ascii="Times New Roman" w:eastAsia="Calibri" w:hAnsi="Times New Roman"/>
                <w:sz w:val="24"/>
                <w:szCs w:val="24"/>
                <w:lang w:val="ro-MD"/>
              </w:rPr>
            </w:pPr>
            <w:r w:rsidRPr="00F87E65">
              <w:rPr>
                <w:rFonts w:ascii="Times New Roman" w:eastAsia="Calibri" w:hAnsi="Times New Roman"/>
                <w:sz w:val="24"/>
                <w:szCs w:val="24"/>
                <w:lang w:val="ro-MD"/>
              </w:rPr>
              <w:t xml:space="preserve">Totodată, în scopul asigurării unei reevaluări obiective a prejudiciilor materiale și determinării cuantumului despăgubirii pentru proprietarii/ deținătorii de alte drepturi reale, care nu sunt de acord cu plata compensatorie calculată </w:t>
            </w:r>
            <w:r w:rsidR="00CE0C08" w:rsidRPr="00F87E65">
              <w:rPr>
                <w:rFonts w:ascii="Times New Roman" w:eastAsia="Calibri" w:hAnsi="Times New Roman"/>
                <w:sz w:val="24"/>
                <w:szCs w:val="24"/>
                <w:lang w:val="ro-MD"/>
              </w:rPr>
              <w:t>și</w:t>
            </w:r>
            <w:r w:rsidRPr="00F87E65">
              <w:rPr>
                <w:rFonts w:ascii="Times New Roman" w:eastAsia="Calibri" w:hAnsi="Times New Roman"/>
                <w:sz w:val="24"/>
                <w:szCs w:val="24"/>
                <w:lang w:val="ro-MD"/>
              </w:rPr>
              <w:t xml:space="preserve"> specificată în propunerea de expropriere, pct. 21 din Anexa la Legea 120/2022</w:t>
            </w:r>
            <w:r w:rsidR="0046316C" w:rsidRPr="00F87E65">
              <w:rPr>
                <w:rFonts w:ascii="Times New Roman" w:eastAsia="Calibri" w:hAnsi="Times New Roman"/>
                <w:sz w:val="24"/>
                <w:szCs w:val="24"/>
                <w:lang w:val="ro-MD"/>
              </w:rPr>
              <w:t>,</w:t>
            </w:r>
            <w:r w:rsidRPr="00F87E65">
              <w:rPr>
                <w:rFonts w:ascii="Times New Roman" w:eastAsia="Calibri" w:hAnsi="Times New Roman"/>
                <w:sz w:val="24"/>
                <w:szCs w:val="24"/>
                <w:lang w:val="ro-MD"/>
              </w:rPr>
              <w:t xml:space="preserve"> este necesar instituirea de către Guvern a unei Comisii pentru soluționarea întâmpinărilor înaintate de către titularii drepturilor expropriate, care sunt în dezacord cu cuantumul despăgubirii stabilit în propunerea de expropriere, în ordinea prevederilor pct. 26, 27, 28, 29 din Anexa la Legea nr. 120/2022.</w:t>
            </w:r>
          </w:p>
        </w:tc>
      </w:tr>
      <w:tr w:rsidR="00D21456" w:rsidRPr="00F87E65" w14:paraId="7025E172" w14:textId="77777777" w:rsidTr="00C71008">
        <w:trPr>
          <w:jc w:val="center"/>
        </w:trPr>
        <w:tc>
          <w:tcPr>
            <w:tcW w:w="10632" w:type="dxa"/>
            <w:shd w:val="clear" w:color="auto" w:fill="E7E6E6" w:themeFill="background2"/>
          </w:tcPr>
          <w:p w14:paraId="0CECB69A" w14:textId="39AB8F2E" w:rsidR="00D21456" w:rsidRPr="00F87E65" w:rsidDel="00950A32" w:rsidRDefault="00D21456" w:rsidP="00C71008">
            <w:pPr>
              <w:shd w:val="clear" w:color="auto" w:fill="E7E6E6" w:themeFill="background2"/>
              <w:spacing w:after="0" w:line="276" w:lineRule="auto"/>
              <w:contextualSpacing/>
              <w:jc w:val="both"/>
              <w:rPr>
                <w:rFonts w:ascii="Times New Roman" w:eastAsia="Calibri" w:hAnsi="Times New Roman"/>
                <w:b/>
                <w:sz w:val="24"/>
                <w:szCs w:val="24"/>
                <w:lang w:val="ro-MD"/>
              </w:rPr>
            </w:pPr>
            <w:r w:rsidRPr="00F87E65">
              <w:rPr>
                <w:rFonts w:ascii="Times New Roman" w:eastAsia="Calibri" w:hAnsi="Times New Roman"/>
                <w:b/>
                <w:sz w:val="24"/>
                <w:szCs w:val="24"/>
                <w:lang w:val="ro-MD"/>
              </w:rPr>
              <w:lastRenderedPageBreak/>
              <w:t>3. Principalele prevederi ale proiectului de lege și evidențierea elementelor noi</w:t>
            </w:r>
          </w:p>
        </w:tc>
      </w:tr>
      <w:tr w:rsidR="00894847" w:rsidRPr="00F87E65" w14:paraId="46881CB0" w14:textId="77777777" w:rsidTr="00C71008">
        <w:trPr>
          <w:jc w:val="center"/>
        </w:trPr>
        <w:tc>
          <w:tcPr>
            <w:tcW w:w="10632" w:type="dxa"/>
          </w:tcPr>
          <w:p w14:paraId="6FEBA00D" w14:textId="3A249549" w:rsidR="00894847" w:rsidRPr="00F87E65" w:rsidRDefault="00305D2F" w:rsidP="0018703E">
            <w:pPr>
              <w:spacing w:after="0" w:line="276" w:lineRule="auto"/>
              <w:ind w:firstLine="738"/>
              <w:contextualSpacing/>
              <w:jc w:val="both"/>
              <w:rPr>
                <w:rFonts w:ascii="Times New Roman" w:eastAsia="Calibri" w:hAnsi="Times New Roman"/>
                <w:sz w:val="24"/>
                <w:szCs w:val="24"/>
                <w:lang w:val="ro-MD"/>
              </w:rPr>
            </w:pPr>
            <w:r w:rsidRPr="00F87E65">
              <w:rPr>
                <w:rFonts w:ascii="Times New Roman" w:eastAsia="Calibri" w:hAnsi="Times New Roman"/>
                <w:sz w:val="24"/>
                <w:szCs w:val="24"/>
                <w:lang w:val="ro-MD"/>
              </w:rPr>
              <w:t xml:space="preserve">Prevederile proiectului hotărârii de Guvern derivă din prevederile Legii nr. 120/2022, fiind identificat în anexele la hotărâre obiectul exproprierii pentru cauza de utilitate publică. Totodată, în calitate de act de expropriere în sensul Legii sus-nominalizate, hotărârea dispune transferul către stat, din momentul intrării în vigoare a acesteia, a drepturilor de proprietate sau de folosință sau a altor drepturi reale asupra bunurilor imobile, care urmează a fi utilizate în cadrul lucrărilor de construcție a </w:t>
            </w:r>
            <w:bookmarkStart w:id="0" w:name="_GoBack"/>
            <w:r w:rsidR="0018703E">
              <w:rPr>
                <w:rFonts w:ascii="Times New Roman" w:eastAsia="Calibri" w:hAnsi="Times New Roman"/>
                <w:sz w:val="24"/>
                <w:szCs w:val="24"/>
                <w:lang w:val="ro-MD"/>
              </w:rPr>
              <w:t>LEA</w:t>
            </w:r>
            <w:bookmarkEnd w:id="0"/>
            <w:r w:rsidRPr="00F87E65">
              <w:rPr>
                <w:rFonts w:ascii="Times New Roman" w:eastAsia="Calibri" w:hAnsi="Times New Roman"/>
                <w:sz w:val="24"/>
                <w:szCs w:val="24"/>
                <w:lang w:val="ro-MD"/>
              </w:rPr>
              <w:t xml:space="preserve"> 400 kV de transport al energiei electrice Vulcănești–Chișinău și a stației Back-to-Back Vulcănești declarate de utilitate publică de interes național. </w:t>
            </w:r>
          </w:p>
          <w:p w14:paraId="3D67F58E" w14:textId="77777777" w:rsidR="00894847" w:rsidRPr="00F87E65" w:rsidRDefault="00305D2F" w:rsidP="00C71008">
            <w:pPr>
              <w:spacing w:after="0" w:line="276" w:lineRule="auto"/>
              <w:ind w:firstLine="738"/>
              <w:contextualSpacing/>
              <w:jc w:val="both"/>
              <w:rPr>
                <w:rFonts w:ascii="Times New Roman" w:eastAsia="Calibri" w:hAnsi="Times New Roman"/>
                <w:sz w:val="24"/>
                <w:szCs w:val="24"/>
                <w:lang w:val="ro-MD"/>
              </w:rPr>
            </w:pPr>
            <w:r w:rsidRPr="00F87E65">
              <w:rPr>
                <w:rFonts w:ascii="Times New Roman" w:eastAsia="Calibri" w:hAnsi="Times New Roman"/>
                <w:sz w:val="24"/>
                <w:szCs w:val="24"/>
                <w:lang w:val="ro-MD"/>
              </w:rPr>
              <w:t xml:space="preserve">Astfel, prin adoptarea hotărârii în cauză se va stabili cu exactitate obiectul exproprierii de interes național și momentul în care are loc cedarea drepturilor patrimoniale către stat pentru cauza de utilitate publică.   </w:t>
            </w:r>
          </w:p>
          <w:p w14:paraId="45AE45AD" w14:textId="77777777" w:rsidR="00894847" w:rsidRDefault="00305D2F" w:rsidP="00C71008">
            <w:pPr>
              <w:spacing w:after="0" w:line="276" w:lineRule="auto"/>
              <w:ind w:firstLine="738"/>
              <w:contextualSpacing/>
              <w:jc w:val="both"/>
              <w:rPr>
                <w:rFonts w:ascii="Times New Roman" w:eastAsia="Calibri" w:hAnsi="Times New Roman"/>
                <w:sz w:val="24"/>
                <w:szCs w:val="24"/>
                <w:lang w:val="ro-MD"/>
              </w:rPr>
            </w:pPr>
            <w:r w:rsidRPr="00F87E65">
              <w:rPr>
                <w:rFonts w:ascii="Times New Roman" w:eastAsia="Calibri" w:hAnsi="Times New Roman"/>
                <w:sz w:val="24"/>
                <w:szCs w:val="24"/>
                <w:lang w:val="ro-MD"/>
              </w:rPr>
              <w:t>Concomitent, întru executarea pct. 27 din Anexa la Legea 120/2022, prin hotărârea dată se instituie Comisia pentru soluționarea întâmpinărilor expropriaților. Având în vedere însă că, Legea nr. 120/2022 nu stabilește în mod expres procedura conform căreia Comisia va examina întâmpinările, pentru a exclude interpretările unilaterale, s-a considerat oportun de a preciza în textul hotărârii o normă de trimitere la procedura prevăzută în acest sens de Legea exproprierii pentru cauză de utilitate publică nr. 488/1999.</w:t>
            </w:r>
          </w:p>
          <w:p w14:paraId="5844128A" w14:textId="2B566AD7" w:rsidR="00FB0FD7" w:rsidRPr="00F87E65" w:rsidRDefault="001335E8" w:rsidP="00C71008">
            <w:pPr>
              <w:spacing w:after="0" w:line="276" w:lineRule="auto"/>
              <w:ind w:firstLine="738"/>
              <w:contextualSpacing/>
              <w:jc w:val="both"/>
              <w:rPr>
                <w:rFonts w:ascii="Times New Roman" w:hAnsi="Times New Roman"/>
                <w:sz w:val="24"/>
                <w:szCs w:val="24"/>
                <w:lang w:val="ro-MD"/>
              </w:rPr>
            </w:pPr>
            <w:r>
              <w:rPr>
                <w:rFonts w:ascii="Times New Roman" w:hAnsi="Times New Roman"/>
                <w:sz w:val="24"/>
                <w:szCs w:val="24"/>
                <w:lang w:val="ro-MD"/>
              </w:rPr>
              <w:t>Intrarea</w:t>
            </w:r>
            <w:r w:rsidR="00FB0FD7">
              <w:rPr>
                <w:rFonts w:ascii="Times New Roman" w:hAnsi="Times New Roman"/>
                <w:sz w:val="24"/>
                <w:szCs w:val="24"/>
                <w:lang w:val="ro-MD"/>
              </w:rPr>
              <w:t xml:space="preserve"> în vigoare a Hotărârii de Guvern</w:t>
            </w:r>
            <w:r>
              <w:rPr>
                <w:rFonts w:ascii="Times New Roman" w:hAnsi="Times New Roman"/>
                <w:sz w:val="24"/>
                <w:szCs w:val="24"/>
                <w:lang w:val="ro-MD"/>
              </w:rPr>
              <w:t xml:space="preserve"> </w:t>
            </w:r>
            <w:r w:rsidRPr="001335E8">
              <w:rPr>
                <w:rFonts w:ascii="Times New Roman" w:hAnsi="Times New Roman"/>
                <w:sz w:val="24"/>
                <w:szCs w:val="24"/>
                <w:lang w:val="ro-MD"/>
              </w:rPr>
              <w:t>la data publicării în Monitorul Oficial al Republicii Moldova</w:t>
            </w:r>
            <w:r>
              <w:rPr>
                <w:rFonts w:ascii="Times New Roman" w:hAnsi="Times New Roman"/>
                <w:sz w:val="24"/>
                <w:szCs w:val="24"/>
                <w:lang w:val="ro-MD"/>
              </w:rPr>
              <w:t xml:space="preserve">, </w:t>
            </w:r>
            <w:r w:rsidR="00030E5B">
              <w:rPr>
                <w:rFonts w:ascii="Times New Roman" w:hAnsi="Times New Roman"/>
                <w:sz w:val="24"/>
                <w:szCs w:val="24"/>
                <w:lang w:val="ro-MD"/>
              </w:rPr>
              <w:t xml:space="preserve">este justificată </w:t>
            </w:r>
            <w:r>
              <w:rPr>
                <w:rFonts w:ascii="Times New Roman" w:hAnsi="Times New Roman"/>
                <w:sz w:val="24"/>
                <w:szCs w:val="24"/>
                <w:lang w:val="ro-MD"/>
              </w:rPr>
              <w:t>dator</w:t>
            </w:r>
            <w:r w:rsidR="00030E5B">
              <w:rPr>
                <w:rFonts w:ascii="Times New Roman" w:hAnsi="Times New Roman"/>
                <w:sz w:val="24"/>
                <w:szCs w:val="24"/>
                <w:lang w:val="ro-MD"/>
              </w:rPr>
              <w:t>ită</w:t>
            </w:r>
            <w:r>
              <w:rPr>
                <w:rFonts w:ascii="Times New Roman" w:hAnsi="Times New Roman"/>
                <w:sz w:val="24"/>
                <w:szCs w:val="24"/>
                <w:lang w:val="ro-MD"/>
              </w:rPr>
              <w:t xml:space="preserve"> necesității imperioase de realiza</w:t>
            </w:r>
            <w:r w:rsidR="00030E5B">
              <w:rPr>
                <w:rFonts w:ascii="Times New Roman" w:hAnsi="Times New Roman"/>
                <w:sz w:val="24"/>
                <w:szCs w:val="24"/>
                <w:lang w:val="ro-MD"/>
              </w:rPr>
              <w:t>re a</w:t>
            </w:r>
            <w:r>
              <w:rPr>
                <w:rFonts w:ascii="Times New Roman" w:hAnsi="Times New Roman"/>
                <w:sz w:val="24"/>
                <w:szCs w:val="24"/>
                <w:lang w:val="ro-MD"/>
              </w:rPr>
              <w:t xml:space="preserve"> măsurile premergătoare procedurii de expropriere și anume efectuarea testărilor geologice de sol</w:t>
            </w:r>
            <w:r w:rsidR="00030E5B">
              <w:rPr>
                <w:rFonts w:ascii="Times New Roman" w:hAnsi="Times New Roman"/>
                <w:sz w:val="24"/>
                <w:szCs w:val="24"/>
                <w:lang w:val="ro-MD"/>
              </w:rPr>
              <w:t xml:space="preserve">, precum și încadrării în termenii de realizare a </w:t>
            </w:r>
            <w:r w:rsidR="00676C1C">
              <w:rPr>
                <w:rFonts w:ascii="Times New Roman" w:hAnsi="Times New Roman"/>
                <w:sz w:val="24"/>
                <w:szCs w:val="24"/>
                <w:lang w:val="ro-MD"/>
              </w:rPr>
              <w:t>P</w:t>
            </w:r>
            <w:r w:rsidR="00030E5B">
              <w:rPr>
                <w:rFonts w:ascii="Times New Roman" w:hAnsi="Times New Roman"/>
                <w:sz w:val="24"/>
                <w:szCs w:val="24"/>
                <w:lang w:val="ro-MD"/>
              </w:rPr>
              <w:t>roiectului de importanță națională.</w:t>
            </w:r>
          </w:p>
        </w:tc>
      </w:tr>
      <w:tr w:rsidR="00D21456" w:rsidRPr="00F87E65" w14:paraId="2B33DB90" w14:textId="77777777" w:rsidTr="00C71008">
        <w:trPr>
          <w:jc w:val="center"/>
        </w:trPr>
        <w:tc>
          <w:tcPr>
            <w:tcW w:w="10632" w:type="dxa"/>
            <w:shd w:val="clear" w:color="auto" w:fill="E7E6E6" w:themeFill="background2"/>
          </w:tcPr>
          <w:p w14:paraId="7FF66955" w14:textId="4A22E37B" w:rsidR="00D21456" w:rsidRPr="00F87E65" w:rsidDel="00D21456" w:rsidRDefault="00D21456">
            <w:pPr>
              <w:spacing w:after="0" w:line="276" w:lineRule="auto"/>
              <w:contextualSpacing/>
              <w:jc w:val="both"/>
              <w:rPr>
                <w:rFonts w:ascii="Times New Roman" w:eastAsia="Calibri" w:hAnsi="Times New Roman"/>
                <w:b/>
                <w:sz w:val="24"/>
                <w:szCs w:val="24"/>
                <w:lang w:val="ro-MD"/>
              </w:rPr>
            </w:pPr>
            <w:r w:rsidRPr="00F87E65">
              <w:rPr>
                <w:rFonts w:ascii="Times New Roman" w:eastAsia="Calibri" w:hAnsi="Times New Roman"/>
                <w:b/>
                <w:sz w:val="24"/>
                <w:szCs w:val="24"/>
                <w:lang w:val="ro-MD"/>
              </w:rPr>
              <w:t>4. Fundamentarea economico-financiară</w:t>
            </w:r>
          </w:p>
        </w:tc>
      </w:tr>
      <w:tr w:rsidR="00894847" w:rsidRPr="00F87E65" w14:paraId="58BBEA75" w14:textId="77777777" w:rsidTr="00C71008">
        <w:trPr>
          <w:jc w:val="center"/>
        </w:trPr>
        <w:tc>
          <w:tcPr>
            <w:tcW w:w="10632" w:type="dxa"/>
            <w:shd w:val="clear" w:color="auto" w:fill="FFFFFF" w:themeFill="background1"/>
          </w:tcPr>
          <w:p w14:paraId="0B0BA4BF" w14:textId="14A75749" w:rsidR="00894847" w:rsidRPr="00C71008" w:rsidRDefault="00305D2F" w:rsidP="00C71008">
            <w:pPr>
              <w:ind w:firstLine="738"/>
              <w:jc w:val="both"/>
            </w:pPr>
            <w:r w:rsidRPr="00C71008">
              <w:rPr>
                <w:rFonts w:ascii="Times New Roman" w:hAnsi="Times New Roman"/>
                <w:sz w:val="24"/>
                <w:szCs w:val="24"/>
                <w:lang w:val="ro-RO"/>
              </w:rPr>
              <w:t xml:space="preserve">Implementarea prevederilor proiectului </w:t>
            </w:r>
            <w:r w:rsidR="00826EF6">
              <w:rPr>
                <w:rFonts w:ascii="Times New Roman" w:hAnsi="Times New Roman"/>
                <w:sz w:val="24"/>
                <w:szCs w:val="24"/>
                <w:lang w:val="ro-RO"/>
              </w:rPr>
              <w:t>H</w:t>
            </w:r>
            <w:r w:rsidRPr="00C71008">
              <w:rPr>
                <w:rFonts w:ascii="Times New Roman" w:hAnsi="Times New Roman"/>
                <w:sz w:val="24"/>
                <w:szCs w:val="24"/>
                <w:lang w:val="ro-RO"/>
              </w:rPr>
              <w:t>otărârii de Guvern în partea ce dispune plata</w:t>
            </w:r>
            <w:r w:rsidR="00826EF6">
              <w:rPr>
                <w:rFonts w:ascii="Times New Roman" w:hAnsi="Times New Roman"/>
                <w:sz w:val="24"/>
                <w:szCs w:val="24"/>
                <w:lang w:val="ro-RO"/>
              </w:rPr>
              <w:t xml:space="preserve"> </w:t>
            </w:r>
            <w:r w:rsidRPr="00C71008">
              <w:rPr>
                <w:rFonts w:ascii="Times New Roman" w:hAnsi="Times New Roman"/>
                <w:sz w:val="24"/>
                <w:szCs w:val="24"/>
                <w:lang w:val="ro-RO"/>
              </w:rPr>
              <w:t>despăgubirilor către expropriați se va efectua din mijloacele alocate de la bugetul de stat în conformitate cu art. 14 al Legii nr. 120/2022.</w:t>
            </w:r>
          </w:p>
        </w:tc>
      </w:tr>
      <w:tr w:rsidR="009576D6" w:rsidRPr="00F87E65" w14:paraId="3A26CA6F" w14:textId="77777777" w:rsidTr="00C71008">
        <w:trPr>
          <w:jc w:val="center"/>
        </w:trPr>
        <w:tc>
          <w:tcPr>
            <w:tcW w:w="10632" w:type="dxa"/>
            <w:shd w:val="clear" w:color="auto" w:fill="E7E6E6" w:themeFill="background2"/>
          </w:tcPr>
          <w:p w14:paraId="48BDF32C" w14:textId="7D5D710A" w:rsidR="009576D6" w:rsidRPr="00C71008" w:rsidDel="00D21456" w:rsidRDefault="009576D6" w:rsidP="00C71008">
            <w:pPr>
              <w:shd w:val="clear" w:color="auto" w:fill="E7E6E6" w:themeFill="background2"/>
              <w:spacing w:after="0" w:line="276" w:lineRule="auto"/>
              <w:contextualSpacing/>
              <w:jc w:val="both"/>
              <w:rPr>
                <w:rFonts w:ascii="Times New Roman" w:eastAsia="Calibri" w:hAnsi="Times New Roman"/>
                <w:b/>
                <w:sz w:val="24"/>
                <w:szCs w:val="24"/>
                <w:lang w:val="ro-MD"/>
              </w:rPr>
            </w:pPr>
            <w:r w:rsidRPr="00F87E65">
              <w:rPr>
                <w:rFonts w:ascii="Times New Roman" w:eastAsia="Calibri" w:hAnsi="Times New Roman"/>
                <w:b/>
                <w:sz w:val="24"/>
                <w:szCs w:val="24"/>
                <w:lang w:val="ro-MD"/>
              </w:rPr>
              <w:t>5. Modul de încorporare a actului în cadrul normativ în vigoare</w:t>
            </w:r>
          </w:p>
        </w:tc>
      </w:tr>
      <w:tr w:rsidR="00894847" w:rsidRPr="00F87E65" w14:paraId="20AB6FA7" w14:textId="77777777" w:rsidTr="00C71008">
        <w:trPr>
          <w:jc w:val="center"/>
        </w:trPr>
        <w:tc>
          <w:tcPr>
            <w:tcW w:w="10632" w:type="dxa"/>
          </w:tcPr>
          <w:p w14:paraId="65EAFABC" w14:textId="77777777" w:rsidR="00894847" w:rsidRDefault="00305D2F" w:rsidP="00C71008">
            <w:pPr>
              <w:spacing w:after="0" w:line="276" w:lineRule="auto"/>
              <w:ind w:firstLine="738"/>
              <w:contextualSpacing/>
              <w:jc w:val="both"/>
              <w:rPr>
                <w:rFonts w:ascii="Times New Roman" w:eastAsia="Calibri" w:hAnsi="Times New Roman"/>
                <w:sz w:val="24"/>
                <w:szCs w:val="24"/>
                <w:lang w:val="ro-MD"/>
              </w:rPr>
            </w:pPr>
            <w:r w:rsidRPr="00F87E65">
              <w:rPr>
                <w:rFonts w:ascii="Times New Roman" w:eastAsia="Calibri" w:hAnsi="Times New Roman"/>
                <w:sz w:val="24"/>
                <w:szCs w:val="24"/>
                <w:lang w:val="ro-MD"/>
              </w:rPr>
              <w:t>Hotărârea de Guvern respectivă reprezintă un instrument de punere în aplicare a Legii nr. 120/2022 și se încadrează în cadrul normativ secundar de implementare a prevederilor acesteia.</w:t>
            </w:r>
            <w:r w:rsidR="00FB0FD7">
              <w:rPr>
                <w:rFonts w:ascii="Times New Roman" w:eastAsia="Calibri" w:hAnsi="Times New Roman"/>
                <w:sz w:val="24"/>
                <w:szCs w:val="24"/>
                <w:lang w:val="ro-MD"/>
              </w:rPr>
              <w:t xml:space="preserve"> </w:t>
            </w:r>
          </w:p>
          <w:p w14:paraId="02A1F729" w14:textId="77777777" w:rsidR="007D67EE" w:rsidRDefault="007D67EE" w:rsidP="00C71008">
            <w:pPr>
              <w:spacing w:after="0" w:line="276" w:lineRule="auto"/>
              <w:ind w:firstLine="738"/>
              <w:contextualSpacing/>
              <w:jc w:val="both"/>
              <w:rPr>
                <w:rFonts w:ascii="Times New Roman" w:eastAsia="Calibri" w:hAnsi="Times New Roman"/>
                <w:sz w:val="24"/>
                <w:szCs w:val="24"/>
                <w:lang w:val="ro-MD"/>
              </w:rPr>
            </w:pPr>
          </w:p>
          <w:p w14:paraId="77E4D424" w14:textId="10EC23A5" w:rsidR="007D67EE" w:rsidRPr="00F87E65" w:rsidRDefault="007D67EE" w:rsidP="00C71008">
            <w:pPr>
              <w:spacing w:after="0" w:line="276" w:lineRule="auto"/>
              <w:ind w:firstLine="738"/>
              <w:contextualSpacing/>
              <w:jc w:val="both"/>
              <w:rPr>
                <w:rFonts w:ascii="Times New Roman" w:eastAsia="Calibri" w:hAnsi="Times New Roman"/>
                <w:sz w:val="24"/>
                <w:szCs w:val="24"/>
                <w:lang w:val="ro-MD"/>
              </w:rPr>
            </w:pPr>
          </w:p>
        </w:tc>
      </w:tr>
      <w:tr w:rsidR="009576D6" w:rsidRPr="00F87E65" w14:paraId="4FDFB8F4" w14:textId="77777777" w:rsidTr="00C71008">
        <w:trPr>
          <w:jc w:val="center"/>
        </w:trPr>
        <w:tc>
          <w:tcPr>
            <w:tcW w:w="10632" w:type="dxa"/>
            <w:shd w:val="clear" w:color="auto" w:fill="E7E6E6" w:themeFill="background2"/>
          </w:tcPr>
          <w:p w14:paraId="4FDC4213" w14:textId="528DE286" w:rsidR="009576D6" w:rsidRPr="00F87E65" w:rsidDel="009576D6" w:rsidRDefault="009576D6" w:rsidP="00C71008">
            <w:pPr>
              <w:shd w:val="clear" w:color="auto" w:fill="E7E6E6" w:themeFill="background2"/>
              <w:spacing w:after="0" w:line="276" w:lineRule="auto"/>
              <w:contextualSpacing/>
              <w:jc w:val="both"/>
              <w:rPr>
                <w:rFonts w:ascii="Times New Roman" w:eastAsia="Calibri" w:hAnsi="Times New Roman"/>
                <w:b/>
                <w:sz w:val="24"/>
                <w:szCs w:val="24"/>
                <w:lang w:val="ro-MD"/>
              </w:rPr>
            </w:pPr>
            <w:r w:rsidRPr="00F87E65">
              <w:rPr>
                <w:rFonts w:ascii="Times New Roman" w:eastAsia="Calibri" w:hAnsi="Times New Roman"/>
                <w:b/>
                <w:sz w:val="24"/>
                <w:szCs w:val="24"/>
                <w:lang w:val="ro-MD"/>
              </w:rPr>
              <w:lastRenderedPageBreak/>
              <w:t xml:space="preserve">6. Descrierea gradului de compatibilitate pentru proiectele care au ca scop armonizarea legislației naționale cu legislația Uniunii Europene </w:t>
            </w:r>
          </w:p>
        </w:tc>
      </w:tr>
      <w:tr w:rsidR="00894847" w:rsidRPr="00F87E65" w14:paraId="22752B65" w14:textId="77777777" w:rsidTr="00C71008">
        <w:trPr>
          <w:jc w:val="center"/>
        </w:trPr>
        <w:tc>
          <w:tcPr>
            <w:tcW w:w="10632" w:type="dxa"/>
          </w:tcPr>
          <w:p w14:paraId="1B3D871D" w14:textId="08058B75" w:rsidR="00894847" w:rsidRPr="00C71008" w:rsidRDefault="00305D2F" w:rsidP="00C71008">
            <w:pPr>
              <w:spacing w:after="0" w:line="276" w:lineRule="auto"/>
              <w:ind w:firstLine="738"/>
              <w:contextualSpacing/>
              <w:jc w:val="both"/>
              <w:rPr>
                <w:rFonts w:ascii="Times New Roman" w:eastAsia="Calibri" w:hAnsi="Times New Roman"/>
                <w:bCs/>
                <w:sz w:val="24"/>
                <w:szCs w:val="24"/>
                <w:lang w:val="ro-MD"/>
              </w:rPr>
            </w:pPr>
            <w:r w:rsidRPr="00F87E65">
              <w:rPr>
                <w:rFonts w:ascii="Times New Roman" w:eastAsia="Calibri" w:hAnsi="Times New Roman"/>
                <w:bCs/>
                <w:sz w:val="24"/>
                <w:szCs w:val="24"/>
                <w:lang w:val="ro-MD"/>
              </w:rPr>
              <w:t xml:space="preserve">Prezentul proiect </w:t>
            </w:r>
            <w:r w:rsidR="00826EF6">
              <w:rPr>
                <w:rFonts w:ascii="Times New Roman" w:eastAsia="Calibri" w:hAnsi="Times New Roman"/>
                <w:bCs/>
                <w:sz w:val="24"/>
                <w:szCs w:val="24"/>
                <w:lang w:val="ro-MD"/>
              </w:rPr>
              <w:t>Hotărârii de Guvern</w:t>
            </w:r>
            <w:r w:rsidRPr="00F87E65">
              <w:rPr>
                <w:rFonts w:ascii="Times New Roman" w:eastAsia="Calibri" w:hAnsi="Times New Roman"/>
                <w:bCs/>
                <w:sz w:val="24"/>
                <w:szCs w:val="24"/>
                <w:lang w:val="ro-MD"/>
              </w:rPr>
              <w:t xml:space="preserve"> </w:t>
            </w:r>
            <w:r w:rsidR="006A50B4" w:rsidRPr="006A50B4">
              <w:rPr>
                <w:rFonts w:ascii="Times New Roman" w:eastAsia="Calibri" w:hAnsi="Times New Roman"/>
                <w:bCs/>
                <w:sz w:val="24"/>
                <w:szCs w:val="24"/>
                <w:lang w:val="ro-MD"/>
              </w:rPr>
              <w:t>nu conține norme privind armonizarea legislației naționale</w:t>
            </w:r>
            <w:r w:rsidR="006A50B4">
              <w:rPr>
                <w:rFonts w:ascii="Times New Roman" w:eastAsia="Calibri" w:hAnsi="Times New Roman"/>
                <w:bCs/>
                <w:sz w:val="24"/>
                <w:szCs w:val="24"/>
                <w:lang w:val="ro-MD"/>
              </w:rPr>
              <w:t xml:space="preserve"> </w:t>
            </w:r>
            <w:r w:rsidR="006A50B4" w:rsidRPr="006A50B4">
              <w:rPr>
                <w:rFonts w:ascii="Times New Roman" w:eastAsia="Calibri" w:hAnsi="Times New Roman"/>
                <w:bCs/>
                <w:sz w:val="24"/>
                <w:szCs w:val="24"/>
                <w:lang w:val="ro-MD"/>
              </w:rPr>
              <w:t>cu legislația Uniunii Europene</w:t>
            </w:r>
          </w:p>
        </w:tc>
      </w:tr>
      <w:tr w:rsidR="009576D6" w:rsidRPr="00F87E65" w14:paraId="7D4BE054" w14:textId="77777777" w:rsidTr="00C71008">
        <w:trPr>
          <w:jc w:val="center"/>
        </w:trPr>
        <w:tc>
          <w:tcPr>
            <w:tcW w:w="10632" w:type="dxa"/>
            <w:shd w:val="clear" w:color="auto" w:fill="E7E6E6" w:themeFill="background2"/>
          </w:tcPr>
          <w:p w14:paraId="08DF65AA" w14:textId="4E5CB456" w:rsidR="009576D6" w:rsidRPr="00F87E65" w:rsidDel="009576D6" w:rsidRDefault="009576D6" w:rsidP="00C71008">
            <w:pPr>
              <w:shd w:val="clear" w:color="auto" w:fill="E7E6E6" w:themeFill="background2"/>
              <w:spacing w:after="0" w:line="276" w:lineRule="auto"/>
              <w:contextualSpacing/>
              <w:jc w:val="both"/>
              <w:rPr>
                <w:rFonts w:ascii="Times New Roman" w:eastAsia="Calibri" w:hAnsi="Times New Roman"/>
                <w:b/>
                <w:sz w:val="24"/>
                <w:szCs w:val="24"/>
                <w:lang w:val="ro-MD"/>
              </w:rPr>
            </w:pPr>
            <w:r w:rsidRPr="00F87E65">
              <w:rPr>
                <w:rFonts w:ascii="Times New Roman" w:eastAsia="Calibri" w:hAnsi="Times New Roman"/>
                <w:b/>
                <w:sz w:val="24"/>
                <w:szCs w:val="24"/>
                <w:lang w:val="ro-MD"/>
              </w:rPr>
              <w:t>7. Avizarea și consultarea publică a proiectului</w:t>
            </w:r>
          </w:p>
        </w:tc>
      </w:tr>
      <w:tr w:rsidR="00894847" w:rsidRPr="00F87E65" w14:paraId="18FF3DD0" w14:textId="77777777" w:rsidTr="00C71008">
        <w:trPr>
          <w:jc w:val="center"/>
        </w:trPr>
        <w:tc>
          <w:tcPr>
            <w:tcW w:w="10632" w:type="dxa"/>
          </w:tcPr>
          <w:p w14:paraId="3ACE577E" w14:textId="77777777" w:rsidR="00894847" w:rsidRPr="00F87E65" w:rsidRDefault="00305D2F" w:rsidP="00C71008">
            <w:pPr>
              <w:spacing w:after="0" w:line="276" w:lineRule="auto"/>
              <w:ind w:firstLine="738"/>
              <w:contextualSpacing/>
              <w:jc w:val="both"/>
              <w:rPr>
                <w:rFonts w:ascii="Times New Roman" w:eastAsia="Calibri" w:hAnsi="Times New Roman"/>
                <w:sz w:val="24"/>
                <w:szCs w:val="24"/>
                <w:lang w:val="ro-MD"/>
              </w:rPr>
            </w:pPr>
            <w:r w:rsidRPr="00F87E65">
              <w:rPr>
                <w:rFonts w:ascii="Times New Roman" w:eastAsia="Calibri" w:hAnsi="Times New Roman"/>
                <w:sz w:val="24"/>
                <w:szCs w:val="24"/>
                <w:lang w:val="ro-MD" w:eastAsia="en-GB"/>
              </w:rPr>
              <w:t xml:space="preserve">Proiectul de lege este supus avizării </w:t>
            </w:r>
            <w:r w:rsidRPr="00F87E65">
              <w:rPr>
                <w:rFonts w:ascii="Times New Roman" w:eastAsia="Calibri" w:hAnsi="Times New Roman"/>
                <w:sz w:val="24"/>
                <w:szCs w:val="24"/>
                <w:shd w:val="clear" w:color="auto" w:fill="FFFFFF" w:themeFill="background1"/>
                <w:lang w:val="ro-MD" w:eastAsia="en-GB"/>
              </w:rPr>
              <w:t>și consultării publice</w:t>
            </w:r>
            <w:r w:rsidRPr="00F87E65">
              <w:rPr>
                <w:rFonts w:ascii="Times New Roman" w:eastAsia="Calibri" w:hAnsi="Times New Roman"/>
                <w:sz w:val="24"/>
                <w:szCs w:val="24"/>
                <w:lang w:val="ro-MD" w:eastAsia="en-GB"/>
              </w:rPr>
              <w:t xml:space="preserve"> în conformitate cu prevederile cadrului legal al Republicii Moldova.</w:t>
            </w:r>
          </w:p>
        </w:tc>
      </w:tr>
      <w:tr w:rsidR="009576D6" w:rsidRPr="00F87E65" w14:paraId="6572CACE" w14:textId="77777777" w:rsidTr="00C71008">
        <w:trPr>
          <w:jc w:val="center"/>
        </w:trPr>
        <w:tc>
          <w:tcPr>
            <w:tcW w:w="10632" w:type="dxa"/>
            <w:shd w:val="clear" w:color="auto" w:fill="E7E6E6" w:themeFill="background2"/>
          </w:tcPr>
          <w:p w14:paraId="0B415BFE" w14:textId="69BA5CD3" w:rsidR="009576D6" w:rsidRPr="00F87E65" w:rsidDel="009576D6" w:rsidRDefault="009576D6" w:rsidP="00C71008">
            <w:pPr>
              <w:shd w:val="clear" w:color="auto" w:fill="E7E6E6" w:themeFill="background2"/>
              <w:spacing w:after="0" w:line="276" w:lineRule="auto"/>
              <w:contextualSpacing/>
              <w:jc w:val="both"/>
              <w:rPr>
                <w:rFonts w:ascii="Times New Roman" w:eastAsia="Calibri" w:hAnsi="Times New Roman"/>
                <w:b/>
                <w:sz w:val="24"/>
                <w:szCs w:val="24"/>
                <w:lang w:val="ro-MD"/>
              </w:rPr>
            </w:pPr>
            <w:r w:rsidRPr="00F87E65">
              <w:rPr>
                <w:rFonts w:ascii="Times New Roman" w:eastAsia="Calibri" w:hAnsi="Times New Roman"/>
                <w:b/>
                <w:sz w:val="24"/>
                <w:szCs w:val="24"/>
                <w:lang w:val="ro-MD"/>
              </w:rPr>
              <w:t>8. Constatările expertizei juridice și expertizei anticorupție</w:t>
            </w:r>
          </w:p>
        </w:tc>
      </w:tr>
      <w:tr w:rsidR="00894847" w:rsidRPr="00F87E65" w14:paraId="4A8FE18D" w14:textId="77777777" w:rsidTr="00C71008">
        <w:trPr>
          <w:jc w:val="center"/>
        </w:trPr>
        <w:tc>
          <w:tcPr>
            <w:tcW w:w="10632" w:type="dxa"/>
          </w:tcPr>
          <w:p w14:paraId="14598D56" w14:textId="77777777" w:rsidR="00894847" w:rsidRPr="00F87E65" w:rsidRDefault="00305D2F" w:rsidP="00C71008">
            <w:pPr>
              <w:spacing w:after="0" w:line="276" w:lineRule="auto"/>
              <w:ind w:firstLine="738"/>
              <w:contextualSpacing/>
              <w:jc w:val="both"/>
              <w:rPr>
                <w:rFonts w:ascii="Times New Roman" w:eastAsia="Calibri" w:hAnsi="Times New Roman"/>
                <w:sz w:val="24"/>
                <w:szCs w:val="24"/>
                <w:lang w:val="ro-MD"/>
              </w:rPr>
            </w:pPr>
            <w:r w:rsidRPr="00F87E65">
              <w:rPr>
                <w:rFonts w:ascii="Times New Roman" w:eastAsia="Calibri" w:hAnsi="Times New Roman"/>
                <w:sz w:val="24"/>
                <w:szCs w:val="24"/>
                <w:lang w:val="ro-MD" w:eastAsia="en-GB"/>
              </w:rPr>
              <w:t>Proiectul de lege este supus expertizei juridice și expertizei anticorupție în conformitate cu prevederile Legii nr. 100/2017 cu privire la actele normative.</w:t>
            </w:r>
          </w:p>
        </w:tc>
      </w:tr>
      <w:tr w:rsidR="009576D6" w:rsidRPr="00F87E65" w14:paraId="64A3522F" w14:textId="77777777" w:rsidTr="00C71008">
        <w:trPr>
          <w:jc w:val="center"/>
        </w:trPr>
        <w:tc>
          <w:tcPr>
            <w:tcW w:w="10632" w:type="dxa"/>
            <w:shd w:val="clear" w:color="auto" w:fill="E7E6E6" w:themeFill="background2"/>
          </w:tcPr>
          <w:p w14:paraId="53C26B83" w14:textId="497D15BA" w:rsidR="009576D6" w:rsidRPr="00F87E65" w:rsidDel="009576D6" w:rsidRDefault="009576D6" w:rsidP="00C71008">
            <w:pPr>
              <w:shd w:val="clear" w:color="auto" w:fill="E7E6E6" w:themeFill="background2"/>
              <w:spacing w:after="0" w:line="276" w:lineRule="auto"/>
              <w:contextualSpacing/>
              <w:jc w:val="both"/>
              <w:rPr>
                <w:rFonts w:ascii="Times New Roman" w:eastAsia="Calibri" w:hAnsi="Times New Roman"/>
                <w:b/>
                <w:sz w:val="24"/>
                <w:szCs w:val="24"/>
                <w:lang w:val="ro-MD"/>
              </w:rPr>
            </w:pPr>
            <w:r w:rsidRPr="00F87E65">
              <w:rPr>
                <w:rFonts w:ascii="Times New Roman" w:eastAsia="Calibri" w:hAnsi="Times New Roman"/>
                <w:b/>
                <w:sz w:val="24"/>
                <w:szCs w:val="24"/>
                <w:lang w:val="ro-MD"/>
              </w:rPr>
              <w:t xml:space="preserve">9. </w:t>
            </w:r>
            <w:r w:rsidR="00905425" w:rsidRPr="00905425">
              <w:rPr>
                <w:rFonts w:ascii="Times New Roman" w:eastAsia="Calibri" w:hAnsi="Times New Roman"/>
                <w:b/>
                <w:sz w:val="24"/>
                <w:szCs w:val="24"/>
                <w:lang w:val="ro-MD"/>
              </w:rPr>
              <w:t>Constatările altor expertize</w:t>
            </w:r>
          </w:p>
        </w:tc>
      </w:tr>
      <w:tr w:rsidR="00894847" w:rsidRPr="00F87E65" w14:paraId="18D825BE" w14:textId="77777777" w:rsidTr="00C71008">
        <w:trPr>
          <w:trHeight w:val="132"/>
          <w:jc w:val="center"/>
        </w:trPr>
        <w:tc>
          <w:tcPr>
            <w:tcW w:w="10632" w:type="dxa"/>
          </w:tcPr>
          <w:p w14:paraId="24D7EE53" w14:textId="77777777" w:rsidR="00894847" w:rsidRPr="00F87E65" w:rsidRDefault="00305D2F" w:rsidP="00C71008">
            <w:pPr>
              <w:spacing w:after="0" w:line="276" w:lineRule="auto"/>
              <w:ind w:firstLine="738"/>
              <w:contextualSpacing/>
              <w:jc w:val="both"/>
              <w:rPr>
                <w:rFonts w:ascii="Times New Roman" w:eastAsia="Calibri" w:hAnsi="Times New Roman"/>
                <w:sz w:val="24"/>
                <w:szCs w:val="24"/>
                <w:lang w:val="ro-MD"/>
              </w:rPr>
            </w:pPr>
            <w:r w:rsidRPr="00F87E65">
              <w:rPr>
                <w:rFonts w:ascii="Times New Roman" w:eastAsia="Calibri" w:hAnsi="Times New Roman"/>
                <w:sz w:val="24"/>
                <w:szCs w:val="24"/>
                <w:lang w:val="ro-MD"/>
              </w:rPr>
              <w:t>Proiectul nu conține prevederi de reglementare a activității de întreprinzător în sensul Legii nr. 235/2006 cu privire la principiile de bază de reglementare a activității de întreprinzător, astfel decăzând necesitatea examinării acestuia de către Grupul de lucru al Comisiei de stat pentru reglementarea activității de întreprinzător, conform Legii nr. 235/2006 cu privire la principiile de bază de reglementare a activității de întreprinzător.</w:t>
            </w:r>
          </w:p>
          <w:p w14:paraId="0ADE9A75" w14:textId="77777777" w:rsidR="00894847" w:rsidRPr="00F87E65" w:rsidRDefault="00305D2F" w:rsidP="00C71008">
            <w:pPr>
              <w:spacing w:after="0" w:line="276" w:lineRule="auto"/>
              <w:ind w:firstLine="738"/>
              <w:contextualSpacing/>
              <w:jc w:val="both"/>
              <w:rPr>
                <w:rFonts w:ascii="Times New Roman" w:eastAsia="Calibri" w:hAnsi="Times New Roman"/>
                <w:sz w:val="24"/>
                <w:szCs w:val="24"/>
                <w:lang w:val="ro-MD"/>
              </w:rPr>
            </w:pPr>
            <w:r w:rsidRPr="00F87E65">
              <w:rPr>
                <w:rFonts w:ascii="Times New Roman" w:eastAsia="Calibri" w:hAnsi="Times New Roman"/>
                <w:sz w:val="24"/>
                <w:szCs w:val="24"/>
                <w:lang w:val="ro-MD"/>
              </w:rPr>
              <w:t>De asemenea, proiectul nu cade sub incidența altor expertize necesare a fi efectuate în condițiile Legii nr. 100/2017.</w:t>
            </w:r>
          </w:p>
        </w:tc>
      </w:tr>
    </w:tbl>
    <w:p w14:paraId="372C9615" w14:textId="77777777" w:rsidR="00894847" w:rsidRPr="00F87E65" w:rsidRDefault="00894847">
      <w:pPr>
        <w:tabs>
          <w:tab w:val="left" w:pos="2771"/>
        </w:tabs>
        <w:jc w:val="both"/>
        <w:rPr>
          <w:rFonts w:ascii="Times New Roman" w:hAnsi="Times New Roman" w:cs="Times New Roman"/>
          <w:b/>
          <w:sz w:val="24"/>
          <w:szCs w:val="24"/>
          <w:lang w:val="ro-MD"/>
        </w:rPr>
      </w:pPr>
    </w:p>
    <w:p w14:paraId="448675FA" w14:textId="77777777" w:rsidR="00894847" w:rsidRPr="00F87E65" w:rsidRDefault="00894847">
      <w:pPr>
        <w:tabs>
          <w:tab w:val="left" w:pos="2771"/>
        </w:tabs>
        <w:jc w:val="both"/>
        <w:rPr>
          <w:rFonts w:ascii="Times New Roman" w:hAnsi="Times New Roman" w:cs="Times New Roman"/>
          <w:b/>
          <w:sz w:val="24"/>
          <w:szCs w:val="24"/>
          <w:lang w:val="ro-MD"/>
        </w:rPr>
      </w:pPr>
    </w:p>
    <w:p w14:paraId="7568C332" w14:textId="22DDCC09" w:rsidR="00894847" w:rsidRPr="00F87E65" w:rsidRDefault="00D14D6B" w:rsidP="00D14D6B">
      <w:pPr>
        <w:tabs>
          <w:tab w:val="left" w:pos="2771"/>
        </w:tabs>
        <w:jc w:val="center"/>
        <w:rPr>
          <w:rFonts w:ascii="Times New Roman" w:hAnsi="Times New Roman" w:cs="Times New Roman"/>
          <w:b/>
          <w:sz w:val="24"/>
          <w:szCs w:val="24"/>
          <w:lang w:val="ro-MD"/>
        </w:rPr>
      </w:pPr>
      <w:r>
        <w:rPr>
          <w:rFonts w:ascii="Times New Roman" w:hAnsi="Times New Roman" w:cs="Times New Roman"/>
          <w:b/>
          <w:sz w:val="24"/>
          <w:szCs w:val="24"/>
          <w:lang w:val="ro-MD"/>
        </w:rPr>
        <w:t>M</w:t>
      </w:r>
      <w:r w:rsidR="00305D2F" w:rsidRPr="00F87E65">
        <w:rPr>
          <w:rFonts w:ascii="Times New Roman" w:hAnsi="Times New Roman" w:cs="Times New Roman"/>
          <w:b/>
          <w:sz w:val="24"/>
          <w:szCs w:val="24"/>
          <w:lang w:val="ro-MD"/>
        </w:rPr>
        <w:t>inistru</w:t>
      </w:r>
      <w:r w:rsidR="0033677E">
        <w:rPr>
          <w:rFonts w:ascii="Times New Roman" w:hAnsi="Times New Roman" w:cs="Times New Roman"/>
          <w:b/>
          <w:sz w:val="24"/>
          <w:szCs w:val="24"/>
          <w:lang w:val="ro-MD"/>
        </w:rPr>
        <w:t>l</w:t>
      </w:r>
      <w:r>
        <w:rPr>
          <w:rFonts w:ascii="Times New Roman" w:hAnsi="Times New Roman" w:cs="Times New Roman"/>
          <w:b/>
          <w:sz w:val="24"/>
          <w:szCs w:val="24"/>
          <w:lang w:val="ro-MD"/>
        </w:rPr>
        <w:t xml:space="preserve"> Energiei</w:t>
      </w:r>
      <w:r w:rsidR="00305D2F" w:rsidRPr="00F87E65">
        <w:rPr>
          <w:rFonts w:ascii="Times New Roman" w:hAnsi="Times New Roman" w:cs="Times New Roman"/>
          <w:b/>
          <w:sz w:val="24"/>
          <w:szCs w:val="24"/>
          <w:lang w:val="ro-MD"/>
        </w:rPr>
        <w:t xml:space="preserve">                                                             </w:t>
      </w:r>
      <w:r>
        <w:rPr>
          <w:rFonts w:ascii="Times New Roman" w:hAnsi="Times New Roman" w:cs="Times New Roman"/>
          <w:b/>
          <w:sz w:val="24"/>
          <w:szCs w:val="24"/>
          <w:lang w:val="ro-MD"/>
        </w:rPr>
        <w:t>Victor PARLICOV</w:t>
      </w:r>
    </w:p>
    <w:p w14:paraId="4F154B07" w14:textId="77777777" w:rsidR="00894847" w:rsidRPr="00F87E65" w:rsidRDefault="00305D2F">
      <w:pPr>
        <w:tabs>
          <w:tab w:val="left" w:pos="2771"/>
        </w:tabs>
        <w:jc w:val="both"/>
        <w:rPr>
          <w:rFonts w:ascii="Times New Roman" w:hAnsi="Times New Roman" w:cs="Times New Roman"/>
          <w:sz w:val="24"/>
          <w:szCs w:val="24"/>
          <w:lang w:val="ro-MD"/>
        </w:rPr>
      </w:pPr>
      <w:r w:rsidRPr="00F87E65">
        <w:rPr>
          <w:rFonts w:ascii="Times New Roman" w:hAnsi="Times New Roman" w:cs="Times New Roman"/>
          <w:b/>
          <w:sz w:val="24"/>
          <w:szCs w:val="24"/>
          <w:lang w:val="ro-MD"/>
        </w:rPr>
        <w:t xml:space="preserve"> </w:t>
      </w:r>
    </w:p>
    <w:sectPr w:rsidR="00894847" w:rsidRPr="00F87E65" w:rsidSect="00C71008">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46402" w14:textId="77777777" w:rsidR="00F950E5" w:rsidRDefault="00F950E5">
      <w:pPr>
        <w:spacing w:line="240" w:lineRule="auto"/>
      </w:pPr>
      <w:r>
        <w:separator/>
      </w:r>
    </w:p>
  </w:endnote>
  <w:endnote w:type="continuationSeparator" w:id="0">
    <w:p w14:paraId="6842E596" w14:textId="77777777" w:rsidR="00F950E5" w:rsidRDefault="00F950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FE76B" w14:textId="77777777" w:rsidR="00F950E5" w:rsidRDefault="00F950E5">
      <w:pPr>
        <w:spacing w:after="0"/>
      </w:pPr>
      <w:r>
        <w:separator/>
      </w:r>
    </w:p>
  </w:footnote>
  <w:footnote w:type="continuationSeparator" w:id="0">
    <w:p w14:paraId="14902E56" w14:textId="77777777" w:rsidR="00F950E5" w:rsidRDefault="00F950E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92"/>
    <w:rsid w:val="00004D6C"/>
    <w:rsid w:val="00017CC6"/>
    <w:rsid w:val="00027BD7"/>
    <w:rsid w:val="00030E5B"/>
    <w:rsid w:val="0003549C"/>
    <w:rsid w:val="000462CE"/>
    <w:rsid w:val="000508AE"/>
    <w:rsid w:val="00050969"/>
    <w:rsid w:val="00057739"/>
    <w:rsid w:val="0006506E"/>
    <w:rsid w:val="00067E38"/>
    <w:rsid w:val="00074866"/>
    <w:rsid w:val="00075E35"/>
    <w:rsid w:val="000766D6"/>
    <w:rsid w:val="00083D8F"/>
    <w:rsid w:val="00084F92"/>
    <w:rsid w:val="0009347E"/>
    <w:rsid w:val="000942B1"/>
    <w:rsid w:val="000A3409"/>
    <w:rsid w:val="000B3965"/>
    <w:rsid w:val="000B7FEA"/>
    <w:rsid w:val="000D02E2"/>
    <w:rsid w:val="000D0C94"/>
    <w:rsid w:val="000D60D0"/>
    <w:rsid w:val="000E3693"/>
    <w:rsid w:val="000F365B"/>
    <w:rsid w:val="000F3838"/>
    <w:rsid w:val="000F62C8"/>
    <w:rsid w:val="00111617"/>
    <w:rsid w:val="00113D2F"/>
    <w:rsid w:val="00117848"/>
    <w:rsid w:val="001212C0"/>
    <w:rsid w:val="00123443"/>
    <w:rsid w:val="00124172"/>
    <w:rsid w:val="001268C8"/>
    <w:rsid w:val="00126D10"/>
    <w:rsid w:val="001335E8"/>
    <w:rsid w:val="00145B87"/>
    <w:rsid w:val="00150592"/>
    <w:rsid w:val="00154071"/>
    <w:rsid w:val="00162313"/>
    <w:rsid w:val="001628FD"/>
    <w:rsid w:val="00163FC1"/>
    <w:rsid w:val="00165D1A"/>
    <w:rsid w:val="001679B4"/>
    <w:rsid w:val="00173F69"/>
    <w:rsid w:val="00174934"/>
    <w:rsid w:val="0017523E"/>
    <w:rsid w:val="00175360"/>
    <w:rsid w:val="001803A6"/>
    <w:rsid w:val="00182AE1"/>
    <w:rsid w:val="0018703E"/>
    <w:rsid w:val="0019053D"/>
    <w:rsid w:val="001A69E9"/>
    <w:rsid w:val="001B0DC1"/>
    <w:rsid w:val="001B15E4"/>
    <w:rsid w:val="001B35A8"/>
    <w:rsid w:val="001C1133"/>
    <w:rsid w:val="001C4821"/>
    <w:rsid w:val="001C4DE4"/>
    <w:rsid w:val="001C7DC5"/>
    <w:rsid w:val="001D23BB"/>
    <w:rsid w:val="001D6D14"/>
    <w:rsid w:val="001F6026"/>
    <w:rsid w:val="002022C4"/>
    <w:rsid w:val="00205F44"/>
    <w:rsid w:val="00217881"/>
    <w:rsid w:val="0022247B"/>
    <w:rsid w:val="002406D3"/>
    <w:rsid w:val="00254C7C"/>
    <w:rsid w:val="00261988"/>
    <w:rsid w:val="00261F13"/>
    <w:rsid w:val="002645E1"/>
    <w:rsid w:val="00286E72"/>
    <w:rsid w:val="00293F90"/>
    <w:rsid w:val="002A2ED3"/>
    <w:rsid w:val="002A758E"/>
    <w:rsid w:val="002C1E92"/>
    <w:rsid w:val="002E0098"/>
    <w:rsid w:val="002E7CF9"/>
    <w:rsid w:val="002F2039"/>
    <w:rsid w:val="002F58F6"/>
    <w:rsid w:val="00303F35"/>
    <w:rsid w:val="00305D2F"/>
    <w:rsid w:val="003166D1"/>
    <w:rsid w:val="0033677E"/>
    <w:rsid w:val="0034477A"/>
    <w:rsid w:val="00346DF0"/>
    <w:rsid w:val="00347536"/>
    <w:rsid w:val="00374795"/>
    <w:rsid w:val="00376EBF"/>
    <w:rsid w:val="00383C38"/>
    <w:rsid w:val="003920FD"/>
    <w:rsid w:val="003A303B"/>
    <w:rsid w:val="003B7210"/>
    <w:rsid w:val="003C519D"/>
    <w:rsid w:val="003C5297"/>
    <w:rsid w:val="003C6D53"/>
    <w:rsid w:val="003D5A4F"/>
    <w:rsid w:val="003E0C97"/>
    <w:rsid w:val="003E0DF7"/>
    <w:rsid w:val="003E34CF"/>
    <w:rsid w:val="00404C2A"/>
    <w:rsid w:val="00405703"/>
    <w:rsid w:val="00407F8B"/>
    <w:rsid w:val="00420D43"/>
    <w:rsid w:val="00423569"/>
    <w:rsid w:val="00443127"/>
    <w:rsid w:val="00445CE5"/>
    <w:rsid w:val="00445E93"/>
    <w:rsid w:val="004546F6"/>
    <w:rsid w:val="00454B0F"/>
    <w:rsid w:val="004605B3"/>
    <w:rsid w:val="00461FCE"/>
    <w:rsid w:val="0046316C"/>
    <w:rsid w:val="004647BB"/>
    <w:rsid w:val="00476DE7"/>
    <w:rsid w:val="004855C4"/>
    <w:rsid w:val="00486274"/>
    <w:rsid w:val="00486E1F"/>
    <w:rsid w:val="00496528"/>
    <w:rsid w:val="00496E60"/>
    <w:rsid w:val="004A0769"/>
    <w:rsid w:val="004A7464"/>
    <w:rsid w:val="004C5E53"/>
    <w:rsid w:val="004D5CBA"/>
    <w:rsid w:val="004E41DE"/>
    <w:rsid w:val="004F4B7B"/>
    <w:rsid w:val="00500A72"/>
    <w:rsid w:val="0050373E"/>
    <w:rsid w:val="00505326"/>
    <w:rsid w:val="00525E1C"/>
    <w:rsid w:val="0053778B"/>
    <w:rsid w:val="00547D1B"/>
    <w:rsid w:val="00550CEF"/>
    <w:rsid w:val="00554E62"/>
    <w:rsid w:val="00557CBD"/>
    <w:rsid w:val="00560A86"/>
    <w:rsid w:val="00560ED5"/>
    <w:rsid w:val="00562D94"/>
    <w:rsid w:val="005677BA"/>
    <w:rsid w:val="0058164E"/>
    <w:rsid w:val="005B3F2B"/>
    <w:rsid w:val="005D27A9"/>
    <w:rsid w:val="005F1EC3"/>
    <w:rsid w:val="005F41B1"/>
    <w:rsid w:val="005F7DDB"/>
    <w:rsid w:val="00616006"/>
    <w:rsid w:val="006177FD"/>
    <w:rsid w:val="006200A6"/>
    <w:rsid w:val="00623E54"/>
    <w:rsid w:val="00624287"/>
    <w:rsid w:val="00635880"/>
    <w:rsid w:val="00635FB1"/>
    <w:rsid w:val="0063612F"/>
    <w:rsid w:val="0064389B"/>
    <w:rsid w:val="00643C41"/>
    <w:rsid w:val="00666125"/>
    <w:rsid w:val="00675C01"/>
    <w:rsid w:val="00676C1C"/>
    <w:rsid w:val="00687A2D"/>
    <w:rsid w:val="006933C5"/>
    <w:rsid w:val="006951C1"/>
    <w:rsid w:val="006A0244"/>
    <w:rsid w:val="006A4941"/>
    <w:rsid w:val="006A50B4"/>
    <w:rsid w:val="006A669C"/>
    <w:rsid w:val="006B0013"/>
    <w:rsid w:val="006B1CF8"/>
    <w:rsid w:val="006B1FE9"/>
    <w:rsid w:val="006B2440"/>
    <w:rsid w:val="006B7652"/>
    <w:rsid w:val="006C0F08"/>
    <w:rsid w:val="006C2A3C"/>
    <w:rsid w:val="006C494C"/>
    <w:rsid w:val="006D25A5"/>
    <w:rsid w:val="006E0F9F"/>
    <w:rsid w:val="006E25E4"/>
    <w:rsid w:val="006F4D2D"/>
    <w:rsid w:val="006F741E"/>
    <w:rsid w:val="0070709E"/>
    <w:rsid w:val="00721E49"/>
    <w:rsid w:val="00734F6A"/>
    <w:rsid w:val="0073648D"/>
    <w:rsid w:val="007409E3"/>
    <w:rsid w:val="00740C8D"/>
    <w:rsid w:val="00742A58"/>
    <w:rsid w:val="007433E8"/>
    <w:rsid w:val="007457E7"/>
    <w:rsid w:val="00747654"/>
    <w:rsid w:val="00772046"/>
    <w:rsid w:val="007721EC"/>
    <w:rsid w:val="00785346"/>
    <w:rsid w:val="00787FBD"/>
    <w:rsid w:val="00792C0D"/>
    <w:rsid w:val="00795D4A"/>
    <w:rsid w:val="00795F7A"/>
    <w:rsid w:val="00796F3B"/>
    <w:rsid w:val="007971EA"/>
    <w:rsid w:val="007A292B"/>
    <w:rsid w:val="007B10F1"/>
    <w:rsid w:val="007B14F6"/>
    <w:rsid w:val="007B2F43"/>
    <w:rsid w:val="007B4D2D"/>
    <w:rsid w:val="007B6662"/>
    <w:rsid w:val="007C6672"/>
    <w:rsid w:val="007C6B94"/>
    <w:rsid w:val="007D08D9"/>
    <w:rsid w:val="007D67EE"/>
    <w:rsid w:val="007F7BB3"/>
    <w:rsid w:val="00800EDF"/>
    <w:rsid w:val="00806B4F"/>
    <w:rsid w:val="00806E50"/>
    <w:rsid w:val="0081023D"/>
    <w:rsid w:val="00812B00"/>
    <w:rsid w:val="00814E83"/>
    <w:rsid w:val="00825A69"/>
    <w:rsid w:val="00826AAB"/>
    <w:rsid w:val="00826EF6"/>
    <w:rsid w:val="008354E5"/>
    <w:rsid w:val="0083599F"/>
    <w:rsid w:val="0084593E"/>
    <w:rsid w:val="00847716"/>
    <w:rsid w:val="00847FA4"/>
    <w:rsid w:val="00863A4B"/>
    <w:rsid w:val="00872905"/>
    <w:rsid w:val="00872A8F"/>
    <w:rsid w:val="00881BC0"/>
    <w:rsid w:val="00894847"/>
    <w:rsid w:val="00897904"/>
    <w:rsid w:val="008A67ED"/>
    <w:rsid w:val="008B478D"/>
    <w:rsid w:val="008B5B5E"/>
    <w:rsid w:val="008C2CF1"/>
    <w:rsid w:val="008C56F6"/>
    <w:rsid w:val="008D18F5"/>
    <w:rsid w:val="008D740A"/>
    <w:rsid w:val="008E3BFE"/>
    <w:rsid w:val="008E5FD3"/>
    <w:rsid w:val="008F176B"/>
    <w:rsid w:val="008F317D"/>
    <w:rsid w:val="008F4D59"/>
    <w:rsid w:val="008F68D5"/>
    <w:rsid w:val="008F74BD"/>
    <w:rsid w:val="0090345D"/>
    <w:rsid w:val="00905425"/>
    <w:rsid w:val="00905C95"/>
    <w:rsid w:val="009152C3"/>
    <w:rsid w:val="00933F21"/>
    <w:rsid w:val="00943E30"/>
    <w:rsid w:val="00946CDD"/>
    <w:rsid w:val="00950A32"/>
    <w:rsid w:val="00950D79"/>
    <w:rsid w:val="009576D6"/>
    <w:rsid w:val="00982D45"/>
    <w:rsid w:val="00983E4E"/>
    <w:rsid w:val="009C02B8"/>
    <w:rsid w:val="009C1AED"/>
    <w:rsid w:val="009C1C08"/>
    <w:rsid w:val="009C5AAC"/>
    <w:rsid w:val="009C673D"/>
    <w:rsid w:val="009C6FD8"/>
    <w:rsid w:val="009E00A8"/>
    <w:rsid w:val="009E0C13"/>
    <w:rsid w:val="009E3CD4"/>
    <w:rsid w:val="009E52EE"/>
    <w:rsid w:val="009E7BD2"/>
    <w:rsid w:val="009F1A61"/>
    <w:rsid w:val="009F3340"/>
    <w:rsid w:val="00A22A23"/>
    <w:rsid w:val="00A4072E"/>
    <w:rsid w:val="00A42722"/>
    <w:rsid w:val="00A50FE8"/>
    <w:rsid w:val="00A51513"/>
    <w:rsid w:val="00A55277"/>
    <w:rsid w:val="00A57D4D"/>
    <w:rsid w:val="00A9199A"/>
    <w:rsid w:val="00A92AE0"/>
    <w:rsid w:val="00AA3A34"/>
    <w:rsid w:val="00AA6A34"/>
    <w:rsid w:val="00AB024E"/>
    <w:rsid w:val="00AC36C0"/>
    <w:rsid w:val="00AC48B8"/>
    <w:rsid w:val="00AD1405"/>
    <w:rsid w:val="00AE0B8B"/>
    <w:rsid w:val="00AF181E"/>
    <w:rsid w:val="00B10B7C"/>
    <w:rsid w:val="00B112F3"/>
    <w:rsid w:val="00B20925"/>
    <w:rsid w:val="00B255A6"/>
    <w:rsid w:val="00B27D21"/>
    <w:rsid w:val="00B46DB1"/>
    <w:rsid w:val="00B47A11"/>
    <w:rsid w:val="00B64D26"/>
    <w:rsid w:val="00B73CD3"/>
    <w:rsid w:val="00B7424C"/>
    <w:rsid w:val="00B87F0A"/>
    <w:rsid w:val="00B942A7"/>
    <w:rsid w:val="00B947FE"/>
    <w:rsid w:val="00BA0953"/>
    <w:rsid w:val="00BA6505"/>
    <w:rsid w:val="00BB305C"/>
    <w:rsid w:val="00BC2E39"/>
    <w:rsid w:val="00BC35E0"/>
    <w:rsid w:val="00BC74CB"/>
    <w:rsid w:val="00BD2243"/>
    <w:rsid w:val="00BD5C94"/>
    <w:rsid w:val="00BE3319"/>
    <w:rsid w:val="00BE6764"/>
    <w:rsid w:val="00C12A80"/>
    <w:rsid w:val="00C1461D"/>
    <w:rsid w:val="00C21DF3"/>
    <w:rsid w:val="00C232CB"/>
    <w:rsid w:val="00C26C75"/>
    <w:rsid w:val="00C279D6"/>
    <w:rsid w:val="00C5535E"/>
    <w:rsid w:val="00C56B9A"/>
    <w:rsid w:val="00C71008"/>
    <w:rsid w:val="00C80279"/>
    <w:rsid w:val="00C81F75"/>
    <w:rsid w:val="00C91B8D"/>
    <w:rsid w:val="00CA1A30"/>
    <w:rsid w:val="00CA1DA0"/>
    <w:rsid w:val="00CB0F2C"/>
    <w:rsid w:val="00CB1568"/>
    <w:rsid w:val="00CB4899"/>
    <w:rsid w:val="00CD390C"/>
    <w:rsid w:val="00CD4278"/>
    <w:rsid w:val="00CD6F26"/>
    <w:rsid w:val="00CE0C08"/>
    <w:rsid w:val="00CE4DE4"/>
    <w:rsid w:val="00CE5547"/>
    <w:rsid w:val="00CF252B"/>
    <w:rsid w:val="00CF4563"/>
    <w:rsid w:val="00D07927"/>
    <w:rsid w:val="00D13B21"/>
    <w:rsid w:val="00D14D6B"/>
    <w:rsid w:val="00D21456"/>
    <w:rsid w:val="00D21AB6"/>
    <w:rsid w:val="00D23692"/>
    <w:rsid w:val="00D25032"/>
    <w:rsid w:val="00D330AF"/>
    <w:rsid w:val="00D332B2"/>
    <w:rsid w:val="00D348E2"/>
    <w:rsid w:val="00D4225F"/>
    <w:rsid w:val="00D4431F"/>
    <w:rsid w:val="00D60D9D"/>
    <w:rsid w:val="00D61671"/>
    <w:rsid w:val="00D62E3D"/>
    <w:rsid w:val="00D74D9B"/>
    <w:rsid w:val="00D80712"/>
    <w:rsid w:val="00D9633C"/>
    <w:rsid w:val="00DA3278"/>
    <w:rsid w:val="00DA3E5E"/>
    <w:rsid w:val="00DC3CD3"/>
    <w:rsid w:val="00DC7317"/>
    <w:rsid w:val="00DD225D"/>
    <w:rsid w:val="00DD2C0E"/>
    <w:rsid w:val="00DD755F"/>
    <w:rsid w:val="00E02A71"/>
    <w:rsid w:val="00E034A7"/>
    <w:rsid w:val="00E04EA4"/>
    <w:rsid w:val="00E0611F"/>
    <w:rsid w:val="00E20832"/>
    <w:rsid w:val="00E220FC"/>
    <w:rsid w:val="00E23AF7"/>
    <w:rsid w:val="00E4309B"/>
    <w:rsid w:val="00E73A41"/>
    <w:rsid w:val="00E74CC3"/>
    <w:rsid w:val="00E93052"/>
    <w:rsid w:val="00EB573A"/>
    <w:rsid w:val="00EB5B1B"/>
    <w:rsid w:val="00ED38D3"/>
    <w:rsid w:val="00ED45C3"/>
    <w:rsid w:val="00EE1B5E"/>
    <w:rsid w:val="00EF5E3C"/>
    <w:rsid w:val="00F00BD3"/>
    <w:rsid w:val="00F03DAD"/>
    <w:rsid w:val="00F1086D"/>
    <w:rsid w:val="00F115D2"/>
    <w:rsid w:val="00F2302E"/>
    <w:rsid w:val="00F36611"/>
    <w:rsid w:val="00F52E39"/>
    <w:rsid w:val="00F5518A"/>
    <w:rsid w:val="00F5584B"/>
    <w:rsid w:val="00F63E5A"/>
    <w:rsid w:val="00F74AE3"/>
    <w:rsid w:val="00F77E5D"/>
    <w:rsid w:val="00F8472F"/>
    <w:rsid w:val="00F87E65"/>
    <w:rsid w:val="00F950E5"/>
    <w:rsid w:val="00F95F53"/>
    <w:rsid w:val="00FA079B"/>
    <w:rsid w:val="00FA4DBB"/>
    <w:rsid w:val="00FB0FD7"/>
    <w:rsid w:val="00FD1737"/>
    <w:rsid w:val="00FD32FB"/>
    <w:rsid w:val="00FD4DBB"/>
    <w:rsid w:val="00FE09A5"/>
    <w:rsid w:val="00FE65E6"/>
    <w:rsid w:val="00FF66E0"/>
    <w:rsid w:val="208C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17AD"/>
  <w15:docId w15:val="{1241F704-4AE5-4440-8814-C4A852C4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lang w:val="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Pr>
      <w:rFonts w:asciiTheme="minorHAnsi" w:hAnsiTheme="minorHAns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uiPriority w:val="59"/>
    <w:rPr>
      <w:rFonts w:ascii="Calibri" w:eastAsia="Calibri" w:hAnsi="Calibri" w:cs="Times New Roman"/>
      <w:sz w:val="22"/>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basedOn w:val="DefaultParagraphFont"/>
    <w:link w:val="CommentText"/>
    <w:uiPriority w:val="99"/>
    <w:rPr>
      <w:rFonts w:asciiTheme="minorHAnsi" w:hAnsiTheme="minorHAnsi"/>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0"/>
      <w:lang w:val="ro-RO" w:eastAsia="ru-RU"/>
    </w:rPr>
  </w:style>
  <w:style w:type="character" w:customStyle="1" w:styleId="CommentSubjectChar">
    <w:name w:val="Comment Subject Char"/>
    <w:basedOn w:val="CommentTextChar"/>
    <w:link w:val="CommentSubject"/>
    <w:uiPriority w:val="99"/>
    <w:semiHidden/>
    <w:rPr>
      <w:rFonts w:asciiTheme="minorHAnsi" w:hAnsiTheme="minorHAnsi"/>
      <w:b/>
      <w:bCs/>
      <w:sz w:val="20"/>
      <w:szCs w:val="20"/>
      <w:lang w:val="en-GB"/>
    </w:rPr>
  </w:style>
  <w:style w:type="paragraph" w:customStyle="1" w:styleId="Revision1">
    <w:name w:val="Revision1"/>
    <w:hidden/>
    <w:uiPriority w:val="99"/>
    <w:semiHidden/>
    <w:rPr>
      <w:rFonts w:asciiTheme="minorHAnsi" w:eastAsiaTheme="minorHAnsi" w:hAnsiTheme="minorHAnsi"/>
      <w:sz w:val="22"/>
      <w:szCs w:val="22"/>
      <w:lang w:val="en-GB"/>
    </w:rPr>
  </w:style>
  <w:style w:type="paragraph" w:styleId="Revision">
    <w:name w:val="Revision"/>
    <w:hidden/>
    <w:uiPriority w:val="99"/>
    <w:semiHidden/>
    <w:rsid w:val="00F52E39"/>
    <w:rPr>
      <w:rFonts w:asciiTheme="minorHAnsi" w:hAnsi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3BC30-C2D5-4226-8E55-6FB699DE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1383</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Baiesu</dc:creator>
  <cp:lastModifiedBy>Gheorghe Vîrlan</cp:lastModifiedBy>
  <cp:revision>16</cp:revision>
  <cp:lastPrinted>2023-01-24T11:35:00Z</cp:lastPrinted>
  <dcterms:created xsi:type="dcterms:W3CDTF">2023-01-25T06:46:00Z</dcterms:created>
  <dcterms:modified xsi:type="dcterms:W3CDTF">2023-10-26T14:10:00Z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361355CABA8D44D4970BB1432DBD78F7</vt:lpwstr>
  </property>
</Properties>
</file>