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5E3F" w14:textId="77777777" w:rsidR="00512472" w:rsidRPr="003258B0" w:rsidRDefault="00512472" w:rsidP="00512472">
      <w:pPr>
        <w:tabs>
          <w:tab w:val="left" w:pos="1475"/>
        </w:tabs>
        <w:rPr>
          <w:rFonts w:ascii="Times New Roman" w:hAnsi="Times New Roman" w:cs="Times New Roman"/>
          <w:iCs/>
          <w:sz w:val="24"/>
          <w:szCs w:val="24"/>
          <w:lang w:val="fr-CA"/>
        </w:rPr>
      </w:pPr>
    </w:p>
    <w:p w14:paraId="4F696354" w14:textId="7ABC9BF5" w:rsidR="00824CD4" w:rsidRPr="00AD3611" w:rsidRDefault="00CE4185" w:rsidP="00A601AC">
      <w:pPr>
        <w:tabs>
          <w:tab w:val="left" w:pos="884"/>
          <w:tab w:val="left" w:pos="119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AD36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NOTA INFORMATIVĂ</w:t>
      </w:r>
    </w:p>
    <w:p w14:paraId="68D8EF8C" w14:textId="77777777" w:rsidR="00512472" w:rsidRPr="00AD3611" w:rsidRDefault="00512472" w:rsidP="00512472">
      <w:pPr>
        <w:tabs>
          <w:tab w:val="left" w:pos="884"/>
          <w:tab w:val="left" w:pos="1196"/>
        </w:tabs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  <w:r w:rsidRPr="00AD3611"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  <w:t>la proiectul Hotărârii Guvernului</w:t>
      </w:r>
    </w:p>
    <w:p w14:paraId="7489E3F8" w14:textId="745CB8DE" w:rsidR="003F431C" w:rsidRDefault="009F1D5C" w:rsidP="00926102">
      <w:pPr>
        <w:tabs>
          <w:tab w:val="left" w:pos="884"/>
          <w:tab w:val="left" w:pos="1196"/>
        </w:tabs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  <w:r w:rsidRPr="009F1D5C"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  <w:t>cu privire la examenel</w:t>
      </w:r>
      <w:r w:rsidR="007D53B8"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  <w:t>e</w:t>
      </w:r>
      <w:r w:rsidRPr="009F1D5C"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  <w:t xml:space="preserve"> medicale profilactice obligatorii ale </w:t>
      </w:r>
      <w:r w:rsidR="007D53B8"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  <w:t>lucrătorilor</w:t>
      </w:r>
    </w:p>
    <w:p w14:paraId="672EE603" w14:textId="77777777" w:rsidR="009F1D5C" w:rsidRPr="00CE76E4" w:rsidRDefault="009F1D5C" w:rsidP="00926102">
      <w:pPr>
        <w:tabs>
          <w:tab w:val="left" w:pos="884"/>
          <w:tab w:val="left" w:pos="1196"/>
        </w:tabs>
        <w:spacing w:after="0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 w:eastAsia="ru-RU"/>
        </w:rPr>
      </w:pPr>
    </w:p>
    <w:tbl>
      <w:tblPr>
        <w:tblStyle w:val="a6"/>
        <w:tblW w:w="10915" w:type="dxa"/>
        <w:tblInd w:w="-1139" w:type="dxa"/>
        <w:tblLook w:val="04A0" w:firstRow="1" w:lastRow="0" w:firstColumn="1" w:lastColumn="0" w:noHBand="0" w:noVBand="1"/>
      </w:tblPr>
      <w:tblGrid>
        <w:gridCol w:w="10915"/>
      </w:tblGrid>
      <w:tr w:rsidR="00824CD4" w:rsidRPr="00A62256" w14:paraId="074FA496" w14:textId="77777777" w:rsidTr="008F06ED">
        <w:trPr>
          <w:trHeight w:val="264"/>
        </w:trPr>
        <w:tc>
          <w:tcPr>
            <w:tcW w:w="10915" w:type="dxa"/>
            <w:shd w:val="clear" w:color="auto" w:fill="F2F2F2" w:themeFill="background1" w:themeFillShade="F2"/>
          </w:tcPr>
          <w:p w14:paraId="63030E7C" w14:textId="32208499" w:rsidR="00824CD4" w:rsidRPr="005E20ED" w:rsidRDefault="00824CD4" w:rsidP="005E20ED">
            <w:pPr>
              <w:pStyle w:val="a7"/>
              <w:numPr>
                <w:ilvl w:val="0"/>
                <w:numId w:val="16"/>
              </w:numPr>
              <w:tabs>
                <w:tab w:val="left" w:pos="169"/>
                <w:tab w:val="left" w:pos="311"/>
              </w:tabs>
              <w:ind w:left="169" w:hanging="142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20E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Denumirea autorului </w:t>
            </w:r>
            <w:r w:rsidR="00A02E64" w:rsidRPr="005E20E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și</w:t>
            </w:r>
            <w:r w:rsidRPr="005E20E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după caz, a </w:t>
            </w:r>
            <w:r w:rsidR="00EE4E61" w:rsidRPr="005E20E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participanților</w:t>
            </w:r>
            <w:r w:rsidRPr="005E20E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la elaborarea proiectului</w:t>
            </w:r>
          </w:p>
        </w:tc>
      </w:tr>
      <w:tr w:rsidR="00824CD4" w:rsidRPr="00A62256" w14:paraId="131571DC" w14:textId="77777777" w:rsidTr="008F06ED">
        <w:trPr>
          <w:trHeight w:val="253"/>
        </w:trPr>
        <w:tc>
          <w:tcPr>
            <w:tcW w:w="10915" w:type="dxa"/>
          </w:tcPr>
          <w:p w14:paraId="182C0E32" w14:textId="6F8C6752" w:rsidR="00BC2F9F" w:rsidRPr="005E20ED" w:rsidRDefault="003258B0" w:rsidP="003C2761">
            <w:pPr>
              <w:tabs>
                <w:tab w:val="left" w:pos="884"/>
                <w:tab w:val="left" w:pos="1196"/>
              </w:tabs>
              <w:rPr>
                <w:rFonts w:asciiTheme="majorBidi" w:eastAsia="Calibri" w:hAnsiTheme="majorBidi" w:cstheme="majorBidi"/>
                <w:bCs/>
                <w:sz w:val="24"/>
                <w:szCs w:val="24"/>
                <w:lang w:val="ro-RO" w:eastAsia="ru-RU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Proiectul</w:t>
            </w:r>
            <w:r w:rsidR="00522F4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de 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hotărâre a </w:t>
            </w:r>
            <w:r w:rsidR="00A62256">
              <w:rPr>
                <w:rFonts w:asciiTheme="majorBidi" w:hAnsiTheme="majorBidi" w:cstheme="majorBidi"/>
                <w:sz w:val="24"/>
                <w:szCs w:val="24"/>
                <w:lang w:val="ro-MD"/>
              </w:rPr>
              <w:t>G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uvernului</w:t>
            </w:r>
            <w:r w:rsidR="00522F4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</w:t>
            </w:r>
            <w:r w:rsidR="00BC2F9F" w:rsidRPr="005E20ED">
              <w:rPr>
                <w:rFonts w:asciiTheme="majorBidi" w:eastAsia="Calibri" w:hAnsiTheme="majorBidi" w:cstheme="majorBidi"/>
                <w:bCs/>
                <w:sz w:val="24"/>
                <w:szCs w:val="24"/>
                <w:lang w:val="ro-RO" w:eastAsia="ru-RU"/>
              </w:rPr>
              <w:t>cu privire la examenele medicale profilactice obligatorii ale lucrătorilor</w:t>
            </w:r>
          </w:p>
          <w:p w14:paraId="37C2FF43" w14:textId="6D29549A" w:rsidR="00CE76E4" w:rsidRPr="005E20ED" w:rsidRDefault="00522F44" w:rsidP="00CE76E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a fost elaborat 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de către Ministerul Sănătății. </w:t>
            </w:r>
          </w:p>
          <w:p w14:paraId="1569B36F" w14:textId="0E3F5CEC" w:rsidR="00824CD4" w:rsidRPr="005E20ED" w:rsidRDefault="00876D4F" w:rsidP="00CE76E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În vederea elaborării p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roiectul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ui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a fost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intituit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grupul de lucru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, în baza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Dispoziți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ei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M</w:t>
            </w:r>
            <w:r w:rsidR="00BC2F9F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inisterului Sănătății,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nr.</w:t>
            </w:r>
            <w:r w:rsidR="00BC2F9F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85 din 02.12.2022</w:t>
            </w:r>
            <w:r w:rsidR="00BC2F9F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,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care a întrunit</w:t>
            </w:r>
            <w:r w:rsidR="00CE76E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reprezentanți ai</w:t>
            </w:r>
            <w:r w:rsidR="00522F4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Agenției Naționale pentru Sănătate Publică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, </w:t>
            </w:r>
            <w:r w:rsidR="00522F44" w:rsidRPr="005E20ED">
              <w:rPr>
                <w:rFonts w:asciiTheme="majorBidi" w:hAnsiTheme="majorBidi" w:cstheme="majorBidi"/>
                <w:sz w:val="24"/>
                <w:szCs w:val="24"/>
                <w:lang w:val="ro-MD"/>
              </w:rPr>
              <w:t>Universității</w:t>
            </w:r>
            <w:r w:rsidR="00522F44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de Stat de Medicină și Farmacie ”Nicolae Testemițanu”</w:t>
            </w:r>
            <w:r w:rsidR="00522F44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 xml:space="preserve"> și </w:t>
            </w:r>
            <w:r w:rsidR="00BC2F9F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>Centrului Republican de Boli Profesionale.</w:t>
            </w:r>
          </w:p>
        </w:tc>
      </w:tr>
      <w:tr w:rsidR="00824CD4" w:rsidRPr="00A62256" w14:paraId="605AFE1B" w14:textId="77777777" w:rsidTr="008F06ED">
        <w:trPr>
          <w:trHeight w:val="253"/>
        </w:trPr>
        <w:tc>
          <w:tcPr>
            <w:tcW w:w="10915" w:type="dxa"/>
            <w:shd w:val="clear" w:color="auto" w:fill="F2F2F2" w:themeFill="background1" w:themeFillShade="F2"/>
          </w:tcPr>
          <w:p w14:paraId="38BDB1CE" w14:textId="3C7F425D" w:rsidR="00824CD4" w:rsidRPr="005E20ED" w:rsidRDefault="005E20ED" w:rsidP="001519E1">
            <w:pPr>
              <w:spacing w:line="276" w:lineRule="auto"/>
              <w:ind w:left="459" w:hanging="425"/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</w:pPr>
            <w:r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>2</w:t>
            </w:r>
            <w:r w:rsidR="00EE4E61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. </w:t>
            </w:r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Condiţiile ce au impus elaborarea proiectului de act normativ şi </w:t>
            </w:r>
            <w:r w:rsidR="00486168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>finalitățile</w:t>
            </w:r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 urmărite</w:t>
            </w:r>
          </w:p>
        </w:tc>
      </w:tr>
      <w:tr w:rsidR="00050045" w:rsidRPr="00A62256" w14:paraId="2208DC9E" w14:textId="77777777" w:rsidTr="00512472">
        <w:trPr>
          <w:trHeight w:val="1407"/>
        </w:trPr>
        <w:tc>
          <w:tcPr>
            <w:tcW w:w="10915" w:type="dxa"/>
          </w:tcPr>
          <w:p w14:paraId="056F6DE3" w14:textId="41D794EB" w:rsidR="00D702DD" w:rsidRPr="005E20ED" w:rsidRDefault="00D702DD" w:rsidP="003C2761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Dezvoltarea durabilă este direcția </w:t>
            </w:r>
            <w:r w:rsidR="005E20E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prioritară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 țării pentru următorul deceniu, declarată de Strategia </w:t>
            </w:r>
            <w:r w:rsidR="005E20E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Națională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de Dezvoltare </w:t>
            </w:r>
            <w:r w:rsidR="003C276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„</w:t>
            </w:r>
            <w:r w:rsidR="005E20E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Sănătatea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2030”. Obiectivele 3, 5, 6, 7, și 10 </w:t>
            </w:r>
            <w:r w:rsidR="005E20E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enunțate în Strategie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vizează direct sănătatea ocupațională, care are drept scop menținerea și fortificarea stării de sănătate și capacității înalte de muncă a lucrătorilor.</w:t>
            </w:r>
            <w:r w:rsidR="00365333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="003C2761" w:rsidRPr="003C276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Totodată, î</w:t>
            </w:r>
            <w:r w:rsidR="00365333" w:rsidRPr="003C2761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n conformitate cu Hotărârea de Guvern nr. 90/2023 cu privire la aprobarea Planului de acțiuni al Guvernului pentru anul 2023, </w:t>
            </w:r>
            <w:r w:rsidR="003C2761" w:rsidRPr="003C276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acțiunea 15.40</w:t>
            </w:r>
            <w:r w:rsidR="003C2761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(PAG, cap. V/Sănătate, alin.9),</w:t>
            </w:r>
            <w:r w:rsidR="003C2761" w:rsidRPr="003C2761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prevede revizuirea cadrului normativ privind organizarea examenelor medicale ale angajaților din economia națională.</w:t>
            </w:r>
          </w:p>
          <w:p w14:paraId="240BDDD5" w14:textId="1475BAA9" w:rsidR="00173722" w:rsidRPr="005E20ED" w:rsidRDefault="00C80939" w:rsidP="00CE76E4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Activitatea de muncă este o condiție naturală a vieții umane. Toate tipurile de muncă au un efect pozitiv asupra corpului uman, cu condiția c</w:t>
            </w:r>
            <w:r w:rsidR="00BB4982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munca să fie adecvată vârstei, organizată corespunzător, combinată în mod rezonabil cu odihnă și, bineînțeles, cu activitate fizică. </w:t>
            </w:r>
            <w:r w:rsidR="009133C6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 același timp, munca poate influența negativ starea de sănătate a lucrătorilor în cazurile când se desfășoară în condiții care nu corespund standardelor de igiena muncii (sănătate ocupațională)</w:t>
            </w:r>
            <w:r w:rsidR="00D702D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, iar factorii de risc </w:t>
            </w:r>
            <w:r w:rsidR="00BB4982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profesional </w:t>
            </w:r>
            <w:r w:rsidR="00D702D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pot cauza boli profesionale și boli legate de profesiune.</w:t>
            </w:r>
            <w:r w:rsidR="00173722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</w:p>
          <w:p w14:paraId="37B13FEB" w14:textId="77777777" w:rsidR="00CE36E6" w:rsidRPr="005E20ED" w:rsidRDefault="00173722" w:rsidP="00CE76E4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Examenele medicale profilactice obligatorii a lucrătorilor asigură prevenirea și depistarea bolilor profesionale și a bolilor legate de profesiune, menținerea stării de sănătate și a capacității de muncă a lucrătorilor, precum și monitorizarea stării lor de sănătate în raport cu factori de risc profesional.</w:t>
            </w:r>
            <w:r w:rsidR="00CE36E6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 xml:space="preserve"> </w:t>
            </w:r>
          </w:p>
          <w:p w14:paraId="0150AF24" w14:textId="4E59871D" w:rsidR="00C555E0" w:rsidRPr="005E20ED" w:rsidRDefault="00C555E0" w:rsidP="00CE76E4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Pe durata ultimilor 3 decenii, nivelul de înregistrare a cazurilor noi de boală profesională 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este diferit:</w:t>
            </w:r>
          </w:p>
          <w:p w14:paraId="1184FF06" w14:textId="7311F7CF" w:rsidR="00C555E0" w:rsidRPr="005E20ED" w:rsidRDefault="00C555E0" w:rsidP="001519E1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19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90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-1995 –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în mediu 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5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2,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0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cazuri noi de boală profesională anual;</w:t>
            </w:r>
          </w:p>
          <w:p w14:paraId="44AA5079" w14:textId="0AD614A9" w:rsidR="00C80939" w:rsidRPr="005E20ED" w:rsidRDefault="00C555E0" w:rsidP="001519E1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1996-2015 –26,6 cazuri noi de boală profesională anual</w:t>
            </w:r>
            <w:r w:rsidR="005E20E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;</w:t>
            </w:r>
          </w:p>
          <w:p w14:paraId="491D3920" w14:textId="36623F5F" w:rsidR="00C555E0" w:rsidRPr="005E20ED" w:rsidRDefault="00C555E0" w:rsidP="001519E1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2016-2022 – 1,3 cazuri noi de boală profesională anual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– per total 9 cazur</w:t>
            </w:r>
            <w:r w:rsidR="005E20E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. </w:t>
            </w:r>
          </w:p>
          <w:p w14:paraId="697D0708" w14:textId="365C53A0" w:rsidR="00210525" w:rsidRPr="005E20ED" w:rsidRDefault="00027BD7" w:rsidP="00CE76E4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În structura </w:t>
            </w:r>
            <w:r w:rsidR="00657C4F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bolilor profesionale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 înregistrate până în anul 20</w:t>
            </w:r>
            <w:r w:rsidR="00FA1677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09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="00657C4F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predomin</w:t>
            </w:r>
            <w:r w:rsidR="00AA001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ă</w:t>
            </w:r>
            <w:r w:rsidR="00657C4F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boala de vibrație și afecțiunile aparatului locomotor cauzate de acțiunea vibrației (37,7%), urmată de bolile profesionale ale aparatului respirator (16,7%), provocate de aerosolii toxici</w:t>
            </w:r>
            <w:r w:rsidR="00210525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</w:t>
            </w:r>
          </w:p>
          <w:p w14:paraId="77229850" w14:textId="241E505C" w:rsidR="00BB4982" w:rsidRPr="005E20ED" w:rsidRDefault="00FA1677" w:rsidP="00CE76E4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Structura bolilor profesionale, înregistrate în perioada anilor 2010-2022 este prezentată de osteocondroză – 46,9%, tuberculoză – 10,9%; hepatitele virale şi toxice – 6,2%; encefalopatiile şi </w:t>
            </w:r>
            <w:r w:rsidR="003F431C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intoxicațiile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cu pesticide - câte 4,7%; bronşitele şi astmul bronşic, neuritele cohleare, alergiile şi artrozele – câte 1,6% și alte boli – 20,3%.</w:t>
            </w:r>
          </w:p>
          <w:p w14:paraId="69E7CD27" w14:textId="03869E32" w:rsidR="000D3466" w:rsidRPr="005E20ED" w:rsidRDefault="00027BD7" w:rsidP="00CE76E4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Calitatea examenelor medicale rămâne nesatisfăcătoare. Pe parcursul anilor 2016-2022, cazuri de boală profesională în cadrul examenelor medicale profilactice obligatorii nu s-au depistat. De asemenea</w:t>
            </w:r>
            <w:r w:rsidR="003C3920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practic nu se depistează stările premorbide (prepatologice) ale bolilor profesionale, precum și a bolilor legate de profesiune (în medie anual 3,5% versus minimum 35% conform datelor Observatorului European a Riscurilor </w:t>
            </w:r>
            <w:r w:rsidR="00FF1083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P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rofesionale).</w:t>
            </w:r>
          </w:p>
          <w:p w14:paraId="233A6813" w14:textId="4ACFE1C3" w:rsidR="000D3466" w:rsidRPr="005E20ED" w:rsidRDefault="00A601AC" w:rsidP="00CE76E4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 același timp, mortalitatea generală a populației R</w:t>
            </w:r>
            <w:r w:rsidR="000B4F59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epublica Moldova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este circa de 2 ori mai mare comparativ cu țările UE și de 1,6 ori cu țările regiunii Europene OMS</w:t>
            </w:r>
            <w:r w:rsidR="000D3466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 mortalitatea prin cardiopatie ischemică – respectiv de circa 5 și de 2 ori, prin accidente vasculare cerebrale – respectiv de 3,5 și 1,8 ori; prin hepatite cronice și ciroz</w:t>
            </w:r>
            <w:r w:rsidR="00C81498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ă</w:t>
            </w:r>
            <w:r w:rsidR="000D3466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hepatică – respectiv de 7,7 și 5,7 ori, prin tumori maligne – până în anul 2016 se plasa sub nivelul mediu </w:t>
            </w:r>
            <w:r w:rsidR="000D3466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 xml:space="preserve">UE și regiunea Europeană OMS, iar începând cu 2017 și până în </w:t>
            </w:r>
            <w:r w:rsidR="00210525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prezent</w:t>
            </w:r>
            <w:r w:rsidR="000D3466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se înregistrează o depășire lentă a acestui indicator. </w:t>
            </w:r>
          </w:p>
          <w:p w14:paraId="58956A0D" w14:textId="2C164ABC" w:rsidR="002C6CAE" w:rsidRPr="005E20ED" w:rsidRDefault="000D3466" w:rsidP="00AD3611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Mortalitatea în vârstă aptă de muncă a constituit 41,4-48,6% din nivelul mortalității generale, dintre care circa 75% din cauza </w:t>
            </w:r>
            <w:r w:rsidR="00A62256">
              <w:rPr>
                <w:rFonts w:asciiTheme="majorBidi" w:hAnsiTheme="majorBidi" w:cstheme="majorBidi"/>
                <w:sz w:val="24"/>
                <w:szCs w:val="24"/>
                <w:lang w:val="ro-RO"/>
              </w:rPr>
              <w:t>bolilor netransmisibile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majore. Principalele cauze de deces în vârstă aptă de muncă sunt bolile sistemului circulator (30%), traume și otrăviri (23,5%), tumori (22,9%), boli ale aparatului digestiv (17,3%) și a ale aparatului respirator (6,3%). Pe durata anilor 1989-2020 se constată ”întinerirea” deceselor din cauza bolilor sistemului circulator (grupa de vârstă de 25-29 ani) și a bolilor sistemului digestiv (grupa de vârstă 30-34 de ani).</w:t>
            </w:r>
            <w:r w:rsidR="002C6CAE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Entitățile nozologice cu cea mai mare pondere sunt boala ischemică a cordului, accidentele cerebro-vasculare, tumorile maligne, hepatitele cronice și cirozele hepatice.</w:t>
            </w:r>
          </w:p>
          <w:p w14:paraId="109793AC" w14:textId="58906727" w:rsidR="00824CD4" w:rsidRPr="005E20ED" w:rsidRDefault="00824CD4" w:rsidP="00AD3611">
            <w:pPr>
              <w:autoSpaceDE w:val="0"/>
              <w:autoSpaceDN w:val="0"/>
              <w:adjustRightInd w:val="0"/>
              <w:spacing w:line="276" w:lineRule="auto"/>
              <w:ind w:left="-19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Prezentul proiect de </w:t>
            </w:r>
            <w:r w:rsidR="000E0D6A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Hotărâre</w:t>
            </w:r>
            <w:r w:rsidR="001536A2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="000E0D6A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Guvernului este elaborat în temeiul Legii</w:t>
            </w:r>
            <w:r w:rsidR="00955E41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nr. 10/2009 </w:t>
            </w:r>
            <w:r w:rsidR="005E20ED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p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rivind supravegherea de stat a </w:t>
            </w:r>
            <w:r w:rsidR="00486168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sănătății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publice</w:t>
            </w:r>
            <w:r w:rsidR="000E0D6A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 Legii 18</w:t>
            </w:r>
            <w:r w:rsidR="00265119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/2021 pentru ratificarea Convenției Organizației Internaționale a Muncii nr. 161 privind serviciile de sănătate ocupațională</w:t>
            </w:r>
            <w:r w:rsidR="00C81279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</w:t>
            </w:r>
            <w:r w:rsidR="00265119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La elaborarea proiectului </w:t>
            </w:r>
            <w:r w:rsidR="00C81279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de </w:t>
            </w:r>
            <w:r w:rsidR="007F0E93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Hotărâre a Guvernului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 fost consultat</w:t>
            </w:r>
            <w:r w:rsidR="00C81279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ă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="00A662E8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legislația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şi standardele în domeniu </w:t>
            </w:r>
            <w:r w:rsidR="00A50771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atât </w:t>
            </w:r>
            <w:r w:rsidR="00C81279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de la nivelul</w:t>
            </w:r>
            <w:r w:rsidR="00A50771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R</w:t>
            </w:r>
            <w:r w:rsidR="00955E41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epublicii </w:t>
            </w:r>
            <w:r w:rsidR="00A50771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M</w:t>
            </w:r>
            <w:r w:rsidR="00955E41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oldova</w:t>
            </w:r>
            <w:r w:rsidR="00A50771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cât și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 unor </w:t>
            </w:r>
            <w:r w:rsidR="00A662E8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țări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, precum România, Finlanda, </w:t>
            </w:r>
            <w:r w:rsidR="003C3920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Ungaria, </w:t>
            </w:r>
            <w:r w:rsidR="00A662E8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Bulgaria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etc</w:t>
            </w:r>
            <w:r w:rsidR="001536A2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</w:t>
            </w:r>
          </w:p>
        </w:tc>
      </w:tr>
      <w:tr w:rsidR="00050045" w:rsidRPr="003648B1" w14:paraId="4678CE5D" w14:textId="77777777" w:rsidTr="008F06ED">
        <w:trPr>
          <w:trHeight w:val="549"/>
        </w:trPr>
        <w:tc>
          <w:tcPr>
            <w:tcW w:w="10915" w:type="dxa"/>
            <w:shd w:val="clear" w:color="auto" w:fill="F2F2F2" w:themeFill="background1" w:themeFillShade="F2"/>
          </w:tcPr>
          <w:p w14:paraId="4904568A" w14:textId="7DB8316F" w:rsidR="00824CD4" w:rsidRPr="005E20ED" w:rsidRDefault="005E20ED" w:rsidP="001519E1">
            <w:pPr>
              <w:spacing w:line="276" w:lineRule="auto"/>
              <w:ind w:left="459" w:hanging="425"/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</w:pPr>
            <w:r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lastRenderedPageBreak/>
              <w:t>3</w:t>
            </w:r>
            <w:r w:rsidR="00EE4E61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>.</w:t>
            </w:r>
            <w:r w:rsidR="00594376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 </w:t>
            </w:r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Descrierea gradului de compatibilitate pentru proiectele care au ca scop armonizarea </w:t>
            </w:r>
            <w:r w:rsidR="00E971DD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>legislației</w:t>
            </w:r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 </w:t>
            </w:r>
            <w:r w:rsidR="00E971DD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>naționale</w:t>
            </w:r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 cu </w:t>
            </w:r>
            <w:r w:rsidR="00E971DD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>legislația</w:t>
            </w:r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 Uniunii</w:t>
            </w:r>
            <w:r w:rsidR="00594376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 xml:space="preserve"> </w:t>
            </w:r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ro-RO" w:eastAsia="ru-RU"/>
              </w:rPr>
              <w:t>Europene</w:t>
            </w:r>
          </w:p>
        </w:tc>
      </w:tr>
      <w:tr w:rsidR="00050045" w:rsidRPr="003648B1" w14:paraId="25662622" w14:textId="77777777" w:rsidTr="008F06ED">
        <w:trPr>
          <w:trHeight w:val="473"/>
        </w:trPr>
        <w:tc>
          <w:tcPr>
            <w:tcW w:w="10915" w:type="dxa"/>
          </w:tcPr>
          <w:p w14:paraId="2391A4A5" w14:textId="5F5A0AC6" w:rsidR="00A601AC" w:rsidRPr="005E20ED" w:rsidRDefault="00BC2F9F" w:rsidP="00AD3611">
            <w:pPr>
              <w:tabs>
                <w:tab w:val="left" w:pos="9354"/>
              </w:tabs>
              <w:spacing w:before="64" w:after="64"/>
              <w:ind w:right="-6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</w:pPr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>Nu se aplică</w:t>
            </w:r>
          </w:p>
        </w:tc>
      </w:tr>
      <w:tr w:rsidR="00050045" w:rsidRPr="003648B1" w14:paraId="3A935750" w14:textId="77777777" w:rsidTr="008F06ED">
        <w:trPr>
          <w:trHeight w:val="415"/>
        </w:trPr>
        <w:tc>
          <w:tcPr>
            <w:tcW w:w="10915" w:type="dxa"/>
            <w:shd w:val="clear" w:color="auto" w:fill="F2F2F2" w:themeFill="background1" w:themeFillShade="F2"/>
          </w:tcPr>
          <w:p w14:paraId="5AD1B82C" w14:textId="6460C698" w:rsidR="00824CD4" w:rsidRPr="005E20ED" w:rsidRDefault="005E20ED" w:rsidP="001519E1">
            <w:pPr>
              <w:tabs>
                <w:tab w:val="left" w:pos="9354"/>
              </w:tabs>
              <w:spacing w:before="64" w:after="64" w:line="276" w:lineRule="auto"/>
              <w:ind w:right="-6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</w:pPr>
            <w:r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4</w:t>
            </w:r>
            <w:r w:rsidR="00594376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.</w:t>
            </w:r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prevederi</w:t>
            </w:r>
            <w:proofErr w:type="spellEnd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evidenţierea</w:t>
            </w:r>
            <w:proofErr w:type="spellEnd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elementelor</w:t>
            </w:r>
            <w:proofErr w:type="spellEnd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24CD4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noi</w:t>
            </w:r>
            <w:proofErr w:type="spellEnd"/>
          </w:p>
        </w:tc>
      </w:tr>
      <w:tr w:rsidR="008E6FC3" w:rsidRPr="00A62256" w14:paraId="63A2CDBB" w14:textId="77777777" w:rsidTr="008F06ED">
        <w:trPr>
          <w:trHeight w:val="403"/>
        </w:trPr>
        <w:tc>
          <w:tcPr>
            <w:tcW w:w="10915" w:type="dxa"/>
          </w:tcPr>
          <w:p w14:paraId="68A53009" w14:textId="625F3E3C" w:rsidR="00D7496A" w:rsidRPr="0062758E" w:rsidRDefault="008E6FC3" w:rsidP="00D7496A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ind w:right="2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ro-RO"/>
              </w:rPr>
            </w:pPr>
            <w:r w:rsidRPr="0062758E">
              <w:rPr>
                <w:rFonts w:asciiTheme="majorBidi" w:hAnsiTheme="majorBidi" w:cstheme="majorBidi"/>
                <w:sz w:val="24"/>
                <w:szCs w:val="24"/>
                <w:lang w:val="ro-RO" w:eastAsia="ru-RU"/>
              </w:rPr>
              <w:t>Proiectul hotărârii de Guvern prevede aprobarea</w:t>
            </w:r>
            <w:r w:rsidR="00D7496A" w:rsidRPr="005E20ED">
              <w:rPr>
                <w:rFonts w:asciiTheme="majorBidi" w:hAnsiTheme="majorBidi" w:cstheme="majorBidi"/>
                <w:sz w:val="24"/>
                <w:szCs w:val="24"/>
                <w:lang w:val="ro-RO" w:eastAsia="ru-RU"/>
              </w:rPr>
              <w:t xml:space="preserve"> a două</w:t>
            </w:r>
            <w:r w:rsidRPr="0062758E">
              <w:rPr>
                <w:rFonts w:asciiTheme="majorBidi" w:hAnsiTheme="majorBidi" w:cstheme="majorBidi"/>
                <w:sz w:val="24"/>
                <w:szCs w:val="24"/>
                <w:lang w:val="ro-RO" w:eastAsia="ru-RU"/>
              </w:rPr>
              <w:t xml:space="preserve"> Regulamente sanitare</w:t>
            </w:r>
            <w:r w:rsidR="00D7496A" w:rsidRPr="005E20ED">
              <w:rPr>
                <w:rFonts w:asciiTheme="majorBidi" w:hAnsiTheme="majorBidi" w:cstheme="majorBidi"/>
                <w:sz w:val="24"/>
                <w:szCs w:val="24"/>
                <w:lang w:val="ro-RO" w:eastAsia="ru-RU"/>
              </w:rPr>
              <w:t xml:space="preserve"> după cum urmează, </w:t>
            </w:r>
            <w:r w:rsidR="00D7496A" w:rsidRPr="0062758E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>cu privire la supravegherea sănătăţii lucrătorilor (anexa nr.1</w:t>
            </w:r>
            <w:r w:rsidR="00D7496A" w:rsidRPr="005E20ED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>) și</w:t>
            </w:r>
            <w:r w:rsidR="00D7496A" w:rsidRPr="0062758E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 xml:space="preserve"> cu privire la examenele medicale obligatorii a lucrătorilor în scopul prevenirii  bolilor transmisibile</w:t>
            </w:r>
            <w:r w:rsidR="00D7496A" w:rsidRPr="005E20ED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 xml:space="preserve"> (anexa nr.2)</w:t>
            </w:r>
            <w:r w:rsidR="00A62256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>.</w:t>
            </w:r>
          </w:p>
          <w:p w14:paraId="34B17D9E" w14:textId="6E2D4EA3" w:rsidR="003C2761" w:rsidRDefault="00CB6A34" w:rsidP="003C2761">
            <w:pPr>
              <w:widowControl w:val="0"/>
              <w:tabs>
                <w:tab w:val="left" w:pos="426"/>
                <w:tab w:val="left" w:pos="586"/>
              </w:tabs>
              <w:autoSpaceDE w:val="0"/>
              <w:autoSpaceDN w:val="0"/>
              <w:ind w:right="2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 xml:space="preserve">Regulamentul sanitar </w:t>
            </w:r>
            <w:r w:rsidR="00D7496A" w:rsidRPr="005E20ED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 xml:space="preserve">cu privire la supravegherea sănătăţii lucrătorilor </w:t>
            </w:r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 xml:space="preserve">vine să soluționeze problemele și lacunele care au fost identificate în perioada următoare adoptării Hotărârii Guvernului nr.1025/2016, </w:t>
            </w:r>
            <w:r w:rsidR="00A62256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 xml:space="preserve">privind supravegherea sănătății persoanelor expuse acțiunii factorilor de risc, </w:t>
            </w:r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>astfel încât să faciliteze aplicarea documentului de reglementare și  identificarea  persoanelor a căror sănătate necesită să fie supravegheată și specificarea corectă a factorului de risc profesional, să revizuiască periodicitatea examinării,</w:t>
            </w:r>
            <w:r w:rsidR="00D7496A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 xml:space="preserve"> lista factorilor de risc profesionali,</w:t>
            </w:r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 xml:space="preserve"> spectru</w:t>
            </w:r>
            <w:r w:rsidR="00D7496A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>l</w:t>
            </w:r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 xml:space="preserve"> investigațiilor clinice și paraclinice necesare de efectuat pentru a depista schimbările obiective în starea de sănătate a lucrătorilor examinați. Modificările și completările propuse în actul normativ nominalizat va contribui la o mai bună înțelegere a drepturilor și responsabilităților lucrătorului, angajatorului și prestatorilor de servicii ale sănătății ocupaționale, inclusiv instituției medicale publice sau private prestatoare a serviciilor medicale.</w:t>
            </w:r>
          </w:p>
          <w:p w14:paraId="3794D543" w14:textId="5DF9013E" w:rsidR="008E6FC3" w:rsidRPr="003C2761" w:rsidRDefault="008E6FC3" w:rsidP="003C2761">
            <w:pPr>
              <w:widowControl w:val="0"/>
              <w:tabs>
                <w:tab w:val="left" w:pos="426"/>
                <w:tab w:val="left" w:pos="586"/>
              </w:tabs>
              <w:autoSpaceDE w:val="0"/>
              <w:autoSpaceDN w:val="0"/>
              <w:ind w:right="2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>Proiectul reglementează clar aspectele organizatorice ce implică toți actorii, inclusiv prestatorii serviciilor de sănătate ocupațională, în domeniul supravegherii sănătății muncitorilor.</w:t>
            </w:r>
          </w:p>
          <w:p w14:paraId="63C62E40" w14:textId="182CE4ED" w:rsidR="008E6FC3" w:rsidRPr="005E20ED" w:rsidRDefault="008E6FC3" w:rsidP="003C2761">
            <w:pPr>
              <w:tabs>
                <w:tab w:val="left" w:pos="586"/>
              </w:tabs>
              <w:ind w:right="159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/>
              </w:rPr>
              <w:t xml:space="preserve">Respectiv, descrie scopul, obiectivele și procedura de efectuare a tuturor tipurilor de examene medicale profilactice, inclusiv procedura de contestare a concluziei cu referire la aptitudinea de muncă. Vine să facă claritate în toate aspectele ce țin de organizarea și efectuarea examenelor medicale profilactice a lucrătorilor, ceea ce justifică necesitatea schimbării situației curente și viitoare, pentru îmbunătățirea calității și eficacității lor. </w:t>
            </w:r>
          </w:p>
          <w:p w14:paraId="44E92EF5" w14:textId="166AC751" w:rsidR="008E6FC3" w:rsidRPr="00365333" w:rsidRDefault="003C2761" w:rsidP="003C2761">
            <w:pPr>
              <w:tabs>
                <w:tab w:val="left" w:pos="586"/>
              </w:tabs>
              <w:ind w:right="160"/>
              <w:jc w:val="both"/>
              <w:rPr>
                <w:rFonts w:asciiTheme="majorBidi" w:eastAsia="Times New Roman" w:hAnsiTheme="majorBidi" w:cstheme="majorBidi"/>
                <w:i/>
                <w:sz w:val="24"/>
                <w:szCs w:val="24"/>
                <w:lang w:val="ro-RO"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   </w:t>
            </w:r>
            <w:r w:rsidR="00365333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Regulamentul sanitar privind supravegherea sănătății lucrătorilor</w:t>
            </w:r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 xml:space="preserve"> prevede introducerea următoarelor elemente noi ce se referă la </w:t>
            </w:r>
            <w:r w:rsidR="008E6FC3" w:rsidRPr="00365333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u w:val="single"/>
                <w:lang w:val="ro-RO"/>
              </w:rPr>
              <w:t>p</w:t>
            </w:r>
            <w:r w:rsidR="008E6FC3" w:rsidRPr="00365333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shd w:val="clear" w:color="auto" w:fill="FFFFFF"/>
                <w:lang w:val="ro-RO"/>
              </w:rPr>
              <w:t>r</w:t>
            </w:r>
            <w:r w:rsidR="008E6FC3" w:rsidRPr="00365333">
              <w:rPr>
                <w:rFonts w:asciiTheme="majorBidi" w:hAnsiTheme="majorBidi" w:cstheme="majorBidi"/>
                <w:i/>
                <w:sz w:val="24"/>
                <w:szCs w:val="24"/>
                <w:u w:val="single"/>
                <w:shd w:val="clear" w:color="auto" w:fill="FFFFFF"/>
                <w:lang w:val="ro-RO"/>
              </w:rPr>
              <w:t>evenirea bolilor profesionale și legate de profesiune</w:t>
            </w:r>
            <w:r w:rsidR="008E6FC3" w:rsidRPr="00365333">
              <w:rPr>
                <w:rFonts w:asciiTheme="majorBidi" w:eastAsia="Times New Roman" w:hAnsiTheme="majorBidi" w:cstheme="majorBidi"/>
                <w:i/>
                <w:sz w:val="24"/>
                <w:szCs w:val="24"/>
                <w:lang w:val="ro-RO" w:eastAsia="ru-RU"/>
              </w:rPr>
              <w:t>:</w:t>
            </w:r>
          </w:p>
          <w:p w14:paraId="40BB4173" w14:textId="287C7AB1" w:rsidR="008E6FC3" w:rsidRPr="005E20ED" w:rsidRDefault="008E6FC3" w:rsidP="008E6FC3">
            <w:pPr>
              <w:widowControl w:val="0"/>
              <w:numPr>
                <w:ilvl w:val="0"/>
                <w:numId w:val="10"/>
              </w:numPr>
              <w:tabs>
                <w:tab w:val="left" w:pos="435"/>
                <w:tab w:val="left" w:pos="891"/>
                <w:tab w:val="left" w:pos="1033"/>
              </w:tabs>
              <w:ind w:left="40" w:right="160" w:firstLine="85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actualizarea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documentației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prin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prisma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cerințelor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protecție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datelor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caracter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personal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lucrătorului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Actul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final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  <w:r w:rsidR="00A62256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>.</w:t>
            </w:r>
          </w:p>
          <w:p w14:paraId="6ACAA773" w14:textId="03012833" w:rsidR="008E6FC3" w:rsidRPr="005E20ED" w:rsidRDefault="008E6FC3" w:rsidP="008E6FC3">
            <w:pPr>
              <w:widowControl w:val="0"/>
              <w:numPr>
                <w:ilvl w:val="0"/>
                <w:numId w:val="10"/>
              </w:numPr>
              <w:tabs>
                <w:tab w:val="left" w:pos="870"/>
                <w:tab w:val="left" w:pos="1033"/>
              </w:tabs>
              <w:ind w:left="40" w:right="160" w:firstLine="85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actualizarea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documentației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întocmește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către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medicul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din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medicina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muncii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sau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competențe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în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medicina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muncii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actualizarea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structurarea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compartimentelor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Dosarului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medical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  <w:r w:rsidR="00A62256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>.</w:t>
            </w:r>
          </w:p>
          <w:p w14:paraId="7B86DC56" w14:textId="77777777" w:rsidR="008E6FC3" w:rsidRPr="005E20ED" w:rsidRDefault="008E6FC3" w:rsidP="008E6FC3">
            <w:pPr>
              <w:widowControl w:val="0"/>
              <w:numPr>
                <w:ilvl w:val="0"/>
                <w:numId w:val="10"/>
              </w:numPr>
              <w:tabs>
                <w:tab w:val="left" w:pos="435"/>
                <w:tab w:val="left" w:pos="891"/>
                <w:tab w:val="left" w:pos="1033"/>
              </w:tabs>
              <w:ind w:left="40" w:right="160" w:firstLine="85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stabilirea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formei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raportare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în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adresa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ANSP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către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medicul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din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medicina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muncii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sau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competențe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în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medicina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muncii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informației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privire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la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rezultatele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examenelor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medicale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obligatorii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profilactice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;</w:t>
            </w:r>
          </w:p>
          <w:p w14:paraId="7FBFCF4B" w14:textId="52A2D7D9" w:rsidR="008E6FC3" w:rsidRPr="005E20ED" w:rsidRDefault="008E6FC3" w:rsidP="008E6FC3">
            <w:pPr>
              <w:widowControl w:val="0"/>
              <w:numPr>
                <w:ilvl w:val="0"/>
                <w:numId w:val="10"/>
              </w:numPr>
              <w:tabs>
                <w:tab w:val="left" w:pos="435"/>
                <w:tab w:val="left" w:pos="891"/>
                <w:tab w:val="left" w:pos="1033"/>
              </w:tabs>
              <w:ind w:left="40" w:right="160" w:firstLine="85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revizuirea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simplificarea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listei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factorilor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risc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expunere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profesională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periodicității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examenelor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medicale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contraindicațiilor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conform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anexei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="005E20ED" w:rsidRPr="005E20ED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 xml:space="preserve">nr. </w:t>
            </w:r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1 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actului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normativ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prenotat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);</w:t>
            </w:r>
          </w:p>
          <w:p w14:paraId="7C805A6B" w14:textId="77777777" w:rsidR="008E6FC3" w:rsidRPr="005E20ED" w:rsidRDefault="008E6FC3" w:rsidP="008E6FC3">
            <w:pPr>
              <w:widowControl w:val="0"/>
              <w:numPr>
                <w:ilvl w:val="0"/>
                <w:numId w:val="10"/>
              </w:numPr>
              <w:tabs>
                <w:tab w:val="left" w:pos="435"/>
                <w:tab w:val="left" w:pos="586"/>
                <w:tab w:val="left" w:pos="870"/>
                <w:tab w:val="left" w:pos="1033"/>
              </w:tabs>
              <w:ind w:left="103" w:right="160" w:firstLine="788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actualizarea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documentației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pentru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organizarea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examenelor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medicale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vizează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angajatorul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;</w:t>
            </w:r>
          </w:p>
          <w:p w14:paraId="6319A38B" w14:textId="77777777" w:rsidR="008E6FC3" w:rsidRPr="005E20ED" w:rsidRDefault="008E6FC3" w:rsidP="008E6FC3">
            <w:pPr>
              <w:widowControl w:val="0"/>
              <w:numPr>
                <w:ilvl w:val="0"/>
                <w:numId w:val="10"/>
              </w:numPr>
              <w:tabs>
                <w:tab w:val="left" w:pos="435"/>
                <w:tab w:val="left" w:pos="586"/>
                <w:tab w:val="left" w:pos="870"/>
                <w:tab w:val="left" w:pos="1033"/>
              </w:tabs>
              <w:ind w:left="103" w:right="160" w:firstLine="788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anularea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comisiilor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medicale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;</w:t>
            </w:r>
          </w:p>
          <w:p w14:paraId="69A40241" w14:textId="77777777" w:rsidR="008E6FC3" w:rsidRPr="005E20ED" w:rsidRDefault="008E6FC3" w:rsidP="008E6FC3">
            <w:pPr>
              <w:widowControl w:val="0"/>
              <w:numPr>
                <w:ilvl w:val="0"/>
                <w:numId w:val="10"/>
              </w:numPr>
              <w:tabs>
                <w:tab w:val="left" w:pos="435"/>
                <w:tab w:val="left" w:pos="586"/>
                <w:tab w:val="left" w:pos="870"/>
                <w:tab w:val="left" w:pos="1033"/>
              </w:tabs>
              <w:ind w:left="103" w:right="160" w:firstLine="788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anularea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examenului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adaptare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  <w:p w14:paraId="53F773FE" w14:textId="77777777" w:rsidR="008E6FC3" w:rsidRPr="005E20ED" w:rsidRDefault="008E6FC3" w:rsidP="008E6FC3">
            <w:pPr>
              <w:tabs>
                <w:tab w:val="left" w:pos="586"/>
              </w:tabs>
              <w:ind w:left="102" w:right="159" w:firstLine="626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>Astfel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>prin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>acțiunile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>menționate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>supra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>se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>propune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eficientizarea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timpului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pentru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angajare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evitarea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costurilor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suportate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angajator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pentru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examene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adaptare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simplificarea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procesului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examene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medicale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eliminarea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barierilor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excesive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birocratice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îmbunătățirea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calității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serviciilor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medicale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concentrarea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doar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la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investigațiile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strict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necesare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argumentate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vor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spori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cointeresarea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angajatorilor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de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supraveghea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sănătatea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muncitorilor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  <w:p w14:paraId="5729C531" w14:textId="7BBC7773" w:rsidR="008E6FC3" w:rsidRPr="00365333" w:rsidRDefault="00365333" w:rsidP="008E6FC3">
            <w:pPr>
              <w:tabs>
                <w:tab w:val="left" w:pos="586"/>
              </w:tabs>
              <w:ind w:left="103" w:right="160" w:firstLine="625"/>
              <w:jc w:val="both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Regulamentul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sanitar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cu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privire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la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examenele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medicale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obligatorii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a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lucrătorilor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în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scopul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prevenirii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bolilor</w:t>
            </w:r>
            <w:proofErr w:type="spellEnd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w w:val="105"/>
                <w:sz w:val="24"/>
                <w:szCs w:val="24"/>
              </w:rPr>
              <w:t>transmisibile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prevede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introducerea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urm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ă</w:t>
            </w:r>
            <w:proofErr w:type="spellStart"/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toarelor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elemente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noi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ce</w:t>
            </w:r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se</w:t>
            </w:r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refer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ă </w:t>
            </w:r>
            <w:r w:rsidR="008E6FC3"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la</w:t>
            </w:r>
            <w:r w:rsidR="008E6FC3" w:rsidRPr="003653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Times New Roman" w:hAnsiTheme="majorBidi" w:cstheme="majorBidi"/>
                <w:i/>
                <w:sz w:val="24"/>
                <w:szCs w:val="24"/>
                <w:lang w:val="fr-FR"/>
              </w:rPr>
              <w:t>p</w:t>
            </w:r>
            <w:r w:rsidR="008E6FC3" w:rsidRPr="005E20ED">
              <w:rPr>
                <w:rFonts w:asciiTheme="majorBidi" w:hAnsiTheme="majorBidi" w:cstheme="majorBidi"/>
                <w:i/>
                <w:sz w:val="24"/>
                <w:szCs w:val="24"/>
                <w:u w:val="single"/>
                <w:shd w:val="clear" w:color="auto" w:fill="FFFFFF"/>
                <w:lang w:val="fr-FR"/>
              </w:rPr>
              <w:t>revenirea</w:t>
            </w:r>
            <w:proofErr w:type="spellEnd"/>
            <w:r w:rsidR="008E6FC3" w:rsidRPr="00365333">
              <w:rPr>
                <w:rFonts w:asciiTheme="majorBidi" w:hAnsiTheme="majorBidi" w:cstheme="majorBidi"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i/>
                <w:sz w:val="24"/>
                <w:szCs w:val="24"/>
                <w:u w:val="single"/>
                <w:shd w:val="clear" w:color="auto" w:fill="FFFFFF"/>
                <w:lang w:val="fr-FR"/>
              </w:rPr>
              <w:t>bolilor</w:t>
            </w:r>
            <w:proofErr w:type="spellEnd"/>
            <w:r w:rsidR="008E6FC3" w:rsidRPr="00365333">
              <w:rPr>
                <w:rFonts w:asciiTheme="majorBidi" w:hAnsiTheme="majorBidi" w:cstheme="majorBidi"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i/>
                <w:sz w:val="24"/>
                <w:szCs w:val="24"/>
                <w:u w:val="single"/>
                <w:shd w:val="clear" w:color="auto" w:fill="FFFFFF"/>
                <w:lang w:val="fr-FR"/>
              </w:rPr>
              <w:t>transmisibile</w:t>
            </w:r>
            <w:proofErr w:type="spellEnd"/>
            <w:r w:rsidR="008E6FC3" w:rsidRPr="00365333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>:</w:t>
            </w:r>
          </w:p>
          <w:p w14:paraId="787ED48B" w14:textId="77777777" w:rsidR="008E6FC3" w:rsidRPr="005E20ED" w:rsidRDefault="008E6FC3" w:rsidP="008E6FC3">
            <w:pPr>
              <w:widowControl w:val="0"/>
              <w:numPr>
                <w:ilvl w:val="0"/>
                <w:numId w:val="11"/>
              </w:numPr>
              <w:tabs>
                <w:tab w:val="left" w:pos="435"/>
                <w:tab w:val="left" w:pos="608"/>
                <w:tab w:val="left" w:pos="1033"/>
              </w:tabs>
              <w:ind w:left="40" w:right="160" w:firstLine="71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volumul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investigații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- redus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simplificat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în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limita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raționalului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;</w:t>
            </w:r>
          </w:p>
          <w:p w14:paraId="34ACE058" w14:textId="578EB12F" w:rsidR="008E6FC3" w:rsidRPr="005E20ED" w:rsidRDefault="008E6FC3" w:rsidP="008E6FC3">
            <w:pPr>
              <w:widowControl w:val="0"/>
              <w:numPr>
                <w:ilvl w:val="0"/>
                <w:numId w:val="11"/>
              </w:numPr>
              <w:tabs>
                <w:tab w:val="left" w:pos="435"/>
                <w:tab w:val="left" w:pos="608"/>
                <w:tab w:val="left" w:pos="1033"/>
              </w:tabs>
              <w:ind w:left="40" w:right="160" w:firstLine="71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reducerea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numărului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categorii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5E20ED">
              <w:rPr>
                <w:rFonts w:asciiTheme="majorBidi" w:hAnsiTheme="majorBidi" w:cstheme="majorBidi"/>
                <w:bCs/>
                <w:sz w:val="24"/>
                <w:szCs w:val="24"/>
                <w:lang w:val="fr-FR"/>
              </w:rPr>
              <w:t>lucrători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pentru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care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examenele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profilactice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periodice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sunt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obligatorii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-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sau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la 15 la </w:t>
            </w:r>
            <w:r w:rsidR="00365333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7</w:t>
            </w:r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;</w:t>
            </w:r>
          </w:p>
          <w:p w14:paraId="67274F95" w14:textId="77777777" w:rsidR="008E6FC3" w:rsidRPr="005E20ED" w:rsidRDefault="008E6FC3" w:rsidP="008E6FC3">
            <w:pPr>
              <w:widowControl w:val="0"/>
              <w:numPr>
                <w:ilvl w:val="0"/>
                <w:numId w:val="11"/>
              </w:numPr>
              <w:tabs>
                <w:tab w:val="left" w:pos="435"/>
                <w:tab w:val="left" w:pos="608"/>
                <w:tab w:val="left" w:pos="1033"/>
              </w:tabs>
              <w:ind w:left="40" w:right="160" w:firstLine="71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</w:pP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simplificate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procedurile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organizare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examenelor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medicale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scop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a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solu</w:t>
            </w:r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ționa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problema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unui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proces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complex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durată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(au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fost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excluse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orice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testări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la ANSP, s-a exclus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obligativitatea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trece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examenul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medical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Dispensarul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Municipal Dermato-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Venerologic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).</w:t>
            </w:r>
          </w:p>
          <w:p w14:paraId="1752EEE0" w14:textId="6A24E922" w:rsidR="008E6FC3" w:rsidRPr="005E20ED" w:rsidRDefault="008E6FC3" w:rsidP="008E6FC3">
            <w:pPr>
              <w:spacing w:line="276" w:lineRule="auto"/>
              <w:ind w:firstLine="684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Prin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implementarea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actualizărilor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menționate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, se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urmărește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să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se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obțină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o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serie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beneficii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semnificative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în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ceea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ce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privește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sănătatea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securitatea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lucrătorilor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expuși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riscurilor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profesionale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. Aceste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beneficii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vor fi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tangibile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măsurabile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contribuind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îmbunătățirea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calității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mediului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lucru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protejarea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sănătății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bCs/>
                <w:sz w:val="24"/>
                <w:szCs w:val="24"/>
                <w:lang w:val="fr-FR"/>
              </w:rPr>
              <w:t>lucrători</w:t>
            </w:r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.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Astfel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actualizările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menționate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stimula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creșterea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calității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examenelor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medicale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profilactice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persoanelor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expuse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acțiunii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factorilor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risc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profesionali</w:t>
            </w:r>
            <w:proofErr w:type="spellEnd"/>
            <w:r w:rsidRPr="005E20ED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.</w:t>
            </w:r>
          </w:p>
        </w:tc>
      </w:tr>
      <w:tr w:rsidR="008E6FC3" w:rsidRPr="00CE76E4" w14:paraId="6C82707C" w14:textId="77777777" w:rsidTr="008F06ED">
        <w:trPr>
          <w:trHeight w:val="403"/>
        </w:trPr>
        <w:tc>
          <w:tcPr>
            <w:tcW w:w="10915" w:type="dxa"/>
            <w:shd w:val="clear" w:color="auto" w:fill="F2F2F2" w:themeFill="background1" w:themeFillShade="F2"/>
          </w:tcPr>
          <w:p w14:paraId="77BB6E46" w14:textId="68BB556D" w:rsidR="008E6FC3" w:rsidRPr="005E20ED" w:rsidRDefault="005E20ED" w:rsidP="008E6FC3">
            <w:pPr>
              <w:tabs>
                <w:tab w:val="left" w:pos="9354"/>
              </w:tabs>
              <w:spacing w:before="64" w:after="64" w:line="276" w:lineRule="auto"/>
              <w:ind w:right="-6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</w:pPr>
            <w:r w:rsidRPr="005E20ED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o-RO" w:eastAsia="ru-RU"/>
              </w:rPr>
              <w:lastRenderedPageBreak/>
              <w:t>5</w:t>
            </w:r>
            <w:r w:rsidR="008E6FC3" w:rsidRPr="005E20ED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o-RO" w:eastAsia="ru-RU"/>
              </w:rPr>
              <w:t>. Fundamentarea economico-financiară.</w:t>
            </w:r>
          </w:p>
        </w:tc>
      </w:tr>
      <w:tr w:rsidR="008E6FC3" w:rsidRPr="00A62256" w14:paraId="2FF3719C" w14:textId="77777777" w:rsidTr="008F06ED">
        <w:trPr>
          <w:trHeight w:val="403"/>
        </w:trPr>
        <w:tc>
          <w:tcPr>
            <w:tcW w:w="10915" w:type="dxa"/>
          </w:tcPr>
          <w:p w14:paraId="1B5B8656" w14:textId="284ABDE4" w:rsidR="008E6FC3" w:rsidRPr="005E20ED" w:rsidRDefault="008E6FC3" w:rsidP="008E6FC3">
            <w:pPr>
              <w:tabs>
                <w:tab w:val="left" w:pos="1033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  Aprobarea și implementarea proiectului Regulamentului sanitar privind supravegherea sănătății lucrătorilor nu va presupune cheltuieli financiare suplimentare din bugetul de stat. Responsabilitatea pentru organizarea examenelor medicale a lucrătorilor sunt atribuite angajatorului. Costurile pentru organizarea examenelor medicale obligatorii sunt suportate de către angajator. </w:t>
            </w:r>
          </w:p>
          <w:p w14:paraId="6AC09A49" w14:textId="55523CDD" w:rsidR="008E6FC3" w:rsidRPr="005E20ED" w:rsidRDefault="008E6FC3" w:rsidP="008E6FC3">
            <w:pPr>
              <w:tabs>
                <w:tab w:val="left" w:pos="1033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  Examenele medicale obligatorii pentru unele categorii de lucrători din economia națională în scopul prevenirii bolilor transmisibile vor fi efectuate din contul Fondului Asigurării Obligatorii de Asistență Medicală.</w:t>
            </w:r>
          </w:p>
          <w:p w14:paraId="79EBC44C" w14:textId="7AF48784" w:rsidR="008E6FC3" w:rsidRPr="005E20ED" w:rsidRDefault="008E6FC3" w:rsidP="008E6FC3">
            <w:pPr>
              <w:tabs>
                <w:tab w:val="left" w:pos="1033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 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Angajatorii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vor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asigura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implementarea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Regulamentelor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sanitare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în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corespundere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actele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normative.</w:t>
            </w:r>
          </w:p>
          <w:p w14:paraId="63222507" w14:textId="59185C2C" w:rsidR="008E6FC3" w:rsidRPr="005E20ED" w:rsidRDefault="008E6FC3" w:rsidP="008E6FC3">
            <w:pPr>
              <w:spacing w:line="276" w:lineRule="auto"/>
              <w:ind w:firstLine="453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val="ro-RO" w:eastAsia="ru-RU"/>
              </w:rPr>
            </w:pPr>
          </w:p>
        </w:tc>
      </w:tr>
      <w:tr w:rsidR="008E6FC3" w:rsidRPr="00A62256" w14:paraId="03CA488E" w14:textId="77777777" w:rsidTr="008F06ED">
        <w:trPr>
          <w:trHeight w:val="415"/>
        </w:trPr>
        <w:tc>
          <w:tcPr>
            <w:tcW w:w="10915" w:type="dxa"/>
            <w:shd w:val="clear" w:color="auto" w:fill="F2F2F2" w:themeFill="background1" w:themeFillShade="F2"/>
          </w:tcPr>
          <w:p w14:paraId="295A2F03" w14:textId="7C56D21D" w:rsidR="008E6FC3" w:rsidRPr="005E20ED" w:rsidRDefault="005E20ED" w:rsidP="008E6FC3">
            <w:pPr>
              <w:tabs>
                <w:tab w:val="left" w:pos="9354"/>
              </w:tabs>
              <w:spacing w:before="64" w:after="64" w:line="276" w:lineRule="auto"/>
              <w:ind w:right="-6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</w:pPr>
            <w:r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6</w:t>
            </w:r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 xml:space="preserve">.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Modul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 xml:space="preserve"> de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încorporare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 xml:space="preserve"> a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actului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în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cadrul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normativ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în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fr-CA" w:eastAsia="ru-RU"/>
              </w:rPr>
              <w:t>vigoare</w:t>
            </w:r>
            <w:proofErr w:type="spellEnd"/>
          </w:p>
        </w:tc>
      </w:tr>
      <w:tr w:rsidR="008E6FC3" w:rsidRPr="00A62256" w14:paraId="0B4D86DC" w14:textId="77777777" w:rsidTr="008F06ED">
        <w:trPr>
          <w:trHeight w:val="415"/>
        </w:trPr>
        <w:tc>
          <w:tcPr>
            <w:tcW w:w="10915" w:type="dxa"/>
          </w:tcPr>
          <w:p w14:paraId="024E277D" w14:textId="52FC8683" w:rsidR="008E6FC3" w:rsidRPr="006968B7" w:rsidRDefault="00A62256" w:rsidP="006968B7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ind w:right="2"/>
              <w:jc w:val="both"/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Odată cu aprobarea prezentei</w:t>
            </w:r>
            <w:r w:rsidR="006968B7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E6FC3" w:rsidRPr="006968B7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Hotărâr</w:t>
            </w:r>
            <w:r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i</w:t>
            </w:r>
            <w:proofErr w:type="spellEnd"/>
            <w:r w:rsidR="005E20ED" w:rsidRPr="005E20ED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>a</w:t>
            </w:r>
            <w:r w:rsidR="005E20ED" w:rsidRPr="005E20ED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 xml:space="preserve"> Guvern</w:t>
            </w:r>
            <w:r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>ului</w:t>
            </w:r>
            <w:r w:rsidR="006968B7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>urmează a fi</w:t>
            </w:r>
            <w:r w:rsidR="008E6FC3" w:rsidRPr="006968B7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6968B7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abrog</w:t>
            </w:r>
            <w:proofErr w:type="spellEnd"/>
            <w:r w:rsidR="005E20ED" w:rsidRPr="005E20ED"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>a</w:t>
            </w:r>
            <w:r>
              <w:rPr>
                <w:rFonts w:asciiTheme="majorBidi" w:hAnsiTheme="majorBidi" w:cstheme="majorBidi"/>
                <w:w w:val="105"/>
                <w:sz w:val="24"/>
                <w:szCs w:val="24"/>
                <w:lang w:val="ro-RO"/>
              </w:rPr>
              <w:t>t</w:t>
            </w:r>
            <w:r w:rsidR="008E6FC3" w:rsidRPr="006968B7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Ordinului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m</w:t>
            </w:r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inistrului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s</w:t>
            </w:r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ănătății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nr. 255/1996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cu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privire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organizarea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obligatorie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examenului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medical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al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salariaților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din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înterprinderile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alimentare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instituțiile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medicale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comunale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și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cele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pentru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copii</w:t>
            </w:r>
            <w:proofErr w:type="spellEnd"/>
            <w:r w:rsidR="00AC2160">
              <w:rPr>
                <w:rFonts w:asciiTheme="majorBidi" w:hAnsiTheme="majorBidi" w:cstheme="majorBidi"/>
                <w:w w:val="105"/>
                <w:sz w:val="24"/>
                <w:szCs w:val="24"/>
                <w:lang w:val="fr-FR"/>
              </w:rPr>
              <w:t>.</w:t>
            </w:r>
          </w:p>
        </w:tc>
      </w:tr>
      <w:tr w:rsidR="008E6FC3" w:rsidRPr="003648B1" w14:paraId="55DEFDDE" w14:textId="77777777" w:rsidTr="008F06ED">
        <w:trPr>
          <w:trHeight w:val="415"/>
        </w:trPr>
        <w:tc>
          <w:tcPr>
            <w:tcW w:w="10915" w:type="dxa"/>
            <w:shd w:val="clear" w:color="auto" w:fill="F2F2F2" w:themeFill="background1" w:themeFillShade="F2"/>
          </w:tcPr>
          <w:p w14:paraId="383B4BFD" w14:textId="795BE08B" w:rsidR="008E6FC3" w:rsidRPr="005E20ED" w:rsidRDefault="005E20ED" w:rsidP="008E6FC3">
            <w:pPr>
              <w:tabs>
                <w:tab w:val="left" w:pos="9354"/>
              </w:tabs>
              <w:spacing w:before="64" w:after="64" w:line="276" w:lineRule="auto"/>
              <w:ind w:right="-6"/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</w:pPr>
            <w:r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7</w:t>
            </w:r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Avizarea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consultarea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="008E6FC3" w:rsidRPr="005E20ED">
              <w:rPr>
                <w:rFonts w:asciiTheme="majorBidi" w:eastAsia="Calibri" w:hAnsiTheme="majorBidi" w:cstheme="majorBidi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8E6FC3" w:rsidRPr="00A62256" w14:paraId="31C9FA70" w14:textId="77777777" w:rsidTr="008F06ED">
        <w:trPr>
          <w:trHeight w:val="403"/>
        </w:trPr>
        <w:tc>
          <w:tcPr>
            <w:tcW w:w="10915" w:type="dxa"/>
          </w:tcPr>
          <w:p w14:paraId="0CF5938D" w14:textId="5BEB9AF0" w:rsidR="005E20ED" w:rsidRDefault="005E20ED" w:rsidP="005E20ED">
            <w:pPr>
              <w:spacing w:line="276" w:lineRule="auto"/>
              <w:ind w:firstLine="306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În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scopul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respectării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prevederilor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Legii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nr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. 239/2008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privind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transparența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în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procesul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decizional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,</w:t>
            </w:r>
            <w:r w:rsidR="00A62256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 xml:space="preserve"> anunțul privind inițierea procesului de elaborare a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Proiectul</w:t>
            </w:r>
            <w:proofErr w:type="spellEnd"/>
            <w:r w:rsidR="00A62256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ui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Hotărârii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Guvernului</w:t>
            </w:r>
            <w:proofErr w:type="spellEnd"/>
            <w:r w:rsidR="00A62256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 xml:space="preserve">,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a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fost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plasat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pagina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web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oficială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a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Ministerului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Sănătății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compartimentul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„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Transparență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”,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Proiecte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supuse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consultărilor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publice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”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și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portalul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guvernamental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(</w:t>
            </w:r>
            <w:hyperlink r:id="rId5" w:history="1">
              <w:r w:rsidRPr="005E20ED">
                <w:rPr>
                  <w:rFonts w:asciiTheme="majorBidi" w:hAnsiTheme="majorBidi" w:cstheme="majorBidi"/>
                  <w:sz w:val="24"/>
                  <w:szCs w:val="24"/>
                  <w:lang w:eastAsia="zh-CN"/>
                </w:rPr>
                <w:t>www.particip.gov.md</w:t>
              </w:r>
            </w:hyperlink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și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poate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fi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accesat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la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linkul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: </w:t>
            </w:r>
          </w:p>
          <w:p w14:paraId="3F20A9D1" w14:textId="3D49F78B" w:rsidR="006968B7" w:rsidRPr="00A62256" w:rsidRDefault="00000000" w:rsidP="006968B7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</w:pPr>
            <w:hyperlink r:id="rId6" w:history="1">
              <w:r w:rsidR="006968B7" w:rsidRPr="004C61CE">
                <w:rPr>
                  <w:rStyle w:val="ab"/>
                  <w:rFonts w:asciiTheme="majorBidi" w:hAnsiTheme="majorBidi" w:cstheme="majorBidi"/>
                  <w:sz w:val="24"/>
                  <w:szCs w:val="24"/>
                  <w:lang w:eastAsia="zh-CN"/>
                </w:rPr>
                <w:t>https://particip.gov.md/ro/document/stages/anunt-privindinitierea-procesului-de-elaborare-a-proiectului-hotararii-guvernului-cu-privire-la-organizarea-sidesfasurarea-examenelor-medicale-profilactice-obligatorii-ale-angajatilor-si-persoanelor-care-practicamunca-individuala/11029</w:t>
              </w:r>
            </w:hyperlink>
            <w:r w:rsidR="00A62256">
              <w:rPr>
                <w:rStyle w:val="ab"/>
                <w:rFonts w:asciiTheme="majorBidi" w:hAnsiTheme="majorBidi" w:cstheme="majorBidi"/>
                <w:sz w:val="24"/>
                <w:szCs w:val="24"/>
                <w:lang w:val="ro-RO" w:eastAsia="zh-CN"/>
              </w:rPr>
              <w:t>.</w:t>
            </w:r>
          </w:p>
          <w:p w14:paraId="1E3343D9" w14:textId="77777777" w:rsidR="005B3597" w:rsidRDefault="005E20ED" w:rsidP="005B3597">
            <w:pPr>
              <w:ind w:right="16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 xml:space="preserve">A fost organizată ședința consultărilor publice </w:t>
            </w:r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 cadrul Ministerului Sănătății, la data de 13 octombrie 2023, la ședință au participat reprezentanți din cadrul următoarelor instituții (ATIC, AmCham, Confederația Națio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ală a Sindicatelor, Confederația Națională a Patronatelor, Asociația Investitorilor Străini, Tetis International, Orbico SRL, Moldcell, AgroFloris SRL, Ministerul Muncii și Protecției Sociale, Fabrica de Sticlă, S.A Apă-Canal, Federația Sindicală Sănătatea, Centru Republican de Boli Profesionale, Agenția Națională pentru Sănătate Publică, IMSP AMT Centru,  ICS Premier-Energy S.A, Rogob SRL, ÎM Efes Vitanta).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Propunerile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înaintate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cadrul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consultărilor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asupra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proiectului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au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fost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luate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considerație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prin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ajustarea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actului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normativ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sus </w:t>
            </w:r>
            <w:proofErr w:type="spellStart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menționat</w:t>
            </w:r>
            <w:proofErr w:type="spellEnd"/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. </w:t>
            </w:r>
          </w:p>
          <w:p w14:paraId="0EC1F23F" w14:textId="3BE01285" w:rsidR="00A62256" w:rsidRPr="005B3597" w:rsidRDefault="005B3597" w:rsidP="005B3597">
            <w:pPr>
              <w:ind w:right="16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Totodată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proiectul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plasat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consultări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publice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pagina web a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Ministerului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Sănătății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la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compartimentul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Transparența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decizională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portalul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particip.gov.md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poate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fi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accesat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următoarea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>adresă</w:t>
            </w:r>
            <w:proofErr w:type="spellEnd"/>
            <w:r w:rsidRPr="005B359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web:</w:t>
            </w:r>
          </w:p>
          <w:p w14:paraId="01D001F9" w14:textId="77777777" w:rsidR="00A62256" w:rsidRPr="005E20ED" w:rsidRDefault="00A62256" w:rsidP="00A62256">
            <w:pPr>
              <w:ind w:right="16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hyperlink r:id="rId7" w:history="1">
              <w:r w:rsidRPr="006968B7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o-RO"/>
                </w:rPr>
                <w:t>https://particip.gov.md/ro/document/stages/ministerul-sanatatii-prezinta-spre-consultari-publice-proiectul-hotararii-guvernului-cu-privire-la-organizarea-si-desfasurarea-examenelor-medicale-profilactice-obligatorii-ale-angajatilor-si-persoanelor-care-practica-munca-individualaconsultarile-vor-avea-loc-in-incinta-ministerului-sanatatii-sala-mare-et2-str-v-alecsandri-2-mun-chisinau/11266</w:t>
              </w:r>
            </w:hyperlink>
          </w:p>
          <w:p w14:paraId="268AB18B" w14:textId="1BF21A82" w:rsidR="008E6FC3" w:rsidRPr="005E20ED" w:rsidRDefault="008E6FC3" w:rsidP="005B3597">
            <w:pPr>
              <w:spacing w:line="276" w:lineRule="auto"/>
              <w:jc w:val="both"/>
              <w:rPr>
                <w:rFonts w:asciiTheme="majorBidi" w:eastAsia="Calibri" w:hAnsiTheme="majorBidi" w:cstheme="majorBidi"/>
                <w:bCs/>
                <w:sz w:val="24"/>
                <w:szCs w:val="24"/>
                <w:lang w:val="ro-RO" w:eastAsia="ja-JP"/>
              </w:rPr>
            </w:pPr>
          </w:p>
        </w:tc>
      </w:tr>
      <w:tr w:rsidR="008E6FC3" w:rsidRPr="00CE76E4" w14:paraId="405183D7" w14:textId="77777777" w:rsidTr="008F06ED">
        <w:trPr>
          <w:trHeight w:val="403"/>
        </w:trPr>
        <w:tc>
          <w:tcPr>
            <w:tcW w:w="10915" w:type="dxa"/>
          </w:tcPr>
          <w:p w14:paraId="3F2D1A2A" w14:textId="49F96D98" w:rsidR="008E6FC3" w:rsidRPr="005E20ED" w:rsidRDefault="005E20ED" w:rsidP="008E6FC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lastRenderedPageBreak/>
              <w:t>8.</w:t>
            </w:r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="008E6FC3" w:rsidRPr="005E20E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Constatările expertizei anticorupție </w:t>
            </w:r>
          </w:p>
        </w:tc>
      </w:tr>
      <w:tr w:rsidR="008E6FC3" w:rsidRPr="003648B1" w14:paraId="3F439D13" w14:textId="77777777" w:rsidTr="008F06ED">
        <w:trPr>
          <w:trHeight w:val="403"/>
        </w:trPr>
        <w:tc>
          <w:tcPr>
            <w:tcW w:w="10915" w:type="dxa"/>
          </w:tcPr>
          <w:p w14:paraId="0E4D1C4E" w14:textId="15AF26C7" w:rsidR="008E6FC3" w:rsidRPr="005E20ED" w:rsidRDefault="008E6FC3" w:rsidP="008E6FC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Informația privind rezultatele expertizei anticorupție va fi inclusă după recepționarea raportului de expertiză anticorupție în sinteza obiecțiilor și propunerilor/recomandărilor la proiectul de hotăr</w:t>
            </w:r>
            <w:r w:rsidR="005B3597">
              <w:rPr>
                <w:rFonts w:asciiTheme="majorBidi" w:hAnsiTheme="majorBidi" w:cstheme="majorBidi"/>
                <w:sz w:val="24"/>
                <w:szCs w:val="24"/>
                <w:lang w:val="ro-RO"/>
              </w:rPr>
              <w:t>â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re.</w:t>
            </w:r>
          </w:p>
        </w:tc>
      </w:tr>
      <w:tr w:rsidR="008E6FC3" w:rsidRPr="005E20ED" w14:paraId="37AD948B" w14:textId="77777777" w:rsidTr="008F06ED">
        <w:trPr>
          <w:trHeight w:val="403"/>
        </w:trPr>
        <w:tc>
          <w:tcPr>
            <w:tcW w:w="10915" w:type="dxa"/>
          </w:tcPr>
          <w:p w14:paraId="42865D14" w14:textId="20641F45" w:rsidR="008E6FC3" w:rsidRPr="005E20ED" w:rsidRDefault="005E20ED" w:rsidP="008E6FC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9</w:t>
            </w:r>
            <w:r w:rsidR="008E6FC3" w:rsidRPr="005E20E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.</w:t>
            </w:r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="008E6FC3" w:rsidRPr="005E20E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Consultările expertizei de compatibilitate</w:t>
            </w:r>
            <w:r w:rsidR="008E6FC3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. </w:t>
            </w:r>
          </w:p>
        </w:tc>
      </w:tr>
      <w:tr w:rsidR="008E6FC3" w:rsidRPr="006E29E1" w14:paraId="58708480" w14:textId="77777777" w:rsidTr="008F06ED">
        <w:trPr>
          <w:trHeight w:val="403"/>
        </w:trPr>
        <w:tc>
          <w:tcPr>
            <w:tcW w:w="10915" w:type="dxa"/>
          </w:tcPr>
          <w:p w14:paraId="1F5D46C4" w14:textId="37E43CB9" w:rsidR="008E6FC3" w:rsidRPr="005E20ED" w:rsidRDefault="008E6FC3" w:rsidP="008E6FC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</w:t>
            </w:r>
            <w:r w:rsidR="00FA4E92"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Nu se aplică.</w:t>
            </w:r>
          </w:p>
        </w:tc>
      </w:tr>
      <w:tr w:rsidR="005E20ED" w:rsidRPr="005E20ED" w14:paraId="481A7BED" w14:textId="77777777" w:rsidTr="008F06ED">
        <w:trPr>
          <w:trHeight w:val="403"/>
        </w:trPr>
        <w:tc>
          <w:tcPr>
            <w:tcW w:w="10915" w:type="dxa"/>
          </w:tcPr>
          <w:p w14:paraId="4387B43E" w14:textId="1112350B" w:rsidR="005E20ED" w:rsidRPr="005E20ED" w:rsidRDefault="005E20ED" w:rsidP="005E20E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10.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Constatările</w:t>
            </w:r>
            <w:proofErr w:type="spellEnd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expertizei</w:t>
            </w:r>
            <w:proofErr w:type="spellEnd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juridice</w:t>
            </w:r>
            <w:proofErr w:type="spellEnd"/>
          </w:p>
        </w:tc>
      </w:tr>
      <w:tr w:rsidR="005E20ED" w:rsidRPr="006968B7" w14:paraId="785E78D5" w14:textId="77777777" w:rsidTr="008F06ED">
        <w:trPr>
          <w:trHeight w:val="403"/>
        </w:trPr>
        <w:tc>
          <w:tcPr>
            <w:tcW w:w="10915" w:type="dxa"/>
          </w:tcPr>
          <w:p w14:paraId="746240D7" w14:textId="1E2BBE1E" w:rsidR="005E20ED" w:rsidRPr="005E20ED" w:rsidRDefault="005E20ED" w:rsidP="005E20E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6968B7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Î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 w:eastAsia="zh-CN"/>
              </w:rPr>
              <w:t>n</w:t>
            </w:r>
            <w:r w:rsidRPr="006968B7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 w:eastAsia="zh-CN"/>
              </w:rPr>
              <w:t>scopul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 w:eastAsia="zh-CN"/>
              </w:rPr>
              <w:t>respect</w:t>
            </w:r>
            <w:r w:rsidRPr="006968B7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ă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 w:eastAsia="zh-CN"/>
              </w:rPr>
              <w:t>rii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 w:eastAsia="zh-CN"/>
              </w:rPr>
              <w:t>prevederilor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art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>. 34 ș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37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din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Legea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nr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. 100/2017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privire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actele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normative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proiectul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hot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>ă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>â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968B7">
              <w:rPr>
                <w:rFonts w:asciiTheme="majorBidi" w:hAnsiTheme="majorBidi" w:cstheme="majorBidi"/>
                <w:sz w:val="24"/>
                <w:szCs w:val="24"/>
                <w:lang w:val="ro-RO"/>
              </w:rPr>
              <w:t>urmează a fi</w:t>
            </w:r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supus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expertizei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juridice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5E20ED" w:rsidRPr="005E20ED" w14:paraId="1D92C595" w14:textId="77777777" w:rsidTr="008F06ED">
        <w:trPr>
          <w:trHeight w:val="403"/>
        </w:trPr>
        <w:tc>
          <w:tcPr>
            <w:tcW w:w="10915" w:type="dxa"/>
          </w:tcPr>
          <w:p w14:paraId="71C494F1" w14:textId="5C4F2F3C" w:rsidR="005E20ED" w:rsidRPr="005E20ED" w:rsidRDefault="005E20ED" w:rsidP="005E20E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11. </w:t>
            </w:r>
            <w:proofErr w:type="spellStart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Constatările</w:t>
            </w:r>
            <w:proofErr w:type="spellEnd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altor</w:t>
            </w:r>
            <w:proofErr w:type="spellEnd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expertize</w:t>
            </w:r>
            <w:proofErr w:type="spellEnd"/>
          </w:p>
        </w:tc>
      </w:tr>
      <w:tr w:rsidR="005E20ED" w:rsidRPr="002F33C3" w14:paraId="79789C56" w14:textId="77777777" w:rsidTr="005E20ED">
        <w:trPr>
          <w:trHeight w:val="2665"/>
        </w:trPr>
        <w:tc>
          <w:tcPr>
            <w:tcW w:w="10915" w:type="dxa"/>
          </w:tcPr>
          <w:p w14:paraId="6002603F" w14:textId="478759BB" w:rsidR="005E20ED" w:rsidRPr="005E20ED" w:rsidRDefault="005E20ED" w:rsidP="005E20ED">
            <w:pPr>
              <w:ind w:right="16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În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conformitate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prevederile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pct. 11 </w:t>
            </w:r>
            <w:proofErr w:type="spellStart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subpct</w:t>
            </w:r>
            <w:proofErr w:type="spellEnd"/>
            <w:r w:rsidRPr="005E20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21 lit. a)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şi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b)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din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Metodologia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analiză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impactului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procesul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fundamentare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proiectelor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acte normative,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aprobată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prin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Hotărârea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Guvernului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nr. 23/2019,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Analiza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Impactului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Reglementare</w:t>
            </w:r>
            <w:proofErr w:type="spellEnd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precum</w:t>
            </w:r>
            <w:proofErr w:type="spellEnd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și</w:t>
            </w:r>
            <w:proofErr w:type="spellEnd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proiectul</w:t>
            </w:r>
            <w:proofErr w:type="spellEnd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Hotărârii</w:t>
            </w:r>
            <w:proofErr w:type="spellEnd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Guvernului</w:t>
            </w:r>
            <w:proofErr w:type="spellEnd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privire</w:t>
            </w:r>
            <w:proofErr w:type="spellEnd"/>
            <w:r w:rsidR="006968B7"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examenele</w:t>
            </w:r>
            <w:proofErr w:type="spellEnd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profilactice</w:t>
            </w:r>
            <w:proofErr w:type="spellEnd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obligatorii</w:t>
            </w:r>
            <w:proofErr w:type="spellEnd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lucrătorilor</w:t>
            </w:r>
            <w:proofErr w:type="spellEnd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,</w:t>
            </w:r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</w:t>
            </w:r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</w:t>
            </w:r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fost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supus</w:t>
            </w:r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expertizării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ședinț</w:t>
            </w:r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ele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Grupului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lucru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Comisiei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stat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reglementarea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activității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</w:t>
            </w:r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nt</w:t>
            </w:r>
            <w:r w:rsidR="005B359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</w:t>
            </w:r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prinzător</w:t>
            </w:r>
            <w:proofErr w:type="spellEnd"/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19.09.2023</w:t>
            </w:r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, (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proces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verbal nr. 35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din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19 </w:t>
            </w:r>
            <w:proofErr w:type="spellStart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septembrie</w:t>
            </w:r>
            <w:proofErr w:type="spellEnd"/>
            <w:r w:rsidRP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2023)</w:t>
            </w:r>
            <w:r w:rsidR="006968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, la data de</w:t>
            </w:r>
            <w:r w:rsidR="002F33C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31.10.2023.</w:t>
            </w:r>
          </w:p>
          <w:p w14:paraId="15B91C1F" w14:textId="4458AD06" w:rsidR="005E20ED" w:rsidRPr="005E20ED" w:rsidRDefault="005E20ED" w:rsidP="005E20ED">
            <w:pPr>
              <w:ind w:right="16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 concluzia expertize</w:t>
            </w:r>
            <w:r w:rsidR="002F33C3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lor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efectuate se menționează despre susținerea proiectului cu condiția perfecționării document</w:t>
            </w:r>
            <w:r w:rsidR="002F33C3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elor</w:t>
            </w:r>
            <w:r w:rsidRPr="005E20E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în conformitate cu obiecțiile și recomandările expuse. </w:t>
            </w:r>
            <w:r w:rsidRPr="002F33C3">
              <w:rPr>
                <w:rFonts w:asciiTheme="majorBidi" w:hAnsiTheme="majorBidi" w:cstheme="majorBidi"/>
                <w:sz w:val="24"/>
                <w:szCs w:val="24"/>
                <w:lang w:val="ro-RO"/>
              </w:rPr>
              <w:t>Proiectul a fost ajustat conform propunerilor.</w:t>
            </w:r>
          </w:p>
        </w:tc>
      </w:tr>
    </w:tbl>
    <w:p w14:paraId="2C996578" w14:textId="77777777" w:rsidR="00F27381" w:rsidRDefault="00F27381" w:rsidP="006A39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8BBC9F" w14:textId="77777777" w:rsidR="005E20ED" w:rsidRDefault="005E20ED" w:rsidP="006A39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E4C7D2" w14:textId="77777777" w:rsidR="005E20ED" w:rsidRDefault="005E20ED" w:rsidP="006A39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CD0FF5" w14:textId="77777777" w:rsidR="005E20ED" w:rsidRDefault="005E20ED" w:rsidP="006A39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FE9A05" w14:textId="662DDB37" w:rsidR="005E20ED" w:rsidRPr="005E20ED" w:rsidRDefault="005E20ED" w:rsidP="006A393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20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Secretar de stat                                             </w:t>
      </w:r>
      <w:r w:rsidR="0062758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5E20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Angela PARASCHIV</w:t>
      </w:r>
    </w:p>
    <w:sectPr w:rsidR="005E20ED" w:rsidRPr="005E20ED" w:rsidSect="005124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FF1"/>
    <w:multiLevelType w:val="hybridMultilevel"/>
    <w:tmpl w:val="732A70C8"/>
    <w:lvl w:ilvl="0" w:tplc="C8F28AAC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44467"/>
    <w:multiLevelType w:val="hybridMultilevel"/>
    <w:tmpl w:val="16B447DC"/>
    <w:lvl w:ilvl="0" w:tplc="78222F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077CF"/>
    <w:multiLevelType w:val="hybridMultilevel"/>
    <w:tmpl w:val="3DA8CA5E"/>
    <w:lvl w:ilvl="0" w:tplc="2C4245FC">
      <w:start w:val="1"/>
      <w:numFmt w:val="decimal"/>
      <w:lvlText w:val="%1."/>
      <w:lvlJc w:val="left"/>
      <w:pPr>
        <w:ind w:left="110" w:hanging="252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13"/>
        <w:sz w:val="28"/>
        <w:szCs w:val="28"/>
        <w:lang w:val="ro-RO" w:eastAsia="en-US" w:bidi="ar-SA"/>
      </w:rPr>
    </w:lvl>
    <w:lvl w:ilvl="1" w:tplc="97B81A12">
      <w:start w:val="1"/>
      <w:numFmt w:val="upperRoman"/>
      <w:lvlText w:val="%2."/>
      <w:lvlJc w:val="left"/>
      <w:pPr>
        <w:ind w:left="4280" w:hanging="231"/>
        <w:jc w:val="right"/>
      </w:pPr>
      <w:rPr>
        <w:rFonts w:ascii="Cambria" w:eastAsia="Cambria" w:hAnsi="Cambria" w:cs="Cambria" w:hint="default"/>
        <w:b/>
        <w:bCs/>
        <w:i w:val="0"/>
        <w:iCs w:val="0"/>
        <w:w w:val="126"/>
        <w:sz w:val="22"/>
        <w:szCs w:val="22"/>
        <w:lang w:val="ro-RO" w:eastAsia="en-US" w:bidi="ar-SA"/>
      </w:rPr>
    </w:lvl>
    <w:lvl w:ilvl="2" w:tplc="A8684BE2">
      <w:numFmt w:val="bullet"/>
      <w:lvlText w:val="•"/>
      <w:lvlJc w:val="left"/>
      <w:pPr>
        <w:ind w:left="4962" w:hanging="231"/>
      </w:pPr>
      <w:rPr>
        <w:rFonts w:hint="default"/>
        <w:lang w:val="ro-RO" w:eastAsia="en-US" w:bidi="ar-SA"/>
      </w:rPr>
    </w:lvl>
    <w:lvl w:ilvl="3" w:tplc="8B48AA76">
      <w:numFmt w:val="bullet"/>
      <w:lvlText w:val="•"/>
      <w:lvlJc w:val="left"/>
      <w:pPr>
        <w:ind w:left="5645" w:hanging="231"/>
      </w:pPr>
      <w:rPr>
        <w:rFonts w:hint="default"/>
        <w:lang w:val="ro-RO" w:eastAsia="en-US" w:bidi="ar-SA"/>
      </w:rPr>
    </w:lvl>
    <w:lvl w:ilvl="4" w:tplc="1F88F8EE">
      <w:numFmt w:val="bullet"/>
      <w:lvlText w:val="•"/>
      <w:lvlJc w:val="left"/>
      <w:pPr>
        <w:ind w:left="6328" w:hanging="231"/>
      </w:pPr>
      <w:rPr>
        <w:rFonts w:hint="default"/>
        <w:lang w:val="ro-RO" w:eastAsia="en-US" w:bidi="ar-SA"/>
      </w:rPr>
    </w:lvl>
    <w:lvl w:ilvl="5" w:tplc="57FA69BA">
      <w:numFmt w:val="bullet"/>
      <w:lvlText w:val="•"/>
      <w:lvlJc w:val="left"/>
      <w:pPr>
        <w:ind w:left="7011" w:hanging="231"/>
      </w:pPr>
      <w:rPr>
        <w:rFonts w:hint="default"/>
        <w:lang w:val="ro-RO" w:eastAsia="en-US" w:bidi="ar-SA"/>
      </w:rPr>
    </w:lvl>
    <w:lvl w:ilvl="6" w:tplc="7F7E959E">
      <w:numFmt w:val="bullet"/>
      <w:lvlText w:val="•"/>
      <w:lvlJc w:val="left"/>
      <w:pPr>
        <w:ind w:left="7694" w:hanging="231"/>
      </w:pPr>
      <w:rPr>
        <w:rFonts w:hint="default"/>
        <w:lang w:val="ro-RO" w:eastAsia="en-US" w:bidi="ar-SA"/>
      </w:rPr>
    </w:lvl>
    <w:lvl w:ilvl="7" w:tplc="7030649E">
      <w:numFmt w:val="bullet"/>
      <w:lvlText w:val="•"/>
      <w:lvlJc w:val="left"/>
      <w:pPr>
        <w:ind w:left="8377" w:hanging="231"/>
      </w:pPr>
      <w:rPr>
        <w:rFonts w:hint="default"/>
        <w:lang w:val="ro-RO" w:eastAsia="en-US" w:bidi="ar-SA"/>
      </w:rPr>
    </w:lvl>
    <w:lvl w:ilvl="8" w:tplc="682CD724">
      <w:numFmt w:val="bullet"/>
      <w:lvlText w:val="•"/>
      <w:lvlJc w:val="left"/>
      <w:pPr>
        <w:ind w:left="9059" w:hanging="231"/>
      </w:pPr>
      <w:rPr>
        <w:rFonts w:hint="default"/>
        <w:lang w:val="ro-RO" w:eastAsia="en-US" w:bidi="ar-SA"/>
      </w:rPr>
    </w:lvl>
  </w:abstractNum>
  <w:abstractNum w:abstractNumId="3" w15:restartNumberingAfterBreak="0">
    <w:nsid w:val="060D581F"/>
    <w:multiLevelType w:val="hybridMultilevel"/>
    <w:tmpl w:val="B68C9B0C"/>
    <w:lvl w:ilvl="0" w:tplc="C12E9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910"/>
    <w:multiLevelType w:val="hybridMultilevel"/>
    <w:tmpl w:val="0B88D806"/>
    <w:lvl w:ilvl="0" w:tplc="3ECA1E5C">
      <w:start w:val="1"/>
      <w:numFmt w:val="decimal"/>
      <w:lvlText w:val="%1."/>
      <w:lvlJc w:val="left"/>
      <w:pPr>
        <w:ind w:left="246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966" w:hanging="360"/>
      </w:pPr>
    </w:lvl>
    <w:lvl w:ilvl="2" w:tplc="0418001B" w:tentative="1">
      <w:start w:val="1"/>
      <w:numFmt w:val="lowerRoman"/>
      <w:lvlText w:val="%3."/>
      <w:lvlJc w:val="right"/>
      <w:pPr>
        <w:ind w:left="1686" w:hanging="180"/>
      </w:pPr>
    </w:lvl>
    <w:lvl w:ilvl="3" w:tplc="0418000F" w:tentative="1">
      <w:start w:val="1"/>
      <w:numFmt w:val="decimal"/>
      <w:lvlText w:val="%4."/>
      <w:lvlJc w:val="left"/>
      <w:pPr>
        <w:ind w:left="2406" w:hanging="360"/>
      </w:pPr>
    </w:lvl>
    <w:lvl w:ilvl="4" w:tplc="04180019" w:tentative="1">
      <w:start w:val="1"/>
      <w:numFmt w:val="lowerLetter"/>
      <w:lvlText w:val="%5."/>
      <w:lvlJc w:val="left"/>
      <w:pPr>
        <w:ind w:left="3126" w:hanging="360"/>
      </w:pPr>
    </w:lvl>
    <w:lvl w:ilvl="5" w:tplc="0418001B" w:tentative="1">
      <w:start w:val="1"/>
      <w:numFmt w:val="lowerRoman"/>
      <w:lvlText w:val="%6."/>
      <w:lvlJc w:val="right"/>
      <w:pPr>
        <w:ind w:left="3846" w:hanging="180"/>
      </w:pPr>
    </w:lvl>
    <w:lvl w:ilvl="6" w:tplc="0418000F" w:tentative="1">
      <w:start w:val="1"/>
      <w:numFmt w:val="decimal"/>
      <w:lvlText w:val="%7."/>
      <w:lvlJc w:val="left"/>
      <w:pPr>
        <w:ind w:left="4566" w:hanging="360"/>
      </w:pPr>
    </w:lvl>
    <w:lvl w:ilvl="7" w:tplc="04180019" w:tentative="1">
      <w:start w:val="1"/>
      <w:numFmt w:val="lowerLetter"/>
      <w:lvlText w:val="%8."/>
      <w:lvlJc w:val="left"/>
      <w:pPr>
        <w:ind w:left="5286" w:hanging="360"/>
      </w:pPr>
    </w:lvl>
    <w:lvl w:ilvl="8" w:tplc="0418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5" w15:restartNumberingAfterBreak="0">
    <w:nsid w:val="185400E1"/>
    <w:multiLevelType w:val="multilevel"/>
    <w:tmpl w:val="E7E4C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mbria" w:hAnsi="Times New Roman" w:cs="Times New Roman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6" w15:restartNumberingAfterBreak="0">
    <w:nsid w:val="22CE70AC"/>
    <w:multiLevelType w:val="hybridMultilevel"/>
    <w:tmpl w:val="818E9454"/>
    <w:lvl w:ilvl="0" w:tplc="041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7" w15:restartNumberingAfterBreak="0">
    <w:nsid w:val="265A7DCF"/>
    <w:multiLevelType w:val="hybridMultilevel"/>
    <w:tmpl w:val="01427CC2"/>
    <w:lvl w:ilvl="0" w:tplc="E31671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70DA"/>
    <w:multiLevelType w:val="hybridMultilevel"/>
    <w:tmpl w:val="EFFACF98"/>
    <w:lvl w:ilvl="0" w:tplc="DAB4BB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C6305"/>
    <w:multiLevelType w:val="hybridMultilevel"/>
    <w:tmpl w:val="F156EF72"/>
    <w:lvl w:ilvl="0" w:tplc="A68852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339DB"/>
    <w:multiLevelType w:val="hybridMultilevel"/>
    <w:tmpl w:val="65AE4434"/>
    <w:lvl w:ilvl="0" w:tplc="612A0ADE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8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5D792B5F"/>
    <w:multiLevelType w:val="hybridMultilevel"/>
    <w:tmpl w:val="89F28892"/>
    <w:lvl w:ilvl="0" w:tplc="3B70B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400F0"/>
    <w:multiLevelType w:val="hybridMultilevel"/>
    <w:tmpl w:val="54468A56"/>
    <w:lvl w:ilvl="0" w:tplc="041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6C0963BD"/>
    <w:multiLevelType w:val="hybridMultilevel"/>
    <w:tmpl w:val="2EAC0BC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A0ADE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541E5"/>
    <w:multiLevelType w:val="hybridMultilevel"/>
    <w:tmpl w:val="A4D8667E"/>
    <w:lvl w:ilvl="0" w:tplc="D7383A66">
      <w:start w:val="1"/>
      <w:numFmt w:val="decimal"/>
      <w:lvlText w:val="%1."/>
      <w:lvlJc w:val="left"/>
      <w:pPr>
        <w:ind w:left="766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7A705A98"/>
    <w:multiLevelType w:val="hybridMultilevel"/>
    <w:tmpl w:val="65ACD1CC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3631">
    <w:abstractNumId w:val="1"/>
  </w:num>
  <w:num w:numId="2" w16cid:durableId="1436486833">
    <w:abstractNumId w:val="7"/>
  </w:num>
  <w:num w:numId="3" w16cid:durableId="1521434379">
    <w:abstractNumId w:val="15"/>
  </w:num>
  <w:num w:numId="4" w16cid:durableId="1536112483">
    <w:abstractNumId w:val="0"/>
  </w:num>
  <w:num w:numId="5" w16cid:durableId="2038890574">
    <w:abstractNumId w:val="6"/>
  </w:num>
  <w:num w:numId="6" w16cid:durableId="228808007">
    <w:abstractNumId w:val="10"/>
  </w:num>
  <w:num w:numId="7" w16cid:durableId="1549756820">
    <w:abstractNumId w:val="13"/>
  </w:num>
  <w:num w:numId="8" w16cid:durableId="1349406816">
    <w:abstractNumId w:val="12"/>
  </w:num>
  <w:num w:numId="9" w16cid:durableId="934903310">
    <w:abstractNumId w:val="11"/>
  </w:num>
  <w:num w:numId="10" w16cid:durableId="697005268">
    <w:abstractNumId w:val="9"/>
  </w:num>
  <w:num w:numId="11" w16cid:durableId="1826510938">
    <w:abstractNumId w:val="3"/>
  </w:num>
  <w:num w:numId="12" w16cid:durableId="1425954807">
    <w:abstractNumId w:val="2"/>
  </w:num>
  <w:num w:numId="13" w16cid:durableId="1253391991">
    <w:abstractNumId w:val="5"/>
  </w:num>
  <w:num w:numId="14" w16cid:durableId="807817594">
    <w:abstractNumId w:val="14"/>
  </w:num>
  <w:num w:numId="15" w16cid:durableId="1523126508">
    <w:abstractNumId w:val="8"/>
  </w:num>
  <w:num w:numId="16" w16cid:durableId="1280724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BB7"/>
    <w:rsid w:val="00027BD7"/>
    <w:rsid w:val="00050045"/>
    <w:rsid w:val="000578B0"/>
    <w:rsid w:val="0006494A"/>
    <w:rsid w:val="000746BC"/>
    <w:rsid w:val="00077CC2"/>
    <w:rsid w:val="000B4F59"/>
    <w:rsid w:val="000C7BB7"/>
    <w:rsid w:val="000D3466"/>
    <w:rsid w:val="000D5226"/>
    <w:rsid w:val="000E0D6A"/>
    <w:rsid w:val="000F7E38"/>
    <w:rsid w:val="00111C01"/>
    <w:rsid w:val="001519E1"/>
    <w:rsid w:val="001536A2"/>
    <w:rsid w:val="00164106"/>
    <w:rsid w:val="00173722"/>
    <w:rsid w:val="001C1441"/>
    <w:rsid w:val="001E1870"/>
    <w:rsid w:val="001E7EE1"/>
    <w:rsid w:val="00210525"/>
    <w:rsid w:val="0021418B"/>
    <w:rsid w:val="00265119"/>
    <w:rsid w:val="00297C70"/>
    <w:rsid w:val="002A37FA"/>
    <w:rsid w:val="002A63C2"/>
    <w:rsid w:val="002C53EA"/>
    <w:rsid w:val="002C6CAE"/>
    <w:rsid w:val="002D7EDC"/>
    <w:rsid w:val="002F33C3"/>
    <w:rsid w:val="003063C2"/>
    <w:rsid w:val="003258B0"/>
    <w:rsid w:val="00334F37"/>
    <w:rsid w:val="003569F2"/>
    <w:rsid w:val="003648B1"/>
    <w:rsid w:val="00365333"/>
    <w:rsid w:val="003A7A94"/>
    <w:rsid w:val="003B61CC"/>
    <w:rsid w:val="003C2761"/>
    <w:rsid w:val="003C3920"/>
    <w:rsid w:val="003F431C"/>
    <w:rsid w:val="0040753F"/>
    <w:rsid w:val="00441430"/>
    <w:rsid w:val="004616AD"/>
    <w:rsid w:val="00486168"/>
    <w:rsid w:val="00490E50"/>
    <w:rsid w:val="00495F54"/>
    <w:rsid w:val="004E3E3D"/>
    <w:rsid w:val="00512472"/>
    <w:rsid w:val="0052057A"/>
    <w:rsid w:val="00522F44"/>
    <w:rsid w:val="00570356"/>
    <w:rsid w:val="00594376"/>
    <w:rsid w:val="005B3597"/>
    <w:rsid w:val="005D2A9A"/>
    <w:rsid w:val="005E20ED"/>
    <w:rsid w:val="0062758E"/>
    <w:rsid w:val="00657C4F"/>
    <w:rsid w:val="006948EC"/>
    <w:rsid w:val="006968B7"/>
    <w:rsid w:val="006A393E"/>
    <w:rsid w:val="006C1F9E"/>
    <w:rsid w:val="006E29E1"/>
    <w:rsid w:val="00712361"/>
    <w:rsid w:val="00773508"/>
    <w:rsid w:val="0078349A"/>
    <w:rsid w:val="00784997"/>
    <w:rsid w:val="007C21D2"/>
    <w:rsid w:val="007D53B8"/>
    <w:rsid w:val="007F0E93"/>
    <w:rsid w:val="0080174B"/>
    <w:rsid w:val="00823859"/>
    <w:rsid w:val="00824CD4"/>
    <w:rsid w:val="00872D8D"/>
    <w:rsid w:val="00876D4F"/>
    <w:rsid w:val="008A064B"/>
    <w:rsid w:val="008B1C88"/>
    <w:rsid w:val="008E2E39"/>
    <w:rsid w:val="008E6FC3"/>
    <w:rsid w:val="008F06ED"/>
    <w:rsid w:val="009133C6"/>
    <w:rsid w:val="009219FC"/>
    <w:rsid w:val="00926102"/>
    <w:rsid w:val="00955E41"/>
    <w:rsid w:val="00976A5C"/>
    <w:rsid w:val="00987DAE"/>
    <w:rsid w:val="00995709"/>
    <w:rsid w:val="009A2900"/>
    <w:rsid w:val="009A56E4"/>
    <w:rsid w:val="009B065E"/>
    <w:rsid w:val="009F1D5C"/>
    <w:rsid w:val="00A02E64"/>
    <w:rsid w:val="00A035C8"/>
    <w:rsid w:val="00A50771"/>
    <w:rsid w:val="00A601AC"/>
    <w:rsid w:val="00A62256"/>
    <w:rsid w:val="00A649DA"/>
    <w:rsid w:val="00A662E8"/>
    <w:rsid w:val="00A85ABE"/>
    <w:rsid w:val="00AA001D"/>
    <w:rsid w:val="00AB1D1F"/>
    <w:rsid w:val="00AB46FA"/>
    <w:rsid w:val="00AC2160"/>
    <w:rsid w:val="00AD3611"/>
    <w:rsid w:val="00B2341A"/>
    <w:rsid w:val="00B62CEE"/>
    <w:rsid w:val="00B902C0"/>
    <w:rsid w:val="00BB4982"/>
    <w:rsid w:val="00BC0333"/>
    <w:rsid w:val="00BC2F9F"/>
    <w:rsid w:val="00BF7677"/>
    <w:rsid w:val="00C22305"/>
    <w:rsid w:val="00C229F2"/>
    <w:rsid w:val="00C555E0"/>
    <w:rsid w:val="00C75A2E"/>
    <w:rsid w:val="00C80939"/>
    <w:rsid w:val="00C81279"/>
    <w:rsid w:val="00C81498"/>
    <w:rsid w:val="00C933DB"/>
    <w:rsid w:val="00CB6A34"/>
    <w:rsid w:val="00CC4521"/>
    <w:rsid w:val="00CD2BDF"/>
    <w:rsid w:val="00CE36E6"/>
    <w:rsid w:val="00CE4185"/>
    <w:rsid w:val="00CE76E4"/>
    <w:rsid w:val="00D06F33"/>
    <w:rsid w:val="00D702DD"/>
    <w:rsid w:val="00D7496A"/>
    <w:rsid w:val="00DD5FB3"/>
    <w:rsid w:val="00DD665F"/>
    <w:rsid w:val="00DE0FC5"/>
    <w:rsid w:val="00DE38E8"/>
    <w:rsid w:val="00DE3903"/>
    <w:rsid w:val="00E171B4"/>
    <w:rsid w:val="00E32B72"/>
    <w:rsid w:val="00E6711F"/>
    <w:rsid w:val="00E86A7E"/>
    <w:rsid w:val="00E971DD"/>
    <w:rsid w:val="00EE2CE0"/>
    <w:rsid w:val="00EE4E61"/>
    <w:rsid w:val="00F2737E"/>
    <w:rsid w:val="00F27381"/>
    <w:rsid w:val="00F51FCC"/>
    <w:rsid w:val="00F641DE"/>
    <w:rsid w:val="00F82F60"/>
    <w:rsid w:val="00FA1677"/>
    <w:rsid w:val="00FA4E92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91D9"/>
  <w15:docId w15:val="{FE423111-6077-43DA-A4B9-EA09AFE8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C88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8B1C8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B1C88"/>
    <w:rPr>
      <w:i/>
      <w:iCs/>
      <w:color w:val="000000" w:themeColor="text1"/>
    </w:rPr>
  </w:style>
  <w:style w:type="paragraph" w:styleId="a4">
    <w:name w:val="Intense Quote"/>
    <w:basedOn w:val="a"/>
    <w:next w:val="a"/>
    <w:link w:val="a5"/>
    <w:uiPriority w:val="30"/>
    <w:qFormat/>
    <w:rsid w:val="008B1C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B1C88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82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"/>
    <w:basedOn w:val="a"/>
    <w:link w:val="a8"/>
    <w:uiPriority w:val="34"/>
    <w:qFormat/>
    <w:rsid w:val="00824C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E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0D6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D665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D665F"/>
    <w:rPr>
      <w:color w:val="605E5C"/>
      <w:shd w:val="clear" w:color="auto" w:fill="E1DFDD"/>
    </w:rPr>
  </w:style>
  <w:style w:type="character" w:customStyle="1" w:styleId="a8">
    <w:name w:val="Абзац списка Знак"/>
    <w:aliases w:val="Numbered Para 1 Знак,Dot pt Знак,No Spacing1 Знак,List Paragraph Char Char Char Знак,Indicator Text Знак,List Paragraph1 Знак,Bullet 1 Знак,Bullet Points Знак,F5 List Paragraph Знак,Colorful List - Accent 11 Знак,List Paragraph2 Знак"/>
    <w:link w:val="a7"/>
    <w:uiPriority w:val="34"/>
    <w:qFormat/>
    <w:locked/>
    <w:rsid w:val="008E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ministerul-sanatatii-prezinta-spre-consultari-publice-proiectul-hotararii-guvernului-cu-privire-la-organizarea-si-desfasurarea-examenelor-medicale-profilactice-obligatorii-ale-angajatilor-si-persoanelor-care-practica-munca-individualaconsultarile-vor-avea-loc-in-incinta-ministerului-sanatatii-sala-mare-et2-str-v-alecsandri-2-mun-chisinau/112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anunt-privindinitierea-procesului-de-elaborare-a-proiectului-hotararii-guvernului-cu-privire-la-organizarea-sidesfasurarea-examenelor-medicale-profilactice-obligatorii-ale-angajatilor-si-persoanelor-care-practicamunca-individuala/11029" TargetMode="Externa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7015</TotalTime>
  <Pages>4</Pages>
  <Words>2317</Words>
  <Characters>13441</Characters>
  <Application>Microsoft Office Word</Application>
  <DocSecurity>0</DocSecurity>
  <Lines>112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User™</dc:creator>
  <cp:keywords/>
  <dc:description/>
  <cp:lastModifiedBy>Serviciul Programe Nationale</cp:lastModifiedBy>
  <cp:revision>4</cp:revision>
  <cp:lastPrinted>2023-11-01T10:49:00Z</cp:lastPrinted>
  <dcterms:created xsi:type="dcterms:W3CDTF">2023-04-28T22:03:00Z</dcterms:created>
  <dcterms:modified xsi:type="dcterms:W3CDTF">2023-11-03T07:13:00Z</dcterms:modified>
</cp:coreProperties>
</file>