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AC" w:rsidRDefault="003736AC" w:rsidP="003736A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en-US"/>
        </w:rPr>
      </w:pPr>
      <w:r>
        <w:rPr>
          <w:rFonts w:ascii="13" w:hAnsi="13"/>
          <w:b/>
          <w:sz w:val="26"/>
          <w:szCs w:val="26"/>
          <w:lang w:val="en-US"/>
        </w:rPr>
        <w:t>SINTEZA</w:t>
      </w:r>
    </w:p>
    <w:p w:rsidR="00A5202C" w:rsidRDefault="00331AF4" w:rsidP="003736A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ro-MD"/>
        </w:rPr>
      </w:pPr>
      <w:r w:rsidRPr="00331AF4">
        <w:rPr>
          <w:rFonts w:ascii="13" w:hAnsi="13"/>
          <w:b/>
          <w:sz w:val="26"/>
          <w:szCs w:val="26"/>
          <w:lang w:val="ro-MD"/>
        </w:rPr>
        <w:t>obiecțiilor</w:t>
      </w:r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</w:t>
      </w:r>
      <w:proofErr w:type="spellStart"/>
      <w:r w:rsidR="003736AC" w:rsidRPr="00331AF4">
        <w:rPr>
          <w:rFonts w:ascii="13" w:hAnsi="13"/>
          <w:b/>
          <w:sz w:val="26"/>
          <w:szCs w:val="26"/>
          <w:lang w:val="ro-MD"/>
        </w:rPr>
        <w:t>şi</w:t>
      </w:r>
      <w:proofErr w:type="spellEnd"/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propunerilor la proiectul </w:t>
      </w:r>
      <w:r w:rsidR="00A5202C">
        <w:rPr>
          <w:rFonts w:ascii="13" w:hAnsi="13"/>
          <w:b/>
          <w:sz w:val="26"/>
          <w:szCs w:val="26"/>
          <w:lang w:val="ro-MD"/>
        </w:rPr>
        <w:t>h</w:t>
      </w:r>
      <w:r w:rsidRPr="00331AF4">
        <w:rPr>
          <w:rFonts w:ascii="13" w:hAnsi="13"/>
          <w:b/>
          <w:sz w:val="26"/>
          <w:szCs w:val="26"/>
          <w:lang w:val="ro-MD"/>
        </w:rPr>
        <w:t>otărârii</w:t>
      </w:r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Guvernului cu privire la</w:t>
      </w:r>
      <w:r w:rsidR="00A5202C">
        <w:rPr>
          <w:rFonts w:ascii="13" w:hAnsi="13"/>
          <w:b/>
          <w:sz w:val="26"/>
          <w:szCs w:val="26"/>
          <w:lang w:val="ro-MD"/>
        </w:rPr>
        <w:t xml:space="preserve"> alocarea </w:t>
      </w:r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</w:t>
      </w:r>
      <w:r w:rsidR="00A5202C">
        <w:rPr>
          <w:rFonts w:ascii="13" w:hAnsi="13"/>
          <w:b/>
          <w:sz w:val="26"/>
          <w:szCs w:val="26"/>
          <w:lang w:val="ro-MD"/>
        </w:rPr>
        <w:t xml:space="preserve">mijloacelor financiare </w:t>
      </w:r>
    </w:p>
    <w:p w:rsidR="003736AC" w:rsidRPr="00331AF4" w:rsidRDefault="00A5202C" w:rsidP="003736A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ro-MD"/>
        </w:rPr>
      </w:pPr>
      <w:r>
        <w:rPr>
          <w:rFonts w:ascii="13" w:hAnsi="13"/>
          <w:b/>
          <w:sz w:val="26"/>
          <w:szCs w:val="26"/>
          <w:lang w:val="ro-MD"/>
        </w:rPr>
        <w:t>(număr unic 9</w:t>
      </w:r>
      <w:r w:rsidR="005D7354">
        <w:rPr>
          <w:rFonts w:ascii="13" w:hAnsi="13"/>
          <w:b/>
          <w:sz w:val="26"/>
          <w:szCs w:val="26"/>
          <w:lang w:val="ro-MD"/>
        </w:rPr>
        <w:t>41</w:t>
      </w:r>
      <w:r>
        <w:rPr>
          <w:rFonts w:ascii="13" w:hAnsi="13"/>
          <w:b/>
          <w:sz w:val="26"/>
          <w:szCs w:val="26"/>
          <w:lang w:val="ro-MD"/>
        </w:rPr>
        <w:t>/MAI/2023)</w:t>
      </w:r>
      <w:r w:rsidR="00E90446">
        <w:rPr>
          <w:rFonts w:ascii="13" w:hAnsi="13"/>
          <w:b/>
          <w:sz w:val="26"/>
          <w:szCs w:val="26"/>
          <w:lang w:val="ro-MD"/>
        </w:rPr>
        <w:t xml:space="preserve"> 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6347"/>
        <w:gridCol w:w="5669"/>
      </w:tblGrid>
      <w:tr w:rsidR="003736AC" w:rsidRPr="00E90446" w:rsidTr="00DA4A9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Participantul la avizare (expertizare)/consultare publică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331AF4" w:rsidRDefault="00331AF4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Conținutul</w:t>
            </w:r>
            <w:r w:rsidR="003736AC"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 </w:t>
            </w: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obiecției</w:t>
            </w:r>
            <w:r w:rsidR="003736AC"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/</w:t>
            </w:r>
          </w:p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propunerii (recomandării)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Argumentarea </w:t>
            </w:r>
          </w:p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autorului proiectului</w:t>
            </w:r>
          </w:p>
        </w:tc>
      </w:tr>
      <w:tr w:rsidR="00CF4B86" w:rsidRPr="00E76F0F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46" w:rsidRDefault="00640BD8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 w:rsidRPr="00640BD8">
              <w:rPr>
                <w:rFonts w:ascii="13" w:hAnsi="13"/>
                <w:b/>
                <w:sz w:val="26"/>
                <w:szCs w:val="26"/>
                <w:lang w:val="en-US" w:eastAsia="en-US"/>
              </w:rPr>
              <w:t>Ministerul</w:t>
            </w:r>
            <w:proofErr w:type="spellEnd"/>
            <w:r w:rsidRPr="00640BD8"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640BD8">
              <w:rPr>
                <w:rFonts w:ascii="13" w:hAnsi="13"/>
                <w:b/>
                <w:sz w:val="26"/>
                <w:szCs w:val="26"/>
                <w:lang w:val="en-US" w:eastAsia="en-US"/>
              </w:rPr>
              <w:t>Finanțelor</w:t>
            </w:r>
            <w:proofErr w:type="spellEnd"/>
          </w:p>
          <w:p w:rsidR="00640BD8" w:rsidRPr="00640BD8" w:rsidRDefault="00640BD8" w:rsidP="005D7354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640BD8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="00D90F3F">
              <w:rPr>
                <w:rFonts w:ascii="13" w:hAnsi="13"/>
                <w:sz w:val="26"/>
                <w:szCs w:val="26"/>
                <w:lang w:val="en-US" w:eastAsia="en-US"/>
              </w:rPr>
              <w:t xml:space="preserve">. </w:t>
            </w:r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07/2-03/171/1592 din 26.10.2023)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54" w:rsidRPr="00E90446" w:rsidRDefault="00640BD8" w:rsidP="005D7354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La pct. 1, </w:t>
            </w:r>
            <w:proofErr w:type="spellStart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alin</w:t>
            </w:r>
            <w:proofErr w:type="spellEnd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. 1) din </w:t>
            </w:r>
            <w:proofErr w:type="spellStart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proiectul</w:t>
            </w:r>
            <w:proofErr w:type="spellEnd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hotărârii</w:t>
            </w:r>
            <w:proofErr w:type="spellEnd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cifrele</w:t>
            </w:r>
            <w:proofErr w:type="spellEnd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 „1 272,4” se </w:t>
            </w:r>
            <w:proofErr w:type="spellStart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propun</w:t>
            </w:r>
            <w:proofErr w:type="spellEnd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substituit</w:t>
            </w:r>
            <w:proofErr w:type="spellEnd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 cu </w:t>
            </w:r>
            <w:proofErr w:type="spellStart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cifrele</w:t>
            </w:r>
            <w:proofErr w:type="spellEnd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 „1 321,5”, cu </w:t>
            </w:r>
            <w:proofErr w:type="spellStart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ajustarea</w:t>
            </w:r>
            <w:proofErr w:type="spellEnd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corespunzătoare</w:t>
            </w:r>
            <w:proofErr w:type="spellEnd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 a </w:t>
            </w:r>
            <w:proofErr w:type="spellStart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Notei</w:t>
            </w:r>
            <w:proofErr w:type="spellEnd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 informative la </w:t>
            </w:r>
            <w:proofErr w:type="spellStart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proiectul</w:t>
            </w:r>
            <w:proofErr w:type="spellEnd"/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 xml:space="preserve"> propus. </w:t>
            </w: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</w:t>
            </w:r>
          </w:p>
          <w:p w:rsidR="00CF4B86" w:rsidRPr="00E90446" w:rsidRDefault="00CF4B86" w:rsidP="0088189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B86" w:rsidRDefault="00E76F0F" w:rsidP="0010582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Se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acceptă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</w:tr>
      <w:tr w:rsidR="00D90F3F" w:rsidRPr="00E76F0F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F" w:rsidRDefault="00D90F3F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Ministerul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Muncii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și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Protecției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Sociale</w:t>
            </w:r>
            <w:proofErr w:type="spellEnd"/>
          </w:p>
          <w:p w:rsidR="00D90F3F" w:rsidRPr="00D90F3F" w:rsidRDefault="00D90F3F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D90F3F">
              <w:rPr>
                <w:rFonts w:ascii="13" w:hAnsi="13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D90F3F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D90F3F">
              <w:rPr>
                <w:rFonts w:ascii="13" w:hAnsi="13"/>
                <w:sz w:val="26"/>
                <w:szCs w:val="26"/>
                <w:lang w:val="en-US" w:eastAsia="en-US"/>
              </w:rPr>
              <w:t xml:space="preserve">. </w:t>
            </w:r>
            <w:r w:rsidR="00E76F0F">
              <w:rPr>
                <w:rFonts w:ascii="13" w:hAnsi="13"/>
                <w:sz w:val="26"/>
                <w:szCs w:val="26"/>
                <w:lang w:val="en-US" w:eastAsia="en-US"/>
              </w:rPr>
              <w:t>21/4415 din 02.11.2023</w:t>
            </w:r>
            <w:r w:rsidRPr="00D90F3F">
              <w:rPr>
                <w:rFonts w:ascii="13" w:hAnsi="13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F" w:rsidRDefault="00E76F0F" w:rsidP="005D7354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limita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competențelor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funcționale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comunică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susținerea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proiectului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  <w:p w:rsidR="00E76F0F" w:rsidRDefault="00E76F0F" w:rsidP="009F1EE4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Totodată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, cu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titlul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informativ</w:t>
            </w:r>
            <w:bookmarkStart w:id="0" w:name="_GoBack"/>
            <w:bookmarkEnd w:id="0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relatăm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că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pct. 1 la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proiect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suma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mijloacelor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financiare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totale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va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fi 1321,5 (1067,1 mii lei + 254,2 mii lei).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3F" w:rsidRDefault="00E76F0F" w:rsidP="0010582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Se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acceptă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</w:tr>
      <w:tr w:rsidR="002A79E6" w:rsidRPr="00C70A7F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9" w:rsidRDefault="00E36FA6" w:rsidP="00E36FA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Ministerul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Infrastructurii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și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Dezvoltării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Regionale</w:t>
            </w:r>
            <w:proofErr w:type="spellEnd"/>
          </w:p>
          <w:p w:rsidR="00E36FA6" w:rsidRPr="00E36FA6" w:rsidRDefault="00E36FA6" w:rsidP="005D735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E36FA6">
              <w:rPr>
                <w:rFonts w:ascii="13" w:hAnsi="13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E36FA6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E36FA6">
              <w:rPr>
                <w:rFonts w:ascii="13" w:hAnsi="13"/>
                <w:sz w:val="26"/>
                <w:szCs w:val="26"/>
                <w:lang w:val="en-US" w:eastAsia="en-US"/>
              </w:rPr>
              <w:t>. 21-5</w:t>
            </w:r>
            <w:r w:rsidR="005D7354">
              <w:rPr>
                <w:rFonts w:ascii="13" w:hAnsi="13"/>
                <w:sz w:val="26"/>
                <w:szCs w:val="26"/>
                <w:lang w:val="en-US" w:eastAsia="en-US"/>
              </w:rPr>
              <w:t>470</w:t>
            </w:r>
            <w:r w:rsidRPr="00E36FA6">
              <w:rPr>
                <w:rFonts w:ascii="13" w:hAnsi="13"/>
                <w:sz w:val="26"/>
                <w:szCs w:val="26"/>
                <w:lang w:val="en-US" w:eastAsia="en-US"/>
              </w:rPr>
              <w:t xml:space="preserve"> din </w:t>
            </w:r>
            <w:r w:rsidR="005D7354">
              <w:rPr>
                <w:rFonts w:ascii="13" w:hAnsi="13"/>
                <w:sz w:val="26"/>
                <w:szCs w:val="26"/>
                <w:lang w:val="en-US" w:eastAsia="en-US"/>
              </w:rPr>
              <w:t>27</w:t>
            </w:r>
            <w:r w:rsidRPr="00E36FA6">
              <w:rPr>
                <w:rFonts w:ascii="13" w:hAnsi="13"/>
                <w:sz w:val="26"/>
                <w:szCs w:val="26"/>
                <w:lang w:val="en-US" w:eastAsia="en-US"/>
              </w:rPr>
              <w:t>.10.2023)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54" w:rsidRDefault="005D7354" w:rsidP="00ED785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La pct. 1 din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proiectul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hotărârii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Guvern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, de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revizuit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suma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mijloacelor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financiare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propuse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spre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alocare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din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fondul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intervenție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al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Guvernului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(1 272,4 mii lei),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ori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potrivit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subpunctelor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1)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2) al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punctului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respectiv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precum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a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Dispoziției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Comisiei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Situații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Excepționale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a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Republicii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Moldova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. 89 din 20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octombrie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2023,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suma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totală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ce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urmează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a fi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alocată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beneficiarilor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mijloacelor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financiare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este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de 1 321.5 mii lei. </w:t>
            </w:r>
          </w:p>
          <w:p w:rsidR="002A79E6" w:rsidRPr="005D7354" w:rsidRDefault="005D7354" w:rsidP="00ED7856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Concomitent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datele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respective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urmează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a fi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rectificate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proiectul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>Notei</w:t>
            </w:r>
            <w:proofErr w:type="spellEnd"/>
            <w:r w:rsidRP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 informative.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Default="00C70A7F" w:rsidP="005D735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>S</w:t>
            </w:r>
            <w:r w:rsidR="005D7354">
              <w:rPr>
                <w:rFonts w:ascii="13" w:hAnsi="13"/>
                <w:sz w:val="26"/>
                <w:szCs w:val="26"/>
                <w:lang w:val="en-US" w:eastAsia="en-US"/>
              </w:rPr>
              <w:t xml:space="preserve">e </w:t>
            </w:r>
            <w:proofErr w:type="spellStart"/>
            <w:r w:rsidR="005D7354">
              <w:rPr>
                <w:rFonts w:ascii="13" w:hAnsi="13"/>
                <w:sz w:val="26"/>
                <w:szCs w:val="26"/>
                <w:lang w:val="en-US" w:eastAsia="en-US"/>
              </w:rPr>
              <w:t>acceptă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. </w:t>
            </w:r>
          </w:p>
        </w:tc>
      </w:tr>
      <w:tr w:rsidR="009457C5" w:rsidRPr="0019112C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F4" w:rsidRDefault="00C70A7F" w:rsidP="008178F4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Ministerul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Justiției</w:t>
            </w:r>
            <w:proofErr w:type="spellEnd"/>
          </w:p>
          <w:p w:rsidR="00C70A7F" w:rsidRPr="0019112C" w:rsidRDefault="00C70A7F" w:rsidP="00AC777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19112C">
              <w:rPr>
                <w:rFonts w:ascii="13" w:hAnsi="13"/>
                <w:sz w:val="26"/>
                <w:szCs w:val="26"/>
                <w:lang w:val="en-US" w:eastAsia="en-US"/>
              </w:rPr>
              <w:t>(nr</w:t>
            </w:r>
            <w:r w:rsidR="00AC7770">
              <w:rPr>
                <w:rFonts w:ascii="13" w:hAnsi="13"/>
                <w:sz w:val="26"/>
                <w:szCs w:val="26"/>
                <w:lang w:val="en-US" w:eastAsia="en-US"/>
              </w:rPr>
              <w:t>.04/1-9430 din 30.10.2023</w:t>
            </w:r>
            <w:r w:rsidRPr="0019112C">
              <w:rPr>
                <w:rFonts w:ascii="13" w:hAnsi="13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C3" w:rsidRDefault="00AC7770" w:rsidP="009457C5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Potrivit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notei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informative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însoțește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proiectul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de act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normativ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proiectul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propune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spre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aprobare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alocarea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din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fondul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intervenție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al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Guvernului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mijloace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financiare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sumă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de 1 272,4 mii lei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lichidarea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consecințelor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situației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excepționale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cu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caracter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natural (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vijelie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ploi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torențiale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vânt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puternic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) din 25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iulie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2023,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după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cum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urmează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: - 1 067,1 mii lei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Consiliului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raional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Edineț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lastRenderedPageBreak/>
              <w:t>reparația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acoperișului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Instituției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Publice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Gimnaziul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„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Viorel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Prisăcaru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” din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satul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Gașpar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raionul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Edineț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; - 254,4 mii lei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Ministerului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Muncii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Protecției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Sociale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reparația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acoperișurilor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dintre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care: -205,3 mii lei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Centrul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plasament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temporar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persoane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cu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dizabilități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comuna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Brânzeni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raionul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Edineț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- 49,1 mii lei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Centrul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plasament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temporar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pentru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persoane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cu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dizabilități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din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comuna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Bădiceni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raionul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Soroca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.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acest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context,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suma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mijloacelor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financiare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care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urmează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a fi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acordate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Consiliului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raional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Edineț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(1 067,1 mii lei)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Ministerului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Muncii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Protecției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Sociale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(254,4 mii lei)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excedă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suma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indicată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la pct. 1 din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proiect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(1 272,4 mii lei).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Prin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urmare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urmează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a fi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revăzut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concretizat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cuantumul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mijloacelor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financiare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urmează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a fi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alocate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din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fondul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intervenție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al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Guvernului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. </w:t>
            </w:r>
          </w:p>
          <w:p w:rsidR="009457C5" w:rsidRPr="00AC7770" w:rsidRDefault="00AC7770" w:rsidP="009457C5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Adițional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formula de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atestare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a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autenticității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actului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normativ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sintagma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„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Minist</w:t>
            </w:r>
            <w:r w:rsidRPr="00693F0B">
              <w:rPr>
                <w:rFonts w:ascii="13" w:hAnsi="13"/>
                <w:sz w:val="26"/>
                <w:szCs w:val="26"/>
                <w:u w:val="single"/>
                <w:lang w:val="en-US" w:eastAsia="en-US"/>
              </w:rPr>
              <w:t>e</w:t>
            </w:r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rul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Muncii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Protecției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Sociale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” se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va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substitui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cu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sintagma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„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Ministrul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muncii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protecției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sociale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”, or,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conformitate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cu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prevederile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art. 102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alin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. (4) din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Constituţia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Republicii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Moldova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şi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ale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Legii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. 136/2017 cu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privire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la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Guvern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hotărîrile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şi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ordonanţele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adoptate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Guvern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se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contrasemnează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693F0B">
              <w:rPr>
                <w:rFonts w:ascii="13" w:hAnsi="13"/>
                <w:sz w:val="26"/>
                <w:szCs w:val="26"/>
                <w:u w:val="single"/>
                <w:lang w:val="en-US" w:eastAsia="en-US"/>
              </w:rPr>
              <w:t>miniştrii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care au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obligaţia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punerii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acestora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AC7770">
              <w:rPr>
                <w:rFonts w:ascii="13" w:hAnsi="13"/>
                <w:sz w:val="26"/>
                <w:szCs w:val="26"/>
                <w:lang w:val="en-US" w:eastAsia="en-US"/>
              </w:rPr>
              <w:t>aplicare</w:t>
            </w:r>
            <w:proofErr w:type="spellEnd"/>
            <w:r w:rsidR="00A20757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Default="00AC7770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lastRenderedPageBreak/>
              <w:t xml:space="preserve">Se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acceptă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</w:tr>
      <w:tr w:rsidR="00572162" w:rsidRPr="00433320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62" w:rsidRDefault="00C70A7F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 w:rsidRPr="00C70A7F">
              <w:rPr>
                <w:rFonts w:ascii="13" w:hAnsi="13"/>
                <w:b/>
                <w:sz w:val="26"/>
                <w:szCs w:val="26"/>
                <w:lang w:val="en-US" w:eastAsia="en-US"/>
              </w:rPr>
              <w:lastRenderedPageBreak/>
              <w:t>Centrul</w:t>
            </w:r>
            <w:proofErr w:type="spellEnd"/>
            <w:r w:rsidRPr="00C70A7F"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C70A7F">
              <w:rPr>
                <w:rFonts w:ascii="13" w:hAnsi="13"/>
                <w:b/>
                <w:sz w:val="26"/>
                <w:szCs w:val="26"/>
                <w:lang w:val="en-US" w:eastAsia="en-US"/>
              </w:rPr>
              <w:t>Național</w:t>
            </w:r>
            <w:proofErr w:type="spellEnd"/>
            <w:r w:rsidRPr="00C70A7F"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C70A7F">
              <w:rPr>
                <w:rFonts w:ascii="13" w:hAnsi="13"/>
                <w:b/>
                <w:sz w:val="26"/>
                <w:szCs w:val="26"/>
                <w:lang w:val="en-US" w:eastAsia="en-US"/>
              </w:rPr>
              <w:t>Anticorupție</w:t>
            </w:r>
            <w:proofErr w:type="spellEnd"/>
          </w:p>
          <w:p w:rsidR="00C70A7F" w:rsidRPr="00FC75D4" w:rsidRDefault="00C70A7F" w:rsidP="005D7354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(nr.</w:t>
            </w:r>
            <w:r w:rsidR="00433320">
              <w:rPr>
                <w:rFonts w:ascii="13" w:hAnsi="13"/>
                <w:sz w:val="26"/>
                <w:szCs w:val="26"/>
                <w:lang w:val="en-US" w:eastAsia="en-US"/>
              </w:rPr>
              <w:t>06/2/17615 din 06.11.2023</w:t>
            </w:r>
            <w:r w:rsidRPr="00FC75D4">
              <w:rPr>
                <w:rFonts w:ascii="13" w:hAnsi="13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62" w:rsidRPr="00433320" w:rsidRDefault="00433320" w:rsidP="00433320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P</w:t>
            </w:r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>roiectul</w:t>
            </w:r>
            <w:proofErr w:type="spellEnd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 xml:space="preserve"> nu </w:t>
            </w:r>
            <w:proofErr w:type="spellStart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>conține</w:t>
            </w:r>
            <w:proofErr w:type="spellEnd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>factori</w:t>
            </w:r>
            <w:proofErr w:type="spellEnd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>risc</w:t>
            </w:r>
            <w:proofErr w:type="spellEnd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 xml:space="preserve"> care </w:t>
            </w:r>
            <w:proofErr w:type="spellStart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>să</w:t>
            </w:r>
            <w:proofErr w:type="spellEnd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>genereze</w:t>
            </w:r>
            <w:proofErr w:type="spellEnd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>apariția</w:t>
            </w:r>
            <w:proofErr w:type="spellEnd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>riscurilor</w:t>
            </w:r>
            <w:proofErr w:type="spellEnd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>corupție</w:t>
            </w:r>
            <w:proofErr w:type="spellEnd"/>
            <w:r w:rsidRPr="00433320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62" w:rsidRDefault="00433320" w:rsidP="0043332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S-a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luat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act.</w:t>
            </w:r>
          </w:p>
        </w:tc>
      </w:tr>
    </w:tbl>
    <w:p w:rsidR="004E551D" w:rsidRDefault="004E551D" w:rsidP="003736AC">
      <w:pPr>
        <w:rPr>
          <w:rFonts w:ascii="13" w:hAnsi="13"/>
          <w:sz w:val="26"/>
          <w:szCs w:val="26"/>
          <w:lang w:val="ro-RO"/>
        </w:rPr>
      </w:pPr>
    </w:p>
    <w:p w:rsidR="004E551D" w:rsidRPr="003C6EA2" w:rsidRDefault="005F65B4" w:rsidP="003736AC">
      <w:pPr>
        <w:rPr>
          <w:rFonts w:ascii="13" w:hAnsi="13"/>
          <w:b/>
          <w:sz w:val="26"/>
          <w:szCs w:val="26"/>
          <w:lang w:val="ro-RO"/>
        </w:rPr>
      </w:pPr>
      <w:r>
        <w:rPr>
          <w:rFonts w:ascii="13" w:hAnsi="13"/>
          <w:b/>
          <w:sz w:val="26"/>
          <w:szCs w:val="26"/>
          <w:lang w:val="ro-RO"/>
        </w:rPr>
        <w:t>Ministru</w:t>
      </w:r>
      <w:r w:rsidR="00DB5E5F">
        <w:rPr>
          <w:rFonts w:ascii="13" w:hAnsi="13"/>
          <w:b/>
          <w:sz w:val="26"/>
          <w:szCs w:val="26"/>
          <w:lang w:val="ro-RO"/>
        </w:rPr>
        <w:t xml:space="preserve">l afacerilor interne   </w:t>
      </w:r>
      <w:r w:rsidR="00DB5E5F"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</w:r>
      <w:r>
        <w:rPr>
          <w:rFonts w:ascii="13" w:hAnsi="13"/>
          <w:b/>
          <w:sz w:val="26"/>
          <w:szCs w:val="26"/>
          <w:lang w:val="ro-RO"/>
        </w:rPr>
        <w:tab/>
        <w:t xml:space="preserve">    </w:t>
      </w:r>
      <w:r>
        <w:rPr>
          <w:rFonts w:ascii="13" w:hAnsi="13"/>
          <w:b/>
          <w:sz w:val="26"/>
          <w:szCs w:val="26"/>
          <w:lang w:val="ro-RO"/>
        </w:rPr>
        <w:tab/>
        <w:t xml:space="preserve">                                          Adrian EFROS</w:t>
      </w:r>
      <w:r w:rsidR="003C6EA2">
        <w:rPr>
          <w:rFonts w:ascii="13" w:hAnsi="13"/>
          <w:b/>
          <w:sz w:val="26"/>
          <w:szCs w:val="26"/>
          <w:lang w:val="ro-RO"/>
        </w:rPr>
        <w:t xml:space="preserve">                                                                                                                           </w:t>
      </w:r>
    </w:p>
    <w:p w:rsidR="004E551D" w:rsidRPr="004E551D" w:rsidRDefault="00171769" w:rsidP="003736AC">
      <w:pPr>
        <w:rPr>
          <w:rFonts w:ascii="13" w:hAnsi="13"/>
          <w:b/>
          <w:sz w:val="26"/>
          <w:szCs w:val="26"/>
          <w:lang w:val="ro-RO"/>
        </w:rPr>
      </w:pPr>
      <w:r>
        <w:rPr>
          <w:rFonts w:ascii="13" w:hAnsi="13"/>
          <w:b/>
          <w:sz w:val="26"/>
          <w:szCs w:val="26"/>
          <w:lang w:val="ro-RO"/>
        </w:rPr>
        <w:t xml:space="preserve">     </w:t>
      </w:r>
    </w:p>
    <w:sectPr w:rsidR="004E551D" w:rsidRPr="004E551D" w:rsidSect="003736A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610E"/>
    <w:multiLevelType w:val="hybridMultilevel"/>
    <w:tmpl w:val="ADCE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621"/>
    <w:multiLevelType w:val="hybridMultilevel"/>
    <w:tmpl w:val="869448A6"/>
    <w:lvl w:ilvl="0" w:tplc="121E754A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7FD"/>
    <w:multiLevelType w:val="hybridMultilevel"/>
    <w:tmpl w:val="3A86A6D8"/>
    <w:lvl w:ilvl="0" w:tplc="9E2EB270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0400"/>
    <w:multiLevelType w:val="hybridMultilevel"/>
    <w:tmpl w:val="5EA686A2"/>
    <w:lvl w:ilvl="0" w:tplc="45A2C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485"/>
    <w:multiLevelType w:val="hybridMultilevel"/>
    <w:tmpl w:val="6CB4A7BC"/>
    <w:lvl w:ilvl="0" w:tplc="6728D656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06280"/>
    <w:multiLevelType w:val="hybridMultilevel"/>
    <w:tmpl w:val="C9B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A73"/>
    <w:multiLevelType w:val="hybridMultilevel"/>
    <w:tmpl w:val="539C133A"/>
    <w:lvl w:ilvl="0" w:tplc="2C3094E2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1D54"/>
    <w:multiLevelType w:val="hybridMultilevel"/>
    <w:tmpl w:val="9C82ABE0"/>
    <w:lvl w:ilvl="0" w:tplc="B4303C3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B697C"/>
    <w:multiLevelType w:val="hybridMultilevel"/>
    <w:tmpl w:val="073E4E6A"/>
    <w:lvl w:ilvl="0" w:tplc="208014DA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E0511"/>
    <w:multiLevelType w:val="hybridMultilevel"/>
    <w:tmpl w:val="095AFF18"/>
    <w:lvl w:ilvl="0" w:tplc="B1B613FE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08B1"/>
    <w:multiLevelType w:val="hybridMultilevel"/>
    <w:tmpl w:val="393031E6"/>
    <w:lvl w:ilvl="0" w:tplc="EF88D404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24124"/>
    <w:multiLevelType w:val="hybridMultilevel"/>
    <w:tmpl w:val="6D444690"/>
    <w:lvl w:ilvl="0" w:tplc="89A0205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34C47"/>
    <w:multiLevelType w:val="hybridMultilevel"/>
    <w:tmpl w:val="E6A4BFC8"/>
    <w:lvl w:ilvl="0" w:tplc="CEDC580E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96A4A"/>
    <w:multiLevelType w:val="hybridMultilevel"/>
    <w:tmpl w:val="DA687E6C"/>
    <w:lvl w:ilvl="0" w:tplc="BF1C09C2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41C"/>
    <w:multiLevelType w:val="hybridMultilevel"/>
    <w:tmpl w:val="F9BC2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B1AAD"/>
    <w:multiLevelType w:val="hybridMultilevel"/>
    <w:tmpl w:val="1AFC922A"/>
    <w:lvl w:ilvl="0" w:tplc="825A5950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D9D"/>
    <w:multiLevelType w:val="hybridMultilevel"/>
    <w:tmpl w:val="0218A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81679"/>
    <w:multiLevelType w:val="hybridMultilevel"/>
    <w:tmpl w:val="E96EA8AA"/>
    <w:lvl w:ilvl="0" w:tplc="40102A88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69F2443D"/>
    <w:multiLevelType w:val="hybridMultilevel"/>
    <w:tmpl w:val="46DC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55332"/>
    <w:multiLevelType w:val="hybridMultilevel"/>
    <w:tmpl w:val="C1626A06"/>
    <w:lvl w:ilvl="0" w:tplc="5ABA1DA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F3780"/>
    <w:multiLevelType w:val="hybridMultilevel"/>
    <w:tmpl w:val="F1B092BA"/>
    <w:lvl w:ilvl="0" w:tplc="EDB4C37C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83A33"/>
    <w:multiLevelType w:val="hybridMultilevel"/>
    <w:tmpl w:val="117C2768"/>
    <w:lvl w:ilvl="0" w:tplc="9B4C5C28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1B"/>
    <w:rsid w:val="0002086E"/>
    <w:rsid w:val="000276D4"/>
    <w:rsid w:val="0006472D"/>
    <w:rsid w:val="00087313"/>
    <w:rsid w:val="000873DC"/>
    <w:rsid w:val="00087620"/>
    <w:rsid w:val="000C3EBE"/>
    <w:rsid w:val="000F234A"/>
    <w:rsid w:val="001003A2"/>
    <w:rsid w:val="00105826"/>
    <w:rsid w:val="00111CAE"/>
    <w:rsid w:val="00171769"/>
    <w:rsid w:val="0018433E"/>
    <w:rsid w:val="0019112C"/>
    <w:rsid w:val="001B330C"/>
    <w:rsid w:val="00204938"/>
    <w:rsid w:val="00214DB7"/>
    <w:rsid w:val="0024621B"/>
    <w:rsid w:val="00273849"/>
    <w:rsid w:val="0028199D"/>
    <w:rsid w:val="00281DE3"/>
    <w:rsid w:val="002A6A30"/>
    <w:rsid w:val="002A79E6"/>
    <w:rsid w:val="002E167F"/>
    <w:rsid w:val="002F0042"/>
    <w:rsid w:val="002F1A33"/>
    <w:rsid w:val="00331AF4"/>
    <w:rsid w:val="00357B7B"/>
    <w:rsid w:val="003626CA"/>
    <w:rsid w:val="003736AC"/>
    <w:rsid w:val="003C6EA2"/>
    <w:rsid w:val="003F2EC5"/>
    <w:rsid w:val="0042607E"/>
    <w:rsid w:val="00433320"/>
    <w:rsid w:val="00436F62"/>
    <w:rsid w:val="004916EF"/>
    <w:rsid w:val="004948A9"/>
    <w:rsid w:val="004B5C24"/>
    <w:rsid w:val="004B64A8"/>
    <w:rsid w:val="004C1430"/>
    <w:rsid w:val="004D7CD0"/>
    <w:rsid w:val="004E39F7"/>
    <w:rsid w:val="004E551D"/>
    <w:rsid w:val="004E6EF2"/>
    <w:rsid w:val="004F59EA"/>
    <w:rsid w:val="004F5F50"/>
    <w:rsid w:val="005108FA"/>
    <w:rsid w:val="005270C4"/>
    <w:rsid w:val="0053411A"/>
    <w:rsid w:val="00544234"/>
    <w:rsid w:val="00572162"/>
    <w:rsid w:val="00576EB9"/>
    <w:rsid w:val="0058244B"/>
    <w:rsid w:val="00592717"/>
    <w:rsid w:val="00596C75"/>
    <w:rsid w:val="005C41A4"/>
    <w:rsid w:val="005D07FA"/>
    <w:rsid w:val="005D7354"/>
    <w:rsid w:val="005E32F0"/>
    <w:rsid w:val="005F65B4"/>
    <w:rsid w:val="00635348"/>
    <w:rsid w:val="00640BD8"/>
    <w:rsid w:val="00650782"/>
    <w:rsid w:val="00693F0B"/>
    <w:rsid w:val="006A1C41"/>
    <w:rsid w:val="006B6458"/>
    <w:rsid w:val="006C588C"/>
    <w:rsid w:val="006F1ABD"/>
    <w:rsid w:val="00721749"/>
    <w:rsid w:val="0075665A"/>
    <w:rsid w:val="00761774"/>
    <w:rsid w:val="007654E6"/>
    <w:rsid w:val="007855C3"/>
    <w:rsid w:val="00786679"/>
    <w:rsid w:val="007B5CA2"/>
    <w:rsid w:val="008178F4"/>
    <w:rsid w:val="00817E5C"/>
    <w:rsid w:val="00833247"/>
    <w:rsid w:val="008412BF"/>
    <w:rsid w:val="00852E33"/>
    <w:rsid w:val="008559A2"/>
    <w:rsid w:val="00877D1F"/>
    <w:rsid w:val="00881896"/>
    <w:rsid w:val="00886165"/>
    <w:rsid w:val="008B379D"/>
    <w:rsid w:val="008D59A0"/>
    <w:rsid w:val="009156A0"/>
    <w:rsid w:val="0093100A"/>
    <w:rsid w:val="0093337D"/>
    <w:rsid w:val="009457C5"/>
    <w:rsid w:val="0095510E"/>
    <w:rsid w:val="00986DF3"/>
    <w:rsid w:val="009A3D1C"/>
    <w:rsid w:val="009F1EE4"/>
    <w:rsid w:val="00A13ED7"/>
    <w:rsid w:val="00A20757"/>
    <w:rsid w:val="00A5202C"/>
    <w:rsid w:val="00A53F1B"/>
    <w:rsid w:val="00AC7225"/>
    <w:rsid w:val="00AC7770"/>
    <w:rsid w:val="00AF593E"/>
    <w:rsid w:val="00AF77E4"/>
    <w:rsid w:val="00B137B4"/>
    <w:rsid w:val="00B45778"/>
    <w:rsid w:val="00BF79F5"/>
    <w:rsid w:val="00C05C10"/>
    <w:rsid w:val="00C06F91"/>
    <w:rsid w:val="00C2700A"/>
    <w:rsid w:val="00C55964"/>
    <w:rsid w:val="00C70A7F"/>
    <w:rsid w:val="00C82830"/>
    <w:rsid w:val="00CA6CC2"/>
    <w:rsid w:val="00CC3F17"/>
    <w:rsid w:val="00CD1552"/>
    <w:rsid w:val="00CF4B86"/>
    <w:rsid w:val="00D03BDE"/>
    <w:rsid w:val="00D623CA"/>
    <w:rsid w:val="00D63E54"/>
    <w:rsid w:val="00D7158C"/>
    <w:rsid w:val="00D90F3F"/>
    <w:rsid w:val="00D91C0C"/>
    <w:rsid w:val="00DA4A96"/>
    <w:rsid w:val="00DA65D2"/>
    <w:rsid w:val="00DB5E5F"/>
    <w:rsid w:val="00E27F9D"/>
    <w:rsid w:val="00E36FA6"/>
    <w:rsid w:val="00E44BCE"/>
    <w:rsid w:val="00E46C7B"/>
    <w:rsid w:val="00E528C4"/>
    <w:rsid w:val="00E76F0F"/>
    <w:rsid w:val="00E90446"/>
    <w:rsid w:val="00EA6F37"/>
    <w:rsid w:val="00ED7856"/>
    <w:rsid w:val="00EE5C50"/>
    <w:rsid w:val="00F04FB0"/>
    <w:rsid w:val="00F17CEE"/>
    <w:rsid w:val="00F26D9D"/>
    <w:rsid w:val="00F45D4D"/>
    <w:rsid w:val="00F54F4C"/>
    <w:rsid w:val="00FB04B2"/>
    <w:rsid w:val="00FC5582"/>
    <w:rsid w:val="00FC75D4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9517-121C-4E37-A3D0-F889D9C6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6A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36AC"/>
    <w:pPr>
      <w:ind w:left="720"/>
      <w:contextualSpacing/>
    </w:pPr>
    <w:rPr>
      <w:rFonts w:ascii="Times New Roman" w:hAnsi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1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E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Alexandra Brînza</cp:lastModifiedBy>
  <cp:revision>26</cp:revision>
  <cp:lastPrinted>2023-11-07T08:16:00Z</cp:lastPrinted>
  <dcterms:created xsi:type="dcterms:W3CDTF">2023-07-20T05:40:00Z</dcterms:created>
  <dcterms:modified xsi:type="dcterms:W3CDTF">2023-11-07T14:44:00Z</dcterms:modified>
</cp:coreProperties>
</file>