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52" w:rsidRDefault="00401B52" w:rsidP="00E779BD">
      <w:pPr>
        <w:spacing w:line="276" w:lineRule="auto"/>
        <w:jc w:val="center"/>
        <w:rPr>
          <w:b/>
          <w:sz w:val="26"/>
          <w:szCs w:val="26"/>
          <w:lang w:val="ro-MD"/>
        </w:rPr>
      </w:pPr>
    </w:p>
    <w:p w:rsidR="00E779BD" w:rsidRDefault="00E779BD" w:rsidP="00E779BD">
      <w:pPr>
        <w:spacing w:line="276" w:lineRule="auto"/>
        <w:jc w:val="center"/>
        <w:rPr>
          <w:b/>
          <w:sz w:val="26"/>
          <w:szCs w:val="26"/>
          <w:lang w:val="ro-MD"/>
        </w:rPr>
      </w:pPr>
      <w:r w:rsidRPr="00550480">
        <w:rPr>
          <w:b/>
          <w:sz w:val="26"/>
          <w:szCs w:val="26"/>
          <w:lang w:val="ro-MD"/>
        </w:rPr>
        <w:t>NOTA INFORMATIVĂ</w:t>
      </w:r>
    </w:p>
    <w:p w:rsidR="00401B52" w:rsidRPr="00401B52" w:rsidRDefault="00E779BD" w:rsidP="00E779BD">
      <w:pPr>
        <w:pStyle w:val="tt"/>
        <w:rPr>
          <w:b w:val="0"/>
          <w:bCs w:val="0"/>
          <w:i/>
          <w:sz w:val="26"/>
          <w:szCs w:val="26"/>
          <w:lang w:eastAsia="en-US"/>
        </w:rPr>
      </w:pPr>
      <w:r w:rsidRPr="00291E5C">
        <w:rPr>
          <w:b w:val="0"/>
          <w:bCs w:val="0"/>
          <w:i/>
          <w:sz w:val="26"/>
          <w:szCs w:val="26"/>
          <w:lang w:val="ro-MD" w:eastAsia="en-US"/>
        </w:rPr>
        <w:t xml:space="preserve">la proiectul hotărârii de Guvern cu privire </w:t>
      </w:r>
      <w:r w:rsidR="00E778C2" w:rsidRPr="00E778C2">
        <w:rPr>
          <w:b w:val="0"/>
          <w:bCs w:val="0"/>
          <w:i/>
          <w:sz w:val="26"/>
          <w:szCs w:val="26"/>
          <w:lang w:val="ro-MD" w:eastAsia="en-US"/>
        </w:rPr>
        <w:t>la modificarea Anexei nr. 1 la Hotărârea Guvernului nr. 101/2018 pentru aprobarea Regulamentului privind modul de utilizare a mijloacelor financiare pentru deservirea delegațiilor și persoanelor oficiale străine</w:t>
      </w:r>
      <w:r w:rsidR="00E778C2" w:rsidRPr="0062564A">
        <w:rPr>
          <w:color w:val="000000"/>
          <w:sz w:val="28"/>
          <w:szCs w:val="28"/>
          <w:lang w:eastAsia="ru-RU"/>
        </w:rPr>
        <w:br/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0"/>
      </w:tblGrid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 Denumirea autorului </w:t>
            </w:r>
            <w:proofErr w:type="spellStart"/>
            <w:r w:rsidRPr="00291E5C">
              <w:rPr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291E5C">
              <w:rPr>
                <w:b/>
                <w:sz w:val="26"/>
                <w:szCs w:val="26"/>
                <w:lang w:val="ro-MD"/>
              </w:rPr>
              <w:t>, după caz, a participanților la elaborarea proiectului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Default="00E779BD" w:rsidP="004026BE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>Proiectul este elaborat de Ministerul Finanțelor.</w:t>
            </w:r>
          </w:p>
          <w:p w:rsidR="00401B52" w:rsidRPr="00291E5C" w:rsidRDefault="00401B52" w:rsidP="004026BE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2. Condițiile ce au impus elaborarea proiectului de act normativ </w:t>
            </w:r>
            <w:proofErr w:type="spellStart"/>
            <w:r w:rsidRPr="00291E5C">
              <w:rPr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291E5C">
              <w:rPr>
                <w:b/>
                <w:sz w:val="26"/>
                <w:szCs w:val="26"/>
                <w:lang w:val="ro-MD"/>
              </w:rPr>
              <w:t xml:space="preserve"> finalitățile urmărite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Default="00E779BD" w:rsidP="00E778C2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 xml:space="preserve">Proiectul Hotărârii Guvernului este întocmit </w:t>
            </w:r>
            <w:r w:rsidR="00803F7D">
              <w:rPr>
                <w:sz w:val="26"/>
                <w:szCs w:val="26"/>
                <w:lang w:val="ro-MD"/>
              </w:rPr>
              <w:t>în baza adresării</w:t>
            </w:r>
            <w:r w:rsidR="004026BE">
              <w:rPr>
                <w:sz w:val="26"/>
                <w:szCs w:val="26"/>
                <w:lang w:val="ro-MD"/>
              </w:rPr>
              <w:t xml:space="preserve"> Curții Constituționale a Republicii Moldova</w:t>
            </w:r>
            <w:r w:rsidR="00803F7D">
              <w:rPr>
                <w:sz w:val="26"/>
                <w:szCs w:val="26"/>
                <w:lang w:val="ro-MD"/>
              </w:rPr>
              <w:t xml:space="preserve"> nr. PCC-01/242 din 25.05.2023</w:t>
            </w:r>
            <w:r w:rsidR="000029A3">
              <w:rPr>
                <w:sz w:val="26"/>
                <w:szCs w:val="26"/>
                <w:lang w:val="ro-MD"/>
              </w:rPr>
              <w:t xml:space="preserve"> și solicitării Cancelariei de Stat nr. 27-78-6252 din 14.06.2023</w:t>
            </w:r>
            <w:r w:rsidR="00803F7D">
              <w:rPr>
                <w:sz w:val="26"/>
                <w:szCs w:val="26"/>
                <w:lang w:val="ro-MD"/>
              </w:rPr>
              <w:t xml:space="preserve">, în contextul consolidării bazei normative și asigurării reglementărilor </w:t>
            </w:r>
            <w:r w:rsidR="000029A3">
              <w:rPr>
                <w:sz w:val="26"/>
                <w:szCs w:val="26"/>
                <w:lang w:val="ro-MD"/>
              </w:rPr>
              <w:t>pe categorii / grupe și persoane cu conținut relevant suplimentar.</w:t>
            </w:r>
          </w:p>
          <w:p w:rsidR="00401B52" w:rsidRPr="00291E5C" w:rsidRDefault="00401B52" w:rsidP="00E778C2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Default="00E779BD" w:rsidP="00870AE5">
            <w:pPr>
              <w:tabs>
                <w:tab w:val="left" w:pos="-1134"/>
              </w:tabs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>Prezentul proiect de act normativ nu contravine legislației Uniunii Europene.</w:t>
            </w:r>
          </w:p>
          <w:p w:rsidR="00401B52" w:rsidRPr="00291E5C" w:rsidRDefault="00401B52" w:rsidP="00870AE5">
            <w:pPr>
              <w:tabs>
                <w:tab w:val="left" w:pos="-1134"/>
              </w:tabs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4. Principalele prevederi ale proiectului </w:t>
            </w:r>
            <w:proofErr w:type="spellStart"/>
            <w:r w:rsidRPr="00291E5C">
              <w:rPr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291E5C">
              <w:rPr>
                <w:b/>
                <w:sz w:val="26"/>
                <w:szCs w:val="26"/>
                <w:lang w:val="ro-MD"/>
              </w:rPr>
              <w:t xml:space="preserve"> evidențierea elementelor noi</w:t>
            </w:r>
          </w:p>
        </w:tc>
      </w:tr>
      <w:tr w:rsidR="00E779BD" w:rsidRPr="00291E5C" w:rsidTr="00870AE5">
        <w:tc>
          <w:tcPr>
            <w:tcW w:w="5000" w:type="pct"/>
          </w:tcPr>
          <w:p w:rsidR="008102C4" w:rsidRDefault="00B22994" w:rsidP="00870AE5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Proiectul h</w:t>
            </w:r>
            <w:r w:rsidR="00E779BD" w:rsidRPr="00E778C2">
              <w:rPr>
                <w:sz w:val="26"/>
                <w:szCs w:val="26"/>
                <w:lang w:val="ro-MD"/>
              </w:rPr>
              <w:t>otărârii este întocmit în scopul</w:t>
            </w:r>
            <w:r w:rsidR="000029A3">
              <w:rPr>
                <w:sz w:val="26"/>
                <w:szCs w:val="26"/>
                <w:lang w:val="ro-MD"/>
              </w:rPr>
              <w:t xml:space="preserve"> </w:t>
            </w:r>
            <w:r w:rsidR="005A705D">
              <w:rPr>
                <w:sz w:val="26"/>
                <w:szCs w:val="26"/>
                <w:lang w:val="ro-MD"/>
              </w:rPr>
              <w:t>completării</w:t>
            </w:r>
            <w:r w:rsidR="000029A3">
              <w:rPr>
                <w:sz w:val="26"/>
                <w:szCs w:val="26"/>
                <w:lang w:val="ro-MD"/>
              </w:rPr>
              <w:t xml:space="preserve"> </w:t>
            </w:r>
            <w:r w:rsidR="008102C4">
              <w:rPr>
                <w:sz w:val="26"/>
                <w:szCs w:val="26"/>
                <w:lang w:val="ro-MD"/>
              </w:rPr>
              <w:t>actului</w:t>
            </w:r>
            <w:r w:rsidR="000029A3">
              <w:rPr>
                <w:sz w:val="26"/>
                <w:szCs w:val="26"/>
                <w:lang w:val="ro-MD"/>
              </w:rPr>
              <w:t xml:space="preserve"> normativ </w:t>
            </w:r>
            <w:r w:rsidR="000708E2">
              <w:rPr>
                <w:sz w:val="26"/>
                <w:szCs w:val="26"/>
                <w:lang w:val="ro-MD"/>
              </w:rPr>
              <w:t>cu</w:t>
            </w:r>
            <w:r w:rsidR="000029A3">
              <w:rPr>
                <w:sz w:val="26"/>
                <w:szCs w:val="26"/>
                <w:lang w:val="ro-MD"/>
              </w:rPr>
              <w:t xml:space="preserve"> no</w:t>
            </w:r>
            <w:r w:rsidR="004645BC">
              <w:rPr>
                <w:sz w:val="26"/>
                <w:szCs w:val="26"/>
                <w:lang w:val="ro-MD"/>
              </w:rPr>
              <w:t xml:space="preserve">i </w:t>
            </w:r>
            <w:r w:rsidR="008102C4">
              <w:rPr>
                <w:sz w:val="26"/>
                <w:szCs w:val="26"/>
                <w:lang w:val="ro-MD"/>
              </w:rPr>
              <w:t>reglementări după cum urmează.</w:t>
            </w:r>
          </w:p>
          <w:p w:rsidR="008102C4" w:rsidRDefault="00E779BD" w:rsidP="00870AE5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E778C2">
              <w:rPr>
                <w:sz w:val="26"/>
                <w:szCs w:val="26"/>
                <w:lang w:val="ro-MD"/>
              </w:rPr>
              <w:t>1.</w:t>
            </w:r>
            <w:r w:rsidR="008102C4">
              <w:rPr>
                <w:sz w:val="26"/>
                <w:szCs w:val="26"/>
                <w:lang w:val="ro-MD"/>
              </w:rPr>
              <w:t xml:space="preserve"> Includerea președintelui curții constituționale în categoria I în funcție de persoana care conduce delegația străină în scopul întocmirii devizelor de cheltuieli pentru recepția delegațiilor oficiale străine, în baza propunerii Curții Constituționale ale RM.</w:t>
            </w:r>
          </w:p>
          <w:p w:rsidR="00B22994" w:rsidRDefault="00E779BD" w:rsidP="00870AE5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1B1AEA">
              <w:rPr>
                <w:sz w:val="26"/>
                <w:szCs w:val="26"/>
                <w:lang w:val="ro-MD"/>
              </w:rPr>
              <w:t xml:space="preserve">2. </w:t>
            </w:r>
            <w:r w:rsidR="00DB1E3E">
              <w:rPr>
                <w:sz w:val="26"/>
                <w:szCs w:val="26"/>
                <w:lang w:val="ro-MD"/>
              </w:rPr>
              <w:t>I</w:t>
            </w:r>
            <w:r w:rsidR="00B22994">
              <w:rPr>
                <w:sz w:val="26"/>
                <w:szCs w:val="26"/>
                <w:lang w:val="ro-MD"/>
              </w:rPr>
              <w:t>ndexarea</w:t>
            </w:r>
            <w:r w:rsidR="00E66AD7" w:rsidRPr="001B1AEA">
              <w:rPr>
                <w:sz w:val="26"/>
                <w:szCs w:val="26"/>
                <w:lang w:val="ro-MD"/>
              </w:rPr>
              <w:t xml:space="preserve"> normelor limită a mijloacelor financiare </w:t>
            </w:r>
            <w:r w:rsidR="00B22994">
              <w:rPr>
                <w:sz w:val="26"/>
                <w:szCs w:val="26"/>
                <w:lang w:val="ro-MD"/>
              </w:rPr>
              <w:t xml:space="preserve">aprobate </w:t>
            </w:r>
            <w:r w:rsidR="00E66AD7" w:rsidRPr="001B1AEA">
              <w:rPr>
                <w:sz w:val="26"/>
                <w:szCs w:val="26"/>
                <w:lang w:val="ro-MD"/>
              </w:rPr>
              <w:t xml:space="preserve">pentru deservirea delegațiilor oficiale și persoanelor oficiale străine, </w:t>
            </w:r>
            <w:r w:rsidR="00B22994">
              <w:rPr>
                <w:sz w:val="26"/>
                <w:szCs w:val="26"/>
                <w:lang w:val="ro-MD"/>
              </w:rPr>
              <w:t>ținând cont de evoluția prețurilor de consum în perioada anilor 2019-2023.</w:t>
            </w:r>
          </w:p>
          <w:p w:rsidR="00401B52" w:rsidRPr="002F40B1" w:rsidRDefault="0080736B" w:rsidP="002A0C4E">
            <w:pPr>
              <w:spacing w:line="276" w:lineRule="auto"/>
              <w:jc w:val="both"/>
              <w:rPr>
                <w:sz w:val="26"/>
                <w:szCs w:val="26"/>
                <w:lang w:val="ro-MD"/>
              </w:rPr>
            </w:pPr>
            <w:r w:rsidRPr="001B1AEA">
              <w:rPr>
                <w:sz w:val="26"/>
                <w:szCs w:val="26"/>
                <w:lang w:val="ro-MD"/>
              </w:rPr>
              <w:t xml:space="preserve">3. </w:t>
            </w:r>
            <w:r w:rsidR="002A0C4E">
              <w:rPr>
                <w:sz w:val="26"/>
                <w:szCs w:val="26"/>
                <w:lang w:val="ro-MD"/>
              </w:rPr>
              <w:t xml:space="preserve">Aprobarea volumului maxim de cheltuieli pentru </w:t>
            </w:r>
            <w:r w:rsidR="00D02AE2" w:rsidRPr="00D02AE2">
              <w:rPr>
                <w:sz w:val="26"/>
                <w:szCs w:val="26"/>
                <w:lang w:val="ro-MD"/>
              </w:rPr>
              <w:t>oferi</w:t>
            </w:r>
            <w:r w:rsidR="002A0C4E">
              <w:rPr>
                <w:sz w:val="26"/>
                <w:szCs w:val="26"/>
                <w:lang w:val="ro-MD"/>
              </w:rPr>
              <w:t>re</w:t>
            </w:r>
            <w:r w:rsidR="00D02AE2">
              <w:rPr>
                <w:sz w:val="26"/>
                <w:szCs w:val="26"/>
                <w:lang w:val="ro-MD"/>
              </w:rPr>
              <w:t>a</w:t>
            </w:r>
            <w:r w:rsidR="00D02AE2" w:rsidRPr="00D02AE2">
              <w:rPr>
                <w:sz w:val="26"/>
                <w:szCs w:val="26"/>
                <w:lang w:val="ro-MD"/>
              </w:rPr>
              <w:t xml:space="preserve"> cadouri</w:t>
            </w:r>
            <w:r w:rsidR="00D02AE2">
              <w:rPr>
                <w:sz w:val="26"/>
                <w:szCs w:val="26"/>
                <w:lang w:val="ro-MD"/>
              </w:rPr>
              <w:t xml:space="preserve">lor sau altor semne de atenție din partea delegațiilor </w:t>
            </w:r>
            <w:r w:rsidR="009B65D6">
              <w:rPr>
                <w:sz w:val="26"/>
                <w:szCs w:val="26"/>
                <w:lang w:val="ro-MD"/>
              </w:rPr>
              <w:t xml:space="preserve">oficiale ale RM aflate în vizite </w:t>
            </w:r>
            <w:r w:rsidR="002A0C4E">
              <w:rPr>
                <w:sz w:val="26"/>
                <w:szCs w:val="26"/>
                <w:lang w:val="ro-MD"/>
              </w:rPr>
              <w:t>oficiale</w:t>
            </w:r>
            <w:r w:rsidR="009B65D6">
              <w:rPr>
                <w:sz w:val="26"/>
                <w:szCs w:val="26"/>
                <w:lang w:val="ro-MD"/>
              </w:rPr>
              <w:t xml:space="preserve"> </w:t>
            </w:r>
            <w:r w:rsidR="00D02AE2">
              <w:rPr>
                <w:sz w:val="26"/>
                <w:szCs w:val="26"/>
                <w:lang w:val="ro-MD"/>
              </w:rPr>
              <w:t xml:space="preserve">peste hotare, </w:t>
            </w:r>
            <w:r w:rsidR="009B65D6">
              <w:rPr>
                <w:sz w:val="26"/>
                <w:szCs w:val="26"/>
                <w:lang w:val="ro-MD"/>
              </w:rPr>
              <w:t>ghidați de</w:t>
            </w:r>
            <w:r w:rsidR="00D02AE2" w:rsidRPr="00D02AE2">
              <w:rPr>
                <w:sz w:val="26"/>
                <w:szCs w:val="26"/>
                <w:lang w:val="ro-MD"/>
              </w:rPr>
              <w:t xml:space="preserve"> principiil</w:t>
            </w:r>
            <w:r w:rsidR="009B65D6">
              <w:rPr>
                <w:sz w:val="26"/>
                <w:szCs w:val="26"/>
                <w:lang w:val="ro-MD"/>
              </w:rPr>
              <w:t>e</w:t>
            </w:r>
            <w:r w:rsidR="00D02AE2" w:rsidRPr="00D02AE2">
              <w:rPr>
                <w:sz w:val="26"/>
                <w:szCs w:val="26"/>
                <w:lang w:val="ro-MD"/>
              </w:rPr>
              <w:t xml:space="preserve"> de reciprocitatea</w:t>
            </w:r>
            <w:r w:rsidR="00D02AE2">
              <w:rPr>
                <w:sz w:val="26"/>
                <w:szCs w:val="26"/>
                <w:lang w:val="ro-MD"/>
              </w:rPr>
              <w:t xml:space="preserve"> și uzan</w:t>
            </w:r>
            <w:r w:rsidR="009B65D6">
              <w:rPr>
                <w:sz w:val="26"/>
                <w:szCs w:val="26"/>
                <w:lang w:val="ro-MD"/>
              </w:rPr>
              <w:t>ța</w:t>
            </w:r>
            <w:r w:rsidR="00D02AE2">
              <w:rPr>
                <w:sz w:val="26"/>
                <w:szCs w:val="26"/>
                <w:lang w:val="ro-MD"/>
              </w:rPr>
              <w:t xml:space="preserve"> diplomatică.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>5. Fundamentarea economica-financiară</w:t>
            </w:r>
          </w:p>
        </w:tc>
      </w:tr>
      <w:tr w:rsidR="00E779BD" w:rsidRPr="00291E5C" w:rsidTr="00870AE5">
        <w:tc>
          <w:tcPr>
            <w:tcW w:w="5000" w:type="pct"/>
          </w:tcPr>
          <w:p w:rsidR="00401B52" w:rsidRPr="00291E5C" w:rsidRDefault="007B5AB6" w:rsidP="000708E2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Proiectul prevede majorarea volumului maxim de cheltuieli pentru </w:t>
            </w:r>
            <w:r w:rsidRPr="001B1AEA">
              <w:rPr>
                <w:sz w:val="26"/>
                <w:szCs w:val="26"/>
                <w:lang w:val="ro-MD"/>
              </w:rPr>
              <w:t>deservirea delegațiilor și persoanelor oficiale străine</w:t>
            </w:r>
            <w:r>
              <w:rPr>
                <w:sz w:val="26"/>
                <w:szCs w:val="26"/>
                <w:lang w:val="ro-MD"/>
              </w:rPr>
              <w:t xml:space="preserve"> cu cca 38%, ceea ce </w:t>
            </w:r>
            <w:r w:rsidR="000708E2">
              <w:rPr>
                <w:sz w:val="26"/>
                <w:szCs w:val="26"/>
                <w:lang w:val="ro-MD"/>
              </w:rPr>
              <w:t>reflectă</w:t>
            </w:r>
            <w:r>
              <w:rPr>
                <w:sz w:val="26"/>
                <w:szCs w:val="26"/>
                <w:lang w:val="ro-MD"/>
              </w:rPr>
              <w:t xml:space="preserve"> evoluția prețurilor de consum după ultima ajustare a plafoanelor, și anume perioada anilor 2019-2023. Cheltuielile pentru </w:t>
            </w:r>
            <w:r w:rsidRPr="001B1AEA">
              <w:rPr>
                <w:sz w:val="26"/>
                <w:szCs w:val="26"/>
                <w:lang w:val="ro-MD"/>
              </w:rPr>
              <w:t>deservirea delegațiilor și persoanelor oficiale</w:t>
            </w:r>
            <w:r>
              <w:rPr>
                <w:sz w:val="26"/>
                <w:szCs w:val="26"/>
                <w:lang w:val="ro-MD"/>
              </w:rPr>
              <w:t xml:space="preserve"> străine</w:t>
            </w:r>
            <w:r w:rsidR="002A6338">
              <w:rPr>
                <w:sz w:val="26"/>
                <w:szCs w:val="26"/>
                <w:lang w:val="ro-MD"/>
              </w:rPr>
              <w:t xml:space="preserve"> urmează</w:t>
            </w:r>
            <w:r>
              <w:rPr>
                <w:sz w:val="26"/>
                <w:szCs w:val="26"/>
                <w:lang w:val="ro-MD"/>
              </w:rPr>
              <w:t xml:space="preserve"> a fi suportate din contul și în limita alocațiilor aprobate autorităților/instituțiilor bugetare în legile bugetare anuale.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>6. Modul de încorporare a actului în cadrul normativ în vigoare</w:t>
            </w:r>
          </w:p>
        </w:tc>
      </w:tr>
      <w:tr w:rsidR="00E779BD" w:rsidRPr="00291E5C" w:rsidTr="00870AE5">
        <w:tc>
          <w:tcPr>
            <w:tcW w:w="5000" w:type="pct"/>
          </w:tcPr>
          <w:p w:rsidR="006C0206" w:rsidRPr="00291E5C" w:rsidRDefault="00E779BD" w:rsidP="00870AE5">
            <w:pPr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>Urmare aprobării prezentului proiect de hotărâre de Guvern nu va fi necesară modificarea altor acte normative.</w:t>
            </w:r>
          </w:p>
        </w:tc>
      </w:tr>
      <w:tr w:rsidR="00E779BD" w:rsidRPr="00291E5C" w:rsidTr="00870AE5">
        <w:tc>
          <w:tcPr>
            <w:tcW w:w="5000" w:type="pct"/>
          </w:tcPr>
          <w:p w:rsidR="00E779BD" w:rsidRPr="00291E5C" w:rsidRDefault="00E779BD" w:rsidP="00870AE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lastRenderedPageBreak/>
              <w:t xml:space="preserve">7. Avizarea </w:t>
            </w:r>
            <w:proofErr w:type="spellStart"/>
            <w:r w:rsidRPr="00291E5C">
              <w:rPr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291E5C">
              <w:rPr>
                <w:b/>
                <w:sz w:val="26"/>
                <w:szCs w:val="26"/>
                <w:lang w:val="ro-MD"/>
              </w:rPr>
              <w:t xml:space="preserve"> consultarea publică a proiectului</w:t>
            </w:r>
          </w:p>
        </w:tc>
      </w:tr>
      <w:tr w:rsidR="00E779BD" w:rsidRPr="00291E5C" w:rsidTr="00870AE5">
        <w:tc>
          <w:tcPr>
            <w:tcW w:w="5000" w:type="pct"/>
          </w:tcPr>
          <w:p w:rsidR="00401B52" w:rsidRPr="00291E5C" w:rsidRDefault="00E779BD" w:rsidP="00550480">
            <w:pPr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>Proiectul hotărârii Guvernului Republicii Moldova c</w:t>
            </w:r>
            <w:r w:rsidRPr="00291E5C">
              <w:rPr>
                <w:sz w:val="26"/>
                <w:szCs w:val="26"/>
                <w:lang w:val="ro-MD" w:eastAsia="ru-RU"/>
              </w:rPr>
              <w:t>u privire la alocarea mijloacelor financiare</w:t>
            </w:r>
            <w:r w:rsidRPr="00291E5C">
              <w:rPr>
                <w:sz w:val="26"/>
                <w:szCs w:val="26"/>
                <w:lang w:val="ro-MD"/>
              </w:rPr>
              <w:t xml:space="preserve"> a fost supusă consultărilor publice</w:t>
            </w:r>
            <w:r>
              <w:rPr>
                <w:sz w:val="26"/>
                <w:szCs w:val="26"/>
                <w:lang w:val="ro-MD"/>
              </w:rPr>
              <w:t xml:space="preserve">, </w:t>
            </w:r>
            <w:r w:rsidRPr="00291E5C">
              <w:rPr>
                <w:sz w:val="26"/>
                <w:szCs w:val="26"/>
                <w:lang w:val="ro-MD"/>
              </w:rPr>
              <w:t>conform Legii nr.239/2008 privind transparența în procesul decizional</w:t>
            </w:r>
            <w:r>
              <w:rPr>
                <w:sz w:val="26"/>
                <w:szCs w:val="26"/>
                <w:lang w:val="ro-MD"/>
              </w:rPr>
              <w:t>,</w:t>
            </w:r>
            <w:r w:rsidRPr="00291E5C">
              <w:rPr>
                <w:sz w:val="26"/>
                <w:szCs w:val="26"/>
                <w:lang w:val="ro-MD"/>
              </w:rPr>
              <w:t xml:space="preserve"> fiind plasat pe pagina oficială a Ministerului Finanțelor</w:t>
            </w:r>
            <w:r w:rsidR="005445EB">
              <w:rPr>
                <w:sz w:val="26"/>
                <w:szCs w:val="26"/>
                <w:lang w:val="ro-MD"/>
              </w:rPr>
              <w:t xml:space="preserve"> (web-link: </w:t>
            </w:r>
            <w:hyperlink r:id="rId5" w:history="1">
              <w:r w:rsidR="00550480" w:rsidRPr="00550480">
                <w:rPr>
                  <w:rStyle w:val="a3"/>
                  <w:sz w:val="26"/>
                  <w:szCs w:val="26"/>
                </w:rPr>
                <w:t>https://mf.gov.md/ro/content/proiectul-hg-cu-privire-la-modificarea-hot%C4%83r%C3%A2rii-guvernului-nr1012018-pentru-aprobarea</w:t>
              </w:r>
            </w:hyperlink>
            <w:r w:rsidR="00550480" w:rsidRPr="005504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o-MD"/>
              </w:rPr>
              <w:t>)</w:t>
            </w:r>
            <w:r w:rsidRPr="00291E5C">
              <w:rPr>
                <w:sz w:val="26"/>
                <w:szCs w:val="26"/>
                <w:lang w:val="ro-MD"/>
              </w:rPr>
              <w:t xml:space="preserve">. 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D" w:rsidRPr="00291E5C" w:rsidRDefault="00E779BD" w:rsidP="00870AE5">
            <w:pPr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8. Constatările expertizei anticorupție 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D" w:rsidRPr="00291E5C" w:rsidRDefault="00E779BD" w:rsidP="005504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 xml:space="preserve">Proiectul </w:t>
            </w:r>
            <w:r w:rsidR="00550480">
              <w:rPr>
                <w:sz w:val="26"/>
                <w:szCs w:val="26"/>
                <w:lang w:val="ro-MD"/>
              </w:rPr>
              <w:t>se</w:t>
            </w:r>
            <w:r w:rsidRPr="00291E5C">
              <w:rPr>
                <w:sz w:val="26"/>
                <w:szCs w:val="26"/>
                <w:lang w:val="ro-MD"/>
              </w:rPr>
              <w:t xml:space="preserve"> supu</w:t>
            </w:r>
            <w:r w:rsidR="00550480">
              <w:rPr>
                <w:sz w:val="26"/>
                <w:szCs w:val="26"/>
                <w:lang w:val="ro-MD"/>
              </w:rPr>
              <w:t xml:space="preserve">ne </w:t>
            </w:r>
            <w:r w:rsidRPr="00291E5C">
              <w:rPr>
                <w:sz w:val="26"/>
                <w:szCs w:val="26"/>
                <w:lang w:val="ro-MD"/>
              </w:rPr>
              <w:t>expertizei anticorupție în conformitate cu prevederile art. 35 al Legii nr.100/2017 cu privire la actele normative</w:t>
            </w:r>
            <w:r w:rsidR="00550480">
              <w:rPr>
                <w:sz w:val="26"/>
                <w:szCs w:val="26"/>
                <w:lang w:val="ro-MD"/>
              </w:rPr>
              <w:t xml:space="preserve">, </w:t>
            </w:r>
            <w:r w:rsidR="00550480" w:rsidRPr="00291E5C">
              <w:rPr>
                <w:sz w:val="26"/>
                <w:szCs w:val="26"/>
                <w:lang w:val="ro-MD"/>
              </w:rPr>
              <w:t>în procesul de avizare</w:t>
            </w:r>
            <w:r w:rsidRPr="00291E5C">
              <w:rPr>
                <w:sz w:val="26"/>
                <w:szCs w:val="26"/>
                <w:lang w:val="ro-MD"/>
              </w:rPr>
              <w:t>.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D" w:rsidRPr="00291E5C" w:rsidRDefault="00E779BD" w:rsidP="00870AE5">
            <w:pPr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9. Constatările expertizei de compatibilitate 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2" w:rsidRPr="00291E5C" w:rsidRDefault="00E779BD" w:rsidP="00870AE5">
            <w:pPr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 xml:space="preserve">Proiectul nu este elaborat în scopul armonizării legislației naționale cu legislația UE, exceptându-se de efectuarea expertizei de compatibilitate. 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D" w:rsidRPr="00291E5C" w:rsidRDefault="00E779BD" w:rsidP="00870AE5">
            <w:pPr>
              <w:jc w:val="both"/>
              <w:rPr>
                <w:b/>
                <w:sz w:val="26"/>
                <w:szCs w:val="26"/>
                <w:lang w:val="ro-MD"/>
              </w:rPr>
            </w:pPr>
            <w:r w:rsidRPr="00291E5C">
              <w:rPr>
                <w:b/>
                <w:sz w:val="26"/>
                <w:szCs w:val="26"/>
                <w:lang w:val="ro-MD"/>
              </w:rPr>
              <w:t xml:space="preserve">10. Constatările expertizei juridice </w:t>
            </w:r>
          </w:p>
        </w:tc>
      </w:tr>
      <w:tr w:rsidR="00E779BD" w:rsidRPr="00291E5C" w:rsidTr="00870A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2" w:rsidRPr="00291E5C" w:rsidRDefault="00E779BD" w:rsidP="00550480">
            <w:pPr>
              <w:jc w:val="both"/>
              <w:rPr>
                <w:sz w:val="26"/>
                <w:szCs w:val="26"/>
                <w:lang w:val="ro-MD"/>
              </w:rPr>
            </w:pPr>
            <w:r w:rsidRPr="00291E5C">
              <w:rPr>
                <w:sz w:val="26"/>
                <w:szCs w:val="26"/>
                <w:lang w:val="ro-MD"/>
              </w:rPr>
              <w:t xml:space="preserve">Proiectul </w:t>
            </w:r>
            <w:r w:rsidR="00034F5F">
              <w:rPr>
                <w:sz w:val="26"/>
                <w:szCs w:val="26"/>
                <w:lang w:val="ro-MD"/>
              </w:rPr>
              <w:t>va fi</w:t>
            </w:r>
            <w:r w:rsidRPr="00291E5C">
              <w:rPr>
                <w:sz w:val="26"/>
                <w:szCs w:val="26"/>
                <w:lang w:val="ro-MD"/>
              </w:rPr>
              <w:t xml:space="preserve"> supus expertizei juridice, în conformitate cu prevederile art. 37 al Legii nr.100/2017 cu privire la actele normative, în procesul de avizare.</w:t>
            </w:r>
            <w:bookmarkStart w:id="0" w:name="_GoBack"/>
            <w:bookmarkEnd w:id="0"/>
          </w:p>
        </w:tc>
      </w:tr>
    </w:tbl>
    <w:p w:rsidR="00E779BD" w:rsidRPr="00291E5C" w:rsidRDefault="00E779BD" w:rsidP="00E779BD">
      <w:pPr>
        <w:spacing w:line="276" w:lineRule="auto"/>
        <w:rPr>
          <w:sz w:val="26"/>
          <w:szCs w:val="26"/>
          <w:lang w:val="ro-MD"/>
        </w:rPr>
      </w:pPr>
    </w:p>
    <w:p w:rsidR="00E779BD" w:rsidRDefault="00E779BD" w:rsidP="00E779BD">
      <w:pPr>
        <w:spacing w:line="276" w:lineRule="auto"/>
        <w:jc w:val="center"/>
        <w:rPr>
          <w:b/>
          <w:bCs/>
          <w:sz w:val="26"/>
          <w:szCs w:val="26"/>
          <w:lang w:val="ro-MD"/>
        </w:rPr>
      </w:pPr>
    </w:p>
    <w:p w:rsidR="00034F5F" w:rsidRDefault="00034F5F" w:rsidP="00E779BD">
      <w:pPr>
        <w:spacing w:line="276" w:lineRule="auto"/>
        <w:jc w:val="center"/>
        <w:rPr>
          <w:b/>
          <w:bCs/>
          <w:sz w:val="26"/>
          <w:szCs w:val="26"/>
          <w:lang w:val="ro-MD"/>
        </w:rPr>
      </w:pPr>
    </w:p>
    <w:p w:rsidR="00034F5F" w:rsidRPr="00291E5C" w:rsidRDefault="00034F5F" w:rsidP="00E779BD">
      <w:pPr>
        <w:spacing w:line="276" w:lineRule="auto"/>
        <w:jc w:val="center"/>
        <w:rPr>
          <w:b/>
          <w:bCs/>
          <w:sz w:val="26"/>
          <w:szCs w:val="26"/>
          <w:lang w:val="ro-MD"/>
        </w:rPr>
      </w:pPr>
    </w:p>
    <w:p w:rsidR="00F12C76" w:rsidRDefault="00034F5F" w:rsidP="00034F5F">
      <w:pPr>
        <w:ind w:firstLine="709"/>
        <w:jc w:val="center"/>
      </w:pPr>
      <w:r>
        <w:rPr>
          <w:b/>
          <w:noProof/>
          <w:sz w:val="26"/>
          <w:szCs w:val="26"/>
          <w:lang w:val="ro-MD"/>
        </w:rPr>
        <w:t>MINISTRU</w:t>
      </w:r>
      <w:r w:rsidR="00E779BD" w:rsidRPr="00291E5C">
        <w:rPr>
          <w:b/>
          <w:noProof/>
          <w:sz w:val="26"/>
          <w:szCs w:val="26"/>
          <w:lang w:val="ro-MD"/>
        </w:rPr>
        <w:tab/>
        <w:t xml:space="preserve">                      </w:t>
      </w:r>
      <w:r w:rsidR="00C947E7">
        <w:rPr>
          <w:b/>
          <w:noProof/>
          <w:sz w:val="26"/>
          <w:szCs w:val="26"/>
          <w:lang w:val="ro-MD"/>
        </w:rPr>
        <w:tab/>
      </w:r>
      <w:r w:rsidR="00C947E7">
        <w:rPr>
          <w:b/>
          <w:noProof/>
          <w:sz w:val="26"/>
          <w:szCs w:val="26"/>
          <w:lang w:val="ro-MD"/>
        </w:rPr>
        <w:tab/>
      </w:r>
      <w:r w:rsidR="00E779BD" w:rsidRPr="00291E5C">
        <w:rPr>
          <w:b/>
          <w:noProof/>
          <w:sz w:val="26"/>
          <w:szCs w:val="26"/>
          <w:lang w:val="ro-MD"/>
        </w:rPr>
        <w:t xml:space="preserve">               </w:t>
      </w:r>
      <w:r w:rsidR="00C947E7">
        <w:rPr>
          <w:b/>
          <w:noProof/>
          <w:sz w:val="26"/>
          <w:szCs w:val="26"/>
          <w:lang w:val="ro-MD"/>
        </w:rPr>
        <w:t>Petru ROTARU</w:t>
      </w:r>
    </w:p>
    <w:sectPr w:rsidR="00F12C76" w:rsidSect="00550480"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3D"/>
    <w:rsid w:val="000029A3"/>
    <w:rsid w:val="00034F5F"/>
    <w:rsid w:val="000708E2"/>
    <w:rsid w:val="000D6D21"/>
    <w:rsid w:val="001B1AEA"/>
    <w:rsid w:val="002A0C4E"/>
    <w:rsid w:val="002A6338"/>
    <w:rsid w:val="002F40B1"/>
    <w:rsid w:val="003527BC"/>
    <w:rsid w:val="003A6494"/>
    <w:rsid w:val="00401B52"/>
    <w:rsid w:val="004026BE"/>
    <w:rsid w:val="004645BC"/>
    <w:rsid w:val="005445EB"/>
    <w:rsid w:val="00550480"/>
    <w:rsid w:val="005A705D"/>
    <w:rsid w:val="005B1BDA"/>
    <w:rsid w:val="006C0206"/>
    <w:rsid w:val="006C0B77"/>
    <w:rsid w:val="007744DC"/>
    <w:rsid w:val="00784250"/>
    <w:rsid w:val="007B5AB6"/>
    <w:rsid w:val="00803F7D"/>
    <w:rsid w:val="0080736B"/>
    <w:rsid w:val="008102C4"/>
    <w:rsid w:val="008242FF"/>
    <w:rsid w:val="00843EF9"/>
    <w:rsid w:val="00870751"/>
    <w:rsid w:val="00922C48"/>
    <w:rsid w:val="0093102A"/>
    <w:rsid w:val="009B65D6"/>
    <w:rsid w:val="009F5985"/>
    <w:rsid w:val="00A5673D"/>
    <w:rsid w:val="00AA4F29"/>
    <w:rsid w:val="00B22994"/>
    <w:rsid w:val="00B70DB7"/>
    <w:rsid w:val="00B915B7"/>
    <w:rsid w:val="00C0515C"/>
    <w:rsid w:val="00C947E7"/>
    <w:rsid w:val="00D02AE2"/>
    <w:rsid w:val="00DB1E3E"/>
    <w:rsid w:val="00E66AD7"/>
    <w:rsid w:val="00E67607"/>
    <w:rsid w:val="00E778C2"/>
    <w:rsid w:val="00E779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0128"/>
  <w15:chartTrackingRefBased/>
  <w15:docId w15:val="{43A1D64B-44EE-46C0-83FE-6EA51BB3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D"/>
    <w:rPr>
      <w:color w:val="0563C1"/>
      <w:u w:val="single"/>
    </w:rPr>
  </w:style>
  <w:style w:type="paragraph" w:customStyle="1" w:styleId="tt">
    <w:name w:val="tt"/>
    <w:basedOn w:val="a"/>
    <w:rsid w:val="00E779BD"/>
    <w:pPr>
      <w:jc w:val="center"/>
    </w:pPr>
    <w:rPr>
      <w:b/>
      <w:bCs/>
      <w:lang w:eastAsia="ro-RO"/>
    </w:rPr>
  </w:style>
  <w:style w:type="paragraph" w:styleId="a4">
    <w:name w:val="Normal (Web)"/>
    <w:basedOn w:val="a"/>
    <w:uiPriority w:val="99"/>
    <w:unhideWhenUsed/>
    <w:rsid w:val="00E779BD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81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f.gov.md/ro/content/proiectul-hg-cu-privire-la-modificarea-hot%C4%83r%C3%A2rii-guvernului-nr1012018-pentru-aprobar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Balanel, Alexandru</dc:creator>
  <cp:keywords/>
  <dc:description/>
  <cp:lastModifiedBy>Balanel, Alexandru</cp:lastModifiedBy>
  <cp:revision>17</cp:revision>
  <cp:lastPrinted>2023-10-16T08:23:00Z</cp:lastPrinted>
  <dcterms:created xsi:type="dcterms:W3CDTF">2023-10-05T06:43:00Z</dcterms:created>
  <dcterms:modified xsi:type="dcterms:W3CDTF">2023-10-16T08:48:00Z</dcterms:modified>
</cp:coreProperties>
</file>