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B330" w14:textId="285C52A2" w:rsidR="00330646" w:rsidRPr="00F77D76" w:rsidRDefault="008A4B89" w:rsidP="00330646">
      <w:pPr>
        <w:tabs>
          <w:tab w:val="left" w:pos="142"/>
        </w:tabs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08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</w:t>
      </w:r>
    </w:p>
    <w:p w14:paraId="06FFFB21" w14:textId="58B7C58F" w:rsidR="00330646" w:rsidRPr="00F53E98" w:rsidRDefault="00330646" w:rsidP="00F53E98">
      <w:pPr>
        <w:tabs>
          <w:tab w:val="left" w:pos="142"/>
        </w:tabs>
        <w:spacing w:after="0"/>
        <w:ind w:left="5664" w:firstLine="708"/>
        <w:jc w:val="right"/>
        <w:rPr>
          <w:rFonts w:ascii="Times New Roman" w:hAnsi="Times New Roman" w:cs="Times New Roman"/>
          <w:i/>
          <w:sz w:val="28"/>
          <w:szCs w:val="28"/>
          <w:lang w:val="pt-PT"/>
        </w:rPr>
      </w:pPr>
      <w:r w:rsidRPr="00F53E98">
        <w:rPr>
          <w:rFonts w:ascii="Times New Roman" w:hAnsi="Times New Roman" w:cs="Times New Roman"/>
          <w:i/>
          <w:sz w:val="28"/>
          <w:szCs w:val="28"/>
          <w:lang w:val="pt-PT"/>
        </w:rPr>
        <w:t>Proiect</w:t>
      </w:r>
      <w:r w:rsidR="005C5AE7" w:rsidRPr="00F53E98">
        <w:rPr>
          <w:rFonts w:ascii="Times New Roman" w:hAnsi="Times New Roman" w:cs="Times New Roman"/>
          <w:i/>
          <w:sz w:val="28"/>
          <w:szCs w:val="28"/>
          <w:lang w:val="pt-PT"/>
        </w:rPr>
        <w:t xml:space="preserve"> </w:t>
      </w:r>
    </w:p>
    <w:p w14:paraId="135B4E7F" w14:textId="77777777" w:rsidR="00292D83" w:rsidRPr="00292D83" w:rsidRDefault="00292D83" w:rsidP="00292D83">
      <w:pPr>
        <w:tabs>
          <w:tab w:val="left" w:pos="142"/>
        </w:tabs>
        <w:spacing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GUVERNUL REPUBLICII MOLDOVA</w:t>
      </w:r>
    </w:p>
    <w:p w14:paraId="30DF191B" w14:textId="77777777" w:rsidR="00292D83" w:rsidRPr="00292D83" w:rsidRDefault="00292D83" w:rsidP="00292D83">
      <w:pPr>
        <w:tabs>
          <w:tab w:val="left" w:pos="142"/>
        </w:tabs>
        <w:spacing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HOT Ă R Â R E nr. ____</w:t>
      </w:r>
    </w:p>
    <w:p w14:paraId="79D2F8C5" w14:textId="77777777" w:rsidR="00292D83" w:rsidRPr="00292D83" w:rsidRDefault="00292D83" w:rsidP="00292D83">
      <w:pPr>
        <w:tabs>
          <w:tab w:val="left" w:pos="142"/>
        </w:tabs>
        <w:spacing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din 2023</w:t>
      </w:r>
    </w:p>
    <w:p w14:paraId="2D9EA736" w14:textId="77777777" w:rsidR="00292D83" w:rsidRPr="00292D83" w:rsidRDefault="00292D83" w:rsidP="00292D83">
      <w:pPr>
        <w:tabs>
          <w:tab w:val="left" w:pos="142"/>
        </w:tabs>
        <w:spacing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Chișinău</w:t>
      </w:r>
    </w:p>
    <w:p w14:paraId="177EDBA6" w14:textId="748356D3" w:rsidR="00292D83" w:rsidRPr="00292D83" w:rsidRDefault="00292D83" w:rsidP="00292D83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Pentru modificarea Hotărârii Guvernului nr.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348/2014</w:t>
      </w:r>
    </w:p>
    <w:p w14:paraId="0A47879B" w14:textId="77777777" w:rsidR="00292D83" w:rsidRPr="00292D83" w:rsidRDefault="00292D83" w:rsidP="00292D83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cu privire la tarifele pentru serviciile prestate de către</w:t>
      </w:r>
    </w:p>
    <w:p w14:paraId="2290DA58" w14:textId="77777777" w:rsidR="00292D83" w:rsidRDefault="00292D83" w:rsidP="00292D83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Agenţia Medicamentului şi Dispozitivelor Medicale</w:t>
      </w:r>
    </w:p>
    <w:p w14:paraId="622BE731" w14:textId="12AA1F1E" w:rsidR="00292D83" w:rsidRDefault="00292D83" w:rsidP="00292D83">
      <w:pPr>
        <w:tabs>
          <w:tab w:val="left" w:pos="142"/>
        </w:tabs>
        <w:spacing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292D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--------------------------------------------------------</w:t>
      </w:r>
    </w:p>
    <w:p w14:paraId="473CD6C5" w14:textId="77777777" w:rsidR="00C7330C" w:rsidRPr="00F53E98" w:rsidRDefault="00C7330C" w:rsidP="00F53E9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</w:p>
    <w:p w14:paraId="04081218" w14:textId="23932B4F" w:rsidR="00C7330C" w:rsidRPr="00F53E98" w:rsidRDefault="00C7330C" w:rsidP="00F53E9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 w:rsidRPr="00F53E9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Guvernul HOTĂRĂŞTE:</w:t>
      </w:r>
    </w:p>
    <w:p w14:paraId="3049FA75" w14:textId="3623646F" w:rsidR="00A42DD2" w:rsidRPr="00F53E98" w:rsidRDefault="00970BA3" w:rsidP="0053320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970B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Hotărârea Guvernului nr.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348/2014 u privire la tarifele pentru serviciile prestate de către Agenția Medicamentului și Dispozitivelor Medicale (Monitorul Oficial al Republicii Moldova, </w:t>
      </w:r>
      <w:r w:rsidRPr="00970B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2014, nr.134-141, art.387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) cu modificările ulterioare, </w:t>
      </w:r>
      <w:r w:rsidRPr="00970B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se modifică după cum urmează:</w:t>
      </w:r>
      <w:r w:rsidR="00C7330C" w:rsidRPr="00F53E9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 </w:t>
      </w:r>
    </w:p>
    <w:p w14:paraId="5136723A" w14:textId="421D36D2" w:rsidR="00682987" w:rsidRPr="006F7CC0" w:rsidRDefault="00C7330C" w:rsidP="00F53E98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 w:rsidRPr="006F7CC0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Clauza de adoptare </w:t>
      </w:r>
      <w:r w:rsidR="00682987" w:rsidRPr="006F7CC0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va avea următorul cuprins:</w:t>
      </w:r>
    </w:p>
    <w:p w14:paraId="4111E381" w14:textId="57C35BF8" w:rsidR="005C5AE7" w:rsidRDefault="00682987" w:rsidP="006F7CC0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„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În temeiul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art.43, alin. (2) din Legea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nr.18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1/2014 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finanţelor publice şi responsabilităţii bugetar-fiscale (Monitorul Oficial </w:t>
      </w:r>
      <w:r w:rsidR="00D93DB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al Republicii Moldova, 2014, nr.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223-230 art. 519) cu modificarile ulterioare, art.11</w:t>
      </w:r>
      <w:r w:rsidR="00D93DB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ro-MD" w:eastAsia="ro-MD"/>
        </w:rPr>
        <w:t>1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din Legea nr.1456</w:t>
      </w:r>
      <w:r w:rsidR="00D93DB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/1993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cu privire la activitatea farmaceutică (republicată în Monitorul Oficial al Republicii Moldova, 2005, nr.59-61, art.200), cu modificările ulterioare, art. 7 din Legea nr.1409</w:t>
      </w:r>
      <w:r w:rsidR="00D93DB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/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1997 cu privire la medicamente (Monitorul Oficial al Republicii Moldova, 1998, nr.52-53, art.368), cu modificările</w:t>
      </w:r>
      <w:r w:rsidR="00FC0BF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ulterioare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, art.31 din Legea nr.102</w:t>
      </w:r>
      <w:r w:rsidR="00FC0BF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/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2017 cu privire la dispozitivele medicale (Monitorul Oficial</w:t>
      </w:r>
      <w:r w:rsidR="00FC0BF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al Republicii Modova, 2017,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</w:t>
      </w:r>
      <w:r w:rsidR="00FC0BF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n</w:t>
      </w:r>
      <w:r w:rsidRPr="00682987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r. 244-251 art. 389),</w:t>
      </w:r>
      <w:r w:rsidR="00FC0BFE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Guvernul HOTĂRĂȘTE:”</w:t>
      </w:r>
    </w:p>
    <w:p w14:paraId="7CAC2AC2" w14:textId="77777777" w:rsidR="006F7CC0" w:rsidRPr="00F53E98" w:rsidRDefault="006F7CC0" w:rsidP="006F7CC0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</w:p>
    <w:p w14:paraId="62B64E7B" w14:textId="43085AB2" w:rsidR="00B0056B" w:rsidRDefault="00B0056B" w:rsidP="00F53E98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Punctul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3 din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hotărîre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va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avea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următorul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cuprins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:</w:t>
      </w:r>
    </w:p>
    <w:p w14:paraId="328C3462" w14:textId="34EC2FCF" w:rsidR="00B0056B" w:rsidRDefault="00B0056B" w:rsidP="006F7CC0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„3.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Agenția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Medicamentului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9164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ispozitivelor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Medicale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va</w:t>
      </w:r>
      <w:proofErr w:type="spellEnd"/>
      <w:r w:rsidR="00916452" w:rsidRPr="009164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916452" w:rsidRPr="009164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asigura</w:t>
      </w:r>
      <w:proofErr w:type="spellEnd"/>
      <w:r w:rsidR="00916452" w:rsidRPr="009164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916452" w:rsidRPr="009164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actualizarea</w:t>
      </w:r>
      <w:proofErr w:type="spellEnd"/>
      <w:r w:rsidR="00916452" w:rsidRPr="0091645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tarifelor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serviciilor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prestate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prezentarea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ulterioară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Guvernului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spre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examinare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aprobare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.”</w:t>
      </w:r>
    </w:p>
    <w:p w14:paraId="414254EC" w14:textId="0669F6C0" w:rsidR="00706C4A" w:rsidRDefault="00706C4A" w:rsidP="006F7CC0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</w:p>
    <w:p w14:paraId="09B266C3" w14:textId="608293D1" w:rsidR="006F7CC0" w:rsidRDefault="00706C4A" w:rsidP="00706C4A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lastRenderedPageBreak/>
        <w:t xml:space="preserve">La </w:t>
      </w:r>
      <w:proofErr w:type="spellStart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contrasemnarea</w:t>
      </w:r>
      <w:proofErr w:type="spellEnd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hotărârii</w:t>
      </w:r>
      <w:proofErr w:type="spellEnd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se exclude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poziția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”</w:t>
      </w:r>
      <w:proofErr w:type="spellStart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Viceprim-ministru</w:t>
      </w:r>
      <w:proofErr w:type="spellEnd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ministrul</w:t>
      </w:r>
      <w:proofErr w:type="spellEnd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economiei</w:t>
      </w:r>
      <w:proofErr w:type="spellEnd"/>
      <w:r w:rsidRPr="00706C4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”.;</w:t>
      </w:r>
    </w:p>
    <w:p w14:paraId="7B10274A" w14:textId="77777777" w:rsidR="00706C4A" w:rsidRPr="00706C4A" w:rsidRDefault="00706C4A" w:rsidP="00706C4A">
      <w:pPr>
        <w:pStyle w:val="ListParagraph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</w:p>
    <w:p w14:paraId="6A22D015" w14:textId="48F30044" w:rsidR="00B0056B" w:rsidRDefault="006F7CC0" w:rsidP="00F53E98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Î</w:t>
      </w:r>
      <w:r w:rsidR="00B005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n</w:t>
      </w:r>
      <w:proofErr w:type="spellEnd"/>
      <w:r w:rsidR="00B005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B005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Anexa</w:t>
      </w:r>
      <w:proofErr w:type="spellEnd"/>
      <w:r w:rsidR="00B0056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nr.1:</w:t>
      </w:r>
    </w:p>
    <w:p w14:paraId="350461EA" w14:textId="25E5C53C" w:rsidR="00677494" w:rsidRDefault="00DC468D" w:rsidP="006F7CC0">
      <w:pPr>
        <w:pStyle w:val="ListParagraph"/>
        <w:numPr>
          <w:ilvl w:val="0"/>
          <w:numId w:val="41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pe tot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parcursul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textului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cuvintele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mijloace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speciale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”,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orice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formă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gramaticală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substituie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cuvintele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venituri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colectate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”, la forma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gramaticală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corespunzătoare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;</w:t>
      </w:r>
    </w:p>
    <w:p w14:paraId="6B3CA068" w14:textId="5005AC1A" w:rsidR="00B0056B" w:rsidRDefault="00220970" w:rsidP="00220970">
      <w:pPr>
        <w:pStyle w:val="ListParagraph"/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Capitolul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II</w:t>
      </w:r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abrogă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;</w:t>
      </w:r>
    </w:p>
    <w:p w14:paraId="4236D5A3" w14:textId="7D14CDE0" w:rsidR="00220970" w:rsidRPr="00BB7B45" w:rsidRDefault="00220970" w:rsidP="006F7CC0">
      <w:pPr>
        <w:pStyle w:val="ListParagraph"/>
        <w:numPr>
          <w:ilvl w:val="0"/>
          <w:numId w:val="41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la pct.6,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textul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„</w:t>
      </w:r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art.12 al </w:t>
      </w:r>
      <w:proofErr w:type="spellStart"/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Legii</w:t>
      </w:r>
      <w:proofErr w:type="spellEnd"/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nr.847-XIII din 24 </w:t>
      </w:r>
      <w:proofErr w:type="spellStart"/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mai</w:t>
      </w:r>
      <w:proofErr w:type="spellEnd"/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1996 </w:t>
      </w:r>
      <w:proofErr w:type="spellStart"/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privind</w:t>
      </w:r>
      <w:proofErr w:type="spellEnd"/>
      <w:r w:rsidRPr="0022097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sistemul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bugetar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şi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procesul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bugetar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” se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substituie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cu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textul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„</w:t>
      </w:r>
      <w:r w:rsidRPr="00BB7B45">
        <w:rPr>
          <w:lang w:val="en-US"/>
        </w:rPr>
        <w:t xml:space="preserve"> 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art.43,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alin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. (2) din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Legea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nr.181/2014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finanţelor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publice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şi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responsabilităţii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bugetar-fiscale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”;</w:t>
      </w:r>
    </w:p>
    <w:p w14:paraId="75B2DE25" w14:textId="77777777" w:rsidR="0053320A" w:rsidRPr="00BB7B45" w:rsidRDefault="00547FAA" w:rsidP="006F7CC0">
      <w:pPr>
        <w:pStyle w:val="ListParagraph"/>
        <w:numPr>
          <w:ilvl w:val="0"/>
          <w:numId w:val="41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la pct. 8</w:t>
      </w:r>
      <w:r w:rsidR="0053320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:</w:t>
      </w:r>
    </w:p>
    <w:p w14:paraId="4C23E521" w14:textId="5D30E109" w:rsidR="00547FAA" w:rsidRPr="00BB7B45" w:rsidRDefault="00547FAA" w:rsidP="00D5103A">
      <w:pPr>
        <w:pStyle w:val="ListParagraph"/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53320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subpct. 1)</w:t>
      </w:r>
      <w:r w:rsidR="006D688C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</w:t>
      </w:r>
      <w:r w:rsidRPr="0053320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textul ” grupului de experţi externi (în cazul acordării serviciilor de expertiză documentară pentru autorizarea medicamentelor, suplimentelor alimentare şi dispozitivelor medicale)” 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se </w:t>
      </w:r>
      <w:r w:rsidR="0053320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substituie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cu textul </w:t>
      </w:r>
      <w:bookmarkStart w:id="0" w:name="_Hlk147917155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” </w:t>
      </w:r>
      <w:bookmarkStart w:id="1" w:name="_Hlk147917176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experţi</w:t>
      </w:r>
      <w:r w:rsidR="0053320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lor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și </w:t>
      </w:r>
      <w:r w:rsidR="0053320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membrilor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Comisiei Medicamentului;”</w:t>
      </w:r>
      <w:bookmarkEnd w:id="1"/>
    </w:p>
    <w:bookmarkEnd w:id="0"/>
    <w:p w14:paraId="6A6AACC6" w14:textId="5615AE0D" w:rsidR="00D5103A" w:rsidRPr="00BB7B45" w:rsidRDefault="000C68DF" w:rsidP="00D5103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subpct.2)</w:t>
      </w:r>
      <w:r w:rsidR="0053320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, </w:t>
      </w:r>
      <w:proofErr w:type="spellStart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va</w:t>
      </w:r>
      <w:proofErr w:type="spellEnd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avea</w:t>
      </w:r>
      <w:proofErr w:type="spellEnd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următorul</w:t>
      </w:r>
      <w:proofErr w:type="spellEnd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cuprins</w:t>
      </w:r>
      <w:proofErr w:type="spellEnd"/>
      <w:r w:rsidR="00D5103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:</w:t>
      </w:r>
    </w:p>
    <w:p w14:paraId="66A90677" w14:textId="6C4989C3" w:rsidR="00D5103A" w:rsidRDefault="00D5103A" w:rsidP="00D5103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„2)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contribuțiile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la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bugetul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asigurărilor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sociale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stat;”</w:t>
      </w:r>
    </w:p>
    <w:p w14:paraId="73070CC3" w14:textId="2A0DADCF" w:rsidR="000C68DF" w:rsidRPr="00D5103A" w:rsidRDefault="00054EFA" w:rsidP="00D5103A">
      <w:pPr>
        <w:pStyle w:val="ListParagraph"/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Anexa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nr. 1</w:t>
      </w:r>
      <w:r w:rsidR="000C68DF"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se </w:t>
      </w:r>
      <w:proofErr w:type="spellStart"/>
      <w:r w:rsidR="000C68DF"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completează</w:t>
      </w:r>
      <w:proofErr w:type="spellEnd"/>
      <w:r w:rsidR="000C68DF"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cu pct.16</w:t>
      </w:r>
      <w:r w:rsidR="000C68DF" w:rsidRPr="00D5103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en-US" w:eastAsia="ro-MD"/>
        </w:rPr>
        <w:t>1</w:t>
      </w:r>
      <w:r w:rsidR="000C68DF"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:</w:t>
      </w:r>
    </w:p>
    <w:p w14:paraId="4BF63138" w14:textId="77777777" w:rsidR="000268EF" w:rsidRDefault="000C68DF" w:rsidP="000268EF">
      <w:pPr>
        <w:pStyle w:val="ListParagraph"/>
        <w:shd w:val="clear" w:color="auto" w:fill="FFFFFF"/>
        <w:spacing w:after="0"/>
        <w:ind w:left="0" w:firstLine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” 16</w:t>
      </w: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ro-MD" w:eastAsia="ro-MD"/>
        </w:rPr>
        <w:t>1</w:t>
      </w: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. </w:t>
      </w:r>
      <w:r w:rsidR="000268EF" w:rsidRPr="000268E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Pentru calcularea costului serviciului prestat de către experți și/sau membri ai Comisiei Medicamentului se va aplica formula de calcul:</w:t>
      </w:r>
    </w:p>
    <w:p w14:paraId="7192883D" w14:textId="11C315DB" w:rsidR="000C68DF" w:rsidRPr="000C68DF" w:rsidRDefault="000C68DF" w:rsidP="000268EF">
      <w:pPr>
        <w:pStyle w:val="ListParagraph"/>
        <w:shd w:val="clear" w:color="auto" w:fill="FFFFFF"/>
        <w:spacing w:after="0"/>
        <w:ind w:left="0" w:firstLine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1) </w:t>
      </w:r>
      <w:r w:rsidR="000268E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p</w:t>
      </w: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entru experți: </w:t>
      </w:r>
    </w:p>
    <w:p w14:paraId="1D81841F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R =K x 1/3CSM</w:t>
      </w:r>
    </w:p>
    <w:p w14:paraId="0CB66BC3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unde:</w:t>
      </w:r>
    </w:p>
    <w:p w14:paraId="4D50CACA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R – remunerare expert,</w:t>
      </w:r>
    </w:p>
    <w:p w14:paraId="2F809501" w14:textId="558A7506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K – coeficient de remunerare în funcție de tipul cererii sau expertizei </w:t>
      </w:r>
      <w:r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specializate (Anexa nr.</w:t>
      </w:r>
      <w:r w:rsidR="00F43F52"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2</w:t>
      </w:r>
      <w:r w:rsidRPr="00D5103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),</w:t>
      </w: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pentru expertiză în regim de urgență coeficientul de remunerare (K) se dublează,</w:t>
      </w:r>
    </w:p>
    <w:p w14:paraId="72E1173C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CSM – cuantumul salariului mediu lunar pe economie realizat în anul precedent celui de gestiune;</w:t>
      </w:r>
    </w:p>
    <w:p w14:paraId="40454AC3" w14:textId="62F5F6ED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2) </w:t>
      </w:r>
      <w:r w:rsidR="000268E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p</w:t>
      </w: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entru membrii Comisiei Medicamentului:</w:t>
      </w:r>
    </w:p>
    <w:p w14:paraId="3D51FF52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R =K x CSM</w:t>
      </w:r>
    </w:p>
    <w:p w14:paraId="0DBCB686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unde:</w:t>
      </w:r>
    </w:p>
    <w:p w14:paraId="1BB2DBF8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R – remunerare per ședință,</w:t>
      </w:r>
    </w:p>
    <w:p w14:paraId="37AD6FCB" w14:textId="77777777" w:rsidR="000C68DF" w:rsidRP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K – coeficient de remunerare egal cu 1.5,</w:t>
      </w:r>
    </w:p>
    <w:p w14:paraId="13A68927" w14:textId="68FE37E8" w:rsidR="000C68DF" w:rsidRDefault="000C68DF" w:rsidP="000C68DF">
      <w:pPr>
        <w:pStyle w:val="ListParagraph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0C68DF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CSM – cuantumul salariului minim lunar pe economie realizat în anul precedent celui de gestiune.”</w:t>
      </w:r>
    </w:p>
    <w:p w14:paraId="7666AAF8" w14:textId="66F896A8" w:rsidR="00D5103A" w:rsidRPr="00BB7B45" w:rsidRDefault="00D5103A" w:rsidP="00D0247A">
      <w:pPr>
        <w:pStyle w:val="ListParagraph"/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lastRenderedPageBreak/>
        <w:t>p</w:t>
      </w:r>
      <w:r w:rsidR="00D0247A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ct.19</w:t>
      </w:r>
      <w:r w:rsidR="00FD66D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</w:t>
      </w:r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va avea următorul cuprins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:</w:t>
      </w:r>
    </w:p>
    <w:p w14:paraId="2FC5140D" w14:textId="3C54C1B6" w:rsidR="0051780A" w:rsidRPr="00BB7B45" w:rsidRDefault="0035005F" w:rsidP="0051780A">
      <w:pPr>
        <w:shd w:val="clear" w:color="auto" w:fill="FFFFFF"/>
        <w:spacing w:after="0"/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„19.</w:t>
      </w:r>
      <w:r w:rsidR="0051780A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Cheltuielile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aferente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defalcărilor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pentru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asigurarea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obligatorie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socială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stat sunt determinate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în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funcție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cheltuielile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pentru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retribuirea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muncii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și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cotele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contribuții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asigurări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sociale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stat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obligatorii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virate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la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bugetul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asigurărilor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sociale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stat, conform </w:t>
      </w:r>
      <w:proofErr w:type="spellStart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legislației</w:t>
      </w:r>
      <w:proofErr w:type="spellEnd"/>
      <w:r w:rsidR="0051780A" w:rsidRP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.</w:t>
      </w:r>
      <w:r w:rsidR="00517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”</w:t>
      </w:r>
    </w:p>
    <w:p w14:paraId="09B9BF42" w14:textId="289B4664" w:rsidR="00EA405B" w:rsidRPr="00BB7B45" w:rsidRDefault="0035005F" w:rsidP="0035005F">
      <w:pPr>
        <w:pStyle w:val="ListParagraph"/>
        <w:numPr>
          <w:ilvl w:val="0"/>
          <w:numId w:val="41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</w:pP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la p</w:t>
      </w:r>
      <w:r w:rsidR="00EA405B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ct.21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,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textul 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”conform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punctului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56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contul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02 „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Uzura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mijloacelor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fixe” al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Instrucţiunii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nr.93 din 19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iulie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2010 (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instituţii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finanţate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la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bugetul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stat).” </w:t>
      </w:r>
      <w:r w:rsidR="00304FC2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se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substituie</w:t>
      </w:r>
      <w:proofErr w:type="spellEnd"/>
      <w:r w:rsidR="00304FC2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cu </w:t>
      </w:r>
      <w:proofErr w:type="spellStart"/>
      <w:r w:rsidR="00304FC2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textul</w:t>
      </w:r>
      <w:proofErr w:type="spellEnd"/>
      <w:r w:rsidR="00304FC2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”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determinată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în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conformitate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cu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prevederile</w:t>
      </w:r>
      <w:proofErr w:type="spellEnd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O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rdinul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ui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054EF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ministrului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f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inanțelor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nr. 216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/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2015 </w:t>
      </w:r>
      <w:r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„C</w:t>
      </w:r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u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privire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la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aprobarea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Planului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de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conturi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contabile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în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sistemul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bugetar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și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a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Normelor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metodologice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privind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evidența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contabilă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și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raportarea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financiară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în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sistemul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 xml:space="preserve"> </w:t>
      </w:r>
      <w:proofErr w:type="spellStart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bugetar</w:t>
      </w:r>
      <w:proofErr w:type="spellEnd"/>
      <w:r w:rsidR="00894725" w:rsidRPr="00BB7B4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o-MD"/>
        </w:rPr>
        <w:t>.”</w:t>
      </w:r>
    </w:p>
    <w:p w14:paraId="3D3929CB" w14:textId="61F6E530" w:rsidR="00677494" w:rsidRPr="006F7CC0" w:rsidRDefault="00677494" w:rsidP="006F7CC0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Pct.</w:t>
      </w:r>
      <w:r w:rsidRPr="00CB0DA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33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 xml:space="preserve"> și 36 </w:t>
      </w:r>
      <w:r w:rsidRPr="00CB0DA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se abrogă.</w:t>
      </w:r>
    </w:p>
    <w:p w14:paraId="43853991" w14:textId="77777777" w:rsidR="00D0247A" w:rsidRDefault="00D0247A" w:rsidP="006F7CC0">
      <w:pPr>
        <w:pStyle w:val="ListParagraph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</w:p>
    <w:p w14:paraId="6A5C4288" w14:textId="1D9C5408" w:rsidR="00B0056B" w:rsidRDefault="006F7CC0" w:rsidP="00F53E98">
      <w:pPr>
        <w:pStyle w:val="ListParagraph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A</w:t>
      </w:r>
      <w:r w:rsidR="00B0056B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nexa nr.2 va avea următorul cuprins</w:t>
      </w:r>
      <w:r w:rsidR="00220970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:</w:t>
      </w:r>
    </w:p>
    <w:p w14:paraId="355E2278" w14:textId="4B0E25DD" w:rsidR="00F53E98" w:rsidRPr="00D64773" w:rsidRDefault="00C7330C" w:rsidP="00D6477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</w:p>
    <w:p w14:paraId="7CC50B81" w14:textId="78CF6693" w:rsidR="009B0133" w:rsidRPr="00A42DD2" w:rsidRDefault="00D64773" w:rsidP="00F53E98">
      <w:pPr>
        <w:shd w:val="clear" w:color="auto" w:fill="FFFFFF"/>
        <w:spacing w:after="0"/>
        <w:jc w:val="right"/>
        <w:rPr>
          <w:rFonts w:ascii="Georgia" w:eastAsia="Times New Roman" w:hAnsi="Georgia" w:cs="Times New Roman"/>
          <w:color w:val="333333"/>
          <w:sz w:val="24"/>
          <w:szCs w:val="24"/>
          <w:lang w:val="ro-MD" w:eastAsia="ro-MD"/>
        </w:rPr>
      </w:pPr>
      <w:bookmarkStart w:id="2" w:name="_Hlk147905055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„</w:t>
      </w:r>
      <w:r w:rsidR="009B0133" w:rsidRPr="009B013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Anexa nr. 2</w:t>
      </w:r>
    </w:p>
    <w:p w14:paraId="2E573D70" w14:textId="77777777" w:rsidR="009B0133" w:rsidRPr="00664A0F" w:rsidRDefault="009B0133" w:rsidP="00F53E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la Hotărârea </w:t>
      </w:r>
      <w:r w:rsidRPr="00664A0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Guvernului nr.348</w:t>
      </w:r>
    </w:p>
    <w:p w14:paraId="63DCC8FA" w14:textId="77777777" w:rsidR="009B0133" w:rsidRPr="009B0133" w:rsidRDefault="009B0133" w:rsidP="00F53E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  <w:r w:rsidRPr="00664A0F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din   26 mai   2014</w:t>
      </w:r>
      <w:r w:rsidRPr="009B013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</w:t>
      </w:r>
    </w:p>
    <w:p w14:paraId="2817101D" w14:textId="77777777" w:rsidR="009B0133" w:rsidRPr="009B0133" w:rsidRDefault="009B0133" w:rsidP="00F53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14:paraId="17D1F497" w14:textId="77777777" w:rsidR="009B0133" w:rsidRPr="009B0133" w:rsidRDefault="009B0133" w:rsidP="009B0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</w:p>
    <w:p w14:paraId="039EAC98" w14:textId="77777777" w:rsidR="009B0133" w:rsidRPr="00C7330C" w:rsidRDefault="009B0133" w:rsidP="00C7330C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ro-MD" w:eastAsia="ro-MD"/>
        </w:rPr>
      </w:pPr>
    </w:p>
    <w:p w14:paraId="093C0217" w14:textId="77777777" w:rsidR="003024D1" w:rsidRPr="009B0133" w:rsidRDefault="003024D1" w:rsidP="0024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>NOMENCLATORUL ŞI TARIFELE</w:t>
      </w:r>
    </w:p>
    <w:p w14:paraId="5E28DFE8" w14:textId="5B89C11A" w:rsidR="003024D1" w:rsidRPr="009B0133" w:rsidRDefault="003024D1" w:rsidP="0024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>serviciilor prestate de către</w:t>
      </w:r>
    </w:p>
    <w:p w14:paraId="61229FEB" w14:textId="77777777" w:rsidR="003024D1" w:rsidRPr="009B0133" w:rsidRDefault="003024D1" w:rsidP="00243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>Agenţia Medicamentului şi Dispozitivelor Medicale</w:t>
      </w:r>
    </w:p>
    <w:p w14:paraId="085DF602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14:paraId="17B352F7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14:paraId="558295F6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 xml:space="preserve">Tarifele pentru efectuarea controlului calităţii </w:t>
      </w:r>
    </w:p>
    <w:p w14:paraId="0DBFDC1B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>şi utilizarea raţională a medicamentelor</w:t>
      </w:r>
    </w:p>
    <w:p w14:paraId="146BB434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</w:p>
    <w:tbl>
      <w:tblPr>
        <w:tblW w:w="5245" w:type="pct"/>
        <w:tblLook w:val="00A0" w:firstRow="1" w:lastRow="0" w:firstColumn="1" w:lastColumn="0" w:noHBand="0" w:noVBand="0"/>
      </w:tblPr>
      <w:tblGrid>
        <w:gridCol w:w="636"/>
        <w:gridCol w:w="6673"/>
        <w:gridCol w:w="1411"/>
        <w:gridCol w:w="1082"/>
      </w:tblGrid>
      <w:tr w:rsidR="003024D1" w:rsidRPr="009B0133" w14:paraId="766CB5D2" w14:textId="77777777" w:rsidTr="00563584">
        <w:trPr>
          <w:trHeight w:val="51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1C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Nr. d/o</w:t>
            </w:r>
          </w:p>
        </w:tc>
        <w:tc>
          <w:tcPr>
            <w:tcW w:w="3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272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Denumirea serviciului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E42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Unitatea de măsură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9B83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Tariful, lei</w:t>
            </w:r>
          </w:p>
        </w:tc>
      </w:tr>
    </w:tbl>
    <w:p w14:paraId="4388410F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tbl>
      <w:tblPr>
        <w:tblW w:w="5245" w:type="pct"/>
        <w:tblLook w:val="00A0" w:firstRow="1" w:lastRow="0" w:firstColumn="1" w:lastColumn="0" w:noHBand="0" w:noVBand="0"/>
      </w:tblPr>
      <w:tblGrid>
        <w:gridCol w:w="636"/>
        <w:gridCol w:w="6655"/>
        <w:gridCol w:w="1394"/>
        <w:gridCol w:w="1117"/>
      </w:tblGrid>
      <w:tr w:rsidR="003024D1" w:rsidRPr="009B0133" w14:paraId="0EAE1C35" w14:textId="77777777" w:rsidTr="00563584">
        <w:trPr>
          <w:trHeight w:val="255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B6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7DC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F8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1E8D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4</w:t>
            </w:r>
          </w:p>
        </w:tc>
      </w:tr>
      <w:tr w:rsidR="003024D1" w:rsidRPr="008A3633" w14:paraId="780CDFD8" w14:textId="77777777" w:rsidTr="00563584">
        <w:trPr>
          <w:trHeight w:val="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53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I. Evaluarea calităţii şi conformităţii medicamentelor</w:t>
            </w:r>
          </w:p>
        </w:tc>
      </w:tr>
      <w:tr w:rsidR="003024D1" w:rsidRPr="009B0133" w14:paraId="7AEBB3F9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02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3337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Familiarizarea cu documentaţia analitico-normativă şi cu tehnica de lucru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4E6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9E6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199.80</w:t>
            </w:r>
          </w:p>
        </w:tc>
      </w:tr>
      <w:tr w:rsidR="003024D1" w:rsidRPr="009B0133" w14:paraId="73947469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08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F0E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Verificarea ambalării, marcării, deschiderea cutiei, examinarea aspectului exterior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D48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D5BB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266.40</w:t>
            </w:r>
          </w:p>
        </w:tc>
      </w:tr>
      <w:tr w:rsidR="003024D1" w:rsidRPr="009B0133" w14:paraId="7D25F05E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6C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CBCF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nivelului de umplere a fiolelor (min. 20 unităţi)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DA3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80A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299.70</w:t>
            </w:r>
          </w:p>
        </w:tc>
      </w:tr>
      <w:tr w:rsidR="003024D1" w:rsidRPr="009B0133" w14:paraId="4BC03221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49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57B2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volumului conţinutului flacoanelor (10 unităţi)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F3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7F1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216.45</w:t>
            </w:r>
          </w:p>
        </w:tc>
      </w:tr>
      <w:tr w:rsidR="003024D1" w:rsidRPr="009B0133" w14:paraId="18989D8C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C3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6A83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conţinutului tuburilor, flacoanelor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225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E8EC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1263.65</w:t>
            </w:r>
          </w:p>
        </w:tc>
      </w:tr>
      <w:tr w:rsidR="003024D1" w:rsidRPr="009B0133" w14:paraId="15F5D7B6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65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5160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randamentului preparatului în aerosoluri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B78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A8D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299.70</w:t>
            </w:r>
          </w:p>
        </w:tc>
      </w:tr>
      <w:tr w:rsidR="003024D1" w:rsidRPr="009B0133" w14:paraId="009CA8C1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CE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EE8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medii a unei doze în aerosol şi a numărului total de doze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DA1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8291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410.02</w:t>
            </w:r>
          </w:p>
        </w:tc>
      </w:tr>
      <w:tr w:rsidR="003024D1" w:rsidRPr="009B0133" w14:paraId="20CDC9E2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85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0DC3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Verificarea ambalajului aerosol (etanşeitate, lucrul supapei etc.)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CBD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1D7B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199.80</w:t>
            </w:r>
          </w:p>
        </w:tc>
      </w:tr>
      <w:tr w:rsidR="003024D1" w:rsidRPr="009B0133" w14:paraId="3024FDE5" w14:textId="77777777" w:rsidTr="00563584">
        <w:trPr>
          <w:trHeight w:val="69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3F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3BAA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medii şi a devierilor de la masa medie a comprimatelor, drajeurilor, capsulelor, granulelor, supozitoarelor, brichetelor, pulberilor dozate etc.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652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C41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204.67</w:t>
            </w:r>
          </w:p>
        </w:tc>
      </w:tr>
      <w:tr w:rsidR="003024D1" w:rsidRPr="009B0133" w14:paraId="7F8BDCFD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0B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CE4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medii şi a devierilor conţinutului capsulelor gelatinoase operculate şi moi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BF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16D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606.08</w:t>
            </w:r>
          </w:p>
        </w:tc>
      </w:tr>
      <w:tr w:rsidR="003024D1" w:rsidRPr="009B0133" w14:paraId="4D2F5825" w14:textId="77777777" w:rsidTr="00563584">
        <w:trPr>
          <w:trHeight w:val="48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08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7766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conţinutului flacoanelor cu substanţă medicamentoasă pentru injecţii şi a devierilor de la ea (20 unităţi)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512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722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652.44</w:t>
            </w:r>
          </w:p>
        </w:tc>
      </w:tr>
      <w:tr w:rsidR="003024D1" w:rsidRPr="009B0133" w14:paraId="6EA42D7E" w14:textId="77777777" w:rsidTr="00563584">
        <w:trPr>
          <w:trHeight w:val="49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C7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8C64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conţinutului ambalajelor cu produs vegetal medicamentos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659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8DBC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104.77</w:t>
            </w:r>
          </w:p>
        </w:tc>
      </w:tr>
      <w:tr w:rsidR="003024D1" w:rsidRPr="009B0133" w14:paraId="390C98F6" w14:textId="77777777" w:rsidTr="00563584">
        <w:trPr>
          <w:trHeight w:val="61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09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DE38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Extracţia principiului activ din formele farmaceutice în vederea identificării ulterioare, efectuării probelor de puritate sau dozării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468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8CA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1752.66</w:t>
            </w:r>
          </w:p>
        </w:tc>
      </w:tr>
      <w:tr w:rsidR="003024D1" w:rsidRPr="009B0133" w14:paraId="7D940464" w14:textId="77777777" w:rsidTr="00563584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01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C145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reacţii chimice pentru un singur component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752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A121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230.80</w:t>
            </w:r>
          </w:p>
        </w:tc>
      </w:tr>
      <w:tr w:rsidR="003024D1" w:rsidRPr="009B0133" w14:paraId="60E61692" w14:textId="77777777" w:rsidTr="00563584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80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E563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cromatografiei în strat subţire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8C9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46C9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1717.73</w:t>
            </w:r>
          </w:p>
        </w:tc>
      </w:tr>
      <w:tr w:rsidR="003024D1" w:rsidRPr="009B0133" w14:paraId="02782C9B" w14:textId="77777777" w:rsidTr="00563584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0B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784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spectrofotometrică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5BC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B408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4666.06</w:t>
            </w:r>
          </w:p>
        </w:tc>
      </w:tr>
      <w:tr w:rsidR="003024D1" w:rsidRPr="009B0133" w14:paraId="5042EE4F" w14:textId="77777777" w:rsidTr="00563584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F7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FE78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Identificarea prin metoda spectofotometrică în infraroşu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82C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010D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4664.90</w:t>
            </w:r>
          </w:p>
        </w:tc>
      </w:tr>
      <w:tr w:rsidR="003024D1" w:rsidRPr="009B0133" w14:paraId="7799F99A" w14:textId="77777777" w:rsidTr="00563584">
        <w:trPr>
          <w:trHeight w:val="62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D4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DDD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cromatografiei lichidelor de performanţă efectuată împreună cu dozarea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66C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F32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349.65</w:t>
            </w:r>
          </w:p>
        </w:tc>
      </w:tr>
      <w:tr w:rsidR="003024D1" w:rsidRPr="009B0133" w14:paraId="34EBAB84" w14:textId="77777777" w:rsidTr="00563584">
        <w:trPr>
          <w:trHeight w:val="33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25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19.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8B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cromatografiei gaz – lichid efectuată împreună cu dozarea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EA0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F61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399.60</w:t>
            </w:r>
          </w:p>
        </w:tc>
      </w:tr>
      <w:tr w:rsidR="003024D1" w:rsidRPr="009B0133" w14:paraId="43ABE64D" w14:textId="77777777" w:rsidTr="00563584">
        <w:trPr>
          <w:trHeight w:val="33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96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20.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25C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polarimetrică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BD6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D84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929.11</w:t>
            </w:r>
          </w:p>
        </w:tc>
      </w:tr>
      <w:tr w:rsidR="003024D1" w:rsidRPr="009B0133" w14:paraId="082FCB79" w14:textId="77777777" w:rsidTr="00563584">
        <w:trPr>
          <w:trHeight w:val="28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A2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21.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E9BE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metodă refractometrică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E30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93B2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336.27</w:t>
            </w:r>
          </w:p>
        </w:tc>
      </w:tr>
      <w:tr w:rsidR="003024D1" w:rsidRPr="009B0133" w14:paraId="635B9028" w14:textId="77777777" w:rsidTr="00563584">
        <w:trPr>
          <w:trHeight w:val="13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52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22.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0F6B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determinarea punctului de topire, fierbere sau solidificare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2DE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FBC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727.53</w:t>
            </w:r>
          </w:p>
        </w:tc>
      </w:tr>
      <w:tr w:rsidR="003024D1" w:rsidRPr="009B0133" w14:paraId="703A10CF" w14:textId="77777777" w:rsidTr="00563584">
        <w:trPr>
          <w:trHeight w:val="37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0A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23.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EC4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determinarea punctului de topire a precipitatului sau conjugatului obţinut la extragerea principiului activ, recristalizarea şi uscarea lui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670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8BF2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1489.50</w:t>
            </w:r>
          </w:p>
        </w:tc>
      </w:tr>
      <w:tr w:rsidR="003024D1" w:rsidRPr="009B0133" w14:paraId="43A6054F" w14:textId="77777777" w:rsidTr="00563584">
        <w:trPr>
          <w:trHeight w:val="4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6A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24.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872A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determinarea caracteristicilor macroscopice ale produsului vegetal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018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E6CF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99.90</w:t>
            </w:r>
          </w:p>
        </w:tc>
      </w:tr>
      <w:tr w:rsidR="003024D1" w:rsidRPr="009B0133" w14:paraId="70443D1E" w14:textId="77777777" w:rsidTr="00563584">
        <w:trPr>
          <w:trHeight w:val="4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48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25.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757A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determinarea caracteristicilor microscopice ale produsului vegetal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AFD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C1B6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423.04</w:t>
            </w:r>
          </w:p>
        </w:tc>
      </w:tr>
      <w:tr w:rsidR="003024D1" w:rsidRPr="009B0133" w14:paraId="3834187B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E0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5D50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înrudite prin metode chimice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286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67E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234.69</w:t>
            </w:r>
          </w:p>
        </w:tc>
      </w:tr>
      <w:tr w:rsidR="003024D1" w:rsidRPr="009B0133" w14:paraId="2830BE87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16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64C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înrudite prin metode cromatografice în strat subţire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DAC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B0A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2425.82</w:t>
            </w:r>
          </w:p>
        </w:tc>
      </w:tr>
      <w:tr w:rsidR="003024D1" w:rsidRPr="009B0133" w14:paraId="347025B4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BE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2F73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înrudite prin metode spectrofotometrice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AD8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CE2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950.97</w:t>
            </w:r>
          </w:p>
        </w:tc>
      </w:tr>
      <w:tr w:rsidR="003024D1" w:rsidRPr="009B0133" w14:paraId="74B0719A" w14:textId="77777777" w:rsidTr="00563584">
        <w:trPr>
          <w:trHeight w:val="593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01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81FE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specifice prin metode cromatografice în strat subţire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699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C623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4387.81</w:t>
            </w:r>
          </w:p>
        </w:tc>
      </w:tr>
      <w:tr w:rsidR="003024D1" w:rsidRPr="009B0133" w14:paraId="087AD08B" w14:textId="77777777" w:rsidTr="00563584">
        <w:trPr>
          <w:trHeight w:val="4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5F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3784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specifice prin reacţii chimice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FA9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083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183.15</w:t>
            </w:r>
          </w:p>
        </w:tc>
      </w:tr>
      <w:tr w:rsidR="003024D1" w:rsidRPr="009B0133" w14:paraId="49C8F853" w14:textId="77777777" w:rsidTr="00563584">
        <w:trPr>
          <w:trHeight w:val="6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E9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471B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Efectuarea testelor de puritate pentru determinarea conţinutului-limită (cloruri, sulfaţi, calciu, amoniu, fier, zinc, metale grele etc.)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9AC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CD6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1055.77</w:t>
            </w:r>
          </w:p>
        </w:tc>
      </w:tr>
      <w:tr w:rsidR="003024D1" w:rsidRPr="009B0133" w14:paraId="761EEB3F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C2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0D5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metalelor grele cu mineralizare preventivă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446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312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1169.66</w:t>
            </w:r>
          </w:p>
        </w:tc>
      </w:tr>
      <w:tr w:rsidR="003024D1" w:rsidRPr="009B0133" w14:paraId="02033EC4" w14:textId="77777777" w:rsidTr="00563584">
        <w:trPr>
          <w:trHeight w:val="416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06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33.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A0F3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conţinutului-limită de arsen prin metoda 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368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69D7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1253.06</w:t>
            </w:r>
          </w:p>
        </w:tc>
      </w:tr>
      <w:tr w:rsidR="003024D1" w:rsidRPr="009B0133" w14:paraId="03EE70A7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9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B00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conţinutului-limită de arsen prin metoda 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C2A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D414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255.74</w:t>
            </w:r>
          </w:p>
        </w:tc>
      </w:tr>
      <w:tr w:rsidR="003024D1" w:rsidRPr="009B0133" w14:paraId="31500778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60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1EA8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solvenţilor reziduali prin metoda cromatografiei gaz - lichid</w:t>
            </w:r>
            <w:bookmarkStart w:id="3" w:name="_Hlk126917517"/>
            <w:r w:rsidRPr="009B0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Headspace</w:t>
            </w:r>
            <w:bookmarkEnd w:id="3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F99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7E66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11120.87</w:t>
            </w:r>
          </w:p>
        </w:tc>
      </w:tr>
      <w:tr w:rsidR="003024D1" w:rsidRPr="009B0133" w14:paraId="3016CD42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39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CA5C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de ulei de fuzel şi altor substanţe organice în etanol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F71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37B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173.35</w:t>
            </w:r>
          </w:p>
        </w:tc>
      </w:tr>
      <w:tr w:rsidR="003024D1" w:rsidRPr="009B0133" w14:paraId="05A3525D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0E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5675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substanţelor reducătoare în etanol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1C0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FDA3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200.88</w:t>
            </w:r>
          </w:p>
        </w:tc>
      </w:tr>
      <w:tr w:rsidR="003024D1" w:rsidRPr="009B0133" w14:paraId="3C034FC1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03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B44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metanolului şi altor impurităţi volatile în etanol prin metode chimice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73D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6F93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421.54</w:t>
            </w:r>
          </w:p>
        </w:tc>
      </w:tr>
      <w:tr w:rsidR="003024D1" w:rsidRPr="009B0133" w14:paraId="133C8AAC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F5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0AD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furfurolului în etanol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B67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51E6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175.32</w:t>
            </w:r>
          </w:p>
        </w:tc>
      </w:tr>
      <w:tr w:rsidR="003024D1" w:rsidRPr="009B0133" w14:paraId="46FB070A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AAE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8044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solubilităţii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EF4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CCFC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311.12</w:t>
            </w:r>
          </w:p>
        </w:tc>
      </w:tr>
      <w:tr w:rsidR="003024D1" w:rsidRPr="009B0133" w14:paraId="3778C14F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20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FEBE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culorii soluţiei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9E7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1E34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228.72</w:t>
            </w:r>
          </w:p>
        </w:tc>
      </w:tr>
      <w:tr w:rsidR="003024D1" w:rsidRPr="009B0133" w14:paraId="3A786012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51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E2F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transparenţei soluţiei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F7D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ED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227.89</w:t>
            </w:r>
          </w:p>
        </w:tc>
      </w:tr>
      <w:tr w:rsidR="003024D1" w:rsidRPr="009B0133" w14:paraId="1DE11572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25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683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punctului de topire sau fierbere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D4A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265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419.26</w:t>
            </w:r>
          </w:p>
        </w:tc>
      </w:tr>
      <w:tr w:rsidR="003024D1" w:rsidRPr="009B0133" w14:paraId="036CD057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15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ED90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densităţii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7CA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7C8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1042.60</w:t>
            </w:r>
          </w:p>
        </w:tc>
      </w:tr>
      <w:tr w:rsidR="003024D1" w:rsidRPr="009B0133" w14:paraId="0992F5F9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AC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A6D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puterii rotatorii specifice, a unghiului de rotaţie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C25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6EE5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1423.06</w:t>
            </w:r>
          </w:p>
        </w:tc>
      </w:tr>
      <w:tr w:rsidR="003024D1" w:rsidRPr="009B0133" w14:paraId="3B7C7319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DE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A06F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indicelui de refracţie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826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9A49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540.50</w:t>
            </w:r>
          </w:p>
        </w:tc>
      </w:tr>
      <w:tr w:rsidR="003024D1" w:rsidRPr="009B0133" w14:paraId="28DE6D73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70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5D19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pierderii în masă prin uscare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0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287B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1569.33</w:t>
            </w:r>
          </w:p>
        </w:tc>
      </w:tr>
      <w:tr w:rsidR="003024D1" w:rsidRPr="009B0133" w14:paraId="2AB9ED09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E0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171A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reziduului uscat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E32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4B7B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1875.25</w:t>
            </w:r>
          </w:p>
        </w:tc>
      </w:tr>
      <w:tr w:rsidR="003024D1" w:rsidRPr="009B0133" w14:paraId="0DF08FAF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32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26AE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viscozităţii relative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3D4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744A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1605.08</w:t>
            </w:r>
          </w:p>
        </w:tc>
      </w:tr>
      <w:tr w:rsidR="003024D1" w:rsidRPr="009B0133" w14:paraId="382EB2A5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33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4034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reziduului prin calcinare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F41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F7D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1709.80</w:t>
            </w:r>
          </w:p>
        </w:tc>
      </w:tr>
      <w:tr w:rsidR="003024D1" w:rsidRPr="009B0133" w14:paraId="1607608A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EF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51.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4F14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cenuşii de sulfaţi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554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739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1272.48</w:t>
            </w:r>
          </w:p>
        </w:tc>
      </w:tr>
      <w:tr w:rsidR="003024D1" w:rsidRPr="009B0133" w14:paraId="53DC2117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FF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923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apei prin metoda Karl Fischer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22C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7F2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964.11</w:t>
            </w:r>
          </w:p>
        </w:tc>
      </w:tr>
      <w:tr w:rsidR="003024D1" w:rsidRPr="009B0133" w14:paraId="6722F133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23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53.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0D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extincţiei specifice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74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096B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4400.12</w:t>
            </w:r>
          </w:p>
        </w:tc>
      </w:tr>
      <w:tr w:rsidR="003024D1" w:rsidRPr="009B0133" w14:paraId="09BA79E1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1F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54.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0FFC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pH-ului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CAA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B81A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506.75</w:t>
            </w:r>
          </w:p>
        </w:tc>
      </w:tr>
      <w:tr w:rsidR="003024D1" w:rsidRPr="009B0133" w14:paraId="121AA8E5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0C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D331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acidităţii – alcalinităţii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1CE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51A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236.18</w:t>
            </w:r>
          </w:p>
        </w:tc>
      </w:tr>
      <w:tr w:rsidR="003024D1" w:rsidRPr="009B0133" w14:paraId="084DFCE9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20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56.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0A02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indicelui de iod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01A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5962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619.41</w:t>
            </w:r>
          </w:p>
        </w:tc>
      </w:tr>
      <w:tr w:rsidR="003024D1" w:rsidRPr="009B0133" w14:paraId="3BEDA0BD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69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57.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19F0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indicelui de aciditate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115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C8CA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443.46</w:t>
            </w:r>
          </w:p>
        </w:tc>
      </w:tr>
      <w:tr w:rsidR="003024D1" w:rsidRPr="009B0133" w14:paraId="4517C61E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EF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58.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77E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indicelui de saponificare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C3C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10F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904.73</w:t>
            </w:r>
          </w:p>
        </w:tc>
      </w:tr>
      <w:tr w:rsidR="003024D1" w:rsidRPr="009B0133" w14:paraId="65FA8B2C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B3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59.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3E64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indicelui de peroxid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ED1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061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557.29</w:t>
            </w:r>
          </w:p>
        </w:tc>
      </w:tr>
      <w:tr w:rsidR="003024D1" w:rsidRPr="009B0133" w14:paraId="0A9F15C0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E6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E8E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indicelui de hidroxil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47C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17C6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1605.08</w:t>
            </w:r>
          </w:p>
        </w:tc>
      </w:tr>
      <w:tr w:rsidR="003024D1" w:rsidRPr="009B0133" w14:paraId="379EC5C1" w14:textId="77777777" w:rsidTr="00563584">
        <w:trPr>
          <w:trHeight w:val="57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A6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61.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D8C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etanolului în soluţii hidroalcoolice, tincturi, extracte etc. prin identificarea punctului de fierbere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4EC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6BA8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685.68</w:t>
            </w:r>
          </w:p>
        </w:tc>
      </w:tr>
      <w:tr w:rsidR="003024D1" w:rsidRPr="009B0133" w14:paraId="389AF10E" w14:textId="77777777" w:rsidTr="00563584">
        <w:trPr>
          <w:trHeight w:val="45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89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62.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DB92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etanolului în soluţii hidroalcoolice, tincturi, extracte etc. prin distilare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8B7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6677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2970.12</w:t>
            </w:r>
          </w:p>
        </w:tc>
      </w:tr>
      <w:tr w:rsidR="003024D1" w:rsidRPr="009B0133" w14:paraId="23CD4E8A" w14:textId="77777777" w:rsidTr="00563584">
        <w:trPr>
          <w:trHeight w:val="6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6D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2A86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etanolului în soluţii hidroalcoolice, tincturi, extracte etc. prin metoda cromatografiei gaz-lichid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EA3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FAB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4944.26</w:t>
            </w:r>
          </w:p>
        </w:tc>
      </w:tr>
      <w:tr w:rsidR="003024D1" w:rsidRPr="009B0133" w14:paraId="28448C9D" w14:textId="77777777" w:rsidTr="00563584">
        <w:trPr>
          <w:trHeight w:val="4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FE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037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timpului de deformare completă, dezagregare a supozitoarelor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E6F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E335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437.40</w:t>
            </w:r>
          </w:p>
        </w:tc>
      </w:tr>
      <w:tr w:rsidR="003024D1" w:rsidRPr="009B0133" w14:paraId="2B223D40" w14:textId="77777777" w:rsidTr="00563584">
        <w:trPr>
          <w:trHeight w:val="40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E3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FC86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timpului de dizolvare a supozitoarelor pe bază hidrofilă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A62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043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8698.18</w:t>
            </w:r>
          </w:p>
        </w:tc>
      </w:tr>
      <w:tr w:rsidR="003024D1" w:rsidRPr="009B0133" w14:paraId="7ABF80F1" w14:textId="77777777" w:rsidTr="00563584">
        <w:trPr>
          <w:trHeight w:val="5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6B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66.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6DBD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timpului de dezagregare a comprimatelor, drajeurilor, capsulelor şi altor forme solide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E6D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11CE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917.04</w:t>
            </w:r>
          </w:p>
        </w:tc>
      </w:tr>
      <w:tr w:rsidR="003024D1" w:rsidRPr="009B0133" w14:paraId="71C42BD2" w14:textId="77777777" w:rsidTr="00563584">
        <w:trPr>
          <w:trHeight w:val="51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D6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C679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timpului de dezagregare a comprimatelor, drajeurilor şi capsulelor enterosolubile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94B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B5B2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838.92</w:t>
            </w:r>
          </w:p>
        </w:tc>
      </w:tr>
      <w:tr w:rsidR="003024D1" w:rsidRPr="009B0133" w14:paraId="4F961156" w14:textId="77777777" w:rsidTr="00563584">
        <w:trPr>
          <w:trHeight w:val="28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CE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B053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talcului, aerosilului şi a cenuşii insolubile în acid clorhidric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ACC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198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1899.87</w:t>
            </w:r>
          </w:p>
        </w:tc>
      </w:tr>
      <w:tr w:rsidR="003024D1" w:rsidRPr="009B0133" w14:paraId="08BF053B" w14:textId="77777777" w:rsidTr="00563584">
        <w:trPr>
          <w:trHeight w:val="28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54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69.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0019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cenuşii totale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5F5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C290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1273.16</w:t>
            </w:r>
          </w:p>
        </w:tc>
      </w:tr>
      <w:tr w:rsidR="003024D1" w:rsidRPr="009B0133" w14:paraId="0CF8D1E0" w14:textId="77777777" w:rsidTr="00563584">
        <w:trPr>
          <w:trHeight w:val="28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C8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1CA4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Determinarea solubilităţii principiului activ din comprimate, drajeuri şi capsule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spectrofotometrice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0AF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90C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2858.70</w:t>
            </w:r>
          </w:p>
        </w:tc>
      </w:tr>
      <w:tr w:rsidR="003024D1" w:rsidRPr="009B0133" w14:paraId="38D6F140" w14:textId="77777777" w:rsidTr="00563584">
        <w:trPr>
          <w:trHeight w:val="28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EF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533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Determinarea parametrilor comprimatelor, drajeurilor, capsulelor, supozitoarelor etc.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05E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1585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133.25</w:t>
            </w:r>
          </w:p>
        </w:tc>
      </w:tr>
      <w:tr w:rsidR="003024D1" w:rsidRPr="009B0133" w14:paraId="2B26E352" w14:textId="77777777" w:rsidTr="00563584">
        <w:trPr>
          <w:trHeight w:val="57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07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2619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Determinarea omogenităţii dozării (pentru formele farmaceutice dozate cu conţinut de principiu activ sub 0,05 g)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spectrofotometric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BFD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D252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906.99</w:t>
            </w:r>
          </w:p>
        </w:tc>
      </w:tr>
      <w:tr w:rsidR="003024D1" w:rsidRPr="009B0133" w14:paraId="781EAF61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35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EC6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metode chimice volumetrice (dozare monocomponentă)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2E4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299B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707.67</w:t>
            </w:r>
          </w:p>
        </w:tc>
      </w:tr>
      <w:tr w:rsidR="003024D1" w:rsidRPr="009B0133" w14:paraId="47EA55A4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02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820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alte metode chimice (Kjeldahl etc.)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586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31A7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1198.80</w:t>
            </w:r>
          </w:p>
        </w:tc>
      </w:tr>
      <w:tr w:rsidR="003024D1" w:rsidRPr="009B0133" w14:paraId="560737AE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05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4C8D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spectrofotometrică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5A7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C759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4299.34</w:t>
            </w:r>
          </w:p>
        </w:tc>
      </w:tr>
      <w:tr w:rsidR="003024D1" w:rsidRPr="009B0133" w14:paraId="24BFC05A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FA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8F1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fotoelectrocolorimetrică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700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A4B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4699.44</w:t>
            </w:r>
          </w:p>
        </w:tc>
      </w:tr>
      <w:tr w:rsidR="003024D1" w:rsidRPr="009B0133" w14:paraId="68B90FBB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06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45D9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cromatografiei lichide de performanţă înaltă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5DC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5285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7562.01</w:t>
            </w:r>
          </w:p>
        </w:tc>
      </w:tr>
      <w:tr w:rsidR="003024D1" w:rsidRPr="009B0133" w14:paraId="4C78400F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46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0C93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cromatografiei gaz – lichid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ECA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A291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13106.85</w:t>
            </w:r>
          </w:p>
        </w:tc>
      </w:tr>
      <w:tr w:rsidR="003024D1" w:rsidRPr="009B0133" w14:paraId="2DDC0314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95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1E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gravimetrică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CE9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D57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1716.45</w:t>
            </w:r>
          </w:p>
        </w:tc>
      </w:tr>
      <w:tr w:rsidR="003024D1" w:rsidRPr="009B0133" w14:paraId="4D48154F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47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0818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cromatospectrofotometrică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E41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C54A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2022.49</w:t>
            </w:r>
          </w:p>
        </w:tc>
      </w:tr>
      <w:tr w:rsidR="003024D1" w:rsidRPr="009B0133" w14:paraId="7752393F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99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23A8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refractometrică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9BD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56DC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563.80</w:t>
            </w:r>
          </w:p>
        </w:tc>
      </w:tr>
      <w:tr w:rsidR="003024D1" w:rsidRPr="009B0133" w14:paraId="10D6923D" w14:textId="77777777" w:rsidTr="00563584">
        <w:trPr>
          <w:trHeight w:val="193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5C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E6E4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metoda polarimetrică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23A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0FB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886.58</w:t>
            </w:r>
          </w:p>
        </w:tc>
      </w:tr>
      <w:tr w:rsidR="003024D1" w:rsidRPr="009B0133" w14:paraId="78BD0ACD" w14:textId="77777777" w:rsidTr="00563584">
        <w:trPr>
          <w:trHeight w:val="80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A3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83.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FD17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principiilor active în produsul vegetal (alcaloizi, vitamine, cumarine, flavonoide, uleiuri volatile, substanţe tanante etc.)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B8F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E4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2578.89</w:t>
            </w:r>
          </w:p>
        </w:tc>
      </w:tr>
      <w:tr w:rsidR="003024D1" w:rsidRPr="009B0133" w14:paraId="65E0E59B" w14:textId="77777777" w:rsidTr="00563584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63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B3F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omogenităţii formelor moi (unguente, linimente, paste, creme etc.)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4B4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C756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147.25</w:t>
            </w:r>
          </w:p>
        </w:tc>
      </w:tr>
      <w:tr w:rsidR="003024D1" w:rsidRPr="009B0133" w14:paraId="1435E4E4" w14:textId="77777777" w:rsidTr="00563584">
        <w:trPr>
          <w:trHeight w:val="3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87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85.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90EC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dimensiunilor particulelor în forme moi, suspensii, aerosoluri etc.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190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CE0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472.85</w:t>
            </w:r>
          </w:p>
        </w:tc>
      </w:tr>
      <w:tr w:rsidR="003024D1" w:rsidRPr="009B0133" w14:paraId="446B16B3" w14:textId="77777777" w:rsidTr="00563584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13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3324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Proba pasaj prin ac în seringă al suspensiilor injectabile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726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EDF5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106.50</w:t>
            </w:r>
          </w:p>
        </w:tc>
      </w:tr>
      <w:tr w:rsidR="003024D1" w:rsidRPr="009B0133" w14:paraId="6A4B544A" w14:textId="77777777" w:rsidTr="00563584">
        <w:trPr>
          <w:trHeight w:val="3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1C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87.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607F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particulelor în suspensie în fiole (pentru 100 unităţi)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8E6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0196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507.48</w:t>
            </w:r>
          </w:p>
        </w:tc>
      </w:tr>
      <w:tr w:rsidR="003024D1" w:rsidRPr="009B0133" w14:paraId="5415ED8C" w14:textId="77777777" w:rsidTr="00563584">
        <w:trPr>
          <w:trHeight w:val="3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CD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88.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53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particulelor în suspensie în flacoane cu soluţii perfuzabile (pentru 20 unităţi)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F7E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8EC8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251.76</w:t>
            </w:r>
          </w:p>
        </w:tc>
      </w:tr>
      <w:tr w:rsidR="003024D1" w:rsidRPr="009B0133" w14:paraId="47885C2A" w14:textId="77777777" w:rsidTr="00563584">
        <w:trPr>
          <w:trHeight w:val="3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82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89.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0700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particulelor în suspensie pentru picăturile oftalmice (20 unităţi)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58D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74FA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201.80</w:t>
            </w:r>
          </w:p>
        </w:tc>
      </w:tr>
      <w:tr w:rsidR="003024D1" w:rsidRPr="009B0133" w14:paraId="484EE3CE" w14:textId="77777777" w:rsidTr="00563584">
        <w:trPr>
          <w:trHeight w:val="37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99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40F2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particulelor în suspensie pentru pulberile injectabile (20 unităţi)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AC2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A000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404.31</w:t>
            </w:r>
          </w:p>
        </w:tc>
      </w:tr>
      <w:tr w:rsidR="003024D1" w:rsidRPr="009B0133" w14:paraId="7A98479A" w14:textId="77777777" w:rsidTr="00563584">
        <w:trPr>
          <w:trHeight w:val="63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D9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91.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F552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 produsul vegetal medicamentos (minerale, organice, părţi ale diferitelor plante, părţi de aceleaşi plante, părţi vătămate, înnegrite, brunificate etc.)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1FC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98C4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529.21</w:t>
            </w:r>
          </w:p>
        </w:tc>
      </w:tr>
      <w:tr w:rsidR="003024D1" w:rsidRPr="009B0133" w14:paraId="4AB556FC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2C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63BF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gradului de fragmentare, a reziduului de cernere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4F7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169D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409.33</w:t>
            </w:r>
          </w:p>
        </w:tc>
      </w:tr>
      <w:tr w:rsidR="003024D1" w:rsidRPr="009B0133" w14:paraId="50E75BB1" w14:textId="77777777" w:rsidTr="00563584">
        <w:trPr>
          <w:trHeight w:val="36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62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93.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1FFB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substanţelor extractive în produsul vegetal medicamentos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F04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EE5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3705.93</w:t>
            </w:r>
          </w:p>
        </w:tc>
      </w:tr>
      <w:tr w:rsidR="003024D1" w:rsidRPr="009B0133" w14:paraId="62B152BC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83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15A1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sterilităţii prin însămânţare directă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70E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6FD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7064.09</w:t>
            </w:r>
          </w:p>
        </w:tc>
      </w:tr>
      <w:tr w:rsidR="003024D1" w:rsidRPr="009B0133" w14:paraId="57229EC7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90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F57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Determinarea sterilităţii prin metoda de filtrare prin membrană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230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8A79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9048.27</w:t>
            </w:r>
          </w:p>
        </w:tc>
      </w:tr>
      <w:tr w:rsidR="003024D1" w:rsidRPr="009B0133" w14:paraId="7229EBAD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E5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2FEF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purităţii microbiologice pentru formele nesterile pentru materie primă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4FB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F375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2024.95</w:t>
            </w:r>
          </w:p>
        </w:tc>
      </w:tr>
      <w:tr w:rsidR="003024D1" w:rsidRPr="009B0133" w14:paraId="663D7415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01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930C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activităţii antibioticelor prin metoda difuzimetrică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529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D80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7416.03</w:t>
            </w:r>
          </w:p>
        </w:tc>
      </w:tr>
      <w:tr w:rsidR="003024D1" w:rsidRPr="009B0133" w14:paraId="780AD03F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72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5DE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activităţii specifice a preparatelor bacteriologice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42B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E06E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4000.15</w:t>
            </w:r>
          </w:p>
        </w:tc>
      </w:tr>
      <w:tr w:rsidR="003024D1" w:rsidRPr="009B0133" w14:paraId="1EC15C6D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5A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99.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2D4F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activităţii antagoniste a preparatelor cu acţiune antimicrobiană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D96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11DC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2814.53</w:t>
            </w:r>
          </w:p>
        </w:tc>
      </w:tr>
      <w:tr w:rsidR="003024D1" w:rsidRPr="009B0133" w14:paraId="263EEF8C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8D5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81A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identităţii preparatelor bacteriene prin microscopie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848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99E6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239.35</w:t>
            </w:r>
          </w:p>
        </w:tc>
      </w:tr>
      <w:tr w:rsidR="003024D1" w:rsidRPr="009B0133" w14:paraId="5C51C233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9C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FA7C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activităţii acidifiante după Terner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6FC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3146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1099.65</w:t>
            </w:r>
          </w:p>
        </w:tc>
      </w:tr>
      <w:tr w:rsidR="003024D1" w:rsidRPr="009B0133" w14:paraId="4FD8EEA7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D1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83C0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Prepararea şi standardizarea unei soluţii volumetrice (5 litri)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886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74D9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1516.33</w:t>
            </w:r>
          </w:p>
        </w:tc>
      </w:tr>
      <w:tr w:rsidR="003024D1" w:rsidRPr="009B0133" w14:paraId="2A34B5BB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11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943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Prepararea unei soluţii de reactiv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AAD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ED8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2357.22</w:t>
            </w:r>
          </w:p>
        </w:tc>
      </w:tr>
      <w:tr w:rsidR="003024D1" w:rsidRPr="009B0133" w14:paraId="0F303C9D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E4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6591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Prepararea unei soluţii de indicator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B0A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8F2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320.29</w:t>
            </w:r>
          </w:p>
        </w:tc>
      </w:tr>
      <w:tr w:rsidR="003024D1" w:rsidRPr="009B0133" w14:paraId="1E6CFAAB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B5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548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Prepararea unei soluţii tampon cu stabilirea şi ajustarea pH-ului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BF0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05F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819.61</w:t>
            </w:r>
          </w:p>
        </w:tc>
      </w:tr>
      <w:tr w:rsidR="003024D1" w:rsidRPr="009B0133" w14:paraId="547DF68B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F5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103C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suspendabilităţii şi a stabilităţii suspensiilor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516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1455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589.29</w:t>
            </w:r>
          </w:p>
        </w:tc>
      </w:tr>
      <w:tr w:rsidR="003024D1" w:rsidRPr="009B0133" w14:paraId="066CB5D2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77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395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rezistenţei la termostatare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D79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D2BF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463.01</w:t>
            </w:r>
          </w:p>
        </w:tc>
      </w:tr>
      <w:tr w:rsidR="003024D1" w:rsidRPr="009B0133" w14:paraId="5053040F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BF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F09D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masei moleculare a polimerilor (dextran, polivinilpirolidon)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7F4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CE0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3253.62</w:t>
            </w:r>
          </w:p>
        </w:tc>
      </w:tr>
      <w:tr w:rsidR="003024D1" w:rsidRPr="009B0133" w14:paraId="620CAC2B" w14:textId="77777777" w:rsidTr="00563584">
        <w:trPr>
          <w:trHeight w:val="3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26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6BD1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friabilităţii comprimatelor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C32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B273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302.98</w:t>
            </w:r>
          </w:p>
        </w:tc>
      </w:tr>
      <w:tr w:rsidR="003024D1" w:rsidRPr="009B0133" w14:paraId="022D3F9F" w14:textId="77777777" w:rsidTr="00563584">
        <w:trPr>
          <w:trHeight w:val="6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E2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1A00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solubilităţii substanţelor medicamentoase din formele farmaceutice solide orale cu cedare lentă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16C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8331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5682.07</w:t>
            </w:r>
          </w:p>
        </w:tc>
      </w:tr>
      <w:tr w:rsidR="003024D1" w:rsidRPr="009B0133" w14:paraId="0FA70B17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BD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90A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Înscrierea rezultatelor obţinute în registrul de lucru, completarea fişei analitice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ABC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2482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199.80</w:t>
            </w:r>
          </w:p>
        </w:tc>
      </w:tr>
      <w:tr w:rsidR="003024D1" w:rsidRPr="009B0133" w14:paraId="4FEE7093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BB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020D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lichidelor de performanţă care nu se efectuează împreună cu dozarea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427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230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5211.07</w:t>
            </w:r>
          </w:p>
        </w:tc>
      </w:tr>
      <w:tr w:rsidR="003024D1" w:rsidRPr="009B0133" w14:paraId="5B343BE9" w14:textId="77777777" w:rsidTr="00563584">
        <w:trPr>
          <w:trHeight w:val="62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7B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113.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FE1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gaz-lichid care nu se efectuează împreună cu dozarea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EF2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A733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3796.20</w:t>
            </w:r>
          </w:p>
        </w:tc>
      </w:tr>
      <w:tr w:rsidR="003024D1" w:rsidRPr="009B0133" w14:paraId="72B49D0B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59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36A1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înrudite (specifice) prin metoda lichidelor de performanţă care nu se efectuează împreună cu dozarea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1A5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A27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11780.55</w:t>
            </w:r>
          </w:p>
        </w:tc>
      </w:tr>
      <w:tr w:rsidR="003024D1" w:rsidRPr="009B0133" w14:paraId="4205CF61" w14:textId="77777777" w:rsidTr="00563584">
        <w:trPr>
          <w:trHeight w:val="7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09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115.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2826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înrudite (specifice) prin metoda gaz - lichid care nu se efectuează împreună cu dozarea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A3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5680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9082.35</w:t>
            </w:r>
          </w:p>
        </w:tc>
      </w:tr>
      <w:tr w:rsidR="003024D1" w:rsidRPr="009B0133" w14:paraId="7DA03BA7" w14:textId="77777777" w:rsidTr="00563584">
        <w:trPr>
          <w:trHeight w:val="42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A47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116.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361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impurităţilor înrudite (specifice) prin metode spectrofotometrice cu utilizarea standardului de referinţă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91B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2B0A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2237.95</w:t>
            </w:r>
          </w:p>
        </w:tc>
      </w:tr>
      <w:tr w:rsidR="003024D1" w:rsidRPr="009B0133" w14:paraId="36F25937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40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39C8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Concentrarea soluţiilor extractive apoase/cu solvenţi organici prin distilare la rotavapor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29D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79A9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1831.47</w:t>
            </w:r>
          </w:p>
        </w:tc>
      </w:tr>
      <w:tr w:rsidR="003024D1" w:rsidRPr="009B0133" w14:paraId="555E317D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5C0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A2E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cromatografică pe coloană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603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C3E4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1265.50</w:t>
            </w:r>
          </w:p>
        </w:tc>
      </w:tr>
      <w:tr w:rsidR="003024D1" w:rsidRPr="009B0133" w14:paraId="25451418" w14:textId="77777777" w:rsidTr="00563584">
        <w:trPr>
          <w:trHeight w:val="35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607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119.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A060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Factorul de îmbibare al produselor vegetale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AA1F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905.76</w:t>
            </w:r>
          </w:p>
        </w:tc>
      </w:tr>
      <w:tr w:rsidR="003024D1" w:rsidRPr="009B0133" w14:paraId="7512F9E2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49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120.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67CA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Uscarea, calcinarea sau evaporarea produselor în vederea identificării, dozării sau determinării purităţii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306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253B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1936.73</w:t>
            </w:r>
          </w:p>
        </w:tc>
      </w:tr>
      <w:tr w:rsidR="003024D1" w:rsidRPr="009B0133" w14:paraId="6D053FDD" w14:textId="77777777" w:rsidTr="00563584">
        <w:trPr>
          <w:trHeight w:val="286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1E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C71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biologică a heparinei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746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B66D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5332.38</w:t>
            </w:r>
          </w:p>
        </w:tc>
      </w:tr>
      <w:tr w:rsidR="003024D1" w:rsidRPr="009B0133" w14:paraId="1F7E0015" w14:textId="77777777" w:rsidTr="00563584">
        <w:trPr>
          <w:trHeight w:val="62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17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122.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814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Trasarea curbei de etalonare pentru determinarea conţinutului în substanţa activă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61C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operaţie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7045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1697.24</w:t>
            </w:r>
          </w:p>
        </w:tc>
      </w:tr>
      <w:tr w:rsidR="003024D1" w:rsidRPr="009B0133" w14:paraId="6D41E4A2" w14:textId="77777777" w:rsidTr="00563584">
        <w:trPr>
          <w:trHeight w:val="3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8E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123.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E12D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uniformităţii unităţilor dozate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prin metoda variației de masă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B46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3A08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204.67</w:t>
            </w:r>
          </w:p>
        </w:tc>
      </w:tr>
      <w:tr w:rsidR="003024D1" w:rsidRPr="009B0133" w14:paraId="159349A4" w14:textId="77777777" w:rsidTr="00563584">
        <w:trPr>
          <w:trHeight w:val="38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FE4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3EB7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Identificarea prin metoda spectrofotometriei de absorbţie atomică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2AB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9CEE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4306.16</w:t>
            </w:r>
          </w:p>
        </w:tc>
      </w:tr>
      <w:tr w:rsidR="003024D1" w:rsidRPr="009B0133" w14:paraId="11B909C1" w14:textId="77777777" w:rsidTr="00563584">
        <w:trPr>
          <w:trHeight w:val="3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44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143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prin metoda spectrofotometriei de absorbţie atomică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153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192C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5656.89</w:t>
            </w:r>
          </w:p>
        </w:tc>
      </w:tr>
      <w:tr w:rsidR="003024D1" w:rsidRPr="009B0133" w14:paraId="7977AE5D" w14:textId="77777777" w:rsidTr="00563584">
        <w:trPr>
          <w:trHeight w:val="31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7B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126.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458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Dozarea prin metode potenţiometrice (dozare monocomponentă)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FC8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3A54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982.20</w:t>
            </w:r>
          </w:p>
        </w:tc>
      </w:tr>
      <w:tr w:rsidR="003024D1" w:rsidRPr="009B0133" w14:paraId="547C00D1" w14:textId="77777777" w:rsidTr="00563584">
        <w:trPr>
          <w:trHeight w:val="126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A5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127.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A0A0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osmolarităţii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0C8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DF20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2405.44</w:t>
            </w:r>
          </w:p>
        </w:tc>
      </w:tr>
      <w:tr w:rsidR="003024D1" w:rsidRPr="009B0133" w14:paraId="57B2B899" w14:textId="77777777" w:rsidTr="00563584">
        <w:trPr>
          <w:trHeight w:val="116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3D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128.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31D9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Rezistenţa comprimatelor determinată cu durometrul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C55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A00F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84.40</w:t>
            </w:r>
          </w:p>
        </w:tc>
      </w:tr>
      <w:tr w:rsidR="003024D1" w:rsidRPr="009B0133" w14:paraId="7537D2E0" w14:textId="77777777" w:rsidTr="00563584">
        <w:trPr>
          <w:trHeight w:val="26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B55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129.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AFE0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substanţelor nesaponificabile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A6B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B63F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1753.87</w:t>
            </w:r>
          </w:p>
        </w:tc>
      </w:tr>
      <w:tr w:rsidR="003024D1" w:rsidRPr="009B0133" w14:paraId="7C7F6A84" w14:textId="77777777" w:rsidTr="00563584">
        <w:trPr>
          <w:trHeight w:val="124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FC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130.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1E6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densităţii aparente la pulberi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C2B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CA2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623.32</w:t>
            </w:r>
          </w:p>
        </w:tc>
      </w:tr>
      <w:tr w:rsidR="003024D1" w:rsidRPr="009B0133" w14:paraId="1268C47E" w14:textId="77777777" w:rsidTr="00563584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6E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131.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17C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Dozarea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electroforezei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capilare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4F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275A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2806.68</w:t>
            </w:r>
          </w:p>
        </w:tc>
      </w:tr>
      <w:tr w:rsidR="003024D1" w:rsidRPr="009B0133" w14:paraId="6FA4F1C3" w14:textId="77777777" w:rsidTr="00563584">
        <w:trPr>
          <w:trHeight w:val="26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F0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7F8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Determinarea endotoxinelor bacteriene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8EF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E8E4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  <w:t>3200.67</w:t>
            </w:r>
          </w:p>
        </w:tc>
      </w:tr>
      <w:tr w:rsidR="003024D1" w:rsidRPr="009B0133" w14:paraId="231ADF96" w14:textId="77777777" w:rsidTr="00563584">
        <w:trPr>
          <w:trHeight w:val="5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A0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7A6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bookmarkStart w:id="4" w:name="_Hlk123034941"/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solubilităţii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principiului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activ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comprimate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drajeuri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şi capsule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lichidelor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performanţă</w:t>
            </w:r>
            <w:bookmarkEnd w:id="4"/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DBE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FB6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5315.03</w:t>
            </w:r>
          </w:p>
        </w:tc>
      </w:tr>
      <w:tr w:rsidR="003024D1" w:rsidRPr="009B0133" w14:paraId="4AE709F5" w14:textId="77777777" w:rsidTr="00563584">
        <w:trPr>
          <w:trHeight w:val="5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B4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19E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omogenităţii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dozării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uniformităţii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unităţilor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dozate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formele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farmaceutice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dozate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conţinut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principiu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activ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sub 0,05 g)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HPLC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2C8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2C7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4518.21</w:t>
            </w:r>
          </w:p>
        </w:tc>
      </w:tr>
      <w:tr w:rsidR="003024D1" w:rsidRPr="009B0133" w14:paraId="29C70624" w14:textId="77777777" w:rsidTr="00563584">
        <w:trPr>
          <w:trHeight w:val="5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5B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135.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AF5B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compozi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ției acizilor grași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cromatografiei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lichid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9C4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 analiză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593E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10032.21</w:t>
            </w:r>
          </w:p>
        </w:tc>
      </w:tr>
      <w:tr w:rsidR="003024D1" w:rsidRPr="009B0133" w14:paraId="62021416" w14:textId="77777777" w:rsidTr="00563584">
        <w:trPr>
          <w:trHeight w:val="322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00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136.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DB4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purităţii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microbiologice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formele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nesterile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6B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1115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2367.79</w:t>
            </w:r>
          </w:p>
        </w:tc>
      </w:tr>
      <w:tr w:rsidR="003024D1" w:rsidRPr="009B0133" w14:paraId="7861A9A6" w14:textId="77777777" w:rsidTr="00563584">
        <w:trPr>
          <w:trHeight w:val="5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AA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137.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D80A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nivelului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umplere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fiolelor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mic,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până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2 ml (min. 5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unităţi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C72E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126F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  <w:t>1657.42</w:t>
            </w:r>
          </w:p>
        </w:tc>
      </w:tr>
      <w:tr w:rsidR="003024D1" w:rsidRPr="009B0133" w14:paraId="01F2931E" w14:textId="77777777" w:rsidTr="00563584">
        <w:trPr>
          <w:trHeight w:val="23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B2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138.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8AFD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Testare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endotoxine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bacteriene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ELISA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E4E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3550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4596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  <w:t>.38</w:t>
            </w:r>
          </w:p>
        </w:tc>
      </w:tr>
      <w:tr w:rsidR="003024D1" w:rsidRPr="009B0133" w14:paraId="610CCC83" w14:textId="77777777" w:rsidTr="00563584">
        <w:trPr>
          <w:trHeight w:val="5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CC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139.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DF47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cantitivă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biologică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ELISA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după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principiul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antigen-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anticorp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572A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B10B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  <w:t>5315.27</w:t>
            </w:r>
          </w:p>
        </w:tc>
      </w:tr>
      <w:tr w:rsidR="003024D1" w:rsidRPr="009B0133" w14:paraId="3F226814" w14:textId="77777777" w:rsidTr="00563584">
        <w:trPr>
          <w:trHeight w:val="59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8D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140.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62EF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impurităţilor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volatile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etanol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gaz-cromatografie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237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1DB2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8728.31</w:t>
            </w:r>
          </w:p>
        </w:tc>
      </w:tr>
      <w:tr w:rsidR="003024D1" w:rsidRPr="009B0133" w14:paraId="60C41DF8" w14:textId="77777777" w:rsidTr="00563584">
        <w:trPr>
          <w:trHeight w:val="276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51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141.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86F2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Determinarea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solubilităţii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substanţelor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medicamentoase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formele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farmaceutice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solide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orale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cedare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lentă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5" w:name="_Hlk123036091"/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cromatografiei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lichidelor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performanţă</w:t>
            </w:r>
            <w:bookmarkEnd w:id="5"/>
            <w:proofErr w:type="spellEnd"/>
          </w:p>
          <w:p w14:paraId="339DCB9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58A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analiză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217B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11222.29</w:t>
            </w:r>
          </w:p>
        </w:tc>
      </w:tr>
      <w:tr w:rsidR="003024D1" w:rsidRPr="009B0133" w14:paraId="5153A5EC" w14:textId="77777777" w:rsidTr="00563584">
        <w:trPr>
          <w:trHeight w:val="34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B2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  <w:t>II. Nimicirea medicamentelor</w:t>
            </w:r>
          </w:p>
        </w:tc>
      </w:tr>
      <w:tr w:rsidR="003024D1" w:rsidRPr="009B0133" w14:paraId="6131D566" w14:textId="77777777" w:rsidTr="00563584">
        <w:trPr>
          <w:trHeight w:val="43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EC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142.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13AC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Primirea, înregistrarea medicamentelor pentru nimicire, întocmirea documentaţiei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5EE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9A7E" w14:textId="77777777" w:rsidR="003024D1" w:rsidRPr="009B0133" w:rsidRDefault="003024D1" w:rsidP="005635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448298EF" w14:textId="77777777" w:rsidR="003024D1" w:rsidRPr="009B0133" w:rsidRDefault="003024D1" w:rsidP="005635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221</w:t>
            </w:r>
          </w:p>
        </w:tc>
      </w:tr>
      <w:tr w:rsidR="003024D1" w:rsidRPr="009B0133" w14:paraId="14B0167B" w14:textId="77777777" w:rsidTr="00563584">
        <w:trPr>
          <w:trHeight w:val="1629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C5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143.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DCFB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volumului, integrităţii ambalajului, fărâmiţarea etc. medicamentelor pentru nimicire. Ambalaj primar convenţional se va considera și:</w:t>
            </w:r>
          </w:p>
          <w:p w14:paraId="3796050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 ambalajul secundar cu conţinut de fiole;</w:t>
            </w:r>
          </w:p>
          <w:p w14:paraId="114BD92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- 100 g substanţă solidă (angro);</w:t>
            </w:r>
          </w:p>
          <w:p w14:paraId="25D761F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- 500 ml substanţă lichidă (angro)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6F8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20 ambalaje primare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3ABF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  <w:p w14:paraId="3088DF2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  <w:p w14:paraId="0DE4918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156</w:t>
            </w:r>
          </w:p>
        </w:tc>
      </w:tr>
      <w:tr w:rsidR="003024D1" w:rsidRPr="009B0133" w14:paraId="2A7E7F53" w14:textId="77777777" w:rsidTr="00563584">
        <w:trPr>
          <w:trHeight w:val="164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AC4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lastRenderedPageBreak/>
              <w:t>144.</w:t>
            </w:r>
          </w:p>
        </w:tc>
        <w:tc>
          <w:tcPr>
            <w:tcW w:w="3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E9FE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Determinarea volumului, integrităţii ambalajului, fărâmiţarea etc. medicamentelor pentru nimicire medicamente din grupa specială. Ambalaj primar convenţional se va considera și:</w:t>
            </w:r>
          </w:p>
          <w:p w14:paraId="7DE849EF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 ambalajul secundar cu conţinut de fiole;</w:t>
            </w:r>
          </w:p>
          <w:p w14:paraId="536955C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- 100 g substanţă solidă (angro);</w:t>
            </w:r>
          </w:p>
          <w:p w14:paraId="0B0D7C9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- 500 ml substanţă lichidă (angro)</w:t>
            </w:r>
          </w:p>
          <w:p w14:paraId="1F7205B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712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20 ambalaje primare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DD54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  <w:p w14:paraId="579CF4C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  <w:p w14:paraId="3B66DE8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74743E1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313</w:t>
            </w:r>
          </w:p>
        </w:tc>
      </w:tr>
      <w:tr w:rsidR="003024D1" w:rsidRPr="008A3633" w14:paraId="35B1E4EE" w14:textId="77777777" w:rsidTr="00563584">
        <w:trPr>
          <w:trHeight w:val="4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8F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  <w:t>III. Evaluarea materialelor publicitare la medicamente</w:t>
            </w:r>
          </w:p>
        </w:tc>
      </w:tr>
      <w:tr w:rsidR="003024D1" w:rsidRPr="009B0133" w14:paraId="459084B6" w14:textId="77777777" w:rsidTr="00563584">
        <w:trPr>
          <w:trHeight w:val="61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03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145.</w:t>
            </w:r>
          </w:p>
        </w:tc>
        <w:tc>
          <w:tcPr>
            <w:tcW w:w="3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9E19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bookmarkStart w:id="6" w:name="_Hlk140150067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Evaluarea materialului publicitar </w:t>
            </w:r>
            <w:bookmarkEnd w:id="6"/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0E2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material publicitar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8473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732</w:t>
            </w:r>
          </w:p>
        </w:tc>
      </w:tr>
    </w:tbl>
    <w:p w14:paraId="54400678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14:paraId="374506F5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Tarifele pentru autorizarea medicamentelor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de uz uman</w:t>
      </w: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, </w:t>
      </w:r>
    </w:p>
    <w:p w14:paraId="6E28A4EA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altor produse farmaceutice şi parafarmaceutice, </w:t>
      </w:r>
    </w:p>
    <w:p w14:paraId="284BA2E4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modificărilor efectuate după înregistrare şi </w:t>
      </w:r>
    </w:p>
    <w:p w14:paraId="78B4BE4C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 studiilor clinice cu medicamente de uz uman</w:t>
      </w:r>
    </w:p>
    <w:p w14:paraId="48F54FA9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5418"/>
        <w:gridCol w:w="1460"/>
        <w:gridCol w:w="1910"/>
      </w:tblGrid>
      <w:tr w:rsidR="003024D1" w:rsidRPr="009B0133" w14:paraId="377F02D4" w14:textId="77777777" w:rsidTr="0056358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F8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Nr. d/o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951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Denumirea serviciului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9A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Unitatea de măsură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663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Tariful, lei</w:t>
            </w:r>
          </w:p>
        </w:tc>
      </w:tr>
    </w:tbl>
    <w:p w14:paraId="1E9C575C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5391"/>
        <w:gridCol w:w="1433"/>
        <w:gridCol w:w="1884"/>
      </w:tblGrid>
      <w:tr w:rsidR="003024D1" w:rsidRPr="009B0133" w14:paraId="4B7E3B83" w14:textId="77777777" w:rsidTr="00563584">
        <w:trPr>
          <w:trHeight w:val="301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DD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A0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BE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2F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US"/>
              </w:rPr>
              <w:t>4</w:t>
            </w:r>
          </w:p>
        </w:tc>
      </w:tr>
      <w:tr w:rsidR="003024D1" w:rsidRPr="008A3633" w14:paraId="46166147" w14:textId="77777777" w:rsidTr="005635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2B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I. Expertiză pentru autorizarea medicamentelor</w:t>
            </w:r>
          </w:p>
        </w:tc>
      </w:tr>
      <w:tr w:rsidR="003024D1" w:rsidRPr="009B0133" w14:paraId="49CDA72A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D1A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64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“independentă” = cerere “de sine stătătoare” (dosar complet cu date administrative, privind calitatea, datele nonclinice şi clinice)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67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2271C77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E2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79A854E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26983</w:t>
            </w:r>
          </w:p>
        </w:tc>
      </w:tr>
      <w:tr w:rsidR="003024D1" w:rsidRPr="009B0133" w14:paraId="12B3B602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C3C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BC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“independentă” = cerere “de sine stătătoare” (dosar complet cu date administrative, privind calitatea, datele nonclinice şi clinice) – a doua şi următoarele doze/concentraţii depuse concomitent cu cererea inițială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7C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078494F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04528C0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EB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54E9177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0D37047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9137</w:t>
            </w:r>
          </w:p>
        </w:tc>
      </w:tr>
      <w:tr w:rsidR="003024D1" w:rsidRPr="009B0133" w14:paraId="1F42BB07" w14:textId="77777777" w:rsidTr="00563584">
        <w:trPr>
          <w:trHeight w:val="1309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D9B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39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pentru medicamente generice; Cerere “bibliografică” pentru medicamente cu utilizare medicală bine stabilită; Cerere în baza consimțământului informat; Cerere “hibrid” – mixtă; Cerere pentru produs biologic similar; Cerere pentru o combinație fixă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89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5901F0F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3A873F3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C3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4EF9368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49AD7A8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24078</w:t>
            </w:r>
          </w:p>
        </w:tc>
      </w:tr>
      <w:tr w:rsidR="003024D1" w:rsidRPr="009B0133" w14:paraId="049B7503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C8A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18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pentru medicamente generice; Cerere “bibliografică” pentru medicamente cu utilizare medicală bine stabilită; Cerere în baza consimțământului informat; Cerere “hibrid” – mixtă; Cerere pentru produs biologic similar; Cerere pentru o combinație fixă – a doua şi următoarele doze/concentrații depuse concomitent cu cererea inițială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1B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6DBFFE9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7996AC2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1D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50E8CC8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0DFB814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8295</w:t>
            </w:r>
          </w:p>
        </w:tc>
      </w:tr>
      <w:tr w:rsidR="003024D1" w:rsidRPr="009B0133" w14:paraId="0075D40D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D00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99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pentru medicamente din plante medicinale cu utilizare tradiţională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D82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CD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14809</w:t>
            </w:r>
          </w:p>
        </w:tc>
      </w:tr>
      <w:tr w:rsidR="003024D1" w:rsidRPr="009B0133" w14:paraId="2442E8B8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86F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FA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pentru medicamente homeopate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89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95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13498</w:t>
            </w:r>
          </w:p>
        </w:tc>
      </w:tr>
      <w:tr w:rsidR="003024D1" w:rsidRPr="009B0133" w14:paraId="2BB681E1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19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BC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orfan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87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C2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12767</w:t>
            </w:r>
          </w:p>
        </w:tc>
      </w:tr>
      <w:tr w:rsidR="003024D1" w:rsidRPr="009B0133" w14:paraId="2AFFA7A2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EC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5.2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50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orfan – a doua şi următoarele doze/concentrații depuse concomitent cu cererea inițială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0C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51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5324</w:t>
            </w:r>
          </w:p>
        </w:tc>
      </w:tr>
      <w:tr w:rsidR="003024D1" w:rsidRPr="009B0133" w14:paraId="39CA471C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E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4E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“independentă” = cerere “de sine stătătoare” (dosar complet cu date administrative, privind calitatea, datele nonclinice şi clinice), procedura simplificată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61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14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20237</w:t>
            </w:r>
          </w:p>
        </w:tc>
      </w:tr>
      <w:tr w:rsidR="003024D1" w:rsidRPr="009B0133" w14:paraId="7702F023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96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74D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“independentă” = cerere “de sine stătătoare” (dosar complet cu date administrative, privind calitatea, datele nonclinice şi clinice) – a doua şi următoarele doze/concentraţii depuse concomitent cu cererea inițială, procedura simplificată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D2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1C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6853</w:t>
            </w:r>
          </w:p>
        </w:tc>
      </w:tr>
      <w:tr w:rsidR="003024D1" w:rsidRPr="009B0133" w14:paraId="2C71E0D6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58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F5C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pentru medicamente generice; Cerere “bibliografică” pentru medicamente cu utilizare medicală bine stabilită; Cerere în baza consimțământului informat; Cerere “hibrid” – mixtă; Cerere pentru produs biologic similar; Cerere pentru o combinație fixă, procedura simplificată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DC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8A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18059</w:t>
            </w:r>
          </w:p>
        </w:tc>
      </w:tr>
      <w:tr w:rsidR="003024D1" w:rsidRPr="009B0133" w14:paraId="3B26F998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BF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FB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Cerere pentru medicamente generice; Cerere “bibliografică” pentru medicamente cu utilizare medicală bine stabilită; Cerere în baza consimțământului informat; Cerere “hibrid” – mixtă; Cerere pentru produs biologic similar; Cerere pentru o combinație fixă – a doua şi următoarele doze/concentrații depuse concomitent cu cererea inițială, procedura simplificată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C9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35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6222</w:t>
            </w:r>
          </w:p>
        </w:tc>
      </w:tr>
      <w:tr w:rsidR="003024D1" w:rsidRPr="009B0133" w14:paraId="4AD3918B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D6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59A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prezentat prin Procedura de autorizare colaborativă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BA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F3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16190</w:t>
            </w:r>
          </w:p>
        </w:tc>
      </w:tr>
      <w:tr w:rsidR="003024D1" w:rsidRPr="009B0133" w14:paraId="1C6B67D7" w14:textId="77777777" w:rsidTr="00563584">
        <w:trPr>
          <w:trHeight w:val="65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8A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12.2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3E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prezentat prin Procedura de autorizare colaborativă – a doua şi următoarele doze/concentraţii depuse concomitent cu cererea iniţială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DA3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4C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5482</w:t>
            </w:r>
          </w:p>
        </w:tc>
      </w:tr>
      <w:tr w:rsidR="003024D1" w:rsidRPr="009B0133" w14:paraId="12EABE3A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74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B6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prezentat prin Procedura de autorizare condiționată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1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CEC" w14:textId="77777777" w:rsidR="003024D1" w:rsidRPr="009B0133" w:rsidRDefault="003024D1" w:rsidP="00563584">
            <w:pPr>
              <w:tabs>
                <w:tab w:val="left" w:pos="586"/>
                <w:tab w:val="center" w:pos="9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18058</w:t>
            </w:r>
          </w:p>
        </w:tc>
      </w:tr>
      <w:tr w:rsidR="003024D1" w:rsidRPr="009B0133" w14:paraId="703F52B5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C2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025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prezentat prin Procedura de autorizare condiționată – a doua şi următoarele doze/concentraţii depuse concomitent cu cererea iniţială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51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FF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6222</w:t>
            </w:r>
          </w:p>
        </w:tc>
      </w:tr>
      <w:tr w:rsidR="003024D1" w:rsidRPr="009B0133" w14:paraId="54FA7EF5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3A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14.1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449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Medicament prezentat prin Procedura de autorizare accelerată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BB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2D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35651</w:t>
            </w:r>
          </w:p>
        </w:tc>
      </w:tr>
      <w:tr w:rsidR="003024D1" w:rsidRPr="009B0133" w14:paraId="6487982B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E3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14.2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5CB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Medicament prezentat prin Procedura de autorizare accelerată – a doua şi următoarele doze/concentraţii depuse concomitent cu cererea iniţială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25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D1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15356</w:t>
            </w:r>
          </w:p>
        </w:tc>
      </w:tr>
      <w:tr w:rsidR="003024D1" w:rsidRPr="009B0133" w14:paraId="7AD3308B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5C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388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Eliberare certificat al produsului farmaceutic (CPF) în format OMS (30 de zile)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52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CPF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3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788 </w:t>
            </w:r>
          </w:p>
        </w:tc>
      </w:tr>
      <w:tr w:rsidR="003024D1" w:rsidRPr="009B0133" w14:paraId="4F6C3B58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B3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16.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D99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Eliberare certificat al produsului farmaceutic (CPF) în format OMS (10 de zile)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0A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CPF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08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2364</w:t>
            </w:r>
          </w:p>
        </w:tc>
      </w:tr>
      <w:tr w:rsidR="003024D1" w:rsidRPr="009B0133" w14:paraId="40797109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E5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17.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0FB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Dezarhivare dosare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1B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dosar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34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4825</w:t>
            </w:r>
          </w:p>
        </w:tc>
      </w:tr>
      <w:tr w:rsidR="003024D1" w:rsidRPr="009B0133" w14:paraId="7F9F3E8F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9D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EB6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Taxă de menținere în Nomenclatorul de stat, pentru medicamentele autorizate pe o durată nedeterminată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00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an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B1D" w14:textId="4156DA40" w:rsidR="003024D1" w:rsidRPr="009B0133" w:rsidRDefault="006F082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6F0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en-US"/>
              </w:rPr>
              <w:t>5189,13</w:t>
            </w:r>
          </w:p>
        </w:tc>
      </w:tr>
      <w:tr w:rsidR="003024D1" w:rsidRPr="009B0133" w14:paraId="1851DDF4" w14:textId="77777777" w:rsidTr="005635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ADD" w14:textId="2D66AD83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lastRenderedPageBreak/>
              <w:t xml:space="preserve">II. </w:t>
            </w:r>
            <w:r w:rsidR="008A3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Evaluare dosar </w:t>
            </w:r>
            <w:r w:rsidRPr="009B0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variaţii</w:t>
            </w:r>
          </w:p>
        </w:tc>
      </w:tr>
      <w:tr w:rsidR="003024D1" w:rsidRPr="009B0133" w14:paraId="607DBFCE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FE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19.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91C" w14:textId="746CC250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variaţii tip IA pentru medicamentele autorizate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1F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variaţie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01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3785</w:t>
            </w:r>
          </w:p>
        </w:tc>
      </w:tr>
      <w:tr w:rsidR="003024D1" w:rsidRPr="009B0133" w14:paraId="764487CD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B4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20.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6F2" w14:textId="22C626CC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variaţii tip IB pentru medicamentele autorizate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E9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variaţie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38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4746</w:t>
            </w:r>
          </w:p>
        </w:tc>
      </w:tr>
      <w:tr w:rsidR="003024D1" w:rsidRPr="009B0133" w14:paraId="69E5C6FD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A6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21.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141" w14:textId="5C24E056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variaţii tip II (variaţie majoră) pentru medicamentele autorizate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34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variaţie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756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7979</w:t>
            </w:r>
          </w:p>
        </w:tc>
      </w:tr>
      <w:tr w:rsidR="003024D1" w:rsidRPr="009B0133" w14:paraId="10EF3789" w14:textId="77777777" w:rsidTr="00563584">
        <w:trPr>
          <w:trHeight w:val="38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36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22.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5E8" w14:textId="7C3AED37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transfer al autorizaţiei de punere pe piaţă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7AD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43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4355</w:t>
            </w:r>
          </w:p>
        </w:tc>
      </w:tr>
      <w:tr w:rsidR="003024D1" w:rsidRPr="009B0133" w14:paraId="3C329FA0" w14:textId="77777777" w:rsidTr="00563584">
        <w:trPr>
          <w:trHeight w:val="38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1A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23.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872" w14:textId="74AFF51A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variaţii tip IA pentru medicamentele autorizate, procedură urgentată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C0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variaţie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67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5678</w:t>
            </w:r>
          </w:p>
        </w:tc>
      </w:tr>
      <w:tr w:rsidR="003024D1" w:rsidRPr="009B0133" w14:paraId="4A6D8070" w14:textId="77777777" w:rsidTr="00563584">
        <w:trPr>
          <w:trHeight w:val="38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00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24.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AFA" w14:textId="3FB76970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variaţii tip IB pentru medicamentele autorizate, procedură urgentată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D4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variaţie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86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7119</w:t>
            </w:r>
          </w:p>
        </w:tc>
      </w:tr>
      <w:tr w:rsidR="003024D1" w:rsidRPr="009B0133" w14:paraId="29C749CF" w14:textId="77777777" w:rsidTr="00563584">
        <w:trPr>
          <w:trHeight w:val="38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24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25.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C71B" w14:textId="1ED995DA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variaţii tip II (variaţie majoră) pentru medicamentele autorizate, procedură urgentată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63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variaţie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FA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11969</w:t>
            </w:r>
          </w:p>
        </w:tc>
      </w:tr>
      <w:tr w:rsidR="003024D1" w:rsidRPr="009B0133" w14:paraId="7FF9F32A" w14:textId="77777777" w:rsidTr="00563584">
        <w:trPr>
          <w:trHeight w:val="38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74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26.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6F7" w14:textId="3D8979DD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transfer al autorizaţiei de punere pe piaţă, procedură urgentată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4B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1E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6533</w:t>
            </w:r>
          </w:p>
        </w:tc>
      </w:tr>
      <w:tr w:rsidR="003024D1" w:rsidRPr="009B0133" w14:paraId="1E45B210" w14:textId="77777777" w:rsidTr="00563584">
        <w:trPr>
          <w:trHeight w:val="3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E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III. Autorizare studii clinice</w:t>
            </w:r>
          </w:p>
        </w:tc>
      </w:tr>
      <w:tr w:rsidR="003024D1" w:rsidRPr="009B0133" w14:paraId="73455CAA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57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27.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021" w14:textId="635B3BFC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Studiu clinic cu medicamente de uz uman, fazele I-III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77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D3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57989</w:t>
            </w:r>
          </w:p>
        </w:tc>
      </w:tr>
      <w:tr w:rsidR="003024D1" w:rsidRPr="009B0133" w14:paraId="010704BE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AF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28.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787" w14:textId="6619144D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Studiu clinic cu medicamente de uz uman, fazele I-III, regim de urgență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F6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AC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115978</w:t>
            </w:r>
          </w:p>
        </w:tc>
      </w:tr>
      <w:tr w:rsidR="003024D1" w:rsidRPr="009B0133" w14:paraId="762585C1" w14:textId="77777777" w:rsidTr="00563584">
        <w:trPr>
          <w:trHeight w:val="60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31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29.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753" w14:textId="2F0B7BBF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Studiu clinic cu medicamente de uz uman, fază IV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27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7F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41569</w:t>
            </w:r>
          </w:p>
        </w:tc>
      </w:tr>
      <w:tr w:rsidR="003024D1" w:rsidRPr="009B0133" w14:paraId="14BA6C1C" w14:textId="77777777" w:rsidTr="00563584">
        <w:trPr>
          <w:trHeight w:val="60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3F4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30.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E69" w14:textId="50288828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Studiu clinic cu medicamente de uz uman, fază IV, regim de urgență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9E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09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83138</w:t>
            </w:r>
          </w:p>
        </w:tc>
      </w:tr>
      <w:tr w:rsidR="003024D1" w:rsidRPr="009B0133" w14:paraId="7C2E3143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86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31.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7A9" w14:textId="105298CB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Studiu clinic cu medicamente de uz uman, bioechivalență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4F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D18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46079</w:t>
            </w:r>
          </w:p>
        </w:tc>
      </w:tr>
      <w:tr w:rsidR="003024D1" w:rsidRPr="009B0133" w14:paraId="26B9339D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12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32.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0B1" w14:textId="124004D5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Studiu clinic cu medicamente de uz uman, bioechivalență,</w:t>
            </w:r>
            <w:r w:rsidR="003024D1" w:rsidRPr="009B0133">
              <w:rPr>
                <w:rFonts w:ascii="Calibri" w:eastAsia="Times New Roman" w:hAnsi="Calibri" w:cs="Times New Roman"/>
                <w:lang w:val="ro-RO" w:eastAsia="en-US"/>
              </w:rPr>
              <w:t xml:space="preserve"> 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regim de urgență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39E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D2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92158</w:t>
            </w:r>
          </w:p>
        </w:tc>
      </w:tr>
      <w:tr w:rsidR="003024D1" w:rsidRPr="009B0133" w14:paraId="4B923E32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015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33.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5B80" w14:textId="2DF9E2A1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Amendament substanțial la documentația studiilor clinice cu medicamente de uz uman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71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2DE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9703</w:t>
            </w:r>
          </w:p>
        </w:tc>
      </w:tr>
      <w:tr w:rsidR="003024D1" w:rsidRPr="009B0133" w14:paraId="1E1A7BAF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11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34.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D10" w14:textId="22F96282" w:rsidR="003024D1" w:rsidRPr="009B0133" w:rsidRDefault="008A3633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Amendament substanțial la documentația studiilor clinice cu medicamente de uz uman,</w:t>
            </w:r>
            <w:r w:rsidR="003024D1" w:rsidRPr="009B0133">
              <w:rPr>
                <w:rFonts w:ascii="Calibri" w:eastAsia="Times New Roman" w:hAnsi="Calibri" w:cs="Times New Roman"/>
                <w:lang w:val="ro-RO" w:eastAsia="en-US"/>
              </w:rPr>
              <w:t xml:space="preserve"> </w:t>
            </w:r>
            <w:r w:rsidR="003024D1"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regim de urgență (10 zile lucrătoare)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2C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D5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19406</w:t>
            </w:r>
          </w:p>
        </w:tc>
      </w:tr>
      <w:tr w:rsidR="003024D1" w:rsidRPr="009B0133" w14:paraId="38E8579F" w14:textId="77777777" w:rsidTr="00563584">
        <w:trPr>
          <w:trHeight w:val="5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CF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  <w:t>IV. Activitate de farmacovigilenţă</w:t>
            </w:r>
          </w:p>
        </w:tc>
      </w:tr>
      <w:tr w:rsidR="003024D1" w:rsidRPr="009B0133" w14:paraId="325330B1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22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35.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8BE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bookmarkStart w:id="7" w:name="_Hlk140150122"/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Evaluare Rapoarte Periodice Actualizate privind Siguranţa (RPAS)</w:t>
            </w:r>
            <w:bookmarkEnd w:id="7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D3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RPAS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52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3429</w:t>
            </w:r>
          </w:p>
        </w:tc>
      </w:tr>
      <w:tr w:rsidR="003024D1" w:rsidRPr="009B0133" w14:paraId="274286FD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99F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36.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20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Furnizare de informaţii privind Rapoartele de cazuri suspecte la reacții adverse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0A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medicament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AA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351</w:t>
            </w:r>
          </w:p>
        </w:tc>
      </w:tr>
      <w:tr w:rsidR="003024D1" w:rsidRPr="009B0133" w14:paraId="7CF8B8C3" w14:textId="77777777" w:rsidTr="00563584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97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37.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E52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Plan de Gestionare a Riscurilor (PGR)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80D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 PGR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2B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5090</w:t>
            </w:r>
          </w:p>
        </w:tc>
      </w:tr>
    </w:tbl>
    <w:p w14:paraId="6CD4FFF5" w14:textId="77777777" w:rsidR="003024D1" w:rsidRPr="009B0133" w:rsidRDefault="003024D1" w:rsidP="003024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en-US"/>
        </w:rPr>
      </w:pPr>
    </w:p>
    <w:p w14:paraId="426C423B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lastRenderedPageBreak/>
        <w:t>Tarifele privind autorizarea importului medicamentelor, altor produse farmaceutice, parafarmaceutice şi materiei prime medicamentoase neautorizate în Republica Moldova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55"/>
        <w:gridCol w:w="5489"/>
        <w:gridCol w:w="1650"/>
        <w:gridCol w:w="1650"/>
      </w:tblGrid>
      <w:tr w:rsidR="00E0146C" w:rsidRPr="00E6155F" w14:paraId="577D8553" w14:textId="77777777" w:rsidTr="008631F0">
        <w:trPr>
          <w:trHeight w:val="60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827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Nr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 d/o</w:t>
            </w:r>
          </w:p>
        </w:tc>
        <w:tc>
          <w:tcPr>
            <w:tcW w:w="29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69E6F0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Denumirea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serviciului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5B3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02E5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Unitatea</w:t>
            </w:r>
            <w:proofErr w:type="spellEnd"/>
            <w:r w:rsidRPr="00802E5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02E5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CED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Tariful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lei</w:t>
            </w:r>
            <w:proofErr w:type="spellEnd"/>
          </w:p>
        </w:tc>
      </w:tr>
      <w:tr w:rsidR="00E0146C" w:rsidRPr="00E6155F" w14:paraId="529AC720" w14:textId="77777777" w:rsidTr="008631F0">
        <w:trPr>
          <w:trHeight w:val="39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0AA35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55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59B1" w14:textId="6E6FAC14" w:rsidR="00E0146C" w:rsidRPr="00E0146C" w:rsidRDefault="008A3633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necesitatea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autorizării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importului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medicamentelor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altor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produse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farmaceutice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4903BC1C" w14:textId="77777777" w:rsidR="00E0146C" w:rsidRPr="00E0146C" w:rsidRDefault="00E0146C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parafarmaceutice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materiei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prime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medicamentoase</w:t>
            </w:r>
            <w:proofErr w:type="spellEnd"/>
          </w:p>
          <w:p w14:paraId="2F544BB9" w14:textId="77777777" w:rsidR="00E0146C" w:rsidRPr="00E0146C" w:rsidRDefault="00E0146C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neautorizate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Republica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Moldova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9D1F8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8290829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92AEA68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A5522">
              <w:rPr>
                <w:rFonts w:ascii="Times New Roman" w:hAnsi="Times New Roman"/>
                <w:color w:val="000000"/>
                <w:sz w:val="24"/>
                <w:szCs w:val="24"/>
              </w:rPr>
              <w:t>cerere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65A2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296,04</w:t>
            </w:r>
          </w:p>
        </w:tc>
      </w:tr>
      <w:tr w:rsidR="00E0146C" w:rsidRPr="00E6155F" w14:paraId="6CB46B3F" w14:textId="77777777" w:rsidTr="008631F0">
        <w:trPr>
          <w:trHeight w:val="44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5F736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55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8B44" w14:textId="46C6B224" w:rsidR="00E0146C" w:rsidRPr="00E0146C" w:rsidRDefault="008A3633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corespunderea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limitelor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necesităţilor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substanţelor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stupefiante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psihotrope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precursorilor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precum şi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utilizarea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obiectelor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încăperilor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prepararea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fabricarea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vînzarea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ridicata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amănuntul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distribuirea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folosirea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substanţelor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stupefiante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psihotrope</w:t>
            </w:r>
            <w:proofErr w:type="spellEnd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şi a </w:t>
            </w:r>
            <w:proofErr w:type="spellStart"/>
            <w:r w:rsidR="00E0146C"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precursorilor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06F78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B21182C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FA93810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9D87CC1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A5522">
              <w:rPr>
                <w:rFonts w:ascii="Times New Roman" w:hAnsi="Times New Roman"/>
                <w:color w:val="000000"/>
                <w:sz w:val="24"/>
                <w:szCs w:val="24"/>
              </w:rPr>
              <w:t>cerere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C1C5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2">
              <w:rPr>
                <w:rFonts w:ascii="Times New Roman" w:hAnsi="Times New Roman"/>
              </w:rPr>
              <w:t>303,93</w:t>
            </w:r>
          </w:p>
        </w:tc>
      </w:tr>
      <w:tr w:rsidR="00E0146C" w:rsidRPr="00E6155F" w14:paraId="5DA38258" w14:textId="77777777" w:rsidTr="008631F0">
        <w:trPr>
          <w:trHeight w:val="15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33111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55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49A5" w14:textId="77777777" w:rsidR="00E0146C" w:rsidRPr="00E0146C" w:rsidRDefault="00E0146C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Eliberarea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copiilor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duplicatelor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autorizaţiilor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schimbarea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farmaciştilor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diriginţi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autorizaţiei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vigoare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0B11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F2179FE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copie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F7FD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2">
              <w:rPr>
                <w:rFonts w:ascii="Times New Roman" w:hAnsi="Times New Roman"/>
                <w:color w:val="000000"/>
                <w:sz w:val="24"/>
                <w:szCs w:val="24"/>
              </w:rPr>
              <w:t>59,21</w:t>
            </w:r>
          </w:p>
        </w:tc>
      </w:tr>
      <w:tr w:rsidR="00E0146C" w:rsidRPr="008A3633" w14:paraId="1DADA95C" w14:textId="77777777" w:rsidTr="00BD425F">
        <w:trPr>
          <w:trHeight w:val="15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C5736" w14:textId="77777777" w:rsidR="00E0146C" w:rsidRPr="00E6155F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AAC61" w14:textId="77777777" w:rsidR="00E0146C" w:rsidRPr="00E0146C" w:rsidRDefault="00E0146C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Distribuire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formularelor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reţetă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Nr. 2, </w:t>
            </w:r>
          </w:p>
          <w:p w14:paraId="7BF3BF14" w14:textId="77777777" w:rsidR="00E0146C" w:rsidRPr="00E0146C" w:rsidRDefault="00E0146C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prescrierea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eliberarea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medicamentelor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cu </w:t>
            </w:r>
          </w:p>
          <w:p w14:paraId="50F66B29" w14:textId="77777777" w:rsidR="00E0146C" w:rsidRPr="00E0146C" w:rsidRDefault="00E0146C" w:rsidP="008631F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conținut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substanțe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stupefiante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psihotrope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9D857" w14:textId="77777777" w:rsidR="00E0146C" w:rsidRPr="000A5522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formular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5048" w14:textId="77777777" w:rsidR="00E0146C" w:rsidRPr="00E0146C" w:rsidRDefault="00E0146C" w:rsidP="00863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preț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achiziții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+ 50% taxa de </w:t>
            </w:r>
            <w:proofErr w:type="spellStart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procesare</w:t>
            </w:r>
            <w:proofErr w:type="spellEnd"/>
            <w:r w:rsidRPr="00E014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AMDM</w:t>
            </w:r>
          </w:p>
        </w:tc>
      </w:tr>
    </w:tbl>
    <w:p w14:paraId="059BC9F1" w14:textId="77777777" w:rsidR="003024D1" w:rsidRPr="00E0146C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en-US"/>
        </w:rPr>
      </w:pPr>
    </w:p>
    <w:p w14:paraId="449EC804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14:paraId="1A6C1467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Tarifele pentru Inspecții de Bună Practică</w:t>
      </w:r>
    </w:p>
    <w:p w14:paraId="3F5769D1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2006"/>
      </w:tblGrid>
      <w:tr w:rsidR="003024D1" w:rsidRPr="009B0133" w14:paraId="4AB6420C" w14:textId="77777777" w:rsidTr="00563584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BD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>Nr. d/o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300896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 xml:space="preserve">Denumirea serviciului 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A45DF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>Tariful, lei</w:t>
            </w:r>
          </w:p>
        </w:tc>
      </w:tr>
      <w:tr w:rsidR="003024D1" w:rsidRPr="009B0133" w14:paraId="3997B48F" w14:textId="77777777" w:rsidTr="00563584">
        <w:tc>
          <w:tcPr>
            <w:tcW w:w="675" w:type="dxa"/>
            <w:shd w:val="clear" w:color="auto" w:fill="auto"/>
          </w:tcPr>
          <w:p w14:paraId="4D10945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14:paraId="10186AA3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Inspecţie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verificare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conformitatea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unității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medicale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neautorizate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Bunele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practici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Studiul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Clinic cu medicamente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uz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uman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(GCP)</w:t>
            </w:r>
          </w:p>
        </w:tc>
        <w:tc>
          <w:tcPr>
            <w:tcW w:w="2006" w:type="dxa"/>
            <w:shd w:val="clear" w:color="auto" w:fill="auto"/>
          </w:tcPr>
          <w:p w14:paraId="13BFA13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11659</w:t>
            </w:r>
          </w:p>
        </w:tc>
      </w:tr>
      <w:tr w:rsidR="003024D1" w:rsidRPr="009B0133" w14:paraId="3E9054BD" w14:textId="77777777" w:rsidTr="00563584">
        <w:tc>
          <w:tcPr>
            <w:tcW w:w="675" w:type="dxa"/>
            <w:shd w:val="clear" w:color="auto" w:fill="auto"/>
          </w:tcPr>
          <w:p w14:paraId="0BF6B10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14:paraId="11F26D01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Inspectie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verificare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conformitatea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  <w:t>întreprinderii farmaceutice cu Bunele Practici de Farmacie (GPP)</w:t>
            </w:r>
          </w:p>
        </w:tc>
        <w:tc>
          <w:tcPr>
            <w:tcW w:w="2006" w:type="dxa"/>
            <w:shd w:val="clear" w:color="auto" w:fill="auto"/>
          </w:tcPr>
          <w:p w14:paraId="1C4C84D3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6312</w:t>
            </w:r>
          </w:p>
        </w:tc>
      </w:tr>
      <w:tr w:rsidR="003024D1" w:rsidRPr="009B0133" w14:paraId="3978E3AB" w14:textId="77777777" w:rsidTr="00563584">
        <w:trPr>
          <w:trHeight w:val="568"/>
        </w:trPr>
        <w:tc>
          <w:tcPr>
            <w:tcW w:w="675" w:type="dxa"/>
            <w:shd w:val="clear" w:color="auto" w:fill="auto"/>
          </w:tcPr>
          <w:p w14:paraId="420FB87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14:paraId="7023A276" w14:textId="77777777" w:rsidR="003024D1" w:rsidRPr="009B0133" w:rsidRDefault="003024D1" w:rsidP="0056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de verificare privind conformitatea cu Bunele practici de distribuție angro (GDP)</w:t>
            </w:r>
          </w:p>
        </w:tc>
        <w:tc>
          <w:tcPr>
            <w:tcW w:w="2006" w:type="dxa"/>
            <w:shd w:val="clear" w:color="auto" w:fill="auto"/>
          </w:tcPr>
          <w:p w14:paraId="221C79C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2793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6</w:t>
            </w:r>
          </w:p>
        </w:tc>
      </w:tr>
      <w:tr w:rsidR="003024D1" w:rsidRPr="009B0133" w14:paraId="77D27911" w14:textId="77777777" w:rsidTr="00563584">
        <w:tc>
          <w:tcPr>
            <w:tcW w:w="675" w:type="dxa"/>
            <w:shd w:val="clear" w:color="auto" w:fill="auto"/>
          </w:tcPr>
          <w:p w14:paraId="6DC2F42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14:paraId="6B1E797A" w14:textId="77777777" w:rsidR="003024D1" w:rsidRPr="009B0133" w:rsidRDefault="003024D1" w:rsidP="0056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Inspecție de verificare privind conformitatea cu Bună practică de fabricație a medicamentelor de uz uman/medicamente pentru investigaţie clinică/materii prime (pentru fabricaţia produselor sterile), pentru un flux de fabricație, tarif de bază</w:t>
            </w:r>
          </w:p>
        </w:tc>
        <w:tc>
          <w:tcPr>
            <w:tcW w:w="2006" w:type="dxa"/>
            <w:shd w:val="clear" w:color="auto" w:fill="auto"/>
          </w:tcPr>
          <w:p w14:paraId="0B27256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3964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en-US"/>
              </w:rPr>
              <w:t>4</w:t>
            </w:r>
          </w:p>
        </w:tc>
      </w:tr>
      <w:tr w:rsidR="003024D1" w:rsidRPr="009B0133" w14:paraId="4EF301B4" w14:textId="77777777" w:rsidTr="00563584">
        <w:tc>
          <w:tcPr>
            <w:tcW w:w="675" w:type="dxa"/>
            <w:shd w:val="clear" w:color="auto" w:fill="auto"/>
          </w:tcPr>
          <w:p w14:paraId="607B7829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14:paraId="7BBDA7D0" w14:textId="77777777" w:rsidR="003024D1" w:rsidRPr="009B0133" w:rsidRDefault="003024D1" w:rsidP="00563584">
            <w:pPr>
              <w:tabs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Fiecare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flux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produselor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sterile, distinct,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inspectat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suplimentar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contextul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produselor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sterile,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care s-a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aplicat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tariful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bază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condiția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acesta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referă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aceeași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cerere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aceeași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echipă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realizează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același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proces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</w:t>
            </w:r>
            <w:proofErr w:type="spellEnd"/>
          </w:p>
        </w:tc>
        <w:tc>
          <w:tcPr>
            <w:tcW w:w="2006" w:type="dxa"/>
            <w:shd w:val="clear" w:color="auto" w:fill="auto"/>
          </w:tcPr>
          <w:p w14:paraId="35DBDE7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9</w:t>
            </w:r>
          </w:p>
        </w:tc>
      </w:tr>
      <w:tr w:rsidR="003024D1" w:rsidRPr="009B0133" w14:paraId="17385290" w14:textId="77777777" w:rsidTr="00563584">
        <w:tc>
          <w:tcPr>
            <w:tcW w:w="675" w:type="dxa"/>
            <w:shd w:val="clear" w:color="auto" w:fill="auto"/>
          </w:tcPr>
          <w:p w14:paraId="5B953B3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14:paraId="070EA619" w14:textId="77777777" w:rsidR="003024D1" w:rsidRPr="009B0133" w:rsidRDefault="003024D1" w:rsidP="00563584">
            <w:pPr>
              <w:tabs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verificare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conformitatea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Bună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practică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medicamentelor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uz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uman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/medicamente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investigaţie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clinică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materii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prime (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fabricaţia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produselor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non-sterile),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un flux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tarif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bază</w:t>
            </w:r>
            <w:proofErr w:type="spellEnd"/>
          </w:p>
        </w:tc>
        <w:tc>
          <w:tcPr>
            <w:tcW w:w="2006" w:type="dxa"/>
            <w:shd w:val="clear" w:color="auto" w:fill="auto"/>
          </w:tcPr>
          <w:p w14:paraId="5806C82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34938</w:t>
            </w:r>
          </w:p>
        </w:tc>
      </w:tr>
      <w:tr w:rsidR="003024D1" w:rsidRPr="009B0133" w14:paraId="4E6AD5CF" w14:textId="77777777" w:rsidTr="00563584">
        <w:tc>
          <w:tcPr>
            <w:tcW w:w="675" w:type="dxa"/>
            <w:shd w:val="clear" w:color="auto" w:fill="auto"/>
          </w:tcPr>
          <w:p w14:paraId="66C4171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14:paraId="0BB75AE0" w14:textId="77777777" w:rsidR="003024D1" w:rsidRPr="009B0133" w:rsidRDefault="003024D1" w:rsidP="00563584">
            <w:pPr>
              <w:tabs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Fiecare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flux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produselor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non-sterile, distinct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inspectat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suplimentar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contextul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produselor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non-sterile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sau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fabricația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produselor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sterile</w:t>
            </w:r>
            <w:r w:rsidRPr="009B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en-US"/>
              </w:rPr>
              <w:t>1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care s-a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aplicat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tariful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bază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cu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condiția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acesta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referă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aceeași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cerere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aceeași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echipă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realizează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același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proces</w:t>
            </w:r>
            <w:proofErr w:type="spellEnd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inspecție</w:t>
            </w:r>
            <w:proofErr w:type="spellEnd"/>
          </w:p>
          <w:p w14:paraId="142604B7" w14:textId="77777777" w:rsidR="003024D1" w:rsidRPr="009B0133" w:rsidRDefault="003024D1" w:rsidP="00563584">
            <w:pPr>
              <w:tabs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06" w:type="dxa"/>
            <w:shd w:val="clear" w:color="auto" w:fill="auto"/>
          </w:tcPr>
          <w:p w14:paraId="118FA2F2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7320</w:t>
            </w:r>
          </w:p>
        </w:tc>
      </w:tr>
    </w:tbl>
    <w:p w14:paraId="7399535E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14:paraId="5C202FF0" w14:textId="77777777" w:rsidR="003024D1" w:rsidRPr="009B0133" w:rsidRDefault="003024D1" w:rsidP="003024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val="ro-RO" w:eastAsia="en-US"/>
        </w:rPr>
        <w:t>1</w:t>
      </w:r>
      <w:r w:rsidRPr="009B0133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US"/>
        </w:rPr>
        <w:t xml:space="preserve"> În cazul în care, agentul economic solicită inspectarea atât a unui sau mai multor fluxuri de fabricație a produselor sterile, cât și a unui sau mai multor fluxuri de fabricație a produselor non-sterile, în calitate de tarif de bază se va considera tariful aplicat pentru inspecția fabricației produselor sterile.</w:t>
      </w:r>
    </w:p>
    <w:p w14:paraId="59DBEE84" w14:textId="77777777" w:rsidR="003024D1" w:rsidRPr="009B0133" w:rsidRDefault="003024D1" w:rsidP="003024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14:paraId="655A201B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Tarifele pentru înregistrarea dispozitivelor medicale, </w:t>
      </w:r>
    </w:p>
    <w:p w14:paraId="4D8EAA10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modificărilor efectuate după înregistrare şi </w:t>
      </w:r>
    </w:p>
    <w:p w14:paraId="751F041F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9B013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studiilor clinice cu dispozitive medicale</w:t>
      </w:r>
    </w:p>
    <w:p w14:paraId="41EE1113" w14:textId="77777777" w:rsidR="003024D1" w:rsidRPr="009B0133" w:rsidRDefault="003024D1" w:rsidP="00302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1"/>
        <w:gridCol w:w="6949"/>
        <w:gridCol w:w="979"/>
        <w:gridCol w:w="905"/>
      </w:tblGrid>
      <w:tr w:rsidR="003024D1" w:rsidRPr="009B0133" w14:paraId="21455DE5" w14:textId="77777777" w:rsidTr="00563584">
        <w:trPr>
          <w:trHeight w:val="6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A76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</w:pPr>
            <w:bookmarkStart w:id="8" w:name="_Hlk140061880"/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>Nr. d/o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0F26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 xml:space="preserve">Denumirea serviciului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61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>Unitatea de măsură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10C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US"/>
              </w:rPr>
              <w:t>Tariful, lei</w:t>
            </w:r>
          </w:p>
        </w:tc>
      </w:tr>
      <w:tr w:rsidR="003024D1" w:rsidRPr="009B0133" w14:paraId="6E26215E" w14:textId="77777777" w:rsidTr="00563584">
        <w:trPr>
          <w:trHeight w:val="391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FD05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6623" w14:textId="5232019C" w:rsidR="003024D1" w:rsidRPr="009B0133" w:rsidRDefault="008A3633" w:rsidP="0056358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privind î</w:t>
            </w:r>
            <w:r w:rsidR="003024D1"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nregistrare şi reînregistrare dispozitive medicale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02B5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DEFC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1794</w:t>
            </w:r>
          </w:p>
        </w:tc>
      </w:tr>
      <w:tr w:rsidR="003024D1" w:rsidRPr="009B0133" w14:paraId="7B346421" w14:textId="77777777" w:rsidTr="00563584">
        <w:trPr>
          <w:trHeight w:val="441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AF95A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C23E" w14:textId="77777777" w:rsidR="003024D1" w:rsidRPr="009B0133" w:rsidRDefault="003024D1" w:rsidP="0056358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Evaluare dosar pentru autorizare studii clinice cu dispozitive medicale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4A87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dosar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3600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26054</w:t>
            </w:r>
          </w:p>
        </w:tc>
      </w:tr>
      <w:tr w:rsidR="003024D1" w:rsidRPr="009B0133" w14:paraId="22505EDC" w14:textId="77777777" w:rsidTr="00563584">
        <w:trPr>
          <w:trHeight w:val="15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246CB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9684" w14:textId="59B2EE6D" w:rsidR="003024D1" w:rsidRPr="009B0133" w:rsidRDefault="008A3633" w:rsidP="0056358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privind a</w:t>
            </w:r>
            <w:r w:rsidR="003024D1"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probare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</w:t>
            </w:r>
            <w:r w:rsidR="003024D1"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modificări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lor</w:t>
            </w:r>
            <w:r w:rsidR="003024D1"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tip I pentru dispozitive medicale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50558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CE11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897</w:t>
            </w:r>
          </w:p>
        </w:tc>
      </w:tr>
      <w:tr w:rsidR="003024D1" w:rsidRPr="009B0133" w14:paraId="6055E35F" w14:textId="77777777" w:rsidTr="00563584">
        <w:trPr>
          <w:trHeight w:val="157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3DAF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4.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F72D" w14:textId="76311DB7" w:rsidR="003024D1" w:rsidRPr="009B0133" w:rsidRDefault="008A3633" w:rsidP="0056358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8A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Evaluare dosar</w:t>
            </w:r>
            <w:r w:rsidRPr="009B01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privind a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probare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modificări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lor</w:t>
            </w: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="003024D1"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tip II pentru dispozitive medicale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B35F7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 cerere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2AEE" w14:textId="77777777" w:rsidR="003024D1" w:rsidRPr="009B0133" w:rsidRDefault="003024D1" w:rsidP="0056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B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1211</w:t>
            </w:r>
          </w:p>
        </w:tc>
      </w:tr>
      <w:bookmarkEnd w:id="8"/>
    </w:tbl>
    <w:p w14:paraId="1AB87DFE" w14:textId="77777777" w:rsidR="003024D1" w:rsidRDefault="003024D1" w:rsidP="00302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C631D8" w14:textId="77777777" w:rsidR="003024D1" w:rsidRDefault="003024D1" w:rsidP="0030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9" w:name="_Hlk147917421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COEFICIENT DE REMUNERARE </w:t>
      </w:r>
    </w:p>
    <w:p w14:paraId="78730AA0" w14:textId="77777777" w:rsidR="003024D1" w:rsidRDefault="003024D1" w:rsidP="0030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aplicat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calcularea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costului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expertizei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specializate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06B9030" w14:textId="77777777" w:rsidR="003024D1" w:rsidRDefault="003024D1" w:rsidP="0030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autorizarea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medicamentelor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uz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uman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aprobarea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variațiilor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postautorizare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9876936" w14:textId="77777777" w:rsidR="003024D1" w:rsidRDefault="003024D1" w:rsidP="0030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şi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autorizarea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studiilor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clinice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medicamente de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uz</w:t>
      </w:r>
      <w:proofErr w:type="spellEnd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27DD">
        <w:rPr>
          <w:rFonts w:ascii="Times New Roman" w:hAnsi="Times New Roman" w:cs="Times New Roman"/>
          <w:b/>
          <w:bCs/>
          <w:sz w:val="24"/>
          <w:szCs w:val="24"/>
          <w:lang w:val="en-US"/>
        </w:rPr>
        <w:t>uman</w:t>
      </w:r>
      <w:proofErr w:type="spellEnd"/>
    </w:p>
    <w:bookmarkEnd w:id="9"/>
    <w:p w14:paraId="0ADC2C7D" w14:textId="77777777" w:rsidR="003024D1" w:rsidRDefault="003024D1" w:rsidP="0030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84"/>
      </w:tblGrid>
      <w:tr w:rsidR="003024D1" w14:paraId="28E30DB4" w14:textId="77777777" w:rsidTr="00563584">
        <w:tc>
          <w:tcPr>
            <w:tcW w:w="846" w:type="dxa"/>
          </w:tcPr>
          <w:p w14:paraId="3BA37228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E0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6237" w:type="dxa"/>
          </w:tcPr>
          <w:p w14:paraId="085F2B99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</w:t>
            </w:r>
            <w:proofErr w:type="spellEnd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serviciului</w:t>
            </w:r>
            <w:proofErr w:type="spellEnd"/>
          </w:p>
        </w:tc>
        <w:tc>
          <w:tcPr>
            <w:tcW w:w="1984" w:type="dxa"/>
          </w:tcPr>
          <w:p w14:paraId="46182F80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Coeficient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remunerare</w:t>
            </w:r>
            <w:proofErr w:type="spellEnd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  <w:tr w:rsidR="003024D1" w:rsidRPr="008A3633" w14:paraId="69C48491" w14:textId="77777777" w:rsidTr="00563584">
        <w:tc>
          <w:tcPr>
            <w:tcW w:w="846" w:type="dxa"/>
          </w:tcPr>
          <w:p w14:paraId="299181D1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6237" w:type="dxa"/>
          </w:tcPr>
          <w:p w14:paraId="4E2DF715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utorizarea</w:t>
            </w:r>
            <w:proofErr w:type="spellEnd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medicamentelor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uman</w:t>
            </w:r>
            <w:proofErr w:type="spellEnd"/>
          </w:p>
        </w:tc>
        <w:tc>
          <w:tcPr>
            <w:tcW w:w="1984" w:type="dxa"/>
          </w:tcPr>
          <w:p w14:paraId="546CB765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024D1" w:rsidRPr="008A3633" w14:paraId="7C23FEEE" w14:textId="77777777" w:rsidTr="00563584">
        <w:tc>
          <w:tcPr>
            <w:tcW w:w="846" w:type="dxa"/>
          </w:tcPr>
          <w:p w14:paraId="331E9794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</w:t>
            </w:r>
          </w:p>
        </w:tc>
        <w:tc>
          <w:tcPr>
            <w:tcW w:w="6237" w:type="dxa"/>
          </w:tcPr>
          <w:p w14:paraId="37A9C7A2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Expertiză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specializată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</w:t>
            </w:r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compartimentul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ui</w:t>
            </w:r>
            <w:proofErr w:type="spellEnd"/>
            <w:r w:rsidRPr="005773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clinic</w:t>
            </w:r>
          </w:p>
        </w:tc>
        <w:tc>
          <w:tcPr>
            <w:tcW w:w="1984" w:type="dxa"/>
          </w:tcPr>
          <w:p w14:paraId="075C548B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024D1" w:rsidRPr="0057738C" w14:paraId="4CE0E1C7" w14:textId="77777777" w:rsidTr="00563584">
        <w:tc>
          <w:tcPr>
            <w:tcW w:w="846" w:type="dxa"/>
          </w:tcPr>
          <w:p w14:paraId="0BF7F7A3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F67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Cerere “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independentă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=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cerere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“de sine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stătătoare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” (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dosar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date administrative,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calitatea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nonclinice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C2F" w14:textId="77777777" w:rsidR="003024D1" w:rsidRPr="0092002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024D1" w:rsidRPr="0057738C" w14:paraId="2C3D3334" w14:textId="77777777" w:rsidTr="00563584">
        <w:tc>
          <w:tcPr>
            <w:tcW w:w="846" w:type="dxa"/>
          </w:tcPr>
          <w:p w14:paraId="6A426CCD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E8B1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Cerere “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independentă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=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cerere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“de sine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stătătoare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” (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dosar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date administrative,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calitatea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nonclinice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–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produs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biologic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737" w14:textId="77777777" w:rsidR="003024D1" w:rsidRPr="0092002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2F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3024D1" w:rsidRPr="0057738C" w14:paraId="100E52BB" w14:textId="77777777" w:rsidTr="00563584">
        <w:tc>
          <w:tcPr>
            <w:tcW w:w="846" w:type="dxa"/>
          </w:tcPr>
          <w:p w14:paraId="42E20A8A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B65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 biologic similar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052" w14:textId="77777777" w:rsidR="003024D1" w:rsidRPr="0092002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2F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3024D1" w:rsidRPr="0057738C" w14:paraId="5AD8011D" w14:textId="77777777" w:rsidTr="00563584">
        <w:tc>
          <w:tcPr>
            <w:tcW w:w="846" w:type="dxa"/>
          </w:tcPr>
          <w:p w14:paraId="10889AB7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C98" w14:textId="77777777" w:rsidR="003024D1" w:rsidRPr="0057738C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Cerere “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bibliografică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cu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bine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stabilită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29E9E350" w14:textId="77777777" w:rsidR="003024D1" w:rsidRPr="0057738C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Cerere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combinație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fixă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0CC243B7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Cerere</w:t>
            </w:r>
            <w:proofErr w:type="spellEnd"/>
            <w:r w:rsidRPr="00331F7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hibrid</w:t>
            </w:r>
            <w:proofErr w:type="spellEnd"/>
            <w:r w:rsidRPr="00331F7C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mixtă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A2E" w14:textId="77777777" w:rsidR="003024D1" w:rsidRPr="0092002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0,9</w:t>
            </w:r>
          </w:p>
        </w:tc>
      </w:tr>
      <w:tr w:rsidR="003024D1" w:rsidRPr="0057738C" w14:paraId="731D3E0D" w14:textId="77777777" w:rsidTr="00563584">
        <w:tc>
          <w:tcPr>
            <w:tcW w:w="846" w:type="dxa"/>
          </w:tcPr>
          <w:p w14:paraId="2BAF9D8A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F1C" w14:textId="77777777" w:rsidR="003024D1" w:rsidRPr="0057738C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generice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02222C97" w14:textId="77777777" w:rsidR="003024D1" w:rsidRPr="0057738C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baza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consimțământului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informat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74153ECC" w14:textId="77777777" w:rsidR="003024D1" w:rsidRPr="0057738C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homeopate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6E16FCD0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din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plante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medicinale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38C">
              <w:rPr>
                <w:rFonts w:ascii="Times New Roman" w:hAnsi="Times New Roman"/>
                <w:sz w:val="24"/>
                <w:szCs w:val="24"/>
                <w:lang w:val="en-US"/>
              </w:rPr>
              <w:t>tradițională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D47" w14:textId="77777777" w:rsidR="003024D1" w:rsidRPr="0092002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2F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 w:rsidR="003024D1" w:rsidRPr="0057738C" w14:paraId="6D06AC3F" w14:textId="77777777" w:rsidTr="00563584">
        <w:tc>
          <w:tcPr>
            <w:tcW w:w="846" w:type="dxa"/>
          </w:tcPr>
          <w:p w14:paraId="43E280F2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702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Medicament</w:t>
            </w:r>
            <w:proofErr w:type="spellEnd"/>
            <w:r w:rsidRPr="0033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orfan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26D" w14:textId="77777777" w:rsidR="003024D1" w:rsidRPr="0092002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2F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024D1" w:rsidRPr="008A3633" w14:paraId="0B6685FA" w14:textId="77777777" w:rsidTr="00563584">
        <w:tc>
          <w:tcPr>
            <w:tcW w:w="846" w:type="dxa"/>
          </w:tcPr>
          <w:p w14:paraId="340AE61F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B.</w:t>
            </w:r>
          </w:p>
        </w:tc>
        <w:tc>
          <w:tcPr>
            <w:tcW w:w="6237" w:type="dxa"/>
          </w:tcPr>
          <w:p w14:paraId="212B0935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Expertiză</w:t>
            </w:r>
            <w:proofErr w:type="spellEnd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specializată</w:t>
            </w:r>
            <w:proofErr w:type="spellEnd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compartimentului</w:t>
            </w:r>
            <w:proofErr w:type="spellEnd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non-</w:t>
            </w:r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clinic</w:t>
            </w:r>
          </w:p>
        </w:tc>
        <w:tc>
          <w:tcPr>
            <w:tcW w:w="1984" w:type="dxa"/>
          </w:tcPr>
          <w:p w14:paraId="0B0CF6D8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024D1" w:rsidRPr="0057738C" w14:paraId="69FA479F" w14:textId="77777777" w:rsidTr="00563584">
        <w:tc>
          <w:tcPr>
            <w:tcW w:w="846" w:type="dxa"/>
          </w:tcPr>
          <w:p w14:paraId="772E8290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7BC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Cerere “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independentă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=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cerere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“de sine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stătătoare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” (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dosar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date administrative,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calitatea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nonclinice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703" w14:textId="77777777" w:rsidR="003024D1" w:rsidRPr="00EE0CC6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024D1" w:rsidRPr="0057738C" w14:paraId="0ABC277F" w14:textId="77777777" w:rsidTr="00563584">
        <w:tc>
          <w:tcPr>
            <w:tcW w:w="846" w:type="dxa"/>
          </w:tcPr>
          <w:p w14:paraId="419A9094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43B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Cerere “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independentă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=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cerere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“de sine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stătătoare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” (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dosar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date administrative,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calitatea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nonclinice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–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produs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biologic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CCD" w14:textId="77777777" w:rsidR="003024D1" w:rsidRPr="00EE0CC6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3024D1" w:rsidRPr="0057738C" w14:paraId="31717F2D" w14:textId="77777777" w:rsidTr="00563584">
        <w:tc>
          <w:tcPr>
            <w:tcW w:w="846" w:type="dxa"/>
          </w:tcPr>
          <w:p w14:paraId="6F43F080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5A3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 biologic similar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0DC" w14:textId="77777777" w:rsidR="003024D1" w:rsidRPr="00EE0CC6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3024D1" w:rsidRPr="0057738C" w14:paraId="3A26EFF0" w14:textId="77777777" w:rsidTr="00563584">
        <w:tc>
          <w:tcPr>
            <w:tcW w:w="846" w:type="dxa"/>
          </w:tcPr>
          <w:p w14:paraId="6A28A05C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069" w14:textId="77777777" w:rsidR="003024D1" w:rsidRPr="00EE0CC6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Cerere “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bibliografică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cu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bine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stabilită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2459E0B5" w14:textId="77777777" w:rsidR="003024D1" w:rsidRPr="00EE0CC6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combinație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fixă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270E3AF3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Cerere</w:t>
            </w:r>
            <w:proofErr w:type="spellEnd"/>
            <w:r w:rsidRPr="00331F7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hibrid</w:t>
            </w:r>
            <w:proofErr w:type="spellEnd"/>
            <w:r w:rsidRPr="00331F7C">
              <w:rPr>
                <w:rFonts w:ascii="Times New Roman" w:hAnsi="Times New Roman"/>
                <w:sz w:val="24"/>
                <w:szCs w:val="24"/>
              </w:rPr>
              <w:t xml:space="preserve">” – </w:t>
            </w: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mixtă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2C8" w14:textId="77777777" w:rsidR="003024D1" w:rsidRPr="00EE0CC6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</w:tr>
      <w:tr w:rsidR="003024D1" w:rsidRPr="0057738C" w14:paraId="5334D3B3" w14:textId="77777777" w:rsidTr="00563584">
        <w:tc>
          <w:tcPr>
            <w:tcW w:w="846" w:type="dxa"/>
          </w:tcPr>
          <w:p w14:paraId="02CF98A4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5DF" w14:textId="77777777" w:rsidR="003024D1" w:rsidRPr="00EE0CC6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generice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615FA1FD" w14:textId="77777777" w:rsidR="003024D1" w:rsidRPr="00EE0CC6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baza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consimțământului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informat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2CD65FEC" w14:textId="77777777" w:rsidR="003024D1" w:rsidRPr="00EE0CC6" w:rsidRDefault="003024D1" w:rsidP="005635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homeopate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372AA1A0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Cerere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medicamente din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plante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medicinale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CC6">
              <w:rPr>
                <w:rFonts w:ascii="Times New Roman" w:hAnsi="Times New Roman"/>
                <w:sz w:val="24"/>
                <w:szCs w:val="24"/>
                <w:lang w:val="en-US"/>
              </w:rPr>
              <w:t>tradițională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623" w14:textId="77777777" w:rsidR="003024D1" w:rsidRPr="00EE0CC6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CC6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 w:rsidR="003024D1" w:rsidRPr="0057738C" w14:paraId="3EF7BD2B" w14:textId="77777777" w:rsidTr="00563584">
        <w:tc>
          <w:tcPr>
            <w:tcW w:w="846" w:type="dxa"/>
          </w:tcPr>
          <w:p w14:paraId="2CAA64F4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FD6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Medicament</w:t>
            </w:r>
            <w:proofErr w:type="spellEnd"/>
            <w:r w:rsidRPr="0033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F7C">
              <w:rPr>
                <w:rFonts w:ascii="Times New Roman" w:hAnsi="Times New Roman"/>
                <w:sz w:val="24"/>
                <w:szCs w:val="24"/>
              </w:rPr>
              <w:t>orfan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B40" w14:textId="77777777" w:rsidR="003024D1" w:rsidRPr="00B4397F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97F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024D1" w:rsidRPr="008A3633" w14:paraId="6AC09315" w14:textId="77777777" w:rsidTr="00563584">
        <w:tc>
          <w:tcPr>
            <w:tcW w:w="846" w:type="dxa"/>
          </w:tcPr>
          <w:p w14:paraId="4120E912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C.</w:t>
            </w:r>
          </w:p>
        </w:tc>
        <w:tc>
          <w:tcPr>
            <w:tcW w:w="6237" w:type="dxa"/>
          </w:tcPr>
          <w:p w14:paraId="269A3833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Expertiză</w:t>
            </w:r>
            <w:proofErr w:type="spellEnd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specializată</w:t>
            </w:r>
            <w:proofErr w:type="spellEnd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compartimentului</w:t>
            </w:r>
            <w:proofErr w:type="spellEnd"/>
            <w:r w:rsidRPr="00DA0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calitate</w:t>
            </w:r>
            <w:proofErr w:type="spellEnd"/>
          </w:p>
        </w:tc>
        <w:tc>
          <w:tcPr>
            <w:tcW w:w="1984" w:type="dxa"/>
          </w:tcPr>
          <w:p w14:paraId="056ABC25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024D1" w:rsidRPr="0057738C" w14:paraId="6CCBB896" w14:textId="77777777" w:rsidTr="00563584">
        <w:tc>
          <w:tcPr>
            <w:tcW w:w="846" w:type="dxa"/>
          </w:tcPr>
          <w:p w14:paraId="78D77CF1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477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Evaluare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medicamente cu o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singură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doză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singură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substanță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activă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071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3024D1" w:rsidRPr="0057738C" w14:paraId="1A937325" w14:textId="77777777" w:rsidTr="00563584">
        <w:tc>
          <w:tcPr>
            <w:tcW w:w="846" w:type="dxa"/>
          </w:tcPr>
          <w:p w14:paraId="5E755504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47A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Evaluare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doua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doze/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concentraţii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depuse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concomitent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cererea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iniţială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6FC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3024D1" w:rsidRPr="0057738C" w14:paraId="362454EF" w14:textId="77777777" w:rsidTr="00563584">
        <w:tc>
          <w:tcPr>
            <w:tcW w:w="846" w:type="dxa"/>
          </w:tcPr>
          <w:p w14:paraId="25B524DD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4A2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Evaluare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1632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doua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substanțe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active din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componența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medicamentului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depuse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concomitent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cererea</w:t>
            </w:r>
            <w:proofErr w:type="spellEnd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297">
              <w:rPr>
                <w:rFonts w:ascii="Times New Roman" w:hAnsi="Times New Roman"/>
                <w:sz w:val="24"/>
                <w:szCs w:val="24"/>
                <w:lang w:val="en-US"/>
              </w:rPr>
              <w:t>iniţială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63A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0,2 </w:t>
            </w:r>
          </w:p>
        </w:tc>
      </w:tr>
      <w:tr w:rsidR="003024D1" w:rsidRPr="008A3633" w14:paraId="02B37822" w14:textId="77777777" w:rsidTr="00563584">
        <w:tc>
          <w:tcPr>
            <w:tcW w:w="846" w:type="dxa"/>
          </w:tcPr>
          <w:p w14:paraId="2ADB2406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D.</w:t>
            </w:r>
          </w:p>
        </w:tc>
        <w:tc>
          <w:tcPr>
            <w:tcW w:w="6237" w:type="dxa"/>
          </w:tcPr>
          <w:p w14:paraId="3401D3CC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Expertiză</w:t>
            </w:r>
            <w:proofErr w:type="spellEnd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specializată</w:t>
            </w:r>
            <w:proofErr w:type="spellEnd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variațiilor</w:t>
            </w:r>
            <w:proofErr w:type="spellEnd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postautorizare</w:t>
            </w:r>
            <w:proofErr w:type="spellEnd"/>
          </w:p>
        </w:tc>
        <w:tc>
          <w:tcPr>
            <w:tcW w:w="1984" w:type="dxa"/>
          </w:tcPr>
          <w:p w14:paraId="4526F5E0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024D1" w:rsidRPr="0057738C" w14:paraId="71120491" w14:textId="77777777" w:rsidTr="00563584">
        <w:tc>
          <w:tcPr>
            <w:tcW w:w="846" w:type="dxa"/>
          </w:tcPr>
          <w:p w14:paraId="3A145717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3AD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Expertiză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specializată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variați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tip IA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autorizat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7EA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 </w:t>
            </w:r>
          </w:p>
        </w:tc>
      </w:tr>
      <w:tr w:rsidR="003024D1" w:rsidRPr="0057738C" w14:paraId="40A43126" w14:textId="77777777" w:rsidTr="00563584">
        <w:tc>
          <w:tcPr>
            <w:tcW w:w="846" w:type="dxa"/>
          </w:tcPr>
          <w:p w14:paraId="5B46127B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06D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Expertiză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specializată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E396F">
              <w:rPr>
                <w:rFonts w:ascii="Times New Roman" w:hAnsi="Times New Roman"/>
                <w:sz w:val="24"/>
                <w:szCs w:val="24"/>
                <w:lang w:val="en-US"/>
              </w:rPr>
              <w:t>unei</w:t>
            </w:r>
            <w:proofErr w:type="spellEnd"/>
            <w:r w:rsidRPr="00FE39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396F">
              <w:rPr>
                <w:rFonts w:ascii="Times New Roman" w:hAnsi="Times New Roman"/>
                <w:sz w:val="24"/>
                <w:szCs w:val="24"/>
                <w:lang w:val="en-US"/>
              </w:rPr>
              <w:t>variații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tip</w:t>
            </w:r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IB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autorizat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3F8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0,3 </w:t>
            </w:r>
          </w:p>
        </w:tc>
      </w:tr>
      <w:tr w:rsidR="003024D1" w:rsidRPr="0057738C" w14:paraId="5BC0C335" w14:textId="77777777" w:rsidTr="00563584">
        <w:tc>
          <w:tcPr>
            <w:tcW w:w="846" w:type="dxa"/>
          </w:tcPr>
          <w:p w14:paraId="75FE429D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9A3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Expertiză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specializată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7608">
              <w:rPr>
                <w:rFonts w:ascii="Times New Roman" w:hAnsi="Times New Roman"/>
                <w:sz w:val="24"/>
                <w:szCs w:val="24"/>
                <w:lang w:val="en-US"/>
              </w:rPr>
              <w:t>unei</w:t>
            </w:r>
            <w:proofErr w:type="spellEnd"/>
            <w:r w:rsidRPr="00DB76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7608">
              <w:rPr>
                <w:rFonts w:ascii="Times New Roman" w:hAnsi="Times New Roman"/>
                <w:sz w:val="24"/>
                <w:szCs w:val="24"/>
                <w:lang w:val="en-US"/>
              </w:rPr>
              <w:t>variații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tip II (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variaţie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majoră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medicament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autorizat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B91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 </w:t>
            </w:r>
          </w:p>
        </w:tc>
      </w:tr>
      <w:tr w:rsidR="003024D1" w:rsidRPr="0057738C" w14:paraId="174066F5" w14:textId="77777777" w:rsidTr="00563584">
        <w:tc>
          <w:tcPr>
            <w:tcW w:w="846" w:type="dxa"/>
          </w:tcPr>
          <w:p w14:paraId="0D0DBA13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B01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Expertiză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specializată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cereri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transfer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autorizaţiei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punere</w:t>
            </w:r>
            <w:proofErr w:type="spellEnd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C549A">
              <w:rPr>
                <w:rFonts w:ascii="Times New Roman" w:hAnsi="Times New Roman"/>
                <w:sz w:val="24"/>
                <w:szCs w:val="24"/>
                <w:lang w:val="en-US"/>
              </w:rPr>
              <w:t>piaţă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6BA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0,3 </w:t>
            </w:r>
          </w:p>
        </w:tc>
      </w:tr>
      <w:tr w:rsidR="003024D1" w:rsidRPr="008A3633" w14:paraId="58AC08C4" w14:textId="77777777" w:rsidTr="00563584">
        <w:tc>
          <w:tcPr>
            <w:tcW w:w="846" w:type="dxa"/>
          </w:tcPr>
          <w:p w14:paraId="1CBA825F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6237" w:type="dxa"/>
          </w:tcPr>
          <w:p w14:paraId="3A284749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clinice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cu medicamente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uman</w:t>
            </w:r>
            <w:proofErr w:type="spellEnd"/>
          </w:p>
        </w:tc>
        <w:tc>
          <w:tcPr>
            <w:tcW w:w="1984" w:type="dxa"/>
          </w:tcPr>
          <w:p w14:paraId="36438E04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024D1" w:rsidRPr="0057738C" w14:paraId="64FF2E58" w14:textId="77777777" w:rsidTr="00563584">
        <w:tc>
          <w:tcPr>
            <w:tcW w:w="846" w:type="dxa"/>
          </w:tcPr>
          <w:p w14:paraId="5AD934D2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6237" w:type="dxa"/>
          </w:tcPr>
          <w:p w14:paraId="59CC5286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non-clinic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la un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 faz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I-III, cu un medicament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testat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14:paraId="0E86D0A6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1,0</w:t>
            </w:r>
          </w:p>
        </w:tc>
      </w:tr>
      <w:tr w:rsidR="003024D1" w:rsidRPr="0057738C" w14:paraId="7F9C9C01" w14:textId="77777777" w:rsidTr="00563584">
        <w:tc>
          <w:tcPr>
            <w:tcW w:w="846" w:type="dxa"/>
          </w:tcPr>
          <w:p w14:paraId="2CA1CF18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6237" w:type="dxa"/>
          </w:tcPr>
          <w:p w14:paraId="56929F7D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non-clinic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 faz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I-III, cu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multe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testate.</w:t>
            </w:r>
          </w:p>
        </w:tc>
        <w:tc>
          <w:tcPr>
            <w:tcW w:w="1984" w:type="dxa"/>
          </w:tcPr>
          <w:p w14:paraId="51FD5B18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1,8</w:t>
            </w:r>
          </w:p>
        </w:tc>
      </w:tr>
      <w:tr w:rsidR="003024D1" w:rsidRPr="0057738C" w14:paraId="3AAA0097" w14:textId="77777777" w:rsidTr="00563584">
        <w:tc>
          <w:tcPr>
            <w:tcW w:w="846" w:type="dxa"/>
          </w:tcPr>
          <w:p w14:paraId="3619CEF8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6237" w:type="dxa"/>
          </w:tcPr>
          <w:p w14:paraId="1725DCA2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compartimentului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non-clinic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fază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IV, cu un medicament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testat</w:t>
            </w:r>
            <w:proofErr w:type="spellEnd"/>
            <w:r w:rsidRPr="00DB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4" w:type="dxa"/>
            <w:shd w:val="solid" w:color="FFFFFF" w:fill="auto"/>
          </w:tcPr>
          <w:p w14:paraId="228DF2D8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0,6</w:t>
            </w:r>
          </w:p>
        </w:tc>
      </w:tr>
      <w:tr w:rsidR="003024D1" w:rsidRPr="0057738C" w14:paraId="2BAD8626" w14:textId="77777777" w:rsidTr="00563584">
        <w:tc>
          <w:tcPr>
            <w:tcW w:w="846" w:type="dxa"/>
          </w:tcPr>
          <w:p w14:paraId="26E57C92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6237" w:type="dxa"/>
          </w:tcPr>
          <w:p w14:paraId="4CE8AD1A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non-clinic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IV, cu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multe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testate.</w:t>
            </w:r>
          </w:p>
        </w:tc>
        <w:tc>
          <w:tcPr>
            <w:tcW w:w="1984" w:type="dxa"/>
            <w:shd w:val="solid" w:color="FFFFFF" w:fill="auto"/>
          </w:tcPr>
          <w:p w14:paraId="1545A3E7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0,9</w:t>
            </w:r>
          </w:p>
        </w:tc>
      </w:tr>
      <w:tr w:rsidR="003024D1" w:rsidRPr="0057738C" w14:paraId="0B280F17" w14:textId="77777777" w:rsidTr="00563584">
        <w:tc>
          <w:tcPr>
            <w:tcW w:w="846" w:type="dxa"/>
          </w:tcPr>
          <w:p w14:paraId="3B00203E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6237" w:type="dxa"/>
          </w:tcPr>
          <w:p w14:paraId="0EE1CC75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non-clinic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bioechivalență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cu un medicament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testat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4" w:type="dxa"/>
          </w:tcPr>
          <w:p w14:paraId="076D677E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0,8</w:t>
            </w:r>
          </w:p>
        </w:tc>
      </w:tr>
      <w:tr w:rsidR="003024D1" w:rsidRPr="0057738C" w14:paraId="1C7CD603" w14:textId="77777777" w:rsidTr="00563584">
        <w:tc>
          <w:tcPr>
            <w:tcW w:w="846" w:type="dxa"/>
          </w:tcPr>
          <w:p w14:paraId="1AD78F51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6237" w:type="dxa"/>
          </w:tcPr>
          <w:p w14:paraId="5AA1E579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compartimentului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non-clinic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bioechivalență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multe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medicamente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testate.</w:t>
            </w:r>
          </w:p>
        </w:tc>
        <w:tc>
          <w:tcPr>
            <w:tcW w:w="1984" w:type="dxa"/>
          </w:tcPr>
          <w:p w14:paraId="0FED4500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1,2</w:t>
            </w:r>
          </w:p>
        </w:tc>
      </w:tr>
      <w:tr w:rsidR="003024D1" w:rsidRPr="0057738C" w14:paraId="60858883" w14:textId="77777777" w:rsidTr="00563584">
        <w:tc>
          <w:tcPr>
            <w:tcW w:w="846" w:type="dxa"/>
          </w:tcPr>
          <w:p w14:paraId="7C2AEFBA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237" w:type="dxa"/>
          </w:tcPr>
          <w:p w14:paraId="163BAD15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amendamentului</w:t>
            </w:r>
            <w:proofErr w:type="spellEnd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substanțial</w:t>
            </w: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la documente studiu clinic cu excepția protocolului studiului clinic, broșurii investigatorului și dosarului medicamentului pentru investigație clinică.</w:t>
            </w:r>
          </w:p>
        </w:tc>
        <w:tc>
          <w:tcPr>
            <w:tcW w:w="1984" w:type="dxa"/>
          </w:tcPr>
          <w:p w14:paraId="0A6BB182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0,5</w:t>
            </w:r>
          </w:p>
        </w:tc>
      </w:tr>
      <w:tr w:rsidR="003024D1" w:rsidRPr="0057738C" w14:paraId="400394C0" w14:textId="77777777" w:rsidTr="00563584">
        <w:tc>
          <w:tcPr>
            <w:tcW w:w="846" w:type="dxa"/>
          </w:tcPr>
          <w:p w14:paraId="7DD303F2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6237" w:type="dxa"/>
          </w:tcPr>
          <w:p w14:paraId="234B4C82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amendamentului</w:t>
            </w:r>
            <w:proofErr w:type="spellEnd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substanțial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unul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documentele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clinic: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protocolul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broșura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investigatorului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dosarul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14:paraId="1AC2D8CB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0,7</w:t>
            </w:r>
          </w:p>
        </w:tc>
      </w:tr>
      <w:tr w:rsidR="003024D1" w:rsidRPr="0057738C" w14:paraId="55FEF021" w14:textId="77777777" w:rsidTr="00563584">
        <w:tc>
          <w:tcPr>
            <w:tcW w:w="846" w:type="dxa"/>
          </w:tcPr>
          <w:p w14:paraId="646E5BA5" w14:textId="77777777" w:rsidR="003024D1" w:rsidRPr="000C6BDE" w:rsidRDefault="003024D1" w:rsidP="00563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B73C" w14:textId="77777777" w:rsidR="003024D1" w:rsidRDefault="003024D1" w:rsidP="005635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Expertiză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specializată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amendamentului</w:t>
            </w:r>
            <w:proofErr w:type="spellEnd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1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substanțial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multe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documentele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clinic: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protocolul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clinic,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broșura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investigatorului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dosarul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medicamentului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investigație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clinică</w:t>
            </w:r>
            <w:proofErr w:type="spellEnd"/>
            <w:r w:rsidRPr="006428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106" w14:textId="77777777" w:rsidR="003024D1" w:rsidRDefault="003024D1" w:rsidP="0056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43B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63904D3A" w14:textId="449BF717" w:rsidR="00666C77" w:rsidRPr="0051780A" w:rsidRDefault="0051780A" w:rsidP="0051780A">
      <w:pPr>
        <w:pStyle w:val="1"/>
        <w:spacing w:before="0" w:beforeAutospacing="0" w:after="0" w:afterAutospacing="0"/>
        <w:rPr>
          <w:bCs/>
          <w:i/>
          <w:iCs/>
          <w:lang w:val="ro-RO"/>
        </w:rPr>
      </w:pPr>
      <w:r w:rsidRPr="0051780A">
        <w:rPr>
          <w:bCs/>
          <w:i/>
          <w:iCs/>
          <w:lang w:val="ro-RO"/>
        </w:rPr>
        <w:t>*Pentru expertiză în regim de urgență coeficientul de remunerare (K) se dublează.</w:t>
      </w:r>
    </w:p>
    <w:p w14:paraId="28CFD290" w14:textId="77777777" w:rsidR="0051780A" w:rsidRPr="008A3633" w:rsidRDefault="0051780A" w:rsidP="00375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B639347" w14:textId="2E630BFE" w:rsidR="00375A24" w:rsidRDefault="00375A24" w:rsidP="00375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6155F">
        <w:rPr>
          <w:rFonts w:ascii="Times New Roman" w:hAnsi="Times New Roman"/>
          <w:b/>
          <w:sz w:val="24"/>
          <w:szCs w:val="24"/>
        </w:rPr>
        <w:t>Tarifele</w:t>
      </w:r>
      <w:proofErr w:type="spellEnd"/>
      <w:r w:rsidRPr="00E61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155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61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prestarea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instruirilor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15F830" w14:textId="77777777" w:rsidR="00375A24" w:rsidRPr="00E6155F" w:rsidRDefault="00375A24" w:rsidP="00375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7"/>
        <w:gridCol w:w="5429"/>
        <w:gridCol w:w="1680"/>
        <w:gridCol w:w="1678"/>
      </w:tblGrid>
      <w:tr w:rsidR="00375A24" w:rsidRPr="00E6155F" w14:paraId="2BE5CD90" w14:textId="77777777" w:rsidTr="00D10BF5">
        <w:trPr>
          <w:trHeight w:val="6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AC5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Nr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 d/o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9F89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Denumirea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serviciului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7B0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D0A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Unitatea</w:t>
            </w:r>
            <w:proofErr w:type="spellEnd"/>
            <w:r w:rsidRPr="00CD0A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D0A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843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Tariful</w:t>
            </w:r>
            <w:proofErr w:type="spellEnd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155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lei</w:t>
            </w:r>
            <w:proofErr w:type="spellEnd"/>
          </w:p>
        </w:tc>
      </w:tr>
      <w:tr w:rsidR="00375A24" w:rsidRPr="00E6155F" w14:paraId="6FCE6D40" w14:textId="77777777" w:rsidTr="00D10BF5">
        <w:trPr>
          <w:trHeight w:val="441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BE475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55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197F" w14:textId="77777777" w:rsidR="00375A24" w:rsidRPr="00CD0AC8" w:rsidRDefault="00375A24" w:rsidP="00D10BF5">
            <w:pPr>
              <w:tabs>
                <w:tab w:val="left" w:pos="2918"/>
              </w:tabs>
              <w:spacing w:after="0"/>
              <w:rPr>
                <w:sz w:val="24"/>
                <w:lang w:val="en-US"/>
              </w:rPr>
            </w:pPr>
            <w:proofErr w:type="spellStart"/>
            <w:r w:rsidRPr="00CD0AC8">
              <w:rPr>
                <w:rFonts w:ascii="Times New Roman" w:hAnsi="Times New Roman"/>
                <w:sz w:val="24"/>
                <w:lang w:val="en-US"/>
              </w:rPr>
              <w:t>Instruiri</w:t>
            </w:r>
            <w:proofErr w:type="spellEnd"/>
            <w:r w:rsidRPr="00CD0AC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D0AC8">
              <w:rPr>
                <w:rFonts w:ascii="Times New Roman" w:hAnsi="Times New Roman"/>
                <w:sz w:val="24"/>
                <w:lang w:val="en-US"/>
              </w:rPr>
              <w:t>prestate</w:t>
            </w:r>
            <w:proofErr w:type="spellEnd"/>
            <w:r w:rsidRPr="00CD0AC8">
              <w:rPr>
                <w:rFonts w:ascii="Times New Roman" w:hAnsi="Times New Roman"/>
                <w:sz w:val="24"/>
                <w:lang w:val="en-US"/>
              </w:rPr>
              <w:t xml:space="preserve"> de AMDM</w:t>
            </w:r>
            <w:r w:rsidRPr="006D35FC">
              <w:rPr>
                <w:rFonts w:ascii="Times New Roman" w:hAnsi="Times New Roman"/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16E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F010" w14:textId="77777777" w:rsidR="00375A24" w:rsidRPr="00E6155F" w:rsidRDefault="00375A24" w:rsidP="00D10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</w:tr>
    </w:tbl>
    <w:p w14:paraId="5D422F7A" w14:textId="77777777" w:rsidR="00375A24" w:rsidRDefault="00375A24" w:rsidP="00375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</w:p>
    <w:p w14:paraId="1800FF40" w14:textId="0526E0DD" w:rsidR="00942269" w:rsidRPr="00E0146C" w:rsidRDefault="00375A24" w:rsidP="00375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0146C">
        <w:rPr>
          <w:rFonts w:ascii="Times New Roman" w:hAnsi="Times New Roman"/>
          <w:bCs/>
          <w:i/>
          <w:iCs/>
          <w:sz w:val="24"/>
          <w:szCs w:val="24"/>
          <w:vertAlign w:val="superscript"/>
          <w:lang w:val="en-US"/>
        </w:rPr>
        <w:t>2</w:t>
      </w:r>
      <w:r w:rsidRPr="00E0146C">
        <w:rPr>
          <w:rFonts w:ascii="Times New Roman" w:hAnsi="Times New Roman"/>
          <w:bCs/>
          <w:i/>
          <w:iCs/>
          <w:sz w:val="20"/>
          <w:szCs w:val="20"/>
          <w:vertAlign w:val="superscript"/>
          <w:lang w:val="en-US"/>
        </w:rPr>
        <w:t xml:space="preserve"> </w:t>
      </w:r>
      <w:proofErr w:type="spellStart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>Tariful</w:t>
      </w:r>
      <w:proofErr w:type="spellEnd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nu include </w:t>
      </w:r>
      <w:proofErr w:type="spellStart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>cheltuielile</w:t>
      </w:r>
      <w:proofErr w:type="spellEnd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>pentru</w:t>
      </w:r>
      <w:proofErr w:type="spellEnd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>deplasarea</w:t>
      </w:r>
      <w:proofErr w:type="spellEnd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>solicitată</w:t>
      </w:r>
      <w:proofErr w:type="spellEnd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>în</w:t>
      </w:r>
      <w:proofErr w:type="spellEnd"/>
      <w:r w:rsidRPr="00E0146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afara AMDM</w:t>
      </w:r>
      <w:r w:rsidRPr="00E0146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5005F">
        <w:rPr>
          <w:rFonts w:ascii="Times New Roman" w:hAnsi="Times New Roman"/>
          <w:bCs/>
          <w:sz w:val="24"/>
          <w:szCs w:val="24"/>
          <w:lang w:val="en-US"/>
        </w:rPr>
        <w:t>”</w:t>
      </w:r>
    </w:p>
    <w:bookmarkEnd w:id="2"/>
    <w:p w14:paraId="3F236196" w14:textId="6A961F89" w:rsidR="00375A24" w:rsidRPr="0035005F" w:rsidRDefault="00375A24" w:rsidP="00CB4382">
      <w:pPr>
        <w:pStyle w:val="1"/>
        <w:spacing w:before="0" w:beforeAutospacing="0" w:after="0" w:afterAutospacing="0"/>
        <w:ind w:left="4820" w:firstLine="1"/>
        <w:jc w:val="right"/>
        <w:rPr>
          <w:bCs/>
          <w:lang w:val="en-US"/>
        </w:rPr>
      </w:pPr>
    </w:p>
    <w:p w14:paraId="1C44ACA1" w14:textId="119F5882" w:rsidR="00BD425F" w:rsidRDefault="00BD425F" w:rsidP="00BD425F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E181675" w14:textId="77777777" w:rsidR="00BD425F" w:rsidRPr="00F53E98" w:rsidRDefault="00BD425F" w:rsidP="00BD425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PRIM-MINISTRU                                             Dorin RECEAN</w:t>
      </w:r>
    </w:p>
    <w:p w14:paraId="7D228368" w14:textId="77777777" w:rsidR="00BD425F" w:rsidRPr="00F53E98" w:rsidRDefault="00BD425F" w:rsidP="00BD425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  <w:t> </w:t>
      </w:r>
    </w:p>
    <w:p w14:paraId="202200EF" w14:textId="6E57A683" w:rsidR="00BD425F" w:rsidRPr="0051780A" w:rsidRDefault="00BD425F" w:rsidP="0051780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    Contrasemnează:</w:t>
      </w:r>
    </w:p>
    <w:p w14:paraId="20390B5A" w14:textId="77777777" w:rsidR="00BD425F" w:rsidRDefault="00BD425F" w:rsidP="00BD425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  </w:t>
      </w:r>
    </w:p>
    <w:p w14:paraId="35C3F0B0" w14:textId="3F488100" w:rsidR="00BD425F" w:rsidRDefault="00BD425F" w:rsidP="00BD425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Ministrul finanţelor</w:t>
      </w:r>
      <w:r w:rsidR="00243E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 xml:space="preserve">                                            Petru ROTARU</w:t>
      </w:r>
    </w:p>
    <w:p w14:paraId="24C4D154" w14:textId="752F61B2" w:rsidR="00BD425F" w:rsidRPr="00F53E98" w:rsidRDefault="00BD425F" w:rsidP="00BD425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                               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 xml:space="preserve"> </w:t>
      </w: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    </w:t>
      </w:r>
    </w:p>
    <w:p w14:paraId="2D9F3E43" w14:textId="209F86BF" w:rsidR="00BD425F" w:rsidRPr="00F53E98" w:rsidRDefault="00BD425F" w:rsidP="00BD42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MD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 xml:space="preserve">            </w:t>
      </w: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Ministrul sănătăţii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 xml:space="preserve"> </w:t>
      </w:r>
      <w:r w:rsidRPr="00F5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o-MD"/>
        </w:rPr>
        <w:t>Ala NEMERENCO</w:t>
      </w:r>
    </w:p>
    <w:p w14:paraId="291339A9" w14:textId="77777777" w:rsidR="00BD425F" w:rsidRPr="00BD425F" w:rsidRDefault="00BD425F" w:rsidP="00BD425F">
      <w:pPr>
        <w:ind w:firstLine="708"/>
        <w:rPr>
          <w:lang w:val="ro-MD"/>
        </w:rPr>
      </w:pPr>
    </w:p>
    <w:sectPr w:rsidR="00BD425F" w:rsidRPr="00BD425F" w:rsidSect="00D64773">
      <w:headerReference w:type="default" r:id="rId8"/>
      <w:pgSz w:w="11906" w:h="16838"/>
      <w:pgMar w:top="993" w:right="85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9BA3" w14:textId="77777777" w:rsidR="00F0437E" w:rsidRDefault="00F0437E" w:rsidP="00BE4880">
      <w:pPr>
        <w:spacing w:after="0" w:line="240" w:lineRule="auto"/>
      </w:pPr>
      <w:r>
        <w:separator/>
      </w:r>
    </w:p>
  </w:endnote>
  <w:endnote w:type="continuationSeparator" w:id="0">
    <w:p w14:paraId="43E6CE43" w14:textId="77777777" w:rsidR="00F0437E" w:rsidRDefault="00F0437E" w:rsidP="00BE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7BCA" w14:textId="77777777" w:rsidR="00F0437E" w:rsidRDefault="00F0437E" w:rsidP="00BE4880">
      <w:pPr>
        <w:spacing w:after="0" w:line="240" w:lineRule="auto"/>
      </w:pPr>
      <w:r>
        <w:separator/>
      </w:r>
    </w:p>
  </w:footnote>
  <w:footnote w:type="continuationSeparator" w:id="0">
    <w:p w14:paraId="251924D1" w14:textId="77777777" w:rsidR="00F0437E" w:rsidRDefault="00F0437E" w:rsidP="00BE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764B" w14:textId="77777777" w:rsidR="00E70B66" w:rsidRDefault="00E70B66">
    <w:pPr>
      <w:pStyle w:val="Header"/>
      <w:jc w:val="right"/>
    </w:pPr>
  </w:p>
  <w:p w14:paraId="14B9E846" w14:textId="77777777" w:rsidR="00E70B66" w:rsidRDefault="00E70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6C5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0283"/>
    <w:multiLevelType w:val="hybridMultilevel"/>
    <w:tmpl w:val="C5968D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CE6A58"/>
    <w:multiLevelType w:val="hybridMultilevel"/>
    <w:tmpl w:val="154EA4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63548"/>
    <w:multiLevelType w:val="hybridMultilevel"/>
    <w:tmpl w:val="9D14AA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717DB5"/>
    <w:multiLevelType w:val="hybridMultilevel"/>
    <w:tmpl w:val="C3EA5F9A"/>
    <w:lvl w:ilvl="0" w:tplc="1F4855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654D1"/>
    <w:multiLevelType w:val="hybridMultilevel"/>
    <w:tmpl w:val="672697F4"/>
    <w:lvl w:ilvl="0" w:tplc="F8F8029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C2717"/>
    <w:multiLevelType w:val="hybridMultilevel"/>
    <w:tmpl w:val="B30A2DB6"/>
    <w:lvl w:ilvl="0" w:tplc="58809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5305"/>
    <w:multiLevelType w:val="hybridMultilevel"/>
    <w:tmpl w:val="372E6D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1376D1"/>
    <w:multiLevelType w:val="hybridMultilevel"/>
    <w:tmpl w:val="BE344EDA"/>
    <w:lvl w:ilvl="0" w:tplc="973E95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D0384C"/>
    <w:multiLevelType w:val="hybridMultilevel"/>
    <w:tmpl w:val="870C5356"/>
    <w:lvl w:ilvl="0" w:tplc="6E38C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8785C"/>
    <w:multiLevelType w:val="hybridMultilevel"/>
    <w:tmpl w:val="1BFCE56C"/>
    <w:lvl w:ilvl="0" w:tplc="3806A6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711CC0"/>
    <w:multiLevelType w:val="hybridMultilevel"/>
    <w:tmpl w:val="7A72D9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652E45"/>
    <w:multiLevelType w:val="hybridMultilevel"/>
    <w:tmpl w:val="5A5CF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436CC"/>
    <w:multiLevelType w:val="hybridMultilevel"/>
    <w:tmpl w:val="A7C4AB50"/>
    <w:lvl w:ilvl="0" w:tplc="C212E042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530" w:hanging="360"/>
      </w:pPr>
    </w:lvl>
    <w:lvl w:ilvl="2" w:tplc="0818001B" w:tentative="1">
      <w:start w:val="1"/>
      <w:numFmt w:val="lowerRoman"/>
      <w:lvlText w:val="%3."/>
      <w:lvlJc w:val="right"/>
      <w:pPr>
        <w:ind w:left="2250" w:hanging="180"/>
      </w:pPr>
    </w:lvl>
    <w:lvl w:ilvl="3" w:tplc="0818000F" w:tentative="1">
      <w:start w:val="1"/>
      <w:numFmt w:val="decimal"/>
      <w:lvlText w:val="%4."/>
      <w:lvlJc w:val="left"/>
      <w:pPr>
        <w:ind w:left="2970" w:hanging="360"/>
      </w:pPr>
    </w:lvl>
    <w:lvl w:ilvl="4" w:tplc="08180019" w:tentative="1">
      <w:start w:val="1"/>
      <w:numFmt w:val="lowerLetter"/>
      <w:lvlText w:val="%5."/>
      <w:lvlJc w:val="left"/>
      <w:pPr>
        <w:ind w:left="3690" w:hanging="360"/>
      </w:pPr>
    </w:lvl>
    <w:lvl w:ilvl="5" w:tplc="0818001B" w:tentative="1">
      <w:start w:val="1"/>
      <w:numFmt w:val="lowerRoman"/>
      <w:lvlText w:val="%6."/>
      <w:lvlJc w:val="right"/>
      <w:pPr>
        <w:ind w:left="4410" w:hanging="180"/>
      </w:pPr>
    </w:lvl>
    <w:lvl w:ilvl="6" w:tplc="0818000F" w:tentative="1">
      <w:start w:val="1"/>
      <w:numFmt w:val="decimal"/>
      <w:lvlText w:val="%7."/>
      <w:lvlJc w:val="left"/>
      <w:pPr>
        <w:ind w:left="5130" w:hanging="360"/>
      </w:pPr>
    </w:lvl>
    <w:lvl w:ilvl="7" w:tplc="08180019" w:tentative="1">
      <w:start w:val="1"/>
      <w:numFmt w:val="lowerLetter"/>
      <w:lvlText w:val="%8."/>
      <w:lvlJc w:val="left"/>
      <w:pPr>
        <w:ind w:left="5850" w:hanging="360"/>
      </w:pPr>
    </w:lvl>
    <w:lvl w:ilvl="8" w:tplc="08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17D41B0"/>
    <w:multiLevelType w:val="hybridMultilevel"/>
    <w:tmpl w:val="4CF01C38"/>
    <w:lvl w:ilvl="0" w:tplc="15FCB8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EB5C0B"/>
    <w:multiLevelType w:val="hybridMultilevel"/>
    <w:tmpl w:val="BF187D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BD283D"/>
    <w:multiLevelType w:val="hybridMultilevel"/>
    <w:tmpl w:val="212603B4"/>
    <w:lvl w:ilvl="0" w:tplc="FAC02A24">
      <w:start w:val="1"/>
      <w:numFmt w:val="decimal"/>
      <w:lvlText w:val="%1)"/>
      <w:lvlJc w:val="left"/>
      <w:pPr>
        <w:ind w:left="3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09C6368"/>
    <w:multiLevelType w:val="hybridMultilevel"/>
    <w:tmpl w:val="85045C22"/>
    <w:lvl w:ilvl="0" w:tplc="E882807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3560DB"/>
    <w:multiLevelType w:val="hybridMultilevel"/>
    <w:tmpl w:val="6D50FF84"/>
    <w:lvl w:ilvl="0" w:tplc="1C9A889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1853C6B"/>
    <w:multiLevelType w:val="hybridMultilevel"/>
    <w:tmpl w:val="C13002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DA08E3"/>
    <w:multiLevelType w:val="hybridMultilevel"/>
    <w:tmpl w:val="D8CCA4EC"/>
    <w:lvl w:ilvl="0" w:tplc="68F282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3671CC"/>
    <w:multiLevelType w:val="hybridMultilevel"/>
    <w:tmpl w:val="9E7225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43315A"/>
    <w:multiLevelType w:val="hybridMultilevel"/>
    <w:tmpl w:val="A9A6CD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B40C29"/>
    <w:multiLevelType w:val="hybridMultilevel"/>
    <w:tmpl w:val="7E1EA9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E32994"/>
    <w:multiLevelType w:val="hybridMultilevel"/>
    <w:tmpl w:val="4E744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F06A45"/>
    <w:multiLevelType w:val="hybridMultilevel"/>
    <w:tmpl w:val="C4D232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EC5C39"/>
    <w:multiLevelType w:val="hybridMultilevel"/>
    <w:tmpl w:val="61C4298C"/>
    <w:lvl w:ilvl="0" w:tplc="4F806E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D63D11"/>
    <w:multiLevelType w:val="hybridMultilevel"/>
    <w:tmpl w:val="738A162C"/>
    <w:lvl w:ilvl="0" w:tplc="D6E21AC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261756"/>
    <w:multiLevelType w:val="hybridMultilevel"/>
    <w:tmpl w:val="86DC1318"/>
    <w:lvl w:ilvl="0" w:tplc="EA545FA8">
      <w:start w:val="1"/>
      <w:numFmt w:val="decimal"/>
      <w:lvlText w:val="%1)"/>
      <w:lvlJc w:val="left"/>
      <w:pPr>
        <w:ind w:left="1211" w:hanging="360"/>
      </w:pPr>
      <w:rPr>
        <w:rFonts w:ascii="inherit" w:eastAsia="Times New Roman" w:hAnsi="inheri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974A1"/>
    <w:multiLevelType w:val="hybridMultilevel"/>
    <w:tmpl w:val="944CA8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1A2AC1"/>
    <w:multiLevelType w:val="hybridMultilevel"/>
    <w:tmpl w:val="37EA5C34"/>
    <w:lvl w:ilvl="0" w:tplc="BD24B6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9CE5591"/>
    <w:multiLevelType w:val="hybridMultilevel"/>
    <w:tmpl w:val="8A86C160"/>
    <w:lvl w:ilvl="0" w:tplc="42320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1D73EB"/>
    <w:multiLevelType w:val="hybridMultilevel"/>
    <w:tmpl w:val="E83E3C18"/>
    <w:lvl w:ilvl="0" w:tplc="D974DF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FB3491"/>
    <w:multiLevelType w:val="hybridMultilevel"/>
    <w:tmpl w:val="870A3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2A4208"/>
    <w:multiLevelType w:val="hybridMultilevel"/>
    <w:tmpl w:val="8244F0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D84D7D"/>
    <w:multiLevelType w:val="hybridMultilevel"/>
    <w:tmpl w:val="6B4A61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E07521"/>
    <w:multiLevelType w:val="hybridMultilevel"/>
    <w:tmpl w:val="23CA78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53C3E49"/>
    <w:multiLevelType w:val="hybridMultilevel"/>
    <w:tmpl w:val="8368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16B1"/>
    <w:multiLevelType w:val="hybridMultilevel"/>
    <w:tmpl w:val="C79E9D4C"/>
    <w:lvl w:ilvl="0" w:tplc="0ABE6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953758"/>
    <w:multiLevelType w:val="hybridMultilevel"/>
    <w:tmpl w:val="D302B4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003A4A"/>
    <w:multiLevelType w:val="hybridMultilevel"/>
    <w:tmpl w:val="84F8B332"/>
    <w:lvl w:ilvl="0" w:tplc="1DE68682">
      <w:start w:val="1"/>
      <w:numFmt w:val="decimal"/>
      <w:lvlText w:val="%1)"/>
      <w:lvlJc w:val="left"/>
      <w:pPr>
        <w:ind w:left="1080" w:hanging="360"/>
      </w:pPr>
      <w:rPr>
        <w:rFonts w:ascii="inherit" w:eastAsia="Times New Roman" w:hAnsi="inherit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114524">
    <w:abstractNumId w:val="28"/>
  </w:num>
  <w:num w:numId="2" w16cid:durableId="1106461551">
    <w:abstractNumId w:val="0"/>
  </w:num>
  <w:num w:numId="3" w16cid:durableId="877930975">
    <w:abstractNumId w:val="40"/>
  </w:num>
  <w:num w:numId="4" w16cid:durableId="491222608">
    <w:abstractNumId w:val="17"/>
  </w:num>
  <w:num w:numId="5" w16cid:durableId="1639340129">
    <w:abstractNumId w:val="9"/>
  </w:num>
  <w:num w:numId="6" w16cid:durableId="1885480738">
    <w:abstractNumId w:val="5"/>
  </w:num>
  <w:num w:numId="7" w16cid:durableId="34083388">
    <w:abstractNumId w:val="10"/>
  </w:num>
  <w:num w:numId="8" w16cid:durableId="1450319326">
    <w:abstractNumId w:val="6"/>
  </w:num>
  <w:num w:numId="9" w16cid:durableId="2048018569">
    <w:abstractNumId w:val="32"/>
  </w:num>
  <w:num w:numId="10" w16cid:durableId="1567453499">
    <w:abstractNumId w:val="38"/>
  </w:num>
  <w:num w:numId="11" w16cid:durableId="501438406">
    <w:abstractNumId w:val="30"/>
  </w:num>
  <w:num w:numId="12" w16cid:durableId="661007621">
    <w:abstractNumId w:val="23"/>
  </w:num>
  <w:num w:numId="13" w16cid:durableId="1437562231">
    <w:abstractNumId w:val="2"/>
  </w:num>
  <w:num w:numId="14" w16cid:durableId="1661150174">
    <w:abstractNumId w:val="4"/>
  </w:num>
  <w:num w:numId="15" w16cid:durableId="634025427">
    <w:abstractNumId w:val="21"/>
  </w:num>
  <w:num w:numId="16" w16cid:durableId="612984797">
    <w:abstractNumId w:val="26"/>
  </w:num>
  <w:num w:numId="17" w16cid:durableId="1911578964">
    <w:abstractNumId w:val="11"/>
  </w:num>
  <w:num w:numId="18" w16cid:durableId="342442508">
    <w:abstractNumId w:val="12"/>
  </w:num>
  <w:num w:numId="19" w16cid:durableId="913276371">
    <w:abstractNumId w:val="24"/>
  </w:num>
  <w:num w:numId="20" w16cid:durableId="212350916">
    <w:abstractNumId w:val="39"/>
  </w:num>
  <w:num w:numId="21" w16cid:durableId="1115636878">
    <w:abstractNumId w:val="19"/>
  </w:num>
  <w:num w:numId="22" w16cid:durableId="949359147">
    <w:abstractNumId w:val="29"/>
  </w:num>
  <w:num w:numId="23" w16cid:durableId="438259383">
    <w:abstractNumId w:val="33"/>
  </w:num>
  <w:num w:numId="24" w16cid:durableId="1544292888">
    <w:abstractNumId w:val="14"/>
  </w:num>
  <w:num w:numId="25" w16cid:durableId="590352534">
    <w:abstractNumId w:val="20"/>
  </w:num>
  <w:num w:numId="26" w16cid:durableId="9218418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9124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244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5635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327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97580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649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09192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809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0029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75207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2760874">
    <w:abstractNumId w:val="18"/>
  </w:num>
  <w:num w:numId="38" w16cid:durableId="143621635">
    <w:abstractNumId w:val="15"/>
  </w:num>
  <w:num w:numId="39" w16cid:durableId="140930526">
    <w:abstractNumId w:val="13"/>
  </w:num>
  <w:num w:numId="40" w16cid:durableId="474184911">
    <w:abstractNumId w:val="37"/>
  </w:num>
  <w:num w:numId="41" w16cid:durableId="115363756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D8"/>
    <w:rsid w:val="00000E08"/>
    <w:rsid w:val="00000FA4"/>
    <w:rsid w:val="00002CD9"/>
    <w:rsid w:val="0000320D"/>
    <w:rsid w:val="000032D2"/>
    <w:rsid w:val="00003AF5"/>
    <w:rsid w:val="000044C5"/>
    <w:rsid w:val="00004A50"/>
    <w:rsid w:val="00005743"/>
    <w:rsid w:val="00006045"/>
    <w:rsid w:val="000070ED"/>
    <w:rsid w:val="000070F1"/>
    <w:rsid w:val="000072B8"/>
    <w:rsid w:val="00007377"/>
    <w:rsid w:val="000104EC"/>
    <w:rsid w:val="0001147C"/>
    <w:rsid w:val="0001269F"/>
    <w:rsid w:val="000139D2"/>
    <w:rsid w:val="00013BB6"/>
    <w:rsid w:val="00013E4A"/>
    <w:rsid w:val="000147CB"/>
    <w:rsid w:val="00014A49"/>
    <w:rsid w:val="00014A5B"/>
    <w:rsid w:val="000160BA"/>
    <w:rsid w:val="00016ABE"/>
    <w:rsid w:val="00016B0C"/>
    <w:rsid w:val="00016C69"/>
    <w:rsid w:val="00016C9C"/>
    <w:rsid w:val="0001735C"/>
    <w:rsid w:val="000176D8"/>
    <w:rsid w:val="0002163D"/>
    <w:rsid w:val="000236A0"/>
    <w:rsid w:val="000242E5"/>
    <w:rsid w:val="00024C9B"/>
    <w:rsid w:val="000252AB"/>
    <w:rsid w:val="00025B17"/>
    <w:rsid w:val="00025F89"/>
    <w:rsid w:val="000261A3"/>
    <w:rsid w:val="000268EF"/>
    <w:rsid w:val="000276C5"/>
    <w:rsid w:val="00030201"/>
    <w:rsid w:val="000305B2"/>
    <w:rsid w:val="000308D1"/>
    <w:rsid w:val="00030EA2"/>
    <w:rsid w:val="00031084"/>
    <w:rsid w:val="00031284"/>
    <w:rsid w:val="00031754"/>
    <w:rsid w:val="000317A0"/>
    <w:rsid w:val="00033E0D"/>
    <w:rsid w:val="000344ED"/>
    <w:rsid w:val="00034673"/>
    <w:rsid w:val="00034ED6"/>
    <w:rsid w:val="000350AC"/>
    <w:rsid w:val="00035242"/>
    <w:rsid w:val="00035D71"/>
    <w:rsid w:val="00037754"/>
    <w:rsid w:val="00040B06"/>
    <w:rsid w:val="00040BB5"/>
    <w:rsid w:val="000416C4"/>
    <w:rsid w:val="0004420C"/>
    <w:rsid w:val="00044411"/>
    <w:rsid w:val="0004791B"/>
    <w:rsid w:val="00051821"/>
    <w:rsid w:val="00053358"/>
    <w:rsid w:val="000533F2"/>
    <w:rsid w:val="000539D2"/>
    <w:rsid w:val="000539DB"/>
    <w:rsid w:val="00054BC4"/>
    <w:rsid w:val="00054EFA"/>
    <w:rsid w:val="000562A9"/>
    <w:rsid w:val="000568AF"/>
    <w:rsid w:val="00056B2A"/>
    <w:rsid w:val="00056D81"/>
    <w:rsid w:val="00057093"/>
    <w:rsid w:val="000570DB"/>
    <w:rsid w:val="000601D9"/>
    <w:rsid w:val="00061D9B"/>
    <w:rsid w:val="000623D3"/>
    <w:rsid w:val="00062FF2"/>
    <w:rsid w:val="00065748"/>
    <w:rsid w:val="00065D9B"/>
    <w:rsid w:val="00066375"/>
    <w:rsid w:val="00066425"/>
    <w:rsid w:val="00066B98"/>
    <w:rsid w:val="00066CB0"/>
    <w:rsid w:val="00071997"/>
    <w:rsid w:val="000719E1"/>
    <w:rsid w:val="000724AC"/>
    <w:rsid w:val="00072C07"/>
    <w:rsid w:val="00073358"/>
    <w:rsid w:val="000735FC"/>
    <w:rsid w:val="00073D2D"/>
    <w:rsid w:val="000759BB"/>
    <w:rsid w:val="00076356"/>
    <w:rsid w:val="000771EE"/>
    <w:rsid w:val="0007751A"/>
    <w:rsid w:val="00077C13"/>
    <w:rsid w:val="00081205"/>
    <w:rsid w:val="000819B3"/>
    <w:rsid w:val="000833A8"/>
    <w:rsid w:val="000837E0"/>
    <w:rsid w:val="00083C9D"/>
    <w:rsid w:val="0008478A"/>
    <w:rsid w:val="00084DF7"/>
    <w:rsid w:val="00084ED5"/>
    <w:rsid w:val="000867DC"/>
    <w:rsid w:val="00086D4E"/>
    <w:rsid w:val="00087E43"/>
    <w:rsid w:val="00087E85"/>
    <w:rsid w:val="0009095C"/>
    <w:rsid w:val="00090FCC"/>
    <w:rsid w:val="0009114E"/>
    <w:rsid w:val="000928B7"/>
    <w:rsid w:val="00092A7F"/>
    <w:rsid w:val="00092E3B"/>
    <w:rsid w:val="00092FDF"/>
    <w:rsid w:val="000934B2"/>
    <w:rsid w:val="00095497"/>
    <w:rsid w:val="00095C64"/>
    <w:rsid w:val="00097410"/>
    <w:rsid w:val="00097978"/>
    <w:rsid w:val="00097B91"/>
    <w:rsid w:val="000A0531"/>
    <w:rsid w:val="000A0C20"/>
    <w:rsid w:val="000A21A3"/>
    <w:rsid w:val="000A2C8D"/>
    <w:rsid w:val="000A3104"/>
    <w:rsid w:val="000A3AAF"/>
    <w:rsid w:val="000A4218"/>
    <w:rsid w:val="000A4648"/>
    <w:rsid w:val="000A489A"/>
    <w:rsid w:val="000A6602"/>
    <w:rsid w:val="000A6DF7"/>
    <w:rsid w:val="000A758F"/>
    <w:rsid w:val="000A7B2D"/>
    <w:rsid w:val="000A7EC9"/>
    <w:rsid w:val="000B14A1"/>
    <w:rsid w:val="000B1659"/>
    <w:rsid w:val="000B1A42"/>
    <w:rsid w:val="000B1E15"/>
    <w:rsid w:val="000B270F"/>
    <w:rsid w:val="000B3489"/>
    <w:rsid w:val="000B45A9"/>
    <w:rsid w:val="000B4ABF"/>
    <w:rsid w:val="000B546B"/>
    <w:rsid w:val="000B5C37"/>
    <w:rsid w:val="000C02F6"/>
    <w:rsid w:val="000C05B2"/>
    <w:rsid w:val="000C0627"/>
    <w:rsid w:val="000C0D6D"/>
    <w:rsid w:val="000C1B5B"/>
    <w:rsid w:val="000C26B0"/>
    <w:rsid w:val="000C2C79"/>
    <w:rsid w:val="000C3720"/>
    <w:rsid w:val="000C4D61"/>
    <w:rsid w:val="000C636C"/>
    <w:rsid w:val="000C68DF"/>
    <w:rsid w:val="000C6939"/>
    <w:rsid w:val="000C7C0F"/>
    <w:rsid w:val="000C7F7F"/>
    <w:rsid w:val="000D0636"/>
    <w:rsid w:val="000D0EE0"/>
    <w:rsid w:val="000D2983"/>
    <w:rsid w:val="000D4A27"/>
    <w:rsid w:val="000D633E"/>
    <w:rsid w:val="000D707E"/>
    <w:rsid w:val="000D7125"/>
    <w:rsid w:val="000D7701"/>
    <w:rsid w:val="000D7D16"/>
    <w:rsid w:val="000E0860"/>
    <w:rsid w:val="000E1903"/>
    <w:rsid w:val="000E193A"/>
    <w:rsid w:val="000E2A79"/>
    <w:rsid w:val="000E2C01"/>
    <w:rsid w:val="000E3706"/>
    <w:rsid w:val="000E37A1"/>
    <w:rsid w:val="000E384A"/>
    <w:rsid w:val="000E54D6"/>
    <w:rsid w:val="000E7940"/>
    <w:rsid w:val="000E79BD"/>
    <w:rsid w:val="000E7A65"/>
    <w:rsid w:val="000E7D31"/>
    <w:rsid w:val="000F0BA4"/>
    <w:rsid w:val="000F16C4"/>
    <w:rsid w:val="000F1E59"/>
    <w:rsid w:val="000F2239"/>
    <w:rsid w:val="000F27DE"/>
    <w:rsid w:val="000F4697"/>
    <w:rsid w:val="000F5D55"/>
    <w:rsid w:val="000F73DE"/>
    <w:rsid w:val="00100B10"/>
    <w:rsid w:val="0010138C"/>
    <w:rsid w:val="00101CD2"/>
    <w:rsid w:val="001020AD"/>
    <w:rsid w:val="00102C5F"/>
    <w:rsid w:val="00103158"/>
    <w:rsid w:val="0010391C"/>
    <w:rsid w:val="00104785"/>
    <w:rsid w:val="00104912"/>
    <w:rsid w:val="00104DC7"/>
    <w:rsid w:val="001053D1"/>
    <w:rsid w:val="00106C20"/>
    <w:rsid w:val="00106EAE"/>
    <w:rsid w:val="0010771B"/>
    <w:rsid w:val="001111F5"/>
    <w:rsid w:val="0011141A"/>
    <w:rsid w:val="001119DA"/>
    <w:rsid w:val="00113175"/>
    <w:rsid w:val="00113297"/>
    <w:rsid w:val="001135BA"/>
    <w:rsid w:val="001135DF"/>
    <w:rsid w:val="00113FF7"/>
    <w:rsid w:val="00114763"/>
    <w:rsid w:val="00114971"/>
    <w:rsid w:val="001150C2"/>
    <w:rsid w:val="00115620"/>
    <w:rsid w:val="00115B26"/>
    <w:rsid w:val="001171C0"/>
    <w:rsid w:val="001217AC"/>
    <w:rsid w:val="001217DF"/>
    <w:rsid w:val="001221D2"/>
    <w:rsid w:val="00123815"/>
    <w:rsid w:val="00125B03"/>
    <w:rsid w:val="00126245"/>
    <w:rsid w:val="00126348"/>
    <w:rsid w:val="001267DE"/>
    <w:rsid w:val="00127E0F"/>
    <w:rsid w:val="001340C5"/>
    <w:rsid w:val="00134121"/>
    <w:rsid w:val="00140164"/>
    <w:rsid w:val="00140531"/>
    <w:rsid w:val="00140747"/>
    <w:rsid w:val="0014080B"/>
    <w:rsid w:val="00141E1C"/>
    <w:rsid w:val="00141EFA"/>
    <w:rsid w:val="001425B6"/>
    <w:rsid w:val="00142E19"/>
    <w:rsid w:val="00142F57"/>
    <w:rsid w:val="00142F8B"/>
    <w:rsid w:val="00143284"/>
    <w:rsid w:val="00147B21"/>
    <w:rsid w:val="001511BB"/>
    <w:rsid w:val="0015159A"/>
    <w:rsid w:val="001517D2"/>
    <w:rsid w:val="0015183F"/>
    <w:rsid w:val="00152DEB"/>
    <w:rsid w:val="00156131"/>
    <w:rsid w:val="00156972"/>
    <w:rsid w:val="001571AE"/>
    <w:rsid w:val="00160295"/>
    <w:rsid w:val="001616D5"/>
    <w:rsid w:val="001619A2"/>
    <w:rsid w:val="001622CC"/>
    <w:rsid w:val="00162324"/>
    <w:rsid w:val="001623AB"/>
    <w:rsid w:val="00162465"/>
    <w:rsid w:val="00162881"/>
    <w:rsid w:val="00162F26"/>
    <w:rsid w:val="0016318E"/>
    <w:rsid w:val="00163966"/>
    <w:rsid w:val="0016406D"/>
    <w:rsid w:val="00166BC0"/>
    <w:rsid w:val="0016721D"/>
    <w:rsid w:val="00167222"/>
    <w:rsid w:val="00167CFC"/>
    <w:rsid w:val="00167D90"/>
    <w:rsid w:val="0017081B"/>
    <w:rsid w:val="00171939"/>
    <w:rsid w:val="00171BF8"/>
    <w:rsid w:val="00171E79"/>
    <w:rsid w:val="00172A88"/>
    <w:rsid w:val="0017306E"/>
    <w:rsid w:val="00174282"/>
    <w:rsid w:val="00175300"/>
    <w:rsid w:val="00176A62"/>
    <w:rsid w:val="00176B26"/>
    <w:rsid w:val="001771F1"/>
    <w:rsid w:val="00177516"/>
    <w:rsid w:val="00180E12"/>
    <w:rsid w:val="00180F0C"/>
    <w:rsid w:val="001812B6"/>
    <w:rsid w:val="001813B7"/>
    <w:rsid w:val="001819EB"/>
    <w:rsid w:val="00182C6D"/>
    <w:rsid w:val="00183D44"/>
    <w:rsid w:val="001847CE"/>
    <w:rsid w:val="00185AFC"/>
    <w:rsid w:val="001900EC"/>
    <w:rsid w:val="00190FFB"/>
    <w:rsid w:val="0019347D"/>
    <w:rsid w:val="00193D89"/>
    <w:rsid w:val="0019497B"/>
    <w:rsid w:val="00195DC7"/>
    <w:rsid w:val="00195F8D"/>
    <w:rsid w:val="0019667E"/>
    <w:rsid w:val="00197667"/>
    <w:rsid w:val="001A05FC"/>
    <w:rsid w:val="001A12F8"/>
    <w:rsid w:val="001A157B"/>
    <w:rsid w:val="001A1DE9"/>
    <w:rsid w:val="001A1FC6"/>
    <w:rsid w:val="001A271D"/>
    <w:rsid w:val="001A4AD5"/>
    <w:rsid w:val="001A5404"/>
    <w:rsid w:val="001A627D"/>
    <w:rsid w:val="001A6638"/>
    <w:rsid w:val="001A7159"/>
    <w:rsid w:val="001A7531"/>
    <w:rsid w:val="001A79CC"/>
    <w:rsid w:val="001B0046"/>
    <w:rsid w:val="001B0484"/>
    <w:rsid w:val="001B2371"/>
    <w:rsid w:val="001B2BCE"/>
    <w:rsid w:val="001B342F"/>
    <w:rsid w:val="001B445C"/>
    <w:rsid w:val="001B4DEA"/>
    <w:rsid w:val="001B4F32"/>
    <w:rsid w:val="001B4F51"/>
    <w:rsid w:val="001B5116"/>
    <w:rsid w:val="001B7E63"/>
    <w:rsid w:val="001C1897"/>
    <w:rsid w:val="001C1C45"/>
    <w:rsid w:val="001C2321"/>
    <w:rsid w:val="001C266C"/>
    <w:rsid w:val="001C39EF"/>
    <w:rsid w:val="001C3F93"/>
    <w:rsid w:val="001C464A"/>
    <w:rsid w:val="001C4A8A"/>
    <w:rsid w:val="001C4AE1"/>
    <w:rsid w:val="001C6289"/>
    <w:rsid w:val="001C703B"/>
    <w:rsid w:val="001C7BDD"/>
    <w:rsid w:val="001D06D3"/>
    <w:rsid w:val="001D0A57"/>
    <w:rsid w:val="001D17E2"/>
    <w:rsid w:val="001D2346"/>
    <w:rsid w:val="001D2B10"/>
    <w:rsid w:val="001D4C24"/>
    <w:rsid w:val="001D5F4B"/>
    <w:rsid w:val="001E084D"/>
    <w:rsid w:val="001E0E9D"/>
    <w:rsid w:val="001E1311"/>
    <w:rsid w:val="001E1773"/>
    <w:rsid w:val="001E1E63"/>
    <w:rsid w:val="001E3BA9"/>
    <w:rsid w:val="001E4EF8"/>
    <w:rsid w:val="001E4F60"/>
    <w:rsid w:val="001E4FF8"/>
    <w:rsid w:val="001E61BF"/>
    <w:rsid w:val="001E6AEE"/>
    <w:rsid w:val="001E6C22"/>
    <w:rsid w:val="001E6D75"/>
    <w:rsid w:val="001E7446"/>
    <w:rsid w:val="001E7DEA"/>
    <w:rsid w:val="001F0140"/>
    <w:rsid w:val="001F0166"/>
    <w:rsid w:val="001F051D"/>
    <w:rsid w:val="001F1D20"/>
    <w:rsid w:val="001F2E95"/>
    <w:rsid w:val="001F3DCD"/>
    <w:rsid w:val="001F55AA"/>
    <w:rsid w:val="001F5BE1"/>
    <w:rsid w:val="001F6E1D"/>
    <w:rsid w:val="001F7019"/>
    <w:rsid w:val="001F755B"/>
    <w:rsid w:val="001F7B40"/>
    <w:rsid w:val="002008F6"/>
    <w:rsid w:val="00201D00"/>
    <w:rsid w:val="00201D60"/>
    <w:rsid w:val="00201DB9"/>
    <w:rsid w:val="00201EBA"/>
    <w:rsid w:val="00201EDC"/>
    <w:rsid w:val="00201FDF"/>
    <w:rsid w:val="002046FB"/>
    <w:rsid w:val="00204921"/>
    <w:rsid w:val="00204964"/>
    <w:rsid w:val="00204B54"/>
    <w:rsid w:val="00205F77"/>
    <w:rsid w:val="002069CF"/>
    <w:rsid w:val="0020734D"/>
    <w:rsid w:val="00207533"/>
    <w:rsid w:val="002076B0"/>
    <w:rsid w:val="00207997"/>
    <w:rsid w:val="002103B4"/>
    <w:rsid w:val="0021243F"/>
    <w:rsid w:val="00213828"/>
    <w:rsid w:val="00213CB1"/>
    <w:rsid w:val="00214903"/>
    <w:rsid w:val="00216648"/>
    <w:rsid w:val="002169C5"/>
    <w:rsid w:val="00216D86"/>
    <w:rsid w:val="00217B33"/>
    <w:rsid w:val="002202EB"/>
    <w:rsid w:val="00220970"/>
    <w:rsid w:val="00220D9A"/>
    <w:rsid w:val="00222EAF"/>
    <w:rsid w:val="002234EF"/>
    <w:rsid w:val="0022370A"/>
    <w:rsid w:val="0022389C"/>
    <w:rsid w:val="00224401"/>
    <w:rsid w:val="00227256"/>
    <w:rsid w:val="002307ED"/>
    <w:rsid w:val="002308D7"/>
    <w:rsid w:val="002333D8"/>
    <w:rsid w:val="00233930"/>
    <w:rsid w:val="00233F89"/>
    <w:rsid w:val="00234EB8"/>
    <w:rsid w:val="00235A88"/>
    <w:rsid w:val="00236B5B"/>
    <w:rsid w:val="00236ECF"/>
    <w:rsid w:val="00237C7A"/>
    <w:rsid w:val="00237FDD"/>
    <w:rsid w:val="002404EB"/>
    <w:rsid w:val="00240949"/>
    <w:rsid w:val="002409E6"/>
    <w:rsid w:val="00241B84"/>
    <w:rsid w:val="00241DEB"/>
    <w:rsid w:val="00242736"/>
    <w:rsid w:val="00243E70"/>
    <w:rsid w:val="002455A0"/>
    <w:rsid w:val="00245AA8"/>
    <w:rsid w:val="002465D0"/>
    <w:rsid w:val="00246D96"/>
    <w:rsid w:val="0024709C"/>
    <w:rsid w:val="0024786B"/>
    <w:rsid w:val="00247A7B"/>
    <w:rsid w:val="002504B6"/>
    <w:rsid w:val="00252180"/>
    <w:rsid w:val="00252680"/>
    <w:rsid w:val="0025270B"/>
    <w:rsid w:val="00256163"/>
    <w:rsid w:val="00256C6E"/>
    <w:rsid w:val="00260411"/>
    <w:rsid w:val="0026069F"/>
    <w:rsid w:val="00262F8D"/>
    <w:rsid w:val="0026416A"/>
    <w:rsid w:val="002644BF"/>
    <w:rsid w:val="002647C4"/>
    <w:rsid w:val="00264A92"/>
    <w:rsid w:val="00264D2B"/>
    <w:rsid w:val="00265F36"/>
    <w:rsid w:val="00265F97"/>
    <w:rsid w:val="00266EB8"/>
    <w:rsid w:val="00267961"/>
    <w:rsid w:val="00270F73"/>
    <w:rsid w:val="002716AD"/>
    <w:rsid w:val="00271C3C"/>
    <w:rsid w:val="0027238C"/>
    <w:rsid w:val="00272DED"/>
    <w:rsid w:val="002732D4"/>
    <w:rsid w:val="00273EED"/>
    <w:rsid w:val="00274120"/>
    <w:rsid w:val="002744FD"/>
    <w:rsid w:val="00274F53"/>
    <w:rsid w:val="0027730B"/>
    <w:rsid w:val="00277676"/>
    <w:rsid w:val="0027797E"/>
    <w:rsid w:val="00277F6E"/>
    <w:rsid w:val="0028026F"/>
    <w:rsid w:val="00280A2B"/>
    <w:rsid w:val="00280AB4"/>
    <w:rsid w:val="00280E63"/>
    <w:rsid w:val="00281140"/>
    <w:rsid w:val="002836A1"/>
    <w:rsid w:val="00283B17"/>
    <w:rsid w:val="0028408D"/>
    <w:rsid w:val="002861C9"/>
    <w:rsid w:val="00286A59"/>
    <w:rsid w:val="00286B2C"/>
    <w:rsid w:val="00286C0C"/>
    <w:rsid w:val="00287077"/>
    <w:rsid w:val="00290FFA"/>
    <w:rsid w:val="002911F4"/>
    <w:rsid w:val="00291485"/>
    <w:rsid w:val="00292D83"/>
    <w:rsid w:val="00292DBC"/>
    <w:rsid w:val="00293773"/>
    <w:rsid w:val="0029521D"/>
    <w:rsid w:val="00295B23"/>
    <w:rsid w:val="00295BA4"/>
    <w:rsid w:val="002966E2"/>
    <w:rsid w:val="002969FB"/>
    <w:rsid w:val="002974BA"/>
    <w:rsid w:val="002A00F5"/>
    <w:rsid w:val="002A151F"/>
    <w:rsid w:val="002A1967"/>
    <w:rsid w:val="002A1DCC"/>
    <w:rsid w:val="002A3C10"/>
    <w:rsid w:val="002A4787"/>
    <w:rsid w:val="002A5779"/>
    <w:rsid w:val="002A5B07"/>
    <w:rsid w:val="002A6175"/>
    <w:rsid w:val="002A71A4"/>
    <w:rsid w:val="002B131A"/>
    <w:rsid w:val="002B1B3B"/>
    <w:rsid w:val="002B2532"/>
    <w:rsid w:val="002B32B6"/>
    <w:rsid w:val="002B4D55"/>
    <w:rsid w:val="002B4DF0"/>
    <w:rsid w:val="002B5003"/>
    <w:rsid w:val="002B7E9A"/>
    <w:rsid w:val="002C0453"/>
    <w:rsid w:val="002C0E3B"/>
    <w:rsid w:val="002C12AB"/>
    <w:rsid w:val="002C4225"/>
    <w:rsid w:val="002C49F3"/>
    <w:rsid w:val="002C5B46"/>
    <w:rsid w:val="002D013A"/>
    <w:rsid w:val="002D04E8"/>
    <w:rsid w:val="002D1AFB"/>
    <w:rsid w:val="002D4766"/>
    <w:rsid w:val="002D49C2"/>
    <w:rsid w:val="002D4F9A"/>
    <w:rsid w:val="002D58BC"/>
    <w:rsid w:val="002E0886"/>
    <w:rsid w:val="002E0E76"/>
    <w:rsid w:val="002E1443"/>
    <w:rsid w:val="002E27D2"/>
    <w:rsid w:val="002E39A0"/>
    <w:rsid w:val="002E4A69"/>
    <w:rsid w:val="002E4BB1"/>
    <w:rsid w:val="002E4D24"/>
    <w:rsid w:val="002E5554"/>
    <w:rsid w:val="002E65FB"/>
    <w:rsid w:val="002E6A39"/>
    <w:rsid w:val="002E71E1"/>
    <w:rsid w:val="002E72BF"/>
    <w:rsid w:val="002E7BEF"/>
    <w:rsid w:val="002E7E07"/>
    <w:rsid w:val="002F0F59"/>
    <w:rsid w:val="002F183F"/>
    <w:rsid w:val="002F2864"/>
    <w:rsid w:val="002F43AC"/>
    <w:rsid w:val="002F5D7B"/>
    <w:rsid w:val="002F68C6"/>
    <w:rsid w:val="002F6D4A"/>
    <w:rsid w:val="002F70C2"/>
    <w:rsid w:val="0030009C"/>
    <w:rsid w:val="00301FAF"/>
    <w:rsid w:val="003023DE"/>
    <w:rsid w:val="003024D1"/>
    <w:rsid w:val="00303527"/>
    <w:rsid w:val="0030357B"/>
    <w:rsid w:val="00303B23"/>
    <w:rsid w:val="00304119"/>
    <w:rsid w:val="00304FC2"/>
    <w:rsid w:val="003108D3"/>
    <w:rsid w:val="00311EC0"/>
    <w:rsid w:val="00312060"/>
    <w:rsid w:val="00313C56"/>
    <w:rsid w:val="00313DE2"/>
    <w:rsid w:val="0031460B"/>
    <w:rsid w:val="00314856"/>
    <w:rsid w:val="00314E53"/>
    <w:rsid w:val="003155D4"/>
    <w:rsid w:val="00315962"/>
    <w:rsid w:val="00316664"/>
    <w:rsid w:val="00316C56"/>
    <w:rsid w:val="00316D75"/>
    <w:rsid w:val="003171E3"/>
    <w:rsid w:val="0031727A"/>
    <w:rsid w:val="00321271"/>
    <w:rsid w:val="00321344"/>
    <w:rsid w:val="003218F0"/>
    <w:rsid w:val="00321B8D"/>
    <w:rsid w:val="00322510"/>
    <w:rsid w:val="00322538"/>
    <w:rsid w:val="00322996"/>
    <w:rsid w:val="0032311F"/>
    <w:rsid w:val="00323625"/>
    <w:rsid w:val="00325F71"/>
    <w:rsid w:val="00326951"/>
    <w:rsid w:val="00327579"/>
    <w:rsid w:val="00327833"/>
    <w:rsid w:val="00327999"/>
    <w:rsid w:val="00330646"/>
    <w:rsid w:val="003308B4"/>
    <w:rsid w:val="00331192"/>
    <w:rsid w:val="00333539"/>
    <w:rsid w:val="0033423B"/>
    <w:rsid w:val="00335DFA"/>
    <w:rsid w:val="00335F5D"/>
    <w:rsid w:val="00336C73"/>
    <w:rsid w:val="00340812"/>
    <w:rsid w:val="003414F4"/>
    <w:rsid w:val="00341718"/>
    <w:rsid w:val="0034406A"/>
    <w:rsid w:val="00344577"/>
    <w:rsid w:val="0034482F"/>
    <w:rsid w:val="00345A11"/>
    <w:rsid w:val="00346043"/>
    <w:rsid w:val="0034709C"/>
    <w:rsid w:val="00347E4A"/>
    <w:rsid w:val="0035005F"/>
    <w:rsid w:val="003517E8"/>
    <w:rsid w:val="00351919"/>
    <w:rsid w:val="00351F90"/>
    <w:rsid w:val="00351FB9"/>
    <w:rsid w:val="003526A2"/>
    <w:rsid w:val="00352A55"/>
    <w:rsid w:val="00354C67"/>
    <w:rsid w:val="00356373"/>
    <w:rsid w:val="00360217"/>
    <w:rsid w:val="00360EB8"/>
    <w:rsid w:val="00361B44"/>
    <w:rsid w:val="00362155"/>
    <w:rsid w:val="00362469"/>
    <w:rsid w:val="0036331A"/>
    <w:rsid w:val="00363361"/>
    <w:rsid w:val="003634BA"/>
    <w:rsid w:val="0036363D"/>
    <w:rsid w:val="00364DCF"/>
    <w:rsid w:val="0036524A"/>
    <w:rsid w:val="00365A6B"/>
    <w:rsid w:val="00366193"/>
    <w:rsid w:val="00366D30"/>
    <w:rsid w:val="00366EA2"/>
    <w:rsid w:val="00366EE1"/>
    <w:rsid w:val="0036714F"/>
    <w:rsid w:val="0036723C"/>
    <w:rsid w:val="0037099F"/>
    <w:rsid w:val="00370CA0"/>
    <w:rsid w:val="00373465"/>
    <w:rsid w:val="00373473"/>
    <w:rsid w:val="00373FE4"/>
    <w:rsid w:val="00374267"/>
    <w:rsid w:val="00375A24"/>
    <w:rsid w:val="00376001"/>
    <w:rsid w:val="0037623D"/>
    <w:rsid w:val="003768B9"/>
    <w:rsid w:val="00377C3F"/>
    <w:rsid w:val="00380665"/>
    <w:rsid w:val="00380A76"/>
    <w:rsid w:val="00381808"/>
    <w:rsid w:val="00382AF9"/>
    <w:rsid w:val="00382D89"/>
    <w:rsid w:val="003831E9"/>
    <w:rsid w:val="003844AB"/>
    <w:rsid w:val="0038481C"/>
    <w:rsid w:val="00385F2C"/>
    <w:rsid w:val="003862C7"/>
    <w:rsid w:val="003869B5"/>
    <w:rsid w:val="00387A94"/>
    <w:rsid w:val="00387E46"/>
    <w:rsid w:val="00390989"/>
    <w:rsid w:val="0039108A"/>
    <w:rsid w:val="003917F7"/>
    <w:rsid w:val="00391A5F"/>
    <w:rsid w:val="0039202A"/>
    <w:rsid w:val="00392FE8"/>
    <w:rsid w:val="00394CD9"/>
    <w:rsid w:val="00395F18"/>
    <w:rsid w:val="00396E14"/>
    <w:rsid w:val="003975E9"/>
    <w:rsid w:val="003A09CD"/>
    <w:rsid w:val="003A0CDB"/>
    <w:rsid w:val="003A197F"/>
    <w:rsid w:val="003A1C16"/>
    <w:rsid w:val="003A21F3"/>
    <w:rsid w:val="003A298F"/>
    <w:rsid w:val="003A32D7"/>
    <w:rsid w:val="003A4B1D"/>
    <w:rsid w:val="003A5F02"/>
    <w:rsid w:val="003A6439"/>
    <w:rsid w:val="003B016B"/>
    <w:rsid w:val="003B0C7F"/>
    <w:rsid w:val="003B12E0"/>
    <w:rsid w:val="003B17FB"/>
    <w:rsid w:val="003B2811"/>
    <w:rsid w:val="003B2E6E"/>
    <w:rsid w:val="003B311D"/>
    <w:rsid w:val="003B323B"/>
    <w:rsid w:val="003B329A"/>
    <w:rsid w:val="003B3910"/>
    <w:rsid w:val="003B3DEB"/>
    <w:rsid w:val="003B4319"/>
    <w:rsid w:val="003B713A"/>
    <w:rsid w:val="003B7584"/>
    <w:rsid w:val="003B7C84"/>
    <w:rsid w:val="003C062B"/>
    <w:rsid w:val="003C09AC"/>
    <w:rsid w:val="003C112D"/>
    <w:rsid w:val="003C15FC"/>
    <w:rsid w:val="003C1FA3"/>
    <w:rsid w:val="003C244C"/>
    <w:rsid w:val="003C2C70"/>
    <w:rsid w:val="003C2DD3"/>
    <w:rsid w:val="003C345D"/>
    <w:rsid w:val="003C34EA"/>
    <w:rsid w:val="003C5D92"/>
    <w:rsid w:val="003C7545"/>
    <w:rsid w:val="003D125C"/>
    <w:rsid w:val="003D1B30"/>
    <w:rsid w:val="003D20AB"/>
    <w:rsid w:val="003D2CDD"/>
    <w:rsid w:val="003D31F4"/>
    <w:rsid w:val="003D3EB1"/>
    <w:rsid w:val="003D5117"/>
    <w:rsid w:val="003E2FC2"/>
    <w:rsid w:val="003E414F"/>
    <w:rsid w:val="003E508A"/>
    <w:rsid w:val="003E510C"/>
    <w:rsid w:val="003F2240"/>
    <w:rsid w:val="003F247C"/>
    <w:rsid w:val="003F26C4"/>
    <w:rsid w:val="003F2707"/>
    <w:rsid w:val="003F2EF5"/>
    <w:rsid w:val="003F3B76"/>
    <w:rsid w:val="003F3E3C"/>
    <w:rsid w:val="003F4CDB"/>
    <w:rsid w:val="003F4F39"/>
    <w:rsid w:val="003F72A5"/>
    <w:rsid w:val="00400265"/>
    <w:rsid w:val="0040100E"/>
    <w:rsid w:val="004026C2"/>
    <w:rsid w:val="004026F1"/>
    <w:rsid w:val="0040291F"/>
    <w:rsid w:val="00403D70"/>
    <w:rsid w:val="00404C5F"/>
    <w:rsid w:val="00404F18"/>
    <w:rsid w:val="0040564D"/>
    <w:rsid w:val="00407C26"/>
    <w:rsid w:val="00407FB2"/>
    <w:rsid w:val="00412051"/>
    <w:rsid w:val="0041354D"/>
    <w:rsid w:val="004135C9"/>
    <w:rsid w:val="00413A8C"/>
    <w:rsid w:val="004151F2"/>
    <w:rsid w:val="00415365"/>
    <w:rsid w:val="004154D6"/>
    <w:rsid w:val="00415A8B"/>
    <w:rsid w:val="0041634E"/>
    <w:rsid w:val="004163D8"/>
    <w:rsid w:val="00416F61"/>
    <w:rsid w:val="00417047"/>
    <w:rsid w:val="0041726A"/>
    <w:rsid w:val="00417C51"/>
    <w:rsid w:val="00417DF2"/>
    <w:rsid w:val="004203C6"/>
    <w:rsid w:val="00420716"/>
    <w:rsid w:val="0042302C"/>
    <w:rsid w:val="004239B6"/>
    <w:rsid w:val="00423A1C"/>
    <w:rsid w:val="00423DC7"/>
    <w:rsid w:val="00424652"/>
    <w:rsid w:val="0042638B"/>
    <w:rsid w:val="0042722E"/>
    <w:rsid w:val="0042734B"/>
    <w:rsid w:val="0042752F"/>
    <w:rsid w:val="0042790F"/>
    <w:rsid w:val="0043006E"/>
    <w:rsid w:val="004300BD"/>
    <w:rsid w:val="004303CC"/>
    <w:rsid w:val="00430686"/>
    <w:rsid w:val="00430916"/>
    <w:rsid w:val="00431BB0"/>
    <w:rsid w:val="004322AD"/>
    <w:rsid w:val="00432F0C"/>
    <w:rsid w:val="00434142"/>
    <w:rsid w:val="004346F7"/>
    <w:rsid w:val="004347F3"/>
    <w:rsid w:val="00440533"/>
    <w:rsid w:val="00441B53"/>
    <w:rsid w:val="00442542"/>
    <w:rsid w:val="00443286"/>
    <w:rsid w:val="004437F7"/>
    <w:rsid w:val="004440C4"/>
    <w:rsid w:val="00444267"/>
    <w:rsid w:val="004447BC"/>
    <w:rsid w:val="00445235"/>
    <w:rsid w:val="00445D1C"/>
    <w:rsid w:val="0044638F"/>
    <w:rsid w:val="00446D58"/>
    <w:rsid w:val="00447366"/>
    <w:rsid w:val="00447B95"/>
    <w:rsid w:val="00450DCB"/>
    <w:rsid w:val="004512E7"/>
    <w:rsid w:val="00451438"/>
    <w:rsid w:val="00451698"/>
    <w:rsid w:val="00452BD5"/>
    <w:rsid w:val="004538AB"/>
    <w:rsid w:val="004567CD"/>
    <w:rsid w:val="00457451"/>
    <w:rsid w:val="004575B0"/>
    <w:rsid w:val="00460410"/>
    <w:rsid w:val="00460C33"/>
    <w:rsid w:val="004614A4"/>
    <w:rsid w:val="00461AA9"/>
    <w:rsid w:val="004623E8"/>
    <w:rsid w:val="00462534"/>
    <w:rsid w:val="004631B2"/>
    <w:rsid w:val="004641F8"/>
    <w:rsid w:val="00465036"/>
    <w:rsid w:val="004665F7"/>
    <w:rsid w:val="00466908"/>
    <w:rsid w:val="0047003C"/>
    <w:rsid w:val="00473249"/>
    <w:rsid w:val="0047353C"/>
    <w:rsid w:val="004753C7"/>
    <w:rsid w:val="0047697D"/>
    <w:rsid w:val="004778CC"/>
    <w:rsid w:val="00477928"/>
    <w:rsid w:val="004800E8"/>
    <w:rsid w:val="00480196"/>
    <w:rsid w:val="00480EC4"/>
    <w:rsid w:val="004814A6"/>
    <w:rsid w:val="00483433"/>
    <w:rsid w:val="00484998"/>
    <w:rsid w:val="00485310"/>
    <w:rsid w:val="00485749"/>
    <w:rsid w:val="00485ED1"/>
    <w:rsid w:val="0048606C"/>
    <w:rsid w:val="00487ACA"/>
    <w:rsid w:val="00491E63"/>
    <w:rsid w:val="00491F48"/>
    <w:rsid w:val="00492193"/>
    <w:rsid w:val="00492711"/>
    <w:rsid w:val="00492722"/>
    <w:rsid w:val="004929E2"/>
    <w:rsid w:val="004935B8"/>
    <w:rsid w:val="004978F5"/>
    <w:rsid w:val="004A00E6"/>
    <w:rsid w:val="004A0A69"/>
    <w:rsid w:val="004A2642"/>
    <w:rsid w:val="004A3B96"/>
    <w:rsid w:val="004A4BBD"/>
    <w:rsid w:val="004A4FD9"/>
    <w:rsid w:val="004A568B"/>
    <w:rsid w:val="004B0AF8"/>
    <w:rsid w:val="004B1D4D"/>
    <w:rsid w:val="004B1FC5"/>
    <w:rsid w:val="004B288C"/>
    <w:rsid w:val="004B31F2"/>
    <w:rsid w:val="004B3582"/>
    <w:rsid w:val="004B3DD7"/>
    <w:rsid w:val="004B43BF"/>
    <w:rsid w:val="004B48B2"/>
    <w:rsid w:val="004B70EF"/>
    <w:rsid w:val="004C0D96"/>
    <w:rsid w:val="004C1055"/>
    <w:rsid w:val="004C11EF"/>
    <w:rsid w:val="004C1230"/>
    <w:rsid w:val="004C15B4"/>
    <w:rsid w:val="004C15F4"/>
    <w:rsid w:val="004C3E1E"/>
    <w:rsid w:val="004C6547"/>
    <w:rsid w:val="004C7BA4"/>
    <w:rsid w:val="004D127A"/>
    <w:rsid w:val="004D27D7"/>
    <w:rsid w:val="004D2FE6"/>
    <w:rsid w:val="004D4200"/>
    <w:rsid w:val="004D47EB"/>
    <w:rsid w:val="004D6623"/>
    <w:rsid w:val="004E0995"/>
    <w:rsid w:val="004E09F9"/>
    <w:rsid w:val="004E0B92"/>
    <w:rsid w:val="004E12FB"/>
    <w:rsid w:val="004E17F5"/>
    <w:rsid w:val="004E356C"/>
    <w:rsid w:val="004E35B1"/>
    <w:rsid w:val="004E4231"/>
    <w:rsid w:val="004E4649"/>
    <w:rsid w:val="004E4D84"/>
    <w:rsid w:val="004E57E0"/>
    <w:rsid w:val="004E6F7C"/>
    <w:rsid w:val="004E7DE6"/>
    <w:rsid w:val="004F0281"/>
    <w:rsid w:val="004F1ACF"/>
    <w:rsid w:val="004F2481"/>
    <w:rsid w:val="004F25C9"/>
    <w:rsid w:val="004F39A9"/>
    <w:rsid w:val="004F4B90"/>
    <w:rsid w:val="004F539E"/>
    <w:rsid w:val="004F61C6"/>
    <w:rsid w:val="004F69F9"/>
    <w:rsid w:val="00500454"/>
    <w:rsid w:val="00500672"/>
    <w:rsid w:val="00500835"/>
    <w:rsid w:val="00500E85"/>
    <w:rsid w:val="00500EE4"/>
    <w:rsid w:val="0050156D"/>
    <w:rsid w:val="005017EF"/>
    <w:rsid w:val="0050291D"/>
    <w:rsid w:val="0050308B"/>
    <w:rsid w:val="00503606"/>
    <w:rsid w:val="00505ABD"/>
    <w:rsid w:val="00506604"/>
    <w:rsid w:val="005104EB"/>
    <w:rsid w:val="00512622"/>
    <w:rsid w:val="00512D24"/>
    <w:rsid w:val="00513188"/>
    <w:rsid w:val="00514FE0"/>
    <w:rsid w:val="0051608F"/>
    <w:rsid w:val="0051780A"/>
    <w:rsid w:val="00517A4E"/>
    <w:rsid w:val="005208D7"/>
    <w:rsid w:val="00520C64"/>
    <w:rsid w:val="00521737"/>
    <w:rsid w:val="00521952"/>
    <w:rsid w:val="005230F9"/>
    <w:rsid w:val="00524533"/>
    <w:rsid w:val="005259AB"/>
    <w:rsid w:val="00526DDE"/>
    <w:rsid w:val="00530DC6"/>
    <w:rsid w:val="00531CB5"/>
    <w:rsid w:val="0053320A"/>
    <w:rsid w:val="005336B8"/>
    <w:rsid w:val="00533CA8"/>
    <w:rsid w:val="00535544"/>
    <w:rsid w:val="00536811"/>
    <w:rsid w:val="00536865"/>
    <w:rsid w:val="00536F3A"/>
    <w:rsid w:val="0053745E"/>
    <w:rsid w:val="00542454"/>
    <w:rsid w:val="00542514"/>
    <w:rsid w:val="00542DE2"/>
    <w:rsid w:val="00543C2D"/>
    <w:rsid w:val="00543F3E"/>
    <w:rsid w:val="00547FAA"/>
    <w:rsid w:val="00551343"/>
    <w:rsid w:val="005521EF"/>
    <w:rsid w:val="00552C4A"/>
    <w:rsid w:val="0055333D"/>
    <w:rsid w:val="005546B8"/>
    <w:rsid w:val="00555965"/>
    <w:rsid w:val="00560031"/>
    <w:rsid w:val="00562353"/>
    <w:rsid w:val="005627CE"/>
    <w:rsid w:val="00563A6B"/>
    <w:rsid w:val="00563FA4"/>
    <w:rsid w:val="005644BB"/>
    <w:rsid w:val="005647E9"/>
    <w:rsid w:val="005650B9"/>
    <w:rsid w:val="0056595B"/>
    <w:rsid w:val="00566050"/>
    <w:rsid w:val="005662AD"/>
    <w:rsid w:val="00566328"/>
    <w:rsid w:val="00566DE8"/>
    <w:rsid w:val="00567B27"/>
    <w:rsid w:val="00567E3E"/>
    <w:rsid w:val="00567F32"/>
    <w:rsid w:val="0057024C"/>
    <w:rsid w:val="00570E72"/>
    <w:rsid w:val="005746B8"/>
    <w:rsid w:val="00574A24"/>
    <w:rsid w:val="00574F9F"/>
    <w:rsid w:val="005751F8"/>
    <w:rsid w:val="00575302"/>
    <w:rsid w:val="005762D7"/>
    <w:rsid w:val="00576364"/>
    <w:rsid w:val="00577B5D"/>
    <w:rsid w:val="00577E2A"/>
    <w:rsid w:val="00581CB3"/>
    <w:rsid w:val="00583494"/>
    <w:rsid w:val="005867C2"/>
    <w:rsid w:val="0058727A"/>
    <w:rsid w:val="005874EC"/>
    <w:rsid w:val="0058750A"/>
    <w:rsid w:val="00587768"/>
    <w:rsid w:val="00590C32"/>
    <w:rsid w:val="005915FE"/>
    <w:rsid w:val="00591F48"/>
    <w:rsid w:val="005944BF"/>
    <w:rsid w:val="005945F8"/>
    <w:rsid w:val="00594B33"/>
    <w:rsid w:val="00594D30"/>
    <w:rsid w:val="00595140"/>
    <w:rsid w:val="005951F0"/>
    <w:rsid w:val="00596100"/>
    <w:rsid w:val="00597A90"/>
    <w:rsid w:val="00597FA9"/>
    <w:rsid w:val="005A0657"/>
    <w:rsid w:val="005A2150"/>
    <w:rsid w:val="005A3AF4"/>
    <w:rsid w:val="005A487B"/>
    <w:rsid w:val="005A725C"/>
    <w:rsid w:val="005A73C0"/>
    <w:rsid w:val="005B2212"/>
    <w:rsid w:val="005B27F9"/>
    <w:rsid w:val="005B2807"/>
    <w:rsid w:val="005B34CD"/>
    <w:rsid w:val="005B42BE"/>
    <w:rsid w:val="005B58BF"/>
    <w:rsid w:val="005B650C"/>
    <w:rsid w:val="005B66CD"/>
    <w:rsid w:val="005B6C8E"/>
    <w:rsid w:val="005B71EA"/>
    <w:rsid w:val="005B7873"/>
    <w:rsid w:val="005B7DCD"/>
    <w:rsid w:val="005B7E2C"/>
    <w:rsid w:val="005C18A9"/>
    <w:rsid w:val="005C1B6C"/>
    <w:rsid w:val="005C2279"/>
    <w:rsid w:val="005C3593"/>
    <w:rsid w:val="005C489F"/>
    <w:rsid w:val="005C5AE7"/>
    <w:rsid w:val="005C634D"/>
    <w:rsid w:val="005C68C1"/>
    <w:rsid w:val="005C68D0"/>
    <w:rsid w:val="005C7196"/>
    <w:rsid w:val="005C72BD"/>
    <w:rsid w:val="005C7D33"/>
    <w:rsid w:val="005D018B"/>
    <w:rsid w:val="005D1C84"/>
    <w:rsid w:val="005D284D"/>
    <w:rsid w:val="005D364B"/>
    <w:rsid w:val="005D3AE6"/>
    <w:rsid w:val="005D3D2C"/>
    <w:rsid w:val="005D4058"/>
    <w:rsid w:val="005D4317"/>
    <w:rsid w:val="005D4D27"/>
    <w:rsid w:val="005D4DE2"/>
    <w:rsid w:val="005D5536"/>
    <w:rsid w:val="005D56B6"/>
    <w:rsid w:val="005D5DFF"/>
    <w:rsid w:val="005D6546"/>
    <w:rsid w:val="005D77A1"/>
    <w:rsid w:val="005D7D2C"/>
    <w:rsid w:val="005E33C0"/>
    <w:rsid w:val="005E3FF9"/>
    <w:rsid w:val="005E45D8"/>
    <w:rsid w:val="005E4AD6"/>
    <w:rsid w:val="005E6816"/>
    <w:rsid w:val="005E6CCB"/>
    <w:rsid w:val="005E76A1"/>
    <w:rsid w:val="005E76D6"/>
    <w:rsid w:val="005F08FD"/>
    <w:rsid w:val="005F199E"/>
    <w:rsid w:val="005F3C25"/>
    <w:rsid w:val="005F5446"/>
    <w:rsid w:val="005F6E15"/>
    <w:rsid w:val="005F74AC"/>
    <w:rsid w:val="005F7816"/>
    <w:rsid w:val="005F7C58"/>
    <w:rsid w:val="00600159"/>
    <w:rsid w:val="00600D81"/>
    <w:rsid w:val="00602E25"/>
    <w:rsid w:val="0060420F"/>
    <w:rsid w:val="006043F5"/>
    <w:rsid w:val="0060567D"/>
    <w:rsid w:val="0060576C"/>
    <w:rsid w:val="00605F15"/>
    <w:rsid w:val="00606466"/>
    <w:rsid w:val="00610B17"/>
    <w:rsid w:val="006117D6"/>
    <w:rsid w:val="00613359"/>
    <w:rsid w:val="0061448D"/>
    <w:rsid w:val="00614CCD"/>
    <w:rsid w:val="006170D6"/>
    <w:rsid w:val="00622E07"/>
    <w:rsid w:val="00623AA5"/>
    <w:rsid w:val="00623F1A"/>
    <w:rsid w:val="00624798"/>
    <w:rsid w:val="00624C51"/>
    <w:rsid w:val="00624E9F"/>
    <w:rsid w:val="006258E3"/>
    <w:rsid w:val="00626275"/>
    <w:rsid w:val="00626CD5"/>
    <w:rsid w:val="00627983"/>
    <w:rsid w:val="006312BE"/>
    <w:rsid w:val="0063289E"/>
    <w:rsid w:val="00632BAE"/>
    <w:rsid w:val="00632C43"/>
    <w:rsid w:val="006338F8"/>
    <w:rsid w:val="00633A35"/>
    <w:rsid w:val="00633F87"/>
    <w:rsid w:val="0063411B"/>
    <w:rsid w:val="00635C81"/>
    <w:rsid w:val="006362A0"/>
    <w:rsid w:val="00636831"/>
    <w:rsid w:val="00636FA9"/>
    <w:rsid w:val="00637829"/>
    <w:rsid w:val="00637BF4"/>
    <w:rsid w:val="00640492"/>
    <w:rsid w:val="00640982"/>
    <w:rsid w:val="00640A08"/>
    <w:rsid w:val="00640BE4"/>
    <w:rsid w:val="00641DF0"/>
    <w:rsid w:val="00642021"/>
    <w:rsid w:val="00642F74"/>
    <w:rsid w:val="00644BD8"/>
    <w:rsid w:val="00644DDB"/>
    <w:rsid w:val="00644F29"/>
    <w:rsid w:val="00645F3C"/>
    <w:rsid w:val="00646080"/>
    <w:rsid w:val="00646E63"/>
    <w:rsid w:val="00646ECC"/>
    <w:rsid w:val="00647200"/>
    <w:rsid w:val="006472F1"/>
    <w:rsid w:val="006507A7"/>
    <w:rsid w:val="006508B7"/>
    <w:rsid w:val="00650FEA"/>
    <w:rsid w:val="0065180F"/>
    <w:rsid w:val="00653ADE"/>
    <w:rsid w:val="00655E4F"/>
    <w:rsid w:val="006562A3"/>
    <w:rsid w:val="006578C6"/>
    <w:rsid w:val="00661DA9"/>
    <w:rsid w:val="00661F2D"/>
    <w:rsid w:val="0066290C"/>
    <w:rsid w:val="00662F55"/>
    <w:rsid w:val="00662FF7"/>
    <w:rsid w:val="00663876"/>
    <w:rsid w:val="00664A0F"/>
    <w:rsid w:val="00664F02"/>
    <w:rsid w:val="00664F95"/>
    <w:rsid w:val="00665023"/>
    <w:rsid w:val="006652C4"/>
    <w:rsid w:val="006654F6"/>
    <w:rsid w:val="00666C77"/>
    <w:rsid w:val="00671419"/>
    <w:rsid w:val="00671649"/>
    <w:rsid w:val="006730B4"/>
    <w:rsid w:val="0067374D"/>
    <w:rsid w:val="006737A4"/>
    <w:rsid w:val="00673FD5"/>
    <w:rsid w:val="006759BD"/>
    <w:rsid w:val="00676976"/>
    <w:rsid w:val="00677494"/>
    <w:rsid w:val="00677DC4"/>
    <w:rsid w:val="00677E87"/>
    <w:rsid w:val="00680B43"/>
    <w:rsid w:val="006822E1"/>
    <w:rsid w:val="00682987"/>
    <w:rsid w:val="00684AE6"/>
    <w:rsid w:val="0068507A"/>
    <w:rsid w:val="0068577A"/>
    <w:rsid w:val="006857E6"/>
    <w:rsid w:val="0068624F"/>
    <w:rsid w:val="0068677F"/>
    <w:rsid w:val="00686796"/>
    <w:rsid w:val="0068713D"/>
    <w:rsid w:val="0068715B"/>
    <w:rsid w:val="00687C65"/>
    <w:rsid w:val="00687DA1"/>
    <w:rsid w:val="006903DE"/>
    <w:rsid w:val="00692675"/>
    <w:rsid w:val="00695C4A"/>
    <w:rsid w:val="00696136"/>
    <w:rsid w:val="006A08EE"/>
    <w:rsid w:val="006A10D2"/>
    <w:rsid w:val="006A1931"/>
    <w:rsid w:val="006A1DA9"/>
    <w:rsid w:val="006A22E6"/>
    <w:rsid w:val="006A26F2"/>
    <w:rsid w:val="006A2DE2"/>
    <w:rsid w:val="006A4C86"/>
    <w:rsid w:val="006A4F5E"/>
    <w:rsid w:val="006A5011"/>
    <w:rsid w:val="006A57C8"/>
    <w:rsid w:val="006A5CE1"/>
    <w:rsid w:val="006A5DAF"/>
    <w:rsid w:val="006A617A"/>
    <w:rsid w:val="006A64B1"/>
    <w:rsid w:val="006A6907"/>
    <w:rsid w:val="006A706C"/>
    <w:rsid w:val="006A73C2"/>
    <w:rsid w:val="006A7925"/>
    <w:rsid w:val="006B0318"/>
    <w:rsid w:val="006B0706"/>
    <w:rsid w:val="006B2466"/>
    <w:rsid w:val="006B3317"/>
    <w:rsid w:val="006B38D5"/>
    <w:rsid w:val="006B4167"/>
    <w:rsid w:val="006B41E0"/>
    <w:rsid w:val="006B4D70"/>
    <w:rsid w:val="006B590E"/>
    <w:rsid w:val="006B5BC4"/>
    <w:rsid w:val="006B62AE"/>
    <w:rsid w:val="006B6C58"/>
    <w:rsid w:val="006B71A5"/>
    <w:rsid w:val="006C15BE"/>
    <w:rsid w:val="006C1E19"/>
    <w:rsid w:val="006C1E38"/>
    <w:rsid w:val="006C24ED"/>
    <w:rsid w:val="006C2AF8"/>
    <w:rsid w:val="006C2DE1"/>
    <w:rsid w:val="006C31A4"/>
    <w:rsid w:val="006C5233"/>
    <w:rsid w:val="006C5463"/>
    <w:rsid w:val="006C5469"/>
    <w:rsid w:val="006C6478"/>
    <w:rsid w:val="006C68A3"/>
    <w:rsid w:val="006C75DE"/>
    <w:rsid w:val="006D0228"/>
    <w:rsid w:val="006D0B1E"/>
    <w:rsid w:val="006D0C0A"/>
    <w:rsid w:val="006D1A9C"/>
    <w:rsid w:val="006D2316"/>
    <w:rsid w:val="006D2B56"/>
    <w:rsid w:val="006D3EF8"/>
    <w:rsid w:val="006D4D54"/>
    <w:rsid w:val="006D4D79"/>
    <w:rsid w:val="006D688C"/>
    <w:rsid w:val="006D6CC6"/>
    <w:rsid w:val="006D7327"/>
    <w:rsid w:val="006D76DE"/>
    <w:rsid w:val="006E1591"/>
    <w:rsid w:val="006E18E2"/>
    <w:rsid w:val="006E1A85"/>
    <w:rsid w:val="006E20F6"/>
    <w:rsid w:val="006E2A4A"/>
    <w:rsid w:val="006E2B92"/>
    <w:rsid w:val="006E2FC9"/>
    <w:rsid w:val="006E3C12"/>
    <w:rsid w:val="006E40DB"/>
    <w:rsid w:val="006E4155"/>
    <w:rsid w:val="006E4E9C"/>
    <w:rsid w:val="006E6141"/>
    <w:rsid w:val="006E622E"/>
    <w:rsid w:val="006E62AC"/>
    <w:rsid w:val="006E6809"/>
    <w:rsid w:val="006E71F0"/>
    <w:rsid w:val="006E727B"/>
    <w:rsid w:val="006F0821"/>
    <w:rsid w:val="006F156D"/>
    <w:rsid w:val="006F19F3"/>
    <w:rsid w:val="006F2C6D"/>
    <w:rsid w:val="006F2FCB"/>
    <w:rsid w:val="006F3681"/>
    <w:rsid w:val="006F40D7"/>
    <w:rsid w:val="006F567F"/>
    <w:rsid w:val="006F6BF3"/>
    <w:rsid w:val="006F6D1A"/>
    <w:rsid w:val="006F78AA"/>
    <w:rsid w:val="006F7B4F"/>
    <w:rsid w:val="006F7CC0"/>
    <w:rsid w:val="00700458"/>
    <w:rsid w:val="0070079D"/>
    <w:rsid w:val="00700FF5"/>
    <w:rsid w:val="00701E41"/>
    <w:rsid w:val="007031F7"/>
    <w:rsid w:val="00703D18"/>
    <w:rsid w:val="00704003"/>
    <w:rsid w:val="00704B4D"/>
    <w:rsid w:val="00704D2B"/>
    <w:rsid w:val="00706C4A"/>
    <w:rsid w:val="00707522"/>
    <w:rsid w:val="00707852"/>
    <w:rsid w:val="007127D4"/>
    <w:rsid w:val="007136E1"/>
    <w:rsid w:val="0071382E"/>
    <w:rsid w:val="007146E1"/>
    <w:rsid w:val="00714F2B"/>
    <w:rsid w:val="0071650F"/>
    <w:rsid w:val="00716618"/>
    <w:rsid w:val="0071715C"/>
    <w:rsid w:val="0071724A"/>
    <w:rsid w:val="0071735F"/>
    <w:rsid w:val="007248CF"/>
    <w:rsid w:val="00725103"/>
    <w:rsid w:val="00725726"/>
    <w:rsid w:val="00725BAD"/>
    <w:rsid w:val="00726063"/>
    <w:rsid w:val="0072711A"/>
    <w:rsid w:val="00730267"/>
    <w:rsid w:val="00731901"/>
    <w:rsid w:val="0073194A"/>
    <w:rsid w:val="00731BF8"/>
    <w:rsid w:val="00731D4A"/>
    <w:rsid w:val="0073221B"/>
    <w:rsid w:val="00733E96"/>
    <w:rsid w:val="00735D72"/>
    <w:rsid w:val="00736253"/>
    <w:rsid w:val="00737273"/>
    <w:rsid w:val="00737AA0"/>
    <w:rsid w:val="00740719"/>
    <w:rsid w:val="00740C7F"/>
    <w:rsid w:val="007412E6"/>
    <w:rsid w:val="00741D60"/>
    <w:rsid w:val="00742D06"/>
    <w:rsid w:val="00742EB6"/>
    <w:rsid w:val="007442F6"/>
    <w:rsid w:val="00744338"/>
    <w:rsid w:val="00745C09"/>
    <w:rsid w:val="00746BB8"/>
    <w:rsid w:val="00747791"/>
    <w:rsid w:val="00747E11"/>
    <w:rsid w:val="00750FDB"/>
    <w:rsid w:val="00751600"/>
    <w:rsid w:val="00751A75"/>
    <w:rsid w:val="0075316A"/>
    <w:rsid w:val="00753595"/>
    <w:rsid w:val="007546F4"/>
    <w:rsid w:val="0075477A"/>
    <w:rsid w:val="00754A75"/>
    <w:rsid w:val="00754A86"/>
    <w:rsid w:val="00755B2D"/>
    <w:rsid w:val="007564EA"/>
    <w:rsid w:val="007576A5"/>
    <w:rsid w:val="00757B0E"/>
    <w:rsid w:val="00760153"/>
    <w:rsid w:val="00760792"/>
    <w:rsid w:val="00760E16"/>
    <w:rsid w:val="007611BF"/>
    <w:rsid w:val="00761D0A"/>
    <w:rsid w:val="0076358E"/>
    <w:rsid w:val="007642E6"/>
    <w:rsid w:val="007657F4"/>
    <w:rsid w:val="00766342"/>
    <w:rsid w:val="00767694"/>
    <w:rsid w:val="00767EC7"/>
    <w:rsid w:val="00771873"/>
    <w:rsid w:val="00772190"/>
    <w:rsid w:val="00773453"/>
    <w:rsid w:val="00773EBE"/>
    <w:rsid w:val="007743AA"/>
    <w:rsid w:val="007766F5"/>
    <w:rsid w:val="00777CBA"/>
    <w:rsid w:val="00777E47"/>
    <w:rsid w:val="00781896"/>
    <w:rsid w:val="007824BB"/>
    <w:rsid w:val="0078267F"/>
    <w:rsid w:val="00782BBD"/>
    <w:rsid w:val="007831D7"/>
    <w:rsid w:val="007831E1"/>
    <w:rsid w:val="00784C1F"/>
    <w:rsid w:val="00784F29"/>
    <w:rsid w:val="00785DC5"/>
    <w:rsid w:val="007866CA"/>
    <w:rsid w:val="00786741"/>
    <w:rsid w:val="0078692E"/>
    <w:rsid w:val="00786DF3"/>
    <w:rsid w:val="007878EE"/>
    <w:rsid w:val="00792137"/>
    <w:rsid w:val="007925FA"/>
    <w:rsid w:val="00795292"/>
    <w:rsid w:val="00795672"/>
    <w:rsid w:val="007956D3"/>
    <w:rsid w:val="0079571E"/>
    <w:rsid w:val="00796381"/>
    <w:rsid w:val="00797A3F"/>
    <w:rsid w:val="007A04B7"/>
    <w:rsid w:val="007A0C9B"/>
    <w:rsid w:val="007A12CB"/>
    <w:rsid w:val="007A1310"/>
    <w:rsid w:val="007A20DA"/>
    <w:rsid w:val="007A398F"/>
    <w:rsid w:val="007A41B3"/>
    <w:rsid w:val="007A5329"/>
    <w:rsid w:val="007A56DE"/>
    <w:rsid w:val="007A5909"/>
    <w:rsid w:val="007A5B25"/>
    <w:rsid w:val="007A60C0"/>
    <w:rsid w:val="007A6956"/>
    <w:rsid w:val="007B071D"/>
    <w:rsid w:val="007B0723"/>
    <w:rsid w:val="007B09A9"/>
    <w:rsid w:val="007B389F"/>
    <w:rsid w:val="007B5682"/>
    <w:rsid w:val="007B6428"/>
    <w:rsid w:val="007B6DCC"/>
    <w:rsid w:val="007B773D"/>
    <w:rsid w:val="007C01DB"/>
    <w:rsid w:val="007C1094"/>
    <w:rsid w:val="007C1C12"/>
    <w:rsid w:val="007C1D03"/>
    <w:rsid w:val="007C2274"/>
    <w:rsid w:val="007C25D3"/>
    <w:rsid w:val="007C3250"/>
    <w:rsid w:val="007C3BA1"/>
    <w:rsid w:val="007C437E"/>
    <w:rsid w:val="007C446A"/>
    <w:rsid w:val="007C5732"/>
    <w:rsid w:val="007C5CB9"/>
    <w:rsid w:val="007C637A"/>
    <w:rsid w:val="007C6948"/>
    <w:rsid w:val="007C6EEE"/>
    <w:rsid w:val="007C77C1"/>
    <w:rsid w:val="007C7999"/>
    <w:rsid w:val="007D086D"/>
    <w:rsid w:val="007D086F"/>
    <w:rsid w:val="007D1EA7"/>
    <w:rsid w:val="007D3167"/>
    <w:rsid w:val="007D3218"/>
    <w:rsid w:val="007D40F7"/>
    <w:rsid w:val="007D4543"/>
    <w:rsid w:val="007D50AB"/>
    <w:rsid w:val="007D5911"/>
    <w:rsid w:val="007D5D38"/>
    <w:rsid w:val="007D650E"/>
    <w:rsid w:val="007E171A"/>
    <w:rsid w:val="007E1EB9"/>
    <w:rsid w:val="007E297B"/>
    <w:rsid w:val="007E306F"/>
    <w:rsid w:val="007E3EBD"/>
    <w:rsid w:val="007E405A"/>
    <w:rsid w:val="007E61C7"/>
    <w:rsid w:val="007E76E3"/>
    <w:rsid w:val="007E7AA9"/>
    <w:rsid w:val="007E7C00"/>
    <w:rsid w:val="007F101F"/>
    <w:rsid w:val="007F1CDB"/>
    <w:rsid w:val="007F34E0"/>
    <w:rsid w:val="007F4048"/>
    <w:rsid w:val="007F44E7"/>
    <w:rsid w:val="007F4745"/>
    <w:rsid w:val="007F4BAD"/>
    <w:rsid w:val="007F5B78"/>
    <w:rsid w:val="007F7BEE"/>
    <w:rsid w:val="00801F93"/>
    <w:rsid w:val="00802C72"/>
    <w:rsid w:val="00802FC9"/>
    <w:rsid w:val="00803D5F"/>
    <w:rsid w:val="0080584A"/>
    <w:rsid w:val="00806A91"/>
    <w:rsid w:val="00807EC1"/>
    <w:rsid w:val="00810090"/>
    <w:rsid w:val="008116DA"/>
    <w:rsid w:val="00812BEF"/>
    <w:rsid w:val="008138E4"/>
    <w:rsid w:val="008160F3"/>
    <w:rsid w:val="00816D3E"/>
    <w:rsid w:val="00817E61"/>
    <w:rsid w:val="008214BF"/>
    <w:rsid w:val="00822D1E"/>
    <w:rsid w:val="008250BB"/>
    <w:rsid w:val="00826894"/>
    <w:rsid w:val="00826BC4"/>
    <w:rsid w:val="00826DBF"/>
    <w:rsid w:val="00826EBF"/>
    <w:rsid w:val="00826FB9"/>
    <w:rsid w:val="0082783E"/>
    <w:rsid w:val="00831621"/>
    <w:rsid w:val="00831670"/>
    <w:rsid w:val="00832B89"/>
    <w:rsid w:val="00832C16"/>
    <w:rsid w:val="00833638"/>
    <w:rsid w:val="00833C1F"/>
    <w:rsid w:val="00833DBA"/>
    <w:rsid w:val="008345C6"/>
    <w:rsid w:val="008348F7"/>
    <w:rsid w:val="008352F7"/>
    <w:rsid w:val="008357BD"/>
    <w:rsid w:val="00836700"/>
    <w:rsid w:val="008369D3"/>
    <w:rsid w:val="00840362"/>
    <w:rsid w:val="008415DA"/>
    <w:rsid w:val="008416E0"/>
    <w:rsid w:val="00841CBB"/>
    <w:rsid w:val="0084206B"/>
    <w:rsid w:val="008422FC"/>
    <w:rsid w:val="00842399"/>
    <w:rsid w:val="0084247F"/>
    <w:rsid w:val="00842753"/>
    <w:rsid w:val="00842D1A"/>
    <w:rsid w:val="00843670"/>
    <w:rsid w:val="00843A63"/>
    <w:rsid w:val="00845150"/>
    <w:rsid w:val="00847BA3"/>
    <w:rsid w:val="00850324"/>
    <w:rsid w:val="00850698"/>
    <w:rsid w:val="00850C64"/>
    <w:rsid w:val="0085177E"/>
    <w:rsid w:val="00851B33"/>
    <w:rsid w:val="00851E87"/>
    <w:rsid w:val="0085257A"/>
    <w:rsid w:val="008526CB"/>
    <w:rsid w:val="00852C10"/>
    <w:rsid w:val="00853040"/>
    <w:rsid w:val="00853226"/>
    <w:rsid w:val="008535CE"/>
    <w:rsid w:val="008552E4"/>
    <w:rsid w:val="00856D82"/>
    <w:rsid w:val="008617E8"/>
    <w:rsid w:val="00861A0F"/>
    <w:rsid w:val="00861BD9"/>
    <w:rsid w:val="0086236E"/>
    <w:rsid w:val="00863867"/>
    <w:rsid w:val="00864B16"/>
    <w:rsid w:val="00864E6C"/>
    <w:rsid w:val="00864F02"/>
    <w:rsid w:val="00866BF3"/>
    <w:rsid w:val="00866BFB"/>
    <w:rsid w:val="00866C78"/>
    <w:rsid w:val="0086771F"/>
    <w:rsid w:val="008706CF"/>
    <w:rsid w:val="00872690"/>
    <w:rsid w:val="00873484"/>
    <w:rsid w:val="00873BEF"/>
    <w:rsid w:val="008740AA"/>
    <w:rsid w:val="00875510"/>
    <w:rsid w:val="00877B33"/>
    <w:rsid w:val="008801D8"/>
    <w:rsid w:val="008806C8"/>
    <w:rsid w:val="0088131D"/>
    <w:rsid w:val="0088135A"/>
    <w:rsid w:val="00881A8B"/>
    <w:rsid w:val="00881F9C"/>
    <w:rsid w:val="00882FC3"/>
    <w:rsid w:val="0088327B"/>
    <w:rsid w:val="00883E54"/>
    <w:rsid w:val="008840BB"/>
    <w:rsid w:val="00887D47"/>
    <w:rsid w:val="00890166"/>
    <w:rsid w:val="00890AED"/>
    <w:rsid w:val="00891929"/>
    <w:rsid w:val="008930D2"/>
    <w:rsid w:val="008937B1"/>
    <w:rsid w:val="0089381E"/>
    <w:rsid w:val="00893F11"/>
    <w:rsid w:val="008940E8"/>
    <w:rsid w:val="008944B1"/>
    <w:rsid w:val="0089463B"/>
    <w:rsid w:val="00894725"/>
    <w:rsid w:val="008A00B7"/>
    <w:rsid w:val="008A0E6F"/>
    <w:rsid w:val="008A1D1B"/>
    <w:rsid w:val="008A3633"/>
    <w:rsid w:val="008A42EF"/>
    <w:rsid w:val="008A4B89"/>
    <w:rsid w:val="008A57D2"/>
    <w:rsid w:val="008A5BA6"/>
    <w:rsid w:val="008A5E37"/>
    <w:rsid w:val="008A5F54"/>
    <w:rsid w:val="008A6157"/>
    <w:rsid w:val="008A6864"/>
    <w:rsid w:val="008A7234"/>
    <w:rsid w:val="008A770B"/>
    <w:rsid w:val="008A79D0"/>
    <w:rsid w:val="008B0280"/>
    <w:rsid w:val="008B206B"/>
    <w:rsid w:val="008B250C"/>
    <w:rsid w:val="008B2E2F"/>
    <w:rsid w:val="008B3D55"/>
    <w:rsid w:val="008B7116"/>
    <w:rsid w:val="008B75F7"/>
    <w:rsid w:val="008B7A0B"/>
    <w:rsid w:val="008C045B"/>
    <w:rsid w:val="008C0D76"/>
    <w:rsid w:val="008C139D"/>
    <w:rsid w:val="008C18EF"/>
    <w:rsid w:val="008C1AE5"/>
    <w:rsid w:val="008C27CE"/>
    <w:rsid w:val="008C3E52"/>
    <w:rsid w:val="008C573B"/>
    <w:rsid w:val="008C78CD"/>
    <w:rsid w:val="008C7B09"/>
    <w:rsid w:val="008D1852"/>
    <w:rsid w:val="008D3A52"/>
    <w:rsid w:val="008D3D29"/>
    <w:rsid w:val="008D53B0"/>
    <w:rsid w:val="008D592F"/>
    <w:rsid w:val="008D5A16"/>
    <w:rsid w:val="008D65F1"/>
    <w:rsid w:val="008D6652"/>
    <w:rsid w:val="008D7E38"/>
    <w:rsid w:val="008E0170"/>
    <w:rsid w:val="008E0D62"/>
    <w:rsid w:val="008E16A6"/>
    <w:rsid w:val="008E2E85"/>
    <w:rsid w:val="008E31D6"/>
    <w:rsid w:val="008E3277"/>
    <w:rsid w:val="008E372A"/>
    <w:rsid w:val="008E3824"/>
    <w:rsid w:val="008E425D"/>
    <w:rsid w:val="008E4DE0"/>
    <w:rsid w:val="008E51C3"/>
    <w:rsid w:val="008E5986"/>
    <w:rsid w:val="008E655C"/>
    <w:rsid w:val="008E6634"/>
    <w:rsid w:val="008E6C18"/>
    <w:rsid w:val="008E6C8B"/>
    <w:rsid w:val="008E727E"/>
    <w:rsid w:val="008E7B0A"/>
    <w:rsid w:val="008E7E3D"/>
    <w:rsid w:val="008F11A4"/>
    <w:rsid w:val="008F3090"/>
    <w:rsid w:val="008F3256"/>
    <w:rsid w:val="008F3895"/>
    <w:rsid w:val="008F3AEE"/>
    <w:rsid w:val="008F43A4"/>
    <w:rsid w:val="008F4AAE"/>
    <w:rsid w:val="008F4B1B"/>
    <w:rsid w:val="008F537B"/>
    <w:rsid w:val="008F71E8"/>
    <w:rsid w:val="008F7AC6"/>
    <w:rsid w:val="008F7E12"/>
    <w:rsid w:val="00901F8A"/>
    <w:rsid w:val="0090291D"/>
    <w:rsid w:val="009029C3"/>
    <w:rsid w:val="00902BF2"/>
    <w:rsid w:val="00903301"/>
    <w:rsid w:val="00903D9F"/>
    <w:rsid w:val="0090473C"/>
    <w:rsid w:val="00904C34"/>
    <w:rsid w:val="00907A2E"/>
    <w:rsid w:val="00910435"/>
    <w:rsid w:val="00910654"/>
    <w:rsid w:val="00913A03"/>
    <w:rsid w:val="00914526"/>
    <w:rsid w:val="009146AC"/>
    <w:rsid w:val="009146F2"/>
    <w:rsid w:val="009154B7"/>
    <w:rsid w:val="009158E3"/>
    <w:rsid w:val="00915939"/>
    <w:rsid w:val="00915D70"/>
    <w:rsid w:val="00916452"/>
    <w:rsid w:val="00916634"/>
    <w:rsid w:val="00916EF0"/>
    <w:rsid w:val="0091710E"/>
    <w:rsid w:val="00917E8F"/>
    <w:rsid w:val="00921197"/>
    <w:rsid w:val="00921B76"/>
    <w:rsid w:val="009227BC"/>
    <w:rsid w:val="009228A8"/>
    <w:rsid w:val="00923220"/>
    <w:rsid w:val="00923953"/>
    <w:rsid w:val="0092548E"/>
    <w:rsid w:val="009263FD"/>
    <w:rsid w:val="00930A9F"/>
    <w:rsid w:val="00931178"/>
    <w:rsid w:val="00932418"/>
    <w:rsid w:val="0093315F"/>
    <w:rsid w:val="009342F9"/>
    <w:rsid w:val="00936010"/>
    <w:rsid w:val="009366A1"/>
    <w:rsid w:val="009369F1"/>
    <w:rsid w:val="0093792A"/>
    <w:rsid w:val="00940952"/>
    <w:rsid w:val="00940B47"/>
    <w:rsid w:val="00942269"/>
    <w:rsid w:val="00943E40"/>
    <w:rsid w:val="0094436E"/>
    <w:rsid w:val="00944AF6"/>
    <w:rsid w:val="00945C72"/>
    <w:rsid w:val="009467AC"/>
    <w:rsid w:val="0094690E"/>
    <w:rsid w:val="009471F2"/>
    <w:rsid w:val="0094725C"/>
    <w:rsid w:val="009515EB"/>
    <w:rsid w:val="00951796"/>
    <w:rsid w:val="009523B1"/>
    <w:rsid w:val="00952C0E"/>
    <w:rsid w:val="00952D26"/>
    <w:rsid w:val="00954336"/>
    <w:rsid w:val="00954A97"/>
    <w:rsid w:val="00955638"/>
    <w:rsid w:val="0095588E"/>
    <w:rsid w:val="00955CE4"/>
    <w:rsid w:val="00956041"/>
    <w:rsid w:val="00957AC1"/>
    <w:rsid w:val="009602B7"/>
    <w:rsid w:val="009608A8"/>
    <w:rsid w:val="00961209"/>
    <w:rsid w:val="009622BA"/>
    <w:rsid w:val="0096274D"/>
    <w:rsid w:val="00962C32"/>
    <w:rsid w:val="009630E9"/>
    <w:rsid w:val="00965CD7"/>
    <w:rsid w:val="009667B6"/>
    <w:rsid w:val="00966CFE"/>
    <w:rsid w:val="0096757E"/>
    <w:rsid w:val="0096763E"/>
    <w:rsid w:val="00970BA3"/>
    <w:rsid w:val="009713B2"/>
    <w:rsid w:val="00972D09"/>
    <w:rsid w:val="00973A24"/>
    <w:rsid w:val="00974638"/>
    <w:rsid w:val="00974FFE"/>
    <w:rsid w:val="0097524E"/>
    <w:rsid w:val="009759ED"/>
    <w:rsid w:val="00977812"/>
    <w:rsid w:val="00980032"/>
    <w:rsid w:val="009810E0"/>
    <w:rsid w:val="009816A6"/>
    <w:rsid w:val="00983875"/>
    <w:rsid w:val="00984572"/>
    <w:rsid w:val="009847CA"/>
    <w:rsid w:val="00984EBA"/>
    <w:rsid w:val="0098547C"/>
    <w:rsid w:val="00985699"/>
    <w:rsid w:val="00986CCD"/>
    <w:rsid w:val="00986F90"/>
    <w:rsid w:val="00987514"/>
    <w:rsid w:val="009918E5"/>
    <w:rsid w:val="00992107"/>
    <w:rsid w:val="00992643"/>
    <w:rsid w:val="0099282D"/>
    <w:rsid w:val="00992833"/>
    <w:rsid w:val="009939AA"/>
    <w:rsid w:val="00993D06"/>
    <w:rsid w:val="0099439F"/>
    <w:rsid w:val="00994D95"/>
    <w:rsid w:val="00995A94"/>
    <w:rsid w:val="00995D16"/>
    <w:rsid w:val="00996E8D"/>
    <w:rsid w:val="00997DB2"/>
    <w:rsid w:val="009A0907"/>
    <w:rsid w:val="009A0A9F"/>
    <w:rsid w:val="009A12CE"/>
    <w:rsid w:val="009A1415"/>
    <w:rsid w:val="009A2546"/>
    <w:rsid w:val="009A2622"/>
    <w:rsid w:val="009A2D9B"/>
    <w:rsid w:val="009A37DE"/>
    <w:rsid w:val="009A3C56"/>
    <w:rsid w:val="009A4061"/>
    <w:rsid w:val="009A43A2"/>
    <w:rsid w:val="009A4446"/>
    <w:rsid w:val="009A6C2E"/>
    <w:rsid w:val="009A7433"/>
    <w:rsid w:val="009A7E4B"/>
    <w:rsid w:val="009B0133"/>
    <w:rsid w:val="009B10B2"/>
    <w:rsid w:val="009B13D7"/>
    <w:rsid w:val="009B14DB"/>
    <w:rsid w:val="009B1692"/>
    <w:rsid w:val="009B342D"/>
    <w:rsid w:val="009B3627"/>
    <w:rsid w:val="009B3AD2"/>
    <w:rsid w:val="009B60B0"/>
    <w:rsid w:val="009B662C"/>
    <w:rsid w:val="009B6BFB"/>
    <w:rsid w:val="009B6E65"/>
    <w:rsid w:val="009C01F8"/>
    <w:rsid w:val="009C257C"/>
    <w:rsid w:val="009C3463"/>
    <w:rsid w:val="009C3C31"/>
    <w:rsid w:val="009C4ABF"/>
    <w:rsid w:val="009C4DD6"/>
    <w:rsid w:val="009C5AB1"/>
    <w:rsid w:val="009C601F"/>
    <w:rsid w:val="009C7A41"/>
    <w:rsid w:val="009C7B76"/>
    <w:rsid w:val="009D0172"/>
    <w:rsid w:val="009D2BBD"/>
    <w:rsid w:val="009D3840"/>
    <w:rsid w:val="009D5155"/>
    <w:rsid w:val="009D7E17"/>
    <w:rsid w:val="009E21A1"/>
    <w:rsid w:val="009E245A"/>
    <w:rsid w:val="009E3D6C"/>
    <w:rsid w:val="009E6AD4"/>
    <w:rsid w:val="009E7C1E"/>
    <w:rsid w:val="009E7EB2"/>
    <w:rsid w:val="009F01F5"/>
    <w:rsid w:val="009F18D1"/>
    <w:rsid w:val="009F33DD"/>
    <w:rsid w:val="009F4A1F"/>
    <w:rsid w:val="009F4BB0"/>
    <w:rsid w:val="009F4F9D"/>
    <w:rsid w:val="009F577D"/>
    <w:rsid w:val="009F58F0"/>
    <w:rsid w:val="009F67A3"/>
    <w:rsid w:val="009F69BF"/>
    <w:rsid w:val="009F78D0"/>
    <w:rsid w:val="009F7BD6"/>
    <w:rsid w:val="00A017B8"/>
    <w:rsid w:val="00A0385A"/>
    <w:rsid w:val="00A1021D"/>
    <w:rsid w:val="00A10EEA"/>
    <w:rsid w:val="00A123FF"/>
    <w:rsid w:val="00A12B31"/>
    <w:rsid w:val="00A12C90"/>
    <w:rsid w:val="00A13559"/>
    <w:rsid w:val="00A1358E"/>
    <w:rsid w:val="00A1456B"/>
    <w:rsid w:val="00A14D5E"/>
    <w:rsid w:val="00A16669"/>
    <w:rsid w:val="00A1719E"/>
    <w:rsid w:val="00A179D2"/>
    <w:rsid w:val="00A201EC"/>
    <w:rsid w:val="00A20F3F"/>
    <w:rsid w:val="00A2246B"/>
    <w:rsid w:val="00A2532A"/>
    <w:rsid w:val="00A25DA8"/>
    <w:rsid w:val="00A27DB7"/>
    <w:rsid w:val="00A30386"/>
    <w:rsid w:val="00A32AC7"/>
    <w:rsid w:val="00A33DA6"/>
    <w:rsid w:val="00A356E2"/>
    <w:rsid w:val="00A35B07"/>
    <w:rsid w:val="00A361B0"/>
    <w:rsid w:val="00A37503"/>
    <w:rsid w:val="00A40375"/>
    <w:rsid w:val="00A40820"/>
    <w:rsid w:val="00A42060"/>
    <w:rsid w:val="00A4211A"/>
    <w:rsid w:val="00A42DD2"/>
    <w:rsid w:val="00A431BD"/>
    <w:rsid w:val="00A436FF"/>
    <w:rsid w:val="00A438D4"/>
    <w:rsid w:val="00A447A8"/>
    <w:rsid w:val="00A45420"/>
    <w:rsid w:val="00A467C0"/>
    <w:rsid w:val="00A468D4"/>
    <w:rsid w:val="00A4711B"/>
    <w:rsid w:val="00A47BE6"/>
    <w:rsid w:val="00A47E58"/>
    <w:rsid w:val="00A500EC"/>
    <w:rsid w:val="00A51F6B"/>
    <w:rsid w:val="00A52915"/>
    <w:rsid w:val="00A52F38"/>
    <w:rsid w:val="00A53141"/>
    <w:rsid w:val="00A54946"/>
    <w:rsid w:val="00A60AD9"/>
    <w:rsid w:val="00A63231"/>
    <w:rsid w:val="00A63A10"/>
    <w:rsid w:val="00A64277"/>
    <w:rsid w:val="00A6428E"/>
    <w:rsid w:val="00A64573"/>
    <w:rsid w:val="00A64E38"/>
    <w:rsid w:val="00A664FB"/>
    <w:rsid w:val="00A66C4C"/>
    <w:rsid w:val="00A67425"/>
    <w:rsid w:val="00A67632"/>
    <w:rsid w:val="00A67D1E"/>
    <w:rsid w:val="00A7069A"/>
    <w:rsid w:val="00A711D5"/>
    <w:rsid w:val="00A716B2"/>
    <w:rsid w:val="00A71DEA"/>
    <w:rsid w:val="00A71DFB"/>
    <w:rsid w:val="00A726E9"/>
    <w:rsid w:val="00A732BD"/>
    <w:rsid w:val="00A742C0"/>
    <w:rsid w:val="00A7473C"/>
    <w:rsid w:val="00A74D15"/>
    <w:rsid w:val="00A75108"/>
    <w:rsid w:val="00A77B45"/>
    <w:rsid w:val="00A77B52"/>
    <w:rsid w:val="00A81286"/>
    <w:rsid w:val="00A829A9"/>
    <w:rsid w:val="00A832DF"/>
    <w:rsid w:val="00A8342A"/>
    <w:rsid w:val="00A8369A"/>
    <w:rsid w:val="00A83806"/>
    <w:rsid w:val="00A84144"/>
    <w:rsid w:val="00A84C42"/>
    <w:rsid w:val="00A8526A"/>
    <w:rsid w:val="00A85E8F"/>
    <w:rsid w:val="00A863F7"/>
    <w:rsid w:val="00A868CA"/>
    <w:rsid w:val="00A91516"/>
    <w:rsid w:val="00A916F1"/>
    <w:rsid w:val="00A91A98"/>
    <w:rsid w:val="00A91BF9"/>
    <w:rsid w:val="00A93049"/>
    <w:rsid w:val="00A937F6"/>
    <w:rsid w:val="00A93E6B"/>
    <w:rsid w:val="00A94A39"/>
    <w:rsid w:val="00A97301"/>
    <w:rsid w:val="00A973CB"/>
    <w:rsid w:val="00AA0DE5"/>
    <w:rsid w:val="00AA138C"/>
    <w:rsid w:val="00AA1CC9"/>
    <w:rsid w:val="00AA2842"/>
    <w:rsid w:val="00AA31D5"/>
    <w:rsid w:val="00AA48AA"/>
    <w:rsid w:val="00AA4E9B"/>
    <w:rsid w:val="00AA5586"/>
    <w:rsid w:val="00AA684A"/>
    <w:rsid w:val="00AA7862"/>
    <w:rsid w:val="00AB041C"/>
    <w:rsid w:val="00AB0D6C"/>
    <w:rsid w:val="00AB16F7"/>
    <w:rsid w:val="00AB1CA5"/>
    <w:rsid w:val="00AB381E"/>
    <w:rsid w:val="00AB4EAF"/>
    <w:rsid w:val="00AB5075"/>
    <w:rsid w:val="00AB541D"/>
    <w:rsid w:val="00AB57B8"/>
    <w:rsid w:val="00AB5B95"/>
    <w:rsid w:val="00AB5C9A"/>
    <w:rsid w:val="00AB613C"/>
    <w:rsid w:val="00AB7FE3"/>
    <w:rsid w:val="00AC218F"/>
    <w:rsid w:val="00AC2383"/>
    <w:rsid w:val="00AC32B4"/>
    <w:rsid w:val="00AC4CFF"/>
    <w:rsid w:val="00AC4E94"/>
    <w:rsid w:val="00AC637D"/>
    <w:rsid w:val="00AC68AE"/>
    <w:rsid w:val="00AC7304"/>
    <w:rsid w:val="00AD026A"/>
    <w:rsid w:val="00AD05D0"/>
    <w:rsid w:val="00AD0B52"/>
    <w:rsid w:val="00AD2745"/>
    <w:rsid w:val="00AD3A8E"/>
    <w:rsid w:val="00AD537F"/>
    <w:rsid w:val="00AD6113"/>
    <w:rsid w:val="00AD6193"/>
    <w:rsid w:val="00AD66C3"/>
    <w:rsid w:val="00AD6C36"/>
    <w:rsid w:val="00AD79B5"/>
    <w:rsid w:val="00AD7BFC"/>
    <w:rsid w:val="00AE1101"/>
    <w:rsid w:val="00AE12D2"/>
    <w:rsid w:val="00AE1CD8"/>
    <w:rsid w:val="00AE2C20"/>
    <w:rsid w:val="00AE3052"/>
    <w:rsid w:val="00AE3708"/>
    <w:rsid w:val="00AE4221"/>
    <w:rsid w:val="00AE521E"/>
    <w:rsid w:val="00AE5254"/>
    <w:rsid w:val="00AE599C"/>
    <w:rsid w:val="00AE7DEC"/>
    <w:rsid w:val="00AF0318"/>
    <w:rsid w:val="00AF3DF1"/>
    <w:rsid w:val="00AF4A9B"/>
    <w:rsid w:val="00AF4B72"/>
    <w:rsid w:val="00AF5D00"/>
    <w:rsid w:val="00AF5E21"/>
    <w:rsid w:val="00AF7BD0"/>
    <w:rsid w:val="00AF7D07"/>
    <w:rsid w:val="00B0041C"/>
    <w:rsid w:val="00B0056B"/>
    <w:rsid w:val="00B00A44"/>
    <w:rsid w:val="00B00CA1"/>
    <w:rsid w:val="00B01C68"/>
    <w:rsid w:val="00B02753"/>
    <w:rsid w:val="00B03AD3"/>
    <w:rsid w:val="00B0554A"/>
    <w:rsid w:val="00B056C8"/>
    <w:rsid w:val="00B05D9F"/>
    <w:rsid w:val="00B06F21"/>
    <w:rsid w:val="00B07119"/>
    <w:rsid w:val="00B0774E"/>
    <w:rsid w:val="00B11E62"/>
    <w:rsid w:val="00B13525"/>
    <w:rsid w:val="00B13558"/>
    <w:rsid w:val="00B156F2"/>
    <w:rsid w:val="00B15768"/>
    <w:rsid w:val="00B16127"/>
    <w:rsid w:val="00B1683B"/>
    <w:rsid w:val="00B17548"/>
    <w:rsid w:val="00B201E7"/>
    <w:rsid w:val="00B20853"/>
    <w:rsid w:val="00B210F6"/>
    <w:rsid w:val="00B21C25"/>
    <w:rsid w:val="00B22389"/>
    <w:rsid w:val="00B229C4"/>
    <w:rsid w:val="00B23D25"/>
    <w:rsid w:val="00B23FC5"/>
    <w:rsid w:val="00B2411E"/>
    <w:rsid w:val="00B2502D"/>
    <w:rsid w:val="00B257D9"/>
    <w:rsid w:val="00B25A4D"/>
    <w:rsid w:val="00B26198"/>
    <w:rsid w:val="00B26516"/>
    <w:rsid w:val="00B26E6D"/>
    <w:rsid w:val="00B27525"/>
    <w:rsid w:val="00B27BE2"/>
    <w:rsid w:val="00B27D17"/>
    <w:rsid w:val="00B31A67"/>
    <w:rsid w:val="00B31D7F"/>
    <w:rsid w:val="00B320B4"/>
    <w:rsid w:val="00B32891"/>
    <w:rsid w:val="00B32A5A"/>
    <w:rsid w:val="00B334A7"/>
    <w:rsid w:val="00B3371E"/>
    <w:rsid w:val="00B3396A"/>
    <w:rsid w:val="00B339E3"/>
    <w:rsid w:val="00B34426"/>
    <w:rsid w:val="00B3538A"/>
    <w:rsid w:val="00B3543E"/>
    <w:rsid w:val="00B36974"/>
    <w:rsid w:val="00B37F18"/>
    <w:rsid w:val="00B4004A"/>
    <w:rsid w:val="00B41101"/>
    <w:rsid w:val="00B4214A"/>
    <w:rsid w:val="00B42E90"/>
    <w:rsid w:val="00B431A2"/>
    <w:rsid w:val="00B4394A"/>
    <w:rsid w:val="00B45B9F"/>
    <w:rsid w:val="00B45F3A"/>
    <w:rsid w:val="00B4637E"/>
    <w:rsid w:val="00B4697A"/>
    <w:rsid w:val="00B475DE"/>
    <w:rsid w:val="00B4773E"/>
    <w:rsid w:val="00B502F3"/>
    <w:rsid w:val="00B5142A"/>
    <w:rsid w:val="00B5144E"/>
    <w:rsid w:val="00B5429C"/>
    <w:rsid w:val="00B54310"/>
    <w:rsid w:val="00B547A3"/>
    <w:rsid w:val="00B54E91"/>
    <w:rsid w:val="00B56C6A"/>
    <w:rsid w:val="00B572FA"/>
    <w:rsid w:val="00B57374"/>
    <w:rsid w:val="00B608FD"/>
    <w:rsid w:val="00B61E04"/>
    <w:rsid w:val="00B61E42"/>
    <w:rsid w:val="00B61EAB"/>
    <w:rsid w:val="00B62F1B"/>
    <w:rsid w:val="00B65225"/>
    <w:rsid w:val="00B65DCC"/>
    <w:rsid w:val="00B668B2"/>
    <w:rsid w:val="00B66EDA"/>
    <w:rsid w:val="00B67EB8"/>
    <w:rsid w:val="00B70273"/>
    <w:rsid w:val="00B70CAD"/>
    <w:rsid w:val="00B7212A"/>
    <w:rsid w:val="00B72AC1"/>
    <w:rsid w:val="00B74B00"/>
    <w:rsid w:val="00B76D77"/>
    <w:rsid w:val="00B77072"/>
    <w:rsid w:val="00B775FB"/>
    <w:rsid w:val="00B77FEA"/>
    <w:rsid w:val="00B80ADF"/>
    <w:rsid w:val="00B821D8"/>
    <w:rsid w:val="00B83B57"/>
    <w:rsid w:val="00B83EF8"/>
    <w:rsid w:val="00B83FAD"/>
    <w:rsid w:val="00B84804"/>
    <w:rsid w:val="00B862C2"/>
    <w:rsid w:val="00B8688D"/>
    <w:rsid w:val="00B86968"/>
    <w:rsid w:val="00B87609"/>
    <w:rsid w:val="00B9000C"/>
    <w:rsid w:val="00B9004F"/>
    <w:rsid w:val="00B909BF"/>
    <w:rsid w:val="00B90C81"/>
    <w:rsid w:val="00B91063"/>
    <w:rsid w:val="00B916C2"/>
    <w:rsid w:val="00B92CA3"/>
    <w:rsid w:val="00B92F2C"/>
    <w:rsid w:val="00B944EF"/>
    <w:rsid w:val="00B95467"/>
    <w:rsid w:val="00B95D0F"/>
    <w:rsid w:val="00B96042"/>
    <w:rsid w:val="00B963B1"/>
    <w:rsid w:val="00B97540"/>
    <w:rsid w:val="00BA0C5A"/>
    <w:rsid w:val="00BA0EED"/>
    <w:rsid w:val="00BA20D9"/>
    <w:rsid w:val="00BA28B6"/>
    <w:rsid w:val="00BA5CAC"/>
    <w:rsid w:val="00BA615E"/>
    <w:rsid w:val="00BA6AEB"/>
    <w:rsid w:val="00BA72F7"/>
    <w:rsid w:val="00BA76C6"/>
    <w:rsid w:val="00BA7A5F"/>
    <w:rsid w:val="00BA7C17"/>
    <w:rsid w:val="00BB1A7C"/>
    <w:rsid w:val="00BB23FB"/>
    <w:rsid w:val="00BB27BF"/>
    <w:rsid w:val="00BB2C8A"/>
    <w:rsid w:val="00BB3822"/>
    <w:rsid w:val="00BB4BBC"/>
    <w:rsid w:val="00BB57B5"/>
    <w:rsid w:val="00BB5A38"/>
    <w:rsid w:val="00BB732C"/>
    <w:rsid w:val="00BB7895"/>
    <w:rsid w:val="00BB78E7"/>
    <w:rsid w:val="00BB7B45"/>
    <w:rsid w:val="00BC001B"/>
    <w:rsid w:val="00BC05C8"/>
    <w:rsid w:val="00BC2557"/>
    <w:rsid w:val="00BC280F"/>
    <w:rsid w:val="00BC3396"/>
    <w:rsid w:val="00BC3E43"/>
    <w:rsid w:val="00BC56EB"/>
    <w:rsid w:val="00BC5828"/>
    <w:rsid w:val="00BC6995"/>
    <w:rsid w:val="00BC6BAE"/>
    <w:rsid w:val="00BC7CFE"/>
    <w:rsid w:val="00BD02E8"/>
    <w:rsid w:val="00BD03CD"/>
    <w:rsid w:val="00BD04EF"/>
    <w:rsid w:val="00BD0531"/>
    <w:rsid w:val="00BD1B5D"/>
    <w:rsid w:val="00BD1D56"/>
    <w:rsid w:val="00BD2DC3"/>
    <w:rsid w:val="00BD2F3F"/>
    <w:rsid w:val="00BD424A"/>
    <w:rsid w:val="00BD425F"/>
    <w:rsid w:val="00BD4804"/>
    <w:rsid w:val="00BD60AF"/>
    <w:rsid w:val="00BD6C51"/>
    <w:rsid w:val="00BD6D01"/>
    <w:rsid w:val="00BD6F2A"/>
    <w:rsid w:val="00BD78FA"/>
    <w:rsid w:val="00BE0055"/>
    <w:rsid w:val="00BE1152"/>
    <w:rsid w:val="00BE1EF2"/>
    <w:rsid w:val="00BE38B5"/>
    <w:rsid w:val="00BE485D"/>
    <w:rsid w:val="00BE4880"/>
    <w:rsid w:val="00BE4B86"/>
    <w:rsid w:val="00BE4BCB"/>
    <w:rsid w:val="00BE7107"/>
    <w:rsid w:val="00BE73CF"/>
    <w:rsid w:val="00BF0B78"/>
    <w:rsid w:val="00BF0CBB"/>
    <w:rsid w:val="00BF25FF"/>
    <w:rsid w:val="00BF3690"/>
    <w:rsid w:val="00BF5524"/>
    <w:rsid w:val="00BF5737"/>
    <w:rsid w:val="00BF57B7"/>
    <w:rsid w:val="00BF7E0A"/>
    <w:rsid w:val="00C000C3"/>
    <w:rsid w:val="00C01ACD"/>
    <w:rsid w:val="00C01C47"/>
    <w:rsid w:val="00C0200D"/>
    <w:rsid w:val="00C02EF4"/>
    <w:rsid w:val="00C03208"/>
    <w:rsid w:val="00C03502"/>
    <w:rsid w:val="00C04447"/>
    <w:rsid w:val="00C04555"/>
    <w:rsid w:val="00C0472A"/>
    <w:rsid w:val="00C04B7E"/>
    <w:rsid w:val="00C06191"/>
    <w:rsid w:val="00C065F4"/>
    <w:rsid w:val="00C06733"/>
    <w:rsid w:val="00C0744A"/>
    <w:rsid w:val="00C103FE"/>
    <w:rsid w:val="00C1117E"/>
    <w:rsid w:val="00C12431"/>
    <w:rsid w:val="00C149C9"/>
    <w:rsid w:val="00C16251"/>
    <w:rsid w:val="00C168CA"/>
    <w:rsid w:val="00C2135F"/>
    <w:rsid w:val="00C22365"/>
    <w:rsid w:val="00C22B8B"/>
    <w:rsid w:val="00C2413B"/>
    <w:rsid w:val="00C24917"/>
    <w:rsid w:val="00C256AC"/>
    <w:rsid w:val="00C26729"/>
    <w:rsid w:val="00C2681E"/>
    <w:rsid w:val="00C26B0F"/>
    <w:rsid w:val="00C270EE"/>
    <w:rsid w:val="00C27A33"/>
    <w:rsid w:val="00C30719"/>
    <w:rsid w:val="00C31228"/>
    <w:rsid w:val="00C312C9"/>
    <w:rsid w:val="00C327B9"/>
    <w:rsid w:val="00C332E7"/>
    <w:rsid w:val="00C33D1F"/>
    <w:rsid w:val="00C35522"/>
    <w:rsid w:val="00C355DE"/>
    <w:rsid w:val="00C3691D"/>
    <w:rsid w:val="00C37504"/>
    <w:rsid w:val="00C37B1E"/>
    <w:rsid w:val="00C403AC"/>
    <w:rsid w:val="00C406B5"/>
    <w:rsid w:val="00C41062"/>
    <w:rsid w:val="00C4132F"/>
    <w:rsid w:val="00C41A1C"/>
    <w:rsid w:val="00C41A75"/>
    <w:rsid w:val="00C4363F"/>
    <w:rsid w:val="00C43F21"/>
    <w:rsid w:val="00C4467F"/>
    <w:rsid w:val="00C4477F"/>
    <w:rsid w:val="00C464C6"/>
    <w:rsid w:val="00C470F8"/>
    <w:rsid w:val="00C47693"/>
    <w:rsid w:val="00C50287"/>
    <w:rsid w:val="00C506DA"/>
    <w:rsid w:val="00C51239"/>
    <w:rsid w:val="00C519CA"/>
    <w:rsid w:val="00C52B06"/>
    <w:rsid w:val="00C54152"/>
    <w:rsid w:val="00C56409"/>
    <w:rsid w:val="00C62250"/>
    <w:rsid w:val="00C62661"/>
    <w:rsid w:val="00C628F7"/>
    <w:rsid w:val="00C6439B"/>
    <w:rsid w:val="00C64C63"/>
    <w:rsid w:val="00C653E2"/>
    <w:rsid w:val="00C67A42"/>
    <w:rsid w:val="00C67B80"/>
    <w:rsid w:val="00C7121C"/>
    <w:rsid w:val="00C71939"/>
    <w:rsid w:val="00C726A9"/>
    <w:rsid w:val="00C72B59"/>
    <w:rsid w:val="00C7330C"/>
    <w:rsid w:val="00C7469F"/>
    <w:rsid w:val="00C74D44"/>
    <w:rsid w:val="00C76EA1"/>
    <w:rsid w:val="00C775B7"/>
    <w:rsid w:val="00C7790A"/>
    <w:rsid w:val="00C80533"/>
    <w:rsid w:val="00C80EB1"/>
    <w:rsid w:val="00C81B8C"/>
    <w:rsid w:val="00C822D7"/>
    <w:rsid w:val="00C84474"/>
    <w:rsid w:val="00C84993"/>
    <w:rsid w:val="00C85623"/>
    <w:rsid w:val="00C86ABA"/>
    <w:rsid w:val="00C87DE5"/>
    <w:rsid w:val="00C902A4"/>
    <w:rsid w:val="00C9180B"/>
    <w:rsid w:val="00C91AC9"/>
    <w:rsid w:val="00C9223B"/>
    <w:rsid w:val="00C9294F"/>
    <w:rsid w:val="00C934EF"/>
    <w:rsid w:val="00C936F5"/>
    <w:rsid w:val="00C93D1E"/>
    <w:rsid w:val="00C93E5E"/>
    <w:rsid w:val="00C9405E"/>
    <w:rsid w:val="00C945CC"/>
    <w:rsid w:val="00C95451"/>
    <w:rsid w:val="00C95A2D"/>
    <w:rsid w:val="00C96838"/>
    <w:rsid w:val="00C96E0D"/>
    <w:rsid w:val="00C96FDD"/>
    <w:rsid w:val="00CA0074"/>
    <w:rsid w:val="00CA06DB"/>
    <w:rsid w:val="00CA13B4"/>
    <w:rsid w:val="00CA14DD"/>
    <w:rsid w:val="00CA1670"/>
    <w:rsid w:val="00CA1D6D"/>
    <w:rsid w:val="00CA28E1"/>
    <w:rsid w:val="00CA4A7E"/>
    <w:rsid w:val="00CA504F"/>
    <w:rsid w:val="00CA562D"/>
    <w:rsid w:val="00CA6C9B"/>
    <w:rsid w:val="00CA7D39"/>
    <w:rsid w:val="00CB04AD"/>
    <w:rsid w:val="00CB0831"/>
    <w:rsid w:val="00CB0DA8"/>
    <w:rsid w:val="00CB0E0C"/>
    <w:rsid w:val="00CB1991"/>
    <w:rsid w:val="00CB2F92"/>
    <w:rsid w:val="00CB3773"/>
    <w:rsid w:val="00CB39E3"/>
    <w:rsid w:val="00CB41AF"/>
    <w:rsid w:val="00CB4382"/>
    <w:rsid w:val="00CB51D7"/>
    <w:rsid w:val="00CB573F"/>
    <w:rsid w:val="00CB712F"/>
    <w:rsid w:val="00CB71C2"/>
    <w:rsid w:val="00CB7B5C"/>
    <w:rsid w:val="00CC1497"/>
    <w:rsid w:val="00CC1498"/>
    <w:rsid w:val="00CC2BF2"/>
    <w:rsid w:val="00CC4451"/>
    <w:rsid w:val="00CC4AE6"/>
    <w:rsid w:val="00CC5DA7"/>
    <w:rsid w:val="00CC6081"/>
    <w:rsid w:val="00CC60EE"/>
    <w:rsid w:val="00CC753A"/>
    <w:rsid w:val="00CD0D43"/>
    <w:rsid w:val="00CD1137"/>
    <w:rsid w:val="00CD1C82"/>
    <w:rsid w:val="00CD23E3"/>
    <w:rsid w:val="00CD2BEC"/>
    <w:rsid w:val="00CD355F"/>
    <w:rsid w:val="00CD3767"/>
    <w:rsid w:val="00CD5BAC"/>
    <w:rsid w:val="00CD5F49"/>
    <w:rsid w:val="00CD69CB"/>
    <w:rsid w:val="00CD7599"/>
    <w:rsid w:val="00CE04BF"/>
    <w:rsid w:val="00CE337D"/>
    <w:rsid w:val="00CE3C8E"/>
    <w:rsid w:val="00CE59BB"/>
    <w:rsid w:val="00CE7586"/>
    <w:rsid w:val="00CF0B72"/>
    <w:rsid w:val="00CF1522"/>
    <w:rsid w:val="00CF2AE2"/>
    <w:rsid w:val="00CF36DD"/>
    <w:rsid w:val="00CF5C93"/>
    <w:rsid w:val="00CF5DCF"/>
    <w:rsid w:val="00CF6B64"/>
    <w:rsid w:val="00CF75ED"/>
    <w:rsid w:val="00D000A7"/>
    <w:rsid w:val="00D00296"/>
    <w:rsid w:val="00D00882"/>
    <w:rsid w:val="00D00A97"/>
    <w:rsid w:val="00D01823"/>
    <w:rsid w:val="00D01A57"/>
    <w:rsid w:val="00D02306"/>
    <w:rsid w:val="00D0247A"/>
    <w:rsid w:val="00D02659"/>
    <w:rsid w:val="00D027BE"/>
    <w:rsid w:val="00D02FA7"/>
    <w:rsid w:val="00D04E30"/>
    <w:rsid w:val="00D0505C"/>
    <w:rsid w:val="00D05F6B"/>
    <w:rsid w:val="00D06D43"/>
    <w:rsid w:val="00D06DA0"/>
    <w:rsid w:val="00D07C5A"/>
    <w:rsid w:val="00D12681"/>
    <w:rsid w:val="00D13078"/>
    <w:rsid w:val="00D13DAA"/>
    <w:rsid w:val="00D1465A"/>
    <w:rsid w:val="00D15119"/>
    <w:rsid w:val="00D15868"/>
    <w:rsid w:val="00D15B1E"/>
    <w:rsid w:val="00D16DB8"/>
    <w:rsid w:val="00D17D13"/>
    <w:rsid w:val="00D17F61"/>
    <w:rsid w:val="00D202B3"/>
    <w:rsid w:val="00D219C7"/>
    <w:rsid w:val="00D21E73"/>
    <w:rsid w:val="00D2242E"/>
    <w:rsid w:val="00D22478"/>
    <w:rsid w:val="00D228DF"/>
    <w:rsid w:val="00D229BF"/>
    <w:rsid w:val="00D24DAF"/>
    <w:rsid w:val="00D26E60"/>
    <w:rsid w:val="00D275E4"/>
    <w:rsid w:val="00D306FE"/>
    <w:rsid w:val="00D31A87"/>
    <w:rsid w:val="00D3351E"/>
    <w:rsid w:val="00D33B09"/>
    <w:rsid w:val="00D340C7"/>
    <w:rsid w:val="00D3490F"/>
    <w:rsid w:val="00D36CB0"/>
    <w:rsid w:val="00D4028D"/>
    <w:rsid w:val="00D42F0F"/>
    <w:rsid w:val="00D43047"/>
    <w:rsid w:val="00D433E6"/>
    <w:rsid w:val="00D43D2A"/>
    <w:rsid w:val="00D44CBA"/>
    <w:rsid w:val="00D44F22"/>
    <w:rsid w:val="00D454B2"/>
    <w:rsid w:val="00D45667"/>
    <w:rsid w:val="00D4720D"/>
    <w:rsid w:val="00D477FF"/>
    <w:rsid w:val="00D50449"/>
    <w:rsid w:val="00D50D1C"/>
    <w:rsid w:val="00D5103A"/>
    <w:rsid w:val="00D524B1"/>
    <w:rsid w:val="00D52F1C"/>
    <w:rsid w:val="00D5359C"/>
    <w:rsid w:val="00D5633E"/>
    <w:rsid w:val="00D565B8"/>
    <w:rsid w:val="00D566BF"/>
    <w:rsid w:val="00D572C5"/>
    <w:rsid w:val="00D57D9E"/>
    <w:rsid w:val="00D60848"/>
    <w:rsid w:val="00D62C6F"/>
    <w:rsid w:val="00D645E5"/>
    <w:rsid w:val="00D64773"/>
    <w:rsid w:val="00D655CF"/>
    <w:rsid w:val="00D664F9"/>
    <w:rsid w:val="00D66839"/>
    <w:rsid w:val="00D6767E"/>
    <w:rsid w:val="00D679BF"/>
    <w:rsid w:val="00D67BFA"/>
    <w:rsid w:val="00D67FE5"/>
    <w:rsid w:val="00D71C0C"/>
    <w:rsid w:val="00D71EBB"/>
    <w:rsid w:val="00D72178"/>
    <w:rsid w:val="00D7376F"/>
    <w:rsid w:val="00D73B80"/>
    <w:rsid w:val="00D73E51"/>
    <w:rsid w:val="00D748F3"/>
    <w:rsid w:val="00D75831"/>
    <w:rsid w:val="00D75A04"/>
    <w:rsid w:val="00D777A3"/>
    <w:rsid w:val="00D778DA"/>
    <w:rsid w:val="00D8001B"/>
    <w:rsid w:val="00D80B05"/>
    <w:rsid w:val="00D816D9"/>
    <w:rsid w:val="00D836B6"/>
    <w:rsid w:val="00D83BC0"/>
    <w:rsid w:val="00D83ED5"/>
    <w:rsid w:val="00D84E12"/>
    <w:rsid w:val="00D85CCC"/>
    <w:rsid w:val="00D861DE"/>
    <w:rsid w:val="00D86C1F"/>
    <w:rsid w:val="00D86F05"/>
    <w:rsid w:val="00D900D5"/>
    <w:rsid w:val="00D903BC"/>
    <w:rsid w:val="00D919DB"/>
    <w:rsid w:val="00D91D4D"/>
    <w:rsid w:val="00D92B6B"/>
    <w:rsid w:val="00D93457"/>
    <w:rsid w:val="00D939EE"/>
    <w:rsid w:val="00D93DB3"/>
    <w:rsid w:val="00D94F9C"/>
    <w:rsid w:val="00D94FD7"/>
    <w:rsid w:val="00D9773F"/>
    <w:rsid w:val="00DA186C"/>
    <w:rsid w:val="00DA2D47"/>
    <w:rsid w:val="00DA2E6B"/>
    <w:rsid w:val="00DA3037"/>
    <w:rsid w:val="00DA47E2"/>
    <w:rsid w:val="00DA5951"/>
    <w:rsid w:val="00DA64B8"/>
    <w:rsid w:val="00DA6861"/>
    <w:rsid w:val="00DA6983"/>
    <w:rsid w:val="00DA7C8A"/>
    <w:rsid w:val="00DB1A9A"/>
    <w:rsid w:val="00DB2D32"/>
    <w:rsid w:val="00DB3210"/>
    <w:rsid w:val="00DB3762"/>
    <w:rsid w:val="00DB39AA"/>
    <w:rsid w:val="00DB5A88"/>
    <w:rsid w:val="00DB6405"/>
    <w:rsid w:val="00DB656D"/>
    <w:rsid w:val="00DB7832"/>
    <w:rsid w:val="00DC02D3"/>
    <w:rsid w:val="00DC0749"/>
    <w:rsid w:val="00DC0861"/>
    <w:rsid w:val="00DC0E5B"/>
    <w:rsid w:val="00DC0F0D"/>
    <w:rsid w:val="00DC13BD"/>
    <w:rsid w:val="00DC174C"/>
    <w:rsid w:val="00DC20C5"/>
    <w:rsid w:val="00DC2225"/>
    <w:rsid w:val="00DC2B79"/>
    <w:rsid w:val="00DC3257"/>
    <w:rsid w:val="00DC34B9"/>
    <w:rsid w:val="00DC468D"/>
    <w:rsid w:val="00DC7AAB"/>
    <w:rsid w:val="00DC7C18"/>
    <w:rsid w:val="00DD0D54"/>
    <w:rsid w:val="00DD21D9"/>
    <w:rsid w:val="00DD23A1"/>
    <w:rsid w:val="00DD2821"/>
    <w:rsid w:val="00DD3697"/>
    <w:rsid w:val="00DD36F6"/>
    <w:rsid w:val="00DD4DFD"/>
    <w:rsid w:val="00DD56E7"/>
    <w:rsid w:val="00DD660D"/>
    <w:rsid w:val="00DE01EE"/>
    <w:rsid w:val="00DE03F6"/>
    <w:rsid w:val="00DE2B0D"/>
    <w:rsid w:val="00DE33F2"/>
    <w:rsid w:val="00DE3706"/>
    <w:rsid w:val="00DE5918"/>
    <w:rsid w:val="00DE612A"/>
    <w:rsid w:val="00DE70EE"/>
    <w:rsid w:val="00DE726C"/>
    <w:rsid w:val="00DF03A8"/>
    <w:rsid w:val="00DF0DFE"/>
    <w:rsid w:val="00DF1B44"/>
    <w:rsid w:val="00DF2F41"/>
    <w:rsid w:val="00DF3142"/>
    <w:rsid w:val="00DF3610"/>
    <w:rsid w:val="00DF3854"/>
    <w:rsid w:val="00DF3D00"/>
    <w:rsid w:val="00DF58DD"/>
    <w:rsid w:val="00DF625F"/>
    <w:rsid w:val="00DF6293"/>
    <w:rsid w:val="00DF6FA0"/>
    <w:rsid w:val="00DF7466"/>
    <w:rsid w:val="00DF76F6"/>
    <w:rsid w:val="00E0111A"/>
    <w:rsid w:val="00E0146C"/>
    <w:rsid w:val="00E0215F"/>
    <w:rsid w:val="00E0347A"/>
    <w:rsid w:val="00E05A7E"/>
    <w:rsid w:val="00E05B4A"/>
    <w:rsid w:val="00E06E96"/>
    <w:rsid w:val="00E06EA8"/>
    <w:rsid w:val="00E10C39"/>
    <w:rsid w:val="00E113B1"/>
    <w:rsid w:val="00E114CF"/>
    <w:rsid w:val="00E11560"/>
    <w:rsid w:val="00E11D17"/>
    <w:rsid w:val="00E128E2"/>
    <w:rsid w:val="00E15956"/>
    <w:rsid w:val="00E15F6D"/>
    <w:rsid w:val="00E16C43"/>
    <w:rsid w:val="00E171A4"/>
    <w:rsid w:val="00E17C5D"/>
    <w:rsid w:val="00E2073E"/>
    <w:rsid w:val="00E2183A"/>
    <w:rsid w:val="00E2188E"/>
    <w:rsid w:val="00E23766"/>
    <w:rsid w:val="00E23963"/>
    <w:rsid w:val="00E23BBC"/>
    <w:rsid w:val="00E24848"/>
    <w:rsid w:val="00E251A5"/>
    <w:rsid w:val="00E2597A"/>
    <w:rsid w:val="00E26017"/>
    <w:rsid w:val="00E26B01"/>
    <w:rsid w:val="00E2744C"/>
    <w:rsid w:val="00E2798C"/>
    <w:rsid w:val="00E27A18"/>
    <w:rsid w:val="00E307F9"/>
    <w:rsid w:val="00E317E7"/>
    <w:rsid w:val="00E317EA"/>
    <w:rsid w:val="00E32346"/>
    <w:rsid w:val="00E33772"/>
    <w:rsid w:val="00E33FBD"/>
    <w:rsid w:val="00E34257"/>
    <w:rsid w:val="00E34269"/>
    <w:rsid w:val="00E3529B"/>
    <w:rsid w:val="00E365E6"/>
    <w:rsid w:val="00E36A49"/>
    <w:rsid w:val="00E37441"/>
    <w:rsid w:val="00E37967"/>
    <w:rsid w:val="00E4332B"/>
    <w:rsid w:val="00E4383E"/>
    <w:rsid w:val="00E43844"/>
    <w:rsid w:val="00E451D0"/>
    <w:rsid w:val="00E464AF"/>
    <w:rsid w:val="00E46563"/>
    <w:rsid w:val="00E468F1"/>
    <w:rsid w:val="00E469BC"/>
    <w:rsid w:val="00E46CE3"/>
    <w:rsid w:val="00E500A7"/>
    <w:rsid w:val="00E529EF"/>
    <w:rsid w:val="00E5457B"/>
    <w:rsid w:val="00E5493D"/>
    <w:rsid w:val="00E552F8"/>
    <w:rsid w:val="00E557A5"/>
    <w:rsid w:val="00E56AF7"/>
    <w:rsid w:val="00E56E5C"/>
    <w:rsid w:val="00E57695"/>
    <w:rsid w:val="00E602A2"/>
    <w:rsid w:val="00E6193B"/>
    <w:rsid w:val="00E63E5B"/>
    <w:rsid w:val="00E660CD"/>
    <w:rsid w:val="00E669B4"/>
    <w:rsid w:val="00E66D4E"/>
    <w:rsid w:val="00E70126"/>
    <w:rsid w:val="00E709FE"/>
    <w:rsid w:val="00E70B66"/>
    <w:rsid w:val="00E7149B"/>
    <w:rsid w:val="00E719EB"/>
    <w:rsid w:val="00E71A22"/>
    <w:rsid w:val="00E722DE"/>
    <w:rsid w:val="00E72E98"/>
    <w:rsid w:val="00E74064"/>
    <w:rsid w:val="00E7457E"/>
    <w:rsid w:val="00E76EDF"/>
    <w:rsid w:val="00E776F4"/>
    <w:rsid w:val="00E80E6F"/>
    <w:rsid w:val="00E82232"/>
    <w:rsid w:val="00E8251C"/>
    <w:rsid w:val="00E83BF4"/>
    <w:rsid w:val="00E8439E"/>
    <w:rsid w:val="00E85690"/>
    <w:rsid w:val="00E863C9"/>
    <w:rsid w:val="00E86FA2"/>
    <w:rsid w:val="00E875C0"/>
    <w:rsid w:val="00E9034D"/>
    <w:rsid w:val="00E90429"/>
    <w:rsid w:val="00E916B7"/>
    <w:rsid w:val="00E91BC9"/>
    <w:rsid w:val="00E91D14"/>
    <w:rsid w:val="00E92355"/>
    <w:rsid w:val="00E92CB7"/>
    <w:rsid w:val="00E930D7"/>
    <w:rsid w:val="00E94246"/>
    <w:rsid w:val="00E9434D"/>
    <w:rsid w:val="00E94CDC"/>
    <w:rsid w:val="00E9515B"/>
    <w:rsid w:val="00E96A43"/>
    <w:rsid w:val="00EA00FB"/>
    <w:rsid w:val="00EA3397"/>
    <w:rsid w:val="00EA3F6F"/>
    <w:rsid w:val="00EA405B"/>
    <w:rsid w:val="00EA4186"/>
    <w:rsid w:val="00EA47B8"/>
    <w:rsid w:val="00EA550B"/>
    <w:rsid w:val="00EA5C3B"/>
    <w:rsid w:val="00EA5C73"/>
    <w:rsid w:val="00EA64C7"/>
    <w:rsid w:val="00EA6706"/>
    <w:rsid w:val="00EA7155"/>
    <w:rsid w:val="00EA7845"/>
    <w:rsid w:val="00EB0B02"/>
    <w:rsid w:val="00EB1D07"/>
    <w:rsid w:val="00EB2D9A"/>
    <w:rsid w:val="00EB3CDA"/>
    <w:rsid w:val="00EB4281"/>
    <w:rsid w:val="00EB54FB"/>
    <w:rsid w:val="00EB6983"/>
    <w:rsid w:val="00EB7689"/>
    <w:rsid w:val="00EC14AC"/>
    <w:rsid w:val="00EC15E9"/>
    <w:rsid w:val="00EC16C1"/>
    <w:rsid w:val="00EC2145"/>
    <w:rsid w:val="00EC28CD"/>
    <w:rsid w:val="00EC2CA5"/>
    <w:rsid w:val="00EC2DBD"/>
    <w:rsid w:val="00EC491C"/>
    <w:rsid w:val="00EC5CC0"/>
    <w:rsid w:val="00EC6C93"/>
    <w:rsid w:val="00EC71B5"/>
    <w:rsid w:val="00EC7A14"/>
    <w:rsid w:val="00ED0C44"/>
    <w:rsid w:val="00ED33EA"/>
    <w:rsid w:val="00ED3CBF"/>
    <w:rsid w:val="00ED3E19"/>
    <w:rsid w:val="00ED66C9"/>
    <w:rsid w:val="00ED6CC4"/>
    <w:rsid w:val="00ED74B2"/>
    <w:rsid w:val="00ED78B7"/>
    <w:rsid w:val="00EE1E7B"/>
    <w:rsid w:val="00EE2330"/>
    <w:rsid w:val="00EE2718"/>
    <w:rsid w:val="00EE29B8"/>
    <w:rsid w:val="00EE30F5"/>
    <w:rsid w:val="00EE338B"/>
    <w:rsid w:val="00EE4EA3"/>
    <w:rsid w:val="00EE5C51"/>
    <w:rsid w:val="00EE5E3D"/>
    <w:rsid w:val="00EE5E78"/>
    <w:rsid w:val="00EE6226"/>
    <w:rsid w:val="00EE6AAC"/>
    <w:rsid w:val="00EE6BF4"/>
    <w:rsid w:val="00EE6DA6"/>
    <w:rsid w:val="00EE73C3"/>
    <w:rsid w:val="00EF046F"/>
    <w:rsid w:val="00EF0774"/>
    <w:rsid w:val="00EF0866"/>
    <w:rsid w:val="00EF2A36"/>
    <w:rsid w:val="00EF3006"/>
    <w:rsid w:val="00EF3EA6"/>
    <w:rsid w:val="00EF4135"/>
    <w:rsid w:val="00EF4593"/>
    <w:rsid w:val="00EF4989"/>
    <w:rsid w:val="00EF512C"/>
    <w:rsid w:val="00EF5D35"/>
    <w:rsid w:val="00EF6057"/>
    <w:rsid w:val="00EF6E2D"/>
    <w:rsid w:val="00EF74DF"/>
    <w:rsid w:val="00F010AC"/>
    <w:rsid w:val="00F01683"/>
    <w:rsid w:val="00F01A57"/>
    <w:rsid w:val="00F02606"/>
    <w:rsid w:val="00F02A8A"/>
    <w:rsid w:val="00F03FEA"/>
    <w:rsid w:val="00F0437E"/>
    <w:rsid w:val="00F04539"/>
    <w:rsid w:val="00F058D8"/>
    <w:rsid w:val="00F0606A"/>
    <w:rsid w:val="00F0644B"/>
    <w:rsid w:val="00F079A7"/>
    <w:rsid w:val="00F07C49"/>
    <w:rsid w:val="00F10116"/>
    <w:rsid w:val="00F10BC6"/>
    <w:rsid w:val="00F11516"/>
    <w:rsid w:val="00F131E2"/>
    <w:rsid w:val="00F135E4"/>
    <w:rsid w:val="00F13868"/>
    <w:rsid w:val="00F1408B"/>
    <w:rsid w:val="00F140A4"/>
    <w:rsid w:val="00F147B6"/>
    <w:rsid w:val="00F14D14"/>
    <w:rsid w:val="00F16282"/>
    <w:rsid w:val="00F164CB"/>
    <w:rsid w:val="00F16D30"/>
    <w:rsid w:val="00F16E13"/>
    <w:rsid w:val="00F16FF2"/>
    <w:rsid w:val="00F17708"/>
    <w:rsid w:val="00F17A61"/>
    <w:rsid w:val="00F200A0"/>
    <w:rsid w:val="00F20E3F"/>
    <w:rsid w:val="00F23141"/>
    <w:rsid w:val="00F250C7"/>
    <w:rsid w:val="00F25F1A"/>
    <w:rsid w:val="00F304B1"/>
    <w:rsid w:val="00F3125F"/>
    <w:rsid w:val="00F313DF"/>
    <w:rsid w:val="00F31F69"/>
    <w:rsid w:val="00F31FEC"/>
    <w:rsid w:val="00F3211A"/>
    <w:rsid w:val="00F32426"/>
    <w:rsid w:val="00F328E7"/>
    <w:rsid w:val="00F329F0"/>
    <w:rsid w:val="00F338CE"/>
    <w:rsid w:val="00F34CA0"/>
    <w:rsid w:val="00F35321"/>
    <w:rsid w:val="00F358DE"/>
    <w:rsid w:val="00F359E5"/>
    <w:rsid w:val="00F35B49"/>
    <w:rsid w:val="00F36636"/>
    <w:rsid w:val="00F369E5"/>
    <w:rsid w:val="00F36B68"/>
    <w:rsid w:val="00F40690"/>
    <w:rsid w:val="00F40DFC"/>
    <w:rsid w:val="00F43A0F"/>
    <w:rsid w:val="00F43F52"/>
    <w:rsid w:val="00F448B0"/>
    <w:rsid w:val="00F450DF"/>
    <w:rsid w:val="00F45773"/>
    <w:rsid w:val="00F45C84"/>
    <w:rsid w:val="00F45D91"/>
    <w:rsid w:val="00F464FD"/>
    <w:rsid w:val="00F47CCA"/>
    <w:rsid w:val="00F5007C"/>
    <w:rsid w:val="00F5148A"/>
    <w:rsid w:val="00F517AF"/>
    <w:rsid w:val="00F51BF7"/>
    <w:rsid w:val="00F5283B"/>
    <w:rsid w:val="00F52D54"/>
    <w:rsid w:val="00F53E98"/>
    <w:rsid w:val="00F542CB"/>
    <w:rsid w:val="00F54F71"/>
    <w:rsid w:val="00F55670"/>
    <w:rsid w:val="00F55D01"/>
    <w:rsid w:val="00F57D17"/>
    <w:rsid w:val="00F600E4"/>
    <w:rsid w:val="00F609B7"/>
    <w:rsid w:val="00F616A7"/>
    <w:rsid w:val="00F616FB"/>
    <w:rsid w:val="00F61969"/>
    <w:rsid w:val="00F620B6"/>
    <w:rsid w:val="00F62BF7"/>
    <w:rsid w:val="00F631C4"/>
    <w:rsid w:val="00F63A5B"/>
    <w:rsid w:val="00F63B99"/>
    <w:rsid w:val="00F63E67"/>
    <w:rsid w:val="00F64C68"/>
    <w:rsid w:val="00F65E70"/>
    <w:rsid w:val="00F6637B"/>
    <w:rsid w:val="00F70122"/>
    <w:rsid w:val="00F70862"/>
    <w:rsid w:val="00F72247"/>
    <w:rsid w:val="00F72560"/>
    <w:rsid w:val="00F7342F"/>
    <w:rsid w:val="00F73477"/>
    <w:rsid w:val="00F73FF0"/>
    <w:rsid w:val="00F742DA"/>
    <w:rsid w:val="00F7481E"/>
    <w:rsid w:val="00F74A30"/>
    <w:rsid w:val="00F76168"/>
    <w:rsid w:val="00F76A6B"/>
    <w:rsid w:val="00F77D76"/>
    <w:rsid w:val="00F82004"/>
    <w:rsid w:val="00F8289C"/>
    <w:rsid w:val="00F82F57"/>
    <w:rsid w:val="00F85430"/>
    <w:rsid w:val="00F86FCC"/>
    <w:rsid w:val="00F870DF"/>
    <w:rsid w:val="00F879AF"/>
    <w:rsid w:val="00F90853"/>
    <w:rsid w:val="00F91579"/>
    <w:rsid w:val="00F91BE5"/>
    <w:rsid w:val="00F91F02"/>
    <w:rsid w:val="00F93561"/>
    <w:rsid w:val="00F945EB"/>
    <w:rsid w:val="00F94AC2"/>
    <w:rsid w:val="00F95253"/>
    <w:rsid w:val="00F96A30"/>
    <w:rsid w:val="00F96D77"/>
    <w:rsid w:val="00F96E16"/>
    <w:rsid w:val="00FA022D"/>
    <w:rsid w:val="00FA08A8"/>
    <w:rsid w:val="00FA0911"/>
    <w:rsid w:val="00FA16C0"/>
    <w:rsid w:val="00FA2820"/>
    <w:rsid w:val="00FA3631"/>
    <w:rsid w:val="00FA7590"/>
    <w:rsid w:val="00FA760C"/>
    <w:rsid w:val="00FA7E2F"/>
    <w:rsid w:val="00FB0193"/>
    <w:rsid w:val="00FB043D"/>
    <w:rsid w:val="00FB127A"/>
    <w:rsid w:val="00FB1CCC"/>
    <w:rsid w:val="00FB2295"/>
    <w:rsid w:val="00FB3414"/>
    <w:rsid w:val="00FB4C3C"/>
    <w:rsid w:val="00FB4D7F"/>
    <w:rsid w:val="00FB5924"/>
    <w:rsid w:val="00FB5EF1"/>
    <w:rsid w:val="00FB6193"/>
    <w:rsid w:val="00FB6A2A"/>
    <w:rsid w:val="00FB7347"/>
    <w:rsid w:val="00FC07BA"/>
    <w:rsid w:val="00FC0AC6"/>
    <w:rsid w:val="00FC0BFE"/>
    <w:rsid w:val="00FC20ED"/>
    <w:rsid w:val="00FC26F6"/>
    <w:rsid w:val="00FC2A79"/>
    <w:rsid w:val="00FC3965"/>
    <w:rsid w:val="00FC442A"/>
    <w:rsid w:val="00FC5C28"/>
    <w:rsid w:val="00FC6396"/>
    <w:rsid w:val="00FC682B"/>
    <w:rsid w:val="00FC6A44"/>
    <w:rsid w:val="00FC7EF5"/>
    <w:rsid w:val="00FD030F"/>
    <w:rsid w:val="00FD046C"/>
    <w:rsid w:val="00FD1669"/>
    <w:rsid w:val="00FD1863"/>
    <w:rsid w:val="00FD239D"/>
    <w:rsid w:val="00FD2BEA"/>
    <w:rsid w:val="00FD2FFF"/>
    <w:rsid w:val="00FD37A4"/>
    <w:rsid w:val="00FD3FDB"/>
    <w:rsid w:val="00FD47D2"/>
    <w:rsid w:val="00FD4BBE"/>
    <w:rsid w:val="00FD4CE5"/>
    <w:rsid w:val="00FD51F6"/>
    <w:rsid w:val="00FD622D"/>
    <w:rsid w:val="00FD66D5"/>
    <w:rsid w:val="00FD6C7F"/>
    <w:rsid w:val="00FD6E7E"/>
    <w:rsid w:val="00FD7D61"/>
    <w:rsid w:val="00FE04A7"/>
    <w:rsid w:val="00FE0B51"/>
    <w:rsid w:val="00FE286A"/>
    <w:rsid w:val="00FE3366"/>
    <w:rsid w:val="00FE4396"/>
    <w:rsid w:val="00FE4712"/>
    <w:rsid w:val="00FE4817"/>
    <w:rsid w:val="00FE482D"/>
    <w:rsid w:val="00FE5952"/>
    <w:rsid w:val="00FE7B07"/>
    <w:rsid w:val="00FF1E5C"/>
    <w:rsid w:val="00FF24AF"/>
    <w:rsid w:val="00FF2782"/>
    <w:rsid w:val="00FF5033"/>
    <w:rsid w:val="00FF5BF8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16390"/>
  <w15:docId w15:val="{A78CDBFA-8D48-4A4F-A831-98F2BF28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E2"/>
  </w:style>
  <w:style w:type="paragraph" w:styleId="Heading1">
    <w:name w:val="heading 1"/>
    <w:basedOn w:val="Normal"/>
    <w:next w:val="Normal"/>
    <w:link w:val="Heading1Char"/>
    <w:qFormat/>
    <w:rsid w:val="000719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32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9B0133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0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58D8"/>
    <w:rPr>
      <w:rFonts w:ascii="Tahoma" w:hAnsi="Tahoma" w:cs="Tahoma"/>
      <w:sz w:val="16"/>
      <w:szCs w:val="16"/>
    </w:rPr>
  </w:style>
  <w:style w:type="paragraph" w:customStyle="1" w:styleId="doc-ti">
    <w:name w:val="doc-ti"/>
    <w:basedOn w:val="Normal"/>
    <w:rsid w:val="00F0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basedOn w:val="Normal"/>
    <w:rsid w:val="00F0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">
    <w:name w:val="super"/>
    <w:basedOn w:val="DefaultParagraphFont"/>
    <w:rsid w:val="00F058D8"/>
  </w:style>
  <w:style w:type="paragraph" w:customStyle="1" w:styleId="ti-art">
    <w:name w:val="ti-art"/>
    <w:basedOn w:val="Normal"/>
    <w:rsid w:val="00F0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37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3773"/>
  </w:style>
  <w:style w:type="paragraph" w:customStyle="1" w:styleId="signatory">
    <w:name w:val="signatory"/>
    <w:basedOn w:val="Normal"/>
    <w:rsid w:val="00CB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CB3773"/>
  </w:style>
  <w:style w:type="paragraph" w:customStyle="1" w:styleId="note">
    <w:name w:val="note"/>
    <w:basedOn w:val="Normal"/>
    <w:rsid w:val="00CB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7B8"/>
    <w:pPr>
      <w:ind w:left="720"/>
      <w:contextualSpacing/>
    </w:pPr>
  </w:style>
  <w:style w:type="paragraph" w:customStyle="1" w:styleId="Default">
    <w:name w:val="Default"/>
    <w:rsid w:val="00C1243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124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6193B"/>
    <w:rPr>
      <w:b/>
      <w:bCs/>
    </w:rPr>
  </w:style>
  <w:style w:type="table" w:styleId="TableGrid">
    <w:name w:val="Table Grid"/>
    <w:basedOn w:val="TableNormal"/>
    <w:uiPriority w:val="39"/>
    <w:rsid w:val="008F7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bl-norm">
    <w:name w:val="tbl-norm"/>
    <w:basedOn w:val="Normal"/>
    <w:rsid w:val="00AD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left">
    <w:name w:val="tbl-left"/>
    <w:basedOn w:val="Normal"/>
    <w:rsid w:val="00AD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1E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63966"/>
    <w:rPr>
      <w:color w:val="808080"/>
    </w:rPr>
  </w:style>
  <w:style w:type="paragraph" w:styleId="Header">
    <w:name w:val="header"/>
    <w:basedOn w:val="Normal"/>
    <w:link w:val="HeaderChar"/>
    <w:unhideWhenUsed/>
    <w:rsid w:val="00BE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4880"/>
  </w:style>
  <w:style w:type="paragraph" w:styleId="Footer">
    <w:name w:val="footer"/>
    <w:basedOn w:val="Normal"/>
    <w:link w:val="FooterChar"/>
    <w:unhideWhenUsed/>
    <w:rsid w:val="00BE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E4880"/>
  </w:style>
  <w:style w:type="character" w:styleId="FootnoteReference">
    <w:name w:val="footnote reference"/>
    <w:basedOn w:val="DefaultParagraphFont"/>
    <w:semiHidden/>
    <w:rsid w:val="00B320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320B4"/>
    <w:pPr>
      <w:spacing w:after="0" w:line="240" w:lineRule="auto"/>
    </w:pPr>
    <w:rPr>
      <w:rFonts w:ascii="Arial" w:eastAsia="Times New Roman" w:hAnsi="Arial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B320B4"/>
    <w:rPr>
      <w:rFonts w:ascii="Arial" w:eastAsia="Times New Roman" w:hAnsi="Arial" w:cs="Times New Roman"/>
      <w:sz w:val="20"/>
      <w:szCs w:val="20"/>
      <w:lang w:val="ro-RO" w:eastAsia="ro-RO"/>
    </w:rPr>
  </w:style>
  <w:style w:type="character" w:styleId="PageNumber">
    <w:name w:val="page number"/>
    <w:basedOn w:val="DefaultParagraphFont"/>
    <w:rsid w:val="00B320B4"/>
  </w:style>
  <w:style w:type="paragraph" w:styleId="DocumentMap">
    <w:name w:val="Document Map"/>
    <w:basedOn w:val="Normal"/>
    <w:link w:val="DocumentMapChar"/>
    <w:semiHidden/>
    <w:rsid w:val="00B320B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o-RO" w:eastAsia="ro-RO"/>
    </w:rPr>
  </w:style>
  <w:style w:type="character" w:customStyle="1" w:styleId="DocumentMapChar">
    <w:name w:val="Document Map Char"/>
    <w:basedOn w:val="DefaultParagraphFont"/>
    <w:link w:val="DocumentMap"/>
    <w:semiHidden/>
    <w:rsid w:val="00B320B4"/>
    <w:rPr>
      <w:rFonts w:ascii="Tahoma" w:eastAsia="Times New Roman" w:hAnsi="Tahoma" w:cs="Tahoma"/>
      <w:sz w:val="20"/>
      <w:szCs w:val="20"/>
      <w:shd w:val="clear" w:color="auto" w:fill="000080"/>
      <w:lang w:val="ro-RO" w:eastAsia="ro-RO"/>
    </w:rPr>
  </w:style>
  <w:style w:type="paragraph" w:customStyle="1" w:styleId="ti-tbl">
    <w:name w:val="ti-tbl"/>
    <w:basedOn w:val="Normal"/>
    <w:rsid w:val="00FC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Normal"/>
    <w:rsid w:val="00FC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num">
    <w:name w:val="tbl-num"/>
    <w:basedOn w:val="Normal"/>
    <w:rsid w:val="00FC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FC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BC2557"/>
  </w:style>
  <w:style w:type="paragraph" w:customStyle="1" w:styleId="cb">
    <w:name w:val="cb"/>
    <w:basedOn w:val="Normal"/>
    <w:rsid w:val="008A5F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itle-gr-seq-level-1">
    <w:name w:val="title-gr-seq-level-1"/>
    <w:basedOn w:val="Normal"/>
    <w:rsid w:val="007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face">
    <w:name w:val="boldface"/>
    <w:basedOn w:val="DefaultParagraphFont"/>
    <w:rsid w:val="007546F4"/>
  </w:style>
  <w:style w:type="paragraph" w:styleId="NormalWeb">
    <w:name w:val="Normal (Web)"/>
    <w:basedOn w:val="Normal"/>
    <w:uiPriority w:val="99"/>
    <w:unhideWhenUsed/>
    <w:rsid w:val="007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Normal"/>
    <w:rsid w:val="007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0E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section-1">
    <w:name w:val="ti-section-1"/>
    <w:basedOn w:val="Normal"/>
    <w:rsid w:val="000E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section-2">
    <w:name w:val="ti-section-2"/>
    <w:basedOn w:val="Normal"/>
    <w:rsid w:val="000E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x1">
    <w:name w:val="ax1"/>
    <w:rsid w:val="000601D9"/>
    <w:rPr>
      <w:b/>
      <w:bCs/>
      <w:sz w:val="26"/>
      <w:szCs w:val="26"/>
    </w:rPr>
  </w:style>
  <w:style w:type="paragraph" w:customStyle="1" w:styleId="pb">
    <w:name w:val="pb"/>
    <w:basedOn w:val="Normal"/>
    <w:rsid w:val="000601D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Textodstavce">
    <w:name w:val="Text odstavce"/>
    <w:basedOn w:val="Normal"/>
    <w:rsid w:val="008E425D"/>
    <w:pPr>
      <w:tabs>
        <w:tab w:val="num" w:pos="785"/>
        <w:tab w:val="left" w:pos="851"/>
      </w:tabs>
      <w:spacing w:before="120" w:after="120" w:line="240" w:lineRule="auto"/>
      <w:ind w:firstLine="425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19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997"/>
  </w:style>
  <w:style w:type="character" w:customStyle="1" w:styleId="Heading1Char">
    <w:name w:val="Heading 1 Char"/>
    <w:basedOn w:val="DefaultParagraphFont"/>
    <w:link w:val="Heading1"/>
    <w:rsid w:val="00071997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customStyle="1" w:styleId="Rdka3">
    <w:name w:val="Rádka 3"/>
    <w:basedOn w:val="Normal"/>
    <w:rsid w:val="00071997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ucnestred9">
    <w:name w:val="tucne stred 9"/>
    <w:basedOn w:val="Normal"/>
    <w:rsid w:val="00071997"/>
    <w:pPr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rsid w:val="006C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rsid w:val="006C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gr-seq-level-3">
    <w:name w:val="title-gr-seq-level-3"/>
    <w:basedOn w:val="Normal"/>
    <w:rsid w:val="0052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DefaultParagraphFont"/>
    <w:rsid w:val="005208D7"/>
  </w:style>
  <w:style w:type="paragraph" w:customStyle="1" w:styleId="modref">
    <w:name w:val="modref"/>
    <w:basedOn w:val="Normal"/>
    <w:rsid w:val="0052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6258E3"/>
    <w:pPr>
      <w:numPr>
        <w:numId w:val="2"/>
      </w:numPr>
      <w:contextualSpacing/>
    </w:pPr>
  </w:style>
  <w:style w:type="character" w:customStyle="1" w:styleId="docsign1">
    <w:name w:val="doc_sign1"/>
    <w:basedOn w:val="DefaultParagraphFont"/>
    <w:rsid w:val="00E91BC9"/>
  </w:style>
  <w:style w:type="character" w:customStyle="1" w:styleId="docheader">
    <w:name w:val="doc_header"/>
    <w:basedOn w:val="DefaultParagraphFont"/>
    <w:rsid w:val="005C18A9"/>
  </w:style>
  <w:style w:type="paragraph" w:customStyle="1" w:styleId="2">
    <w:name w:val="Обычный2"/>
    <w:basedOn w:val="Normal"/>
    <w:rsid w:val="0094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бычный3"/>
    <w:basedOn w:val="Normal"/>
    <w:rsid w:val="0010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1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E87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B32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n">
    <w:name w:val="cn"/>
    <w:basedOn w:val="Normal"/>
    <w:rsid w:val="00340812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B4382"/>
  </w:style>
  <w:style w:type="paragraph" w:customStyle="1" w:styleId="tbl-hdr">
    <w:name w:val="tbl-hdr"/>
    <w:basedOn w:val="Normal"/>
    <w:rsid w:val="00CB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Обычный4"/>
    <w:basedOn w:val="Normal"/>
    <w:rsid w:val="0005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s">
    <w:name w:val="italics"/>
    <w:basedOn w:val="DefaultParagraphFont"/>
    <w:rsid w:val="00F0644B"/>
  </w:style>
  <w:style w:type="character" w:customStyle="1" w:styleId="object">
    <w:name w:val="object"/>
    <w:basedOn w:val="DefaultParagraphFont"/>
    <w:rsid w:val="00273EED"/>
  </w:style>
  <w:style w:type="paragraph" w:customStyle="1" w:styleId="rg">
    <w:name w:val="rg"/>
    <w:basedOn w:val="Normal"/>
    <w:rsid w:val="00CD5F4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C7330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119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0133"/>
    <w:rPr>
      <w:rFonts w:ascii="Calibri" w:eastAsia="Calibri" w:hAnsi="Calibri" w:cs="Times New Roman"/>
      <w:i/>
      <w:iCs/>
      <w:sz w:val="24"/>
      <w:szCs w:val="24"/>
    </w:rPr>
  </w:style>
  <w:style w:type="numbering" w:customStyle="1" w:styleId="NoList1">
    <w:name w:val="No List1"/>
    <w:next w:val="NoList"/>
    <w:semiHidden/>
    <w:unhideWhenUsed/>
    <w:rsid w:val="009B0133"/>
  </w:style>
  <w:style w:type="paragraph" w:customStyle="1" w:styleId="ListParagraph1">
    <w:name w:val="List Paragraph1"/>
    <w:basedOn w:val="Normal"/>
    <w:rsid w:val="009B0133"/>
    <w:pPr>
      <w:ind w:left="720"/>
    </w:pPr>
    <w:rPr>
      <w:rFonts w:ascii="Calibri" w:eastAsia="Times New Roman" w:hAnsi="Calibri" w:cs="Times New Roman"/>
      <w:lang w:val="ro-RO" w:eastAsia="en-US"/>
    </w:rPr>
  </w:style>
  <w:style w:type="paragraph" w:customStyle="1" w:styleId="NoSpacing1">
    <w:name w:val="No Spacing1"/>
    <w:rsid w:val="009B0133"/>
    <w:pPr>
      <w:spacing w:after="0" w:line="240" w:lineRule="auto"/>
    </w:pPr>
    <w:rPr>
      <w:rFonts w:ascii="Calibri" w:eastAsia="Times New Roman" w:hAnsi="Calibri" w:cs="Times New Roman"/>
      <w:lang w:val="ro-RO" w:eastAsia="en-US"/>
    </w:rPr>
  </w:style>
  <w:style w:type="paragraph" w:styleId="NormalIndent">
    <w:name w:val="Normal Indent"/>
    <w:basedOn w:val="Normal"/>
    <w:rsid w:val="009B013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de-DE" w:eastAsia="de-DE"/>
    </w:rPr>
  </w:style>
  <w:style w:type="table" w:customStyle="1" w:styleId="TableGrid1">
    <w:name w:val="Table Grid1"/>
    <w:basedOn w:val="TableNormal"/>
    <w:next w:val="TableGrid"/>
    <w:rsid w:val="009B0133"/>
    <w:pPr>
      <w:spacing w:after="0" w:line="240" w:lineRule="auto"/>
    </w:pPr>
    <w:rPr>
      <w:rFonts w:ascii="Calibri" w:eastAsia="Calibri" w:hAnsi="Calibri" w:cs="Times New Roman"/>
      <w:sz w:val="20"/>
      <w:szCs w:val="20"/>
      <w:lang w:val="ro-MD" w:eastAsia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0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3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831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844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646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9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686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2960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922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8229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2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9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69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28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2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38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2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6853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828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713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506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FE1C3-68CF-494A-AEA5-42AAE3C2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4471</Words>
  <Characters>28883</Characters>
  <Application>Microsoft Office Word</Application>
  <DocSecurity>0</DocSecurity>
  <Lines>1444</Lines>
  <Paragraphs>1191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CNSP</Company>
  <LinksUpToDate>false</LinksUpToDate>
  <CharactersWithSpaces>32163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Lina Gudima</cp:lastModifiedBy>
  <cp:revision>12</cp:revision>
  <cp:lastPrinted>2023-02-03T14:40:00Z</cp:lastPrinted>
  <dcterms:created xsi:type="dcterms:W3CDTF">2023-11-02T07:47:00Z</dcterms:created>
  <dcterms:modified xsi:type="dcterms:W3CDTF">2023-12-14T09:53:00Z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a44ce728eb51e3cbf1dc0bc6694261fe381aab8f5433706de91f78bcb62072be</vt:lpwstr>
  </property>
</Properties>
</file>