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F434" w14:textId="0BA371DA" w:rsidR="0037758E" w:rsidRPr="009523BC" w:rsidRDefault="00390D67" w:rsidP="006C3563">
      <w:pPr>
        <w:spacing w:after="0" w:line="240" w:lineRule="auto"/>
        <w:jc w:val="center"/>
        <w:rPr>
          <w:rFonts w:ascii="Times New Roman" w:hAnsi="Times New Roman"/>
          <w:b/>
          <w:sz w:val="24"/>
          <w:szCs w:val="24"/>
          <w:lang w:val="ro-MD"/>
        </w:rPr>
      </w:pPr>
      <w:r w:rsidRPr="009523BC">
        <w:rPr>
          <w:rFonts w:ascii="Times New Roman" w:hAnsi="Times New Roman"/>
          <w:b/>
          <w:sz w:val="24"/>
          <w:szCs w:val="24"/>
          <w:lang w:val="ro-MD"/>
        </w:rPr>
        <w:t>Notă informativă</w:t>
      </w:r>
    </w:p>
    <w:p w14:paraId="74D4D939" w14:textId="17F12C7D" w:rsidR="009F09B1" w:rsidRPr="009523BC" w:rsidRDefault="0091543B" w:rsidP="009F09B1">
      <w:pPr>
        <w:spacing w:after="0" w:line="276" w:lineRule="auto"/>
        <w:jc w:val="center"/>
        <w:rPr>
          <w:rFonts w:ascii="Times New Roman" w:eastAsiaTheme="minorEastAsia" w:hAnsi="Times New Roman"/>
          <w:b/>
          <w:bCs/>
          <w:sz w:val="24"/>
          <w:szCs w:val="24"/>
          <w:lang w:val="ro-MD" w:eastAsia="ru-RU"/>
        </w:rPr>
      </w:pPr>
      <w:r>
        <w:rPr>
          <w:rFonts w:ascii="Times New Roman" w:eastAsiaTheme="minorEastAsia" w:hAnsi="Times New Roman"/>
          <w:b/>
          <w:bCs/>
          <w:sz w:val="24"/>
          <w:szCs w:val="24"/>
          <w:lang w:val="ro-MD" w:eastAsia="ru-RU"/>
        </w:rPr>
        <w:t>la proiectul hotărârii Guvernului</w:t>
      </w:r>
      <w:r w:rsidR="009F09B1" w:rsidRPr="009523BC">
        <w:rPr>
          <w:rFonts w:ascii="Times New Roman" w:eastAsiaTheme="minorEastAsia" w:hAnsi="Times New Roman"/>
          <w:b/>
          <w:bCs/>
          <w:sz w:val="24"/>
          <w:szCs w:val="24"/>
          <w:lang w:val="ro-MD" w:eastAsia="ru-RU"/>
        </w:rPr>
        <w:t xml:space="preserve"> </w:t>
      </w:r>
      <w:r w:rsidR="0059674C">
        <w:rPr>
          <w:rFonts w:ascii="Times New Roman" w:eastAsiaTheme="minorEastAsia" w:hAnsi="Times New Roman"/>
          <w:b/>
          <w:bCs/>
          <w:sz w:val="24"/>
          <w:szCs w:val="24"/>
          <w:lang w:val="ro-MD" w:eastAsia="ru-RU"/>
        </w:rPr>
        <w:t>pentru</w:t>
      </w:r>
      <w:r>
        <w:rPr>
          <w:rFonts w:ascii="Times New Roman" w:eastAsiaTheme="minorEastAsia" w:hAnsi="Times New Roman"/>
          <w:b/>
          <w:bCs/>
          <w:sz w:val="24"/>
          <w:szCs w:val="24"/>
          <w:lang w:val="ro-MD" w:eastAsia="ru-RU"/>
        </w:rPr>
        <w:t xml:space="preserve"> </w:t>
      </w:r>
      <w:r w:rsidR="009F09B1" w:rsidRPr="009523BC">
        <w:rPr>
          <w:rFonts w:ascii="Times New Roman" w:eastAsiaTheme="minorEastAsia" w:hAnsi="Times New Roman"/>
          <w:b/>
          <w:bCs/>
          <w:sz w:val="24"/>
          <w:szCs w:val="24"/>
          <w:lang w:val="ro-MD" w:eastAsia="ru-RU"/>
        </w:rPr>
        <w:t xml:space="preserve">modificarea hotărârii </w:t>
      </w:r>
      <w:r>
        <w:rPr>
          <w:rFonts w:ascii="Times New Roman" w:eastAsiaTheme="minorEastAsia" w:hAnsi="Times New Roman"/>
          <w:b/>
          <w:bCs/>
          <w:sz w:val="24"/>
          <w:szCs w:val="24"/>
          <w:lang w:val="ro-MD" w:eastAsia="ru-RU"/>
        </w:rPr>
        <w:t>Guvernului</w:t>
      </w:r>
      <w:r w:rsidR="009F09B1" w:rsidRPr="009523BC">
        <w:rPr>
          <w:rFonts w:ascii="Times New Roman" w:eastAsiaTheme="minorEastAsia" w:hAnsi="Times New Roman"/>
          <w:b/>
          <w:bCs/>
          <w:sz w:val="24"/>
          <w:szCs w:val="24"/>
          <w:lang w:val="ro-MD" w:eastAsia="ru-RU"/>
        </w:rPr>
        <w:t xml:space="preserve"> nr. 348</w:t>
      </w:r>
      <w:r>
        <w:rPr>
          <w:rFonts w:ascii="Times New Roman" w:eastAsiaTheme="minorEastAsia" w:hAnsi="Times New Roman"/>
          <w:b/>
          <w:bCs/>
          <w:sz w:val="24"/>
          <w:szCs w:val="24"/>
          <w:lang w:val="ro-MD" w:eastAsia="ru-RU"/>
        </w:rPr>
        <w:t xml:space="preserve">/2014 </w:t>
      </w:r>
      <w:r w:rsidR="009F09B1" w:rsidRPr="009523BC">
        <w:rPr>
          <w:rFonts w:ascii="Times New Roman" w:eastAsiaTheme="minorEastAsia" w:hAnsi="Times New Roman"/>
          <w:b/>
          <w:bCs/>
          <w:sz w:val="24"/>
          <w:szCs w:val="24"/>
          <w:lang w:val="ro-MD" w:eastAsia="ru-RU"/>
        </w:rPr>
        <w:t>cu privire la tarifele pentru serviciile prestate de către Agenţia Medicamentului şi Dispozitivelor Medicale</w:t>
      </w:r>
    </w:p>
    <w:p w14:paraId="44F10B24" w14:textId="77777777" w:rsidR="007D0B96" w:rsidRPr="009523BC" w:rsidRDefault="007D0B96" w:rsidP="007D0B96">
      <w:pPr>
        <w:spacing w:after="0" w:line="276" w:lineRule="auto"/>
        <w:jc w:val="center"/>
        <w:rPr>
          <w:rFonts w:ascii="Times New Roman" w:eastAsiaTheme="minorEastAsia" w:hAnsi="Times New Roman"/>
          <w:b/>
          <w:sz w:val="24"/>
          <w:szCs w:val="24"/>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B3678" w:rsidRPr="000F4619" w14:paraId="08EEBC16" w14:textId="77777777" w:rsidTr="00224CED">
        <w:tc>
          <w:tcPr>
            <w:tcW w:w="5000" w:type="pct"/>
          </w:tcPr>
          <w:p w14:paraId="0EB4C027" w14:textId="77777777" w:rsidR="007D0B96" w:rsidRDefault="007B3678" w:rsidP="007D0B96">
            <w:pPr>
              <w:numPr>
                <w:ilvl w:val="3"/>
                <w:numId w:val="3"/>
              </w:numPr>
              <w:tabs>
                <w:tab w:val="clear" w:pos="2880"/>
                <w:tab w:val="left" w:pos="284"/>
                <w:tab w:val="left" w:pos="1196"/>
              </w:tabs>
              <w:spacing w:after="0" w:line="240" w:lineRule="auto"/>
              <w:ind w:left="0" w:firstLine="0"/>
              <w:jc w:val="both"/>
              <w:rPr>
                <w:rFonts w:ascii="Times New Roman" w:hAnsi="Times New Roman"/>
                <w:b/>
                <w:sz w:val="24"/>
                <w:szCs w:val="24"/>
                <w:lang w:val="ro-MD"/>
              </w:rPr>
            </w:pPr>
            <w:r w:rsidRPr="009523BC">
              <w:rPr>
                <w:rFonts w:ascii="Times New Roman" w:hAnsi="Times New Roman"/>
                <w:b/>
                <w:sz w:val="24"/>
                <w:szCs w:val="24"/>
                <w:lang w:val="ro-MD"/>
              </w:rPr>
              <w:t>Denumirea autorului şi, după caz, a participanţilor la elaborarea proiectului</w:t>
            </w:r>
          </w:p>
          <w:p w14:paraId="2CB3CDE6" w14:textId="23876B4C" w:rsidR="007D35F2" w:rsidRPr="009523BC" w:rsidRDefault="007D35F2" w:rsidP="007D35F2">
            <w:pPr>
              <w:tabs>
                <w:tab w:val="left" w:pos="284"/>
                <w:tab w:val="left" w:pos="1196"/>
              </w:tabs>
              <w:spacing w:after="0" w:line="240" w:lineRule="auto"/>
              <w:jc w:val="both"/>
              <w:rPr>
                <w:rFonts w:ascii="Times New Roman" w:hAnsi="Times New Roman"/>
                <w:b/>
                <w:sz w:val="24"/>
                <w:szCs w:val="24"/>
                <w:lang w:val="ro-MD"/>
              </w:rPr>
            </w:pPr>
          </w:p>
        </w:tc>
      </w:tr>
      <w:tr w:rsidR="007B3678" w:rsidRPr="000F4619" w14:paraId="5890060F" w14:textId="77777777" w:rsidTr="00224CED">
        <w:tc>
          <w:tcPr>
            <w:tcW w:w="5000" w:type="pct"/>
          </w:tcPr>
          <w:p w14:paraId="619C3D7B" w14:textId="327BAF79" w:rsidR="009F09B1" w:rsidRPr="009523BC" w:rsidRDefault="003A7A92" w:rsidP="009F09B1">
            <w:pPr>
              <w:spacing w:after="0" w:line="240" w:lineRule="auto"/>
              <w:jc w:val="both"/>
              <w:rPr>
                <w:rFonts w:ascii="Times New Roman" w:hAnsi="Times New Roman"/>
                <w:sz w:val="24"/>
                <w:szCs w:val="24"/>
                <w:lang w:val="ro-MD"/>
              </w:rPr>
            </w:pPr>
            <w:r w:rsidRPr="009523BC">
              <w:rPr>
                <w:rFonts w:ascii="Times New Roman" w:hAnsi="Times New Roman"/>
                <w:sz w:val="24"/>
                <w:szCs w:val="24"/>
                <w:lang w:val="ro-MD"/>
              </w:rPr>
              <w:t xml:space="preserve">Proiectul </w:t>
            </w:r>
            <w:r w:rsidR="0091543B">
              <w:rPr>
                <w:rFonts w:ascii="Times New Roman" w:hAnsi="Times New Roman"/>
                <w:sz w:val="24"/>
                <w:szCs w:val="24"/>
                <w:lang w:val="ro-MD"/>
              </w:rPr>
              <w:t xml:space="preserve">hotărârii Guvernului </w:t>
            </w:r>
            <w:r w:rsidR="0059674C">
              <w:rPr>
                <w:rFonts w:ascii="Times New Roman" w:hAnsi="Times New Roman"/>
                <w:sz w:val="24"/>
                <w:szCs w:val="24"/>
                <w:lang w:val="ro-MD"/>
              </w:rPr>
              <w:t>pentru</w:t>
            </w:r>
            <w:r w:rsidR="0091543B">
              <w:rPr>
                <w:rFonts w:ascii="Times New Roman" w:hAnsi="Times New Roman"/>
                <w:sz w:val="24"/>
                <w:szCs w:val="24"/>
                <w:lang w:val="ro-MD"/>
              </w:rPr>
              <w:t xml:space="preserve"> </w:t>
            </w:r>
            <w:r w:rsidR="009F09B1" w:rsidRPr="009523BC">
              <w:rPr>
                <w:rFonts w:ascii="Times New Roman" w:hAnsi="Times New Roman"/>
                <w:sz w:val="24"/>
                <w:szCs w:val="24"/>
                <w:lang w:val="ro-MD"/>
              </w:rPr>
              <w:t xml:space="preserve">modificarea hotărârii </w:t>
            </w:r>
            <w:r w:rsidR="0091543B">
              <w:rPr>
                <w:rFonts w:ascii="Times New Roman" w:hAnsi="Times New Roman"/>
                <w:sz w:val="24"/>
                <w:szCs w:val="24"/>
                <w:lang w:val="ro-MD"/>
              </w:rPr>
              <w:t>Guvernului</w:t>
            </w:r>
            <w:r w:rsidR="009F09B1" w:rsidRPr="009523BC">
              <w:rPr>
                <w:rFonts w:ascii="Times New Roman" w:hAnsi="Times New Roman"/>
                <w:sz w:val="24"/>
                <w:szCs w:val="24"/>
                <w:lang w:val="ro-MD"/>
              </w:rPr>
              <w:t xml:space="preserve"> nr. 348</w:t>
            </w:r>
            <w:r w:rsidR="0091543B">
              <w:rPr>
                <w:rFonts w:ascii="Times New Roman" w:hAnsi="Times New Roman"/>
                <w:sz w:val="24"/>
                <w:szCs w:val="24"/>
                <w:lang w:val="ro-MD"/>
              </w:rPr>
              <w:t>/</w:t>
            </w:r>
            <w:r w:rsidR="009F09B1" w:rsidRPr="009523BC">
              <w:rPr>
                <w:rFonts w:ascii="Times New Roman" w:hAnsi="Times New Roman"/>
                <w:sz w:val="24"/>
                <w:szCs w:val="24"/>
                <w:lang w:val="ro-MD"/>
              </w:rPr>
              <w:t>2014  cu privire la tarifele pentru serviciile prestate de către Agenţia Medicamentului şi Dispozitivelor Medicale a fost elaborat de către Agenția Medicamentului și Dispozitivelor Medicale</w:t>
            </w:r>
            <w:r w:rsidR="0059674C">
              <w:rPr>
                <w:rFonts w:ascii="Times New Roman" w:hAnsi="Times New Roman"/>
                <w:sz w:val="24"/>
                <w:szCs w:val="24"/>
                <w:lang w:val="ro-MD"/>
              </w:rPr>
              <w:t xml:space="preserve"> (AMDM)</w:t>
            </w:r>
            <w:r w:rsidR="009F09B1" w:rsidRPr="009523BC">
              <w:rPr>
                <w:rFonts w:ascii="Times New Roman" w:hAnsi="Times New Roman"/>
                <w:sz w:val="24"/>
                <w:szCs w:val="24"/>
                <w:lang w:val="ro-MD"/>
              </w:rPr>
              <w:t>.</w:t>
            </w:r>
          </w:p>
          <w:p w14:paraId="49B24F10" w14:textId="41EF8142" w:rsidR="005231C9" w:rsidRPr="009523BC" w:rsidRDefault="005231C9" w:rsidP="009B2E2F">
            <w:pPr>
              <w:spacing w:after="0" w:line="240" w:lineRule="auto"/>
              <w:jc w:val="both"/>
              <w:rPr>
                <w:rFonts w:ascii="Times New Roman" w:hAnsi="Times New Roman"/>
                <w:iCs/>
                <w:sz w:val="24"/>
                <w:szCs w:val="24"/>
                <w:lang w:val="ro-MD"/>
              </w:rPr>
            </w:pPr>
          </w:p>
        </w:tc>
      </w:tr>
      <w:tr w:rsidR="007B3678" w:rsidRPr="000F4619" w14:paraId="03D57EAE" w14:textId="77777777" w:rsidTr="00224CED">
        <w:trPr>
          <w:trHeight w:val="664"/>
        </w:trPr>
        <w:tc>
          <w:tcPr>
            <w:tcW w:w="5000" w:type="pct"/>
          </w:tcPr>
          <w:p w14:paraId="284540D9" w14:textId="63869653" w:rsidR="0059674C" w:rsidRPr="0059674C" w:rsidRDefault="007B3678" w:rsidP="0059674C">
            <w:pPr>
              <w:pStyle w:val="ListParagraph"/>
              <w:numPr>
                <w:ilvl w:val="3"/>
                <w:numId w:val="3"/>
              </w:numPr>
              <w:tabs>
                <w:tab w:val="clear" w:pos="2880"/>
                <w:tab w:val="num" w:pos="306"/>
                <w:tab w:val="left" w:pos="884"/>
              </w:tabs>
              <w:spacing w:after="0" w:line="240" w:lineRule="auto"/>
              <w:ind w:hanging="2858"/>
              <w:jc w:val="both"/>
              <w:rPr>
                <w:rFonts w:ascii="Times New Roman" w:hAnsi="Times New Roman"/>
                <w:b/>
                <w:sz w:val="24"/>
                <w:szCs w:val="24"/>
                <w:lang w:val="ro-MD"/>
              </w:rPr>
            </w:pPr>
            <w:r w:rsidRPr="0059674C">
              <w:rPr>
                <w:rFonts w:ascii="Times New Roman" w:hAnsi="Times New Roman"/>
                <w:b/>
                <w:sz w:val="24"/>
                <w:szCs w:val="24"/>
                <w:lang w:val="ro-MD"/>
              </w:rPr>
              <w:t>Condiţiile ce au impus elaborarea proiectului de act normativ şi finalităţile urmărite</w:t>
            </w:r>
          </w:p>
        </w:tc>
      </w:tr>
      <w:tr w:rsidR="007B3678" w:rsidRPr="000F4619" w14:paraId="454AB739" w14:textId="77777777" w:rsidTr="00224CED">
        <w:tc>
          <w:tcPr>
            <w:tcW w:w="5000" w:type="pct"/>
          </w:tcPr>
          <w:p w14:paraId="113F2CB1" w14:textId="250349DB" w:rsidR="00736986" w:rsidRPr="00281AFE" w:rsidRDefault="00736986" w:rsidP="001D3A75">
            <w:pPr>
              <w:autoSpaceDE w:val="0"/>
              <w:autoSpaceDN w:val="0"/>
              <w:adjustRightInd w:val="0"/>
              <w:spacing w:after="0" w:line="240" w:lineRule="auto"/>
              <w:ind w:firstLine="731"/>
              <w:jc w:val="both"/>
              <w:rPr>
                <w:rFonts w:ascii="Times New Roman" w:hAnsi="Times New Roman"/>
                <w:sz w:val="24"/>
                <w:szCs w:val="24"/>
                <w:lang w:val="ro-MD"/>
              </w:rPr>
            </w:pPr>
            <w:r w:rsidRPr="00281AFE">
              <w:rPr>
                <w:rFonts w:ascii="Times New Roman" w:hAnsi="Times New Roman"/>
                <w:sz w:val="24"/>
                <w:szCs w:val="24"/>
                <w:lang w:val="ro-MD"/>
              </w:rPr>
              <w:t>Problema rezidă în</w:t>
            </w:r>
            <w:r w:rsidR="00114B35" w:rsidRPr="00281AFE">
              <w:rPr>
                <w:rFonts w:ascii="Times New Roman" w:hAnsi="Times New Roman"/>
                <w:sz w:val="24"/>
                <w:szCs w:val="24"/>
                <w:lang w:val="ro-MD"/>
              </w:rPr>
              <w:t xml:space="preserve"> riscul iminent de</w:t>
            </w:r>
            <w:r w:rsidRPr="00281AFE">
              <w:rPr>
                <w:rFonts w:ascii="Times New Roman" w:hAnsi="Times New Roman"/>
                <w:sz w:val="24"/>
                <w:szCs w:val="24"/>
                <w:lang w:val="ro-MD"/>
              </w:rPr>
              <w:t xml:space="preserve"> imposibilitate</w:t>
            </w:r>
            <w:r w:rsidR="00114B35" w:rsidRPr="00281AFE">
              <w:rPr>
                <w:rFonts w:ascii="Times New Roman" w:hAnsi="Times New Roman"/>
                <w:sz w:val="24"/>
                <w:szCs w:val="24"/>
                <w:lang w:val="ro-MD"/>
              </w:rPr>
              <w:t xml:space="preserve"> </w:t>
            </w:r>
            <w:r w:rsidRPr="00281AFE">
              <w:rPr>
                <w:rFonts w:ascii="Times New Roman" w:hAnsi="Times New Roman"/>
                <w:sz w:val="24"/>
                <w:szCs w:val="24"/>
                <w:lang w:val="ro-MD"/>
              </w:rPr>
              <w:t>a realizării de către Agenţia Medicamentului şi Dispozitivelor Medicale a prevederilor</w:t>
            </w:r>
            <w:r w:rsidR="0059674C" w:rsidRPr="00281AFE">
              <w:rPr>
                <w:rFonts w:ascii="Times New Roman" w:hAnsi="Times New Roman"/>
                <w:sz w:val="24"/>
                <w:szCs w:val="24"/>
                <w:lang w:val="ro-MD"/>
              </w:rPr>
              <w:t xml:space="preserve"> cadrului normativ din domeniul medicamentelor și dispozitivelor medicale (</w:t>
            </w:r>
            <w:bookmarkStart w:id="0" w:name="_Hlk126326314"/>
            <w:r w:rsidRPr="00281AFE">
              <w:rPr>
                <w:rFonts w:ascii="Times New Roman" w:hAnsi="Times New Roman"/>
                <w:sz w:val="24"/>
                <w:szCs w:val="24"/>
                <w:lang w:val="ro-MD"/>
              </w:rPr>
              <w:t>Leg</w:t>
            </w:r>
            <w:r w:rsidR="0059674C" w:rsidRPr="00281AFE">
              <w:rPr>
                <w:rFonts w:ascii="Times New Roman" w:hAnsi="Times New Roman"/>
                <w:sz w:val="24"/>
                <w:szCs w:val="24"/>
                <w:lang w:val="ro-MD"/>
              </w:rPr>
              <w:t>ea</w:t>
            </w:r>
            <w:r w:rsidRPr="00281AFE">
              <w:rPr>
                <w:rFonts w:ascii="Times New Roman" w:hAnsi="Times New Roman"/>
                <w:sz w:val="24"/>
                <w:szCs w:val="24"/>
                <w:lang w:val="ro-MD"/>
              </w:rPr>
              <w:t xml:space="preserve"> nr. 1456</w:t>
            </w:r>
            <w:r w:rsidR="0059674C" w:rsidRPr="00281AFE">
              <w:rPr>
                <w:rFonts w:ascii="Times New Roman" w:hAnsi="Times New Roman"/>
                <w:sz w:val="24"/>
                <w:szCs w:val="24"/>
                <w:lang w:val="ro-MD"/>
              </w:rPr>
              <w:t>/1993</w:t>
            </w:r>
            <w:r w:rsidRPr="00281AFE">
              <w:rPr>
                <w:rFonts w:ascii="Times New Roman" w:hAnsi="Times New Roman"/>
                <w:sz w:val="24"/>
                <w:szCs w:val="24"/>
                <w:lang w:val="ro-MD"/>
              </w:rPr>
              <w:t xml:space="preserve"> cu privire la activitatea farmaceutică</w:t>
            </w:r>
            <w:bookmarkEnd w:id="0"/>
            <w:r w:rsidR="0059674C" w:rsidRPr="00281AFE">
              <w:rPr>
                <w:rFonts w:ascii="Times New Roman" w:hAnsi="Times New Roman"/>
                <w:sz w:val="24"/>
                <w:szCs w:val="24"/>
                <w:lang w:val="ro-MD"/>
              </w:rPr>
              <w:t xml:space="preserve">, </w:t>
            </w:r>
            <w:r w:rsidRPr="00281AFE">
              <w:rPr>
                <w:rFonts w:ascii="Times New Roman" w:hAnsi="Times New Roman"/>
                <w:sz w:val="24"/>
                <w:szCs w:val="24"/>
                <w:lang w:val="ro-MD"/>
              </w:rPr>
              <w:t>Leg</w:t>
            </w:r>
            <w:r w:rsidR="0059674C" w:rsidRPr="00281AFE">
              <w:rPr>
                <w:rFonts w:ascii="Times New Roman" w:hAnsi="Times New Roman"/>
                <w:sz w:val="24"/>
                <w:szCs w:val="24"/>
                <w:lang w:val="ro-MD"/>
              </w:rPr>
              <w:t>ea</w:t>
            </w:r>
            <w:r w:rsidRPr="00281AFE">
              <w:rPr>
                <w:rFonts w:ascii="Times New Roman" w:hAnsi="Times New Roman"/>
                <w:sz w:val="24"/>
                <w:szCs w:val="24"/>
                <w:lang w:val="ro-MD"/>
              </w:rPr>
              <w:t xml:space="preserve"> </w:t>
            </w:r>
            <w:bookmarkStart w:id="1" w:name="_Hlk126326206"/>
            <w:r w:rsidRPr="00281AFE">
              <w:rPr>
                <w:rFonts w:ascii="Times New Roman" w:hAnsi="Times New Roman"/>
                <w:sz w:val="24"/>
                <w:szCs w:val="24"/>
                <w:lang w:val="ro-MD"/>
              </w:rPr>
              <w:t>nr. 1409</w:t>
            </w:r>
            <w:r w:rsidR="0059674C" w:rsidRPr="00281AFE">
              <w:rPr>
                <w:rFonts w:ascii="Times New Roman" w:hAnsi="Times New Roman"/>
                <w:sz w:val="24"/>
                <w:szCs w:val="24"/>
                <w:lang w:val="ro-MD"/>
              </w:rPr>
              <w:t>/</w:t>
            </w:r>
            <w:r w:rsidRPr="00281AFE">
              <w:rPr>
                <w:rFonts w:ascii="Times New Roman" w:hAnsi="Times New Roman"/>
                <w:sz w:val="24"/>
                <w:szCs w:val="24"/>
                <w:lang w:val="ro-MD"/>
              </w:rPr>
              <w:t>1997 cu privire la medicamente</w:t>
            </w:r>
            <w:bookmarkStart w:id="2" w:name="_Hlk125373467"/>
            <w:bookmarkEnd w:id="1"/>
            <w:r w:rsidR="0059674C" w:rsidRPr="00281AFE">
              <w:rPr>
                <w:rFonts w:ascii="Times New Roman" w:hAnsi="Times New Roman"/>
                <w:sz w:val="24"/>
                <w:szCs w:val="24"/>
                <w:lang w:val="ro-MD"/>
              </w:rPr>
              <w:t xml:space="preserve">, </w:t>
            </w:r>
            <w:r w:rsidR="00A253D9" w:rsidRPr="00281AFE">
              <w:rPr>
                <w:rFonts w:ascii="Times New Roman" w:hAnsi="Times New Roman"/>
                <w:sz w:val="24"/>
                <w:szCs w:val="24"/>
                <w:lang w:val="ro-MD"/>
              </w:rPr>
              <w:t xml:space="preserve">Legea </w:t>
            </w:r>
            <w:r w:rsidRPr="00281AFE">
              <w:rPr>
                <w:rFonts w:ascii="Times New Roman" w:hAnsi="Times New Roman"/>
                <w:sz w:val="24"/>
                <w:szCs w:val="24"/>
                <w:lang w:val="ro-MD"/>
              </w:rPr>
              <w:t>nr. 102</w:t>
            </w:r>
            <w:r w:rsidR="0059674C" w:rsidRPr="00281AFE">
              <w:rPr>
                <w:rFonts w:ascii="Times New Roman" w:hAnsi="Times New Roman"/>
                <w:sz w:val="24"/>
                <w:szCs w:val="24"/>
                <w:lang w:val="ro-MD"/>
              </w:rPr>
              <w:t>/</w:t>
            </w:r>
            <w:r w:rsidRPr="00281AFE">
              <w:rPr>
                <w:rFonts w:ascii="Times New Roman" w:hAnsi="Times New Roman"/>
                <w:sz w:val="24"/>
                <w:szCs w:val="24"/>
                <w:lang w:val="ro-MD"/>
              </w:rPr>
              <w:t>2017 cu privire la dispozitivele medicale</w:t>
            </w:r>
            <w:bookmarkEnd w:id="2"/>
            <w:r w:rsidR="0059674C" w:rsidRPr="00281AFE">
              <w:rPr>
                <w:rFonts w:ascii="Times New Roman" w:hAnsi="Times New Roman"/>
                <w:sz w:val="24"/>
                <w:szCs w:val="24"/>
                <w:lang w:val="ro-MD"/>
              </w:rPr>
              <w:t>)</w:t>
            </w:r>
            <w:r w:rsidRPr="00281AFE">
              <w:rPr>
                <w:rFonts w:ascii="Times New Roman" w:hAnsi="Times New Roman"/>
                <w:sz w:val="24"/>
                <w:szCs w:val="24"/>
                <w:lang w:val="ro-MD"/>
              </w:rPr>
              <w:t xml:space="preserve">. </w:t>
            </w:r>
          </w:p>
          <w:p w14:paraId="22B9A044" w14:textId="5E9443AA" w:rsidR="00114B35" w:rsidRPr="00281AFE" w:rsidRDefault="00736986" w:rsidP="001D3A75">
            <w:pPr>
              <w:autoSpaceDE w:val="0"/>
              <w:autoSpaceDN w:val="0"/>
              <w:adjustRightInd w:val="0"/>
              <w:spacing w:after="0" w:line="240" w:lineRule="auto"/>
              <w:ind w:firstLine="589"/>
              <w:jc w:val="both"/>
              <w:rPr>
                <w:rFonts w:ascii="Times New Roman" w:hAnsi="Times New Roman"/>
                <w:sz w:val="24"/>
                <w:szCs w:val="24"/>
                <w:lang w:val="ro-MD"/>
              </w:rPr>
            </w:pPr>
            <w:r w:rsidRPr="00281AFE">
              <w:rPr>
                <w:rFonts w:ascii="Times New Roman" w:hAnsi="Times New Roman"/>
                <w:sz w:val="24"/>
                <w:szCs w:val="24"/>
                <w:lang w:val="ro-MD"/>
              </w:rPr>
              <w:t>Printre scopurile principale ale politicilor publice din domeniul sănătăţii este</w:t>
            </w:r>
            <w:r w:rsidR="00703506" w:rsidRPr="00281AFE">
              <w:rPr>
                <w:rFonts w:ascii="Times New Roman" w:hAnsi="Times New Roman"/>
                <w:sz w:val="24"/>
                <w:szCs w:val="24"/>
                <w:lang w:val="ro-MD"/>
              </w:rPr>
              <w:t xml:space="preserve"> </w:t>
            </w:r>
            <w:r w:rsidRPr="00281AFE">
              <w:rPr>
                <w:rFonts w:ascii="Times New Roman" w:hAnsi="Times New Roman"/>
                <w:sz w:val="24"/>
                <w:szCs w:val="24"/>
                <w:lang w:val="ro-MD"/>
              </w:rPr>
              <w:t xml:space="preserve">garantarea creşterii ascendente a procesului de asigurare a calității atât a medicamentelor, cât și a dispozitivelor medicale </w:t>
            </w:r>
            <w:r w:rsidR="00703506" w:rsidRPr="00281AFE">
              <w:rPr>
                <w:rFonts w:ascii="Times New Roman" w:hAnsi="Times New Roman"/>
                <w:sz w:val="24"/>
                <w:szCs w:val="24"/>
                <w:lang w:val="ro-MD"/>
              </w:rPr>
              <w:t>autorizate</w:t>
            </w:r>
            <w:r w:rsidRPr="00281AFE">
              <w:rPr>
                <w:rFonts w:ascii="Times New Roman" w:hAnsi="Times New Roman"/>
                <w:sz w:val="24"/>
                <w:szCs w:val="24"/>
                <w:lang w:val="ro-MD"/>
              </w:rPr>
              <w:t xml:space="preserve"> pe piaţa Republicii Moldova.</w:t>
            </w:r>
          </w:p>
          <w:p w14:paraId="393A3F6F" w14:textId="32CF1B2D" w:rsidR="00736986" w:rsidRPr="00281AFE" w:rsidRDefault="00736986" w:rsidP="001D3A75">
            <w:pPr>
              <w:autoSpaceDE w:val="0"/>
              <w:autoSpaceDN w:val="0"/>
              <w:adjustRightInd w:val="0"/>
              <w:spacing w:after="0" w:line="240" w:lineRule="auto"/>
              <w:ind w:firstLine="589"/>
              <w:jc w:val="both"/>
              <w:rPr>
                <w:rFonts w:ascii="Times New Roman" w:hAnsi="Times New Roman"/>
                <w:sz w:val="24"/>
                <w:szCs w:val="24"/>
                <w:lang w:val="ro-MD"/>
              </w:rPr>
            </w:pPr>
            <w:r w:rsidRPr="00281AFE">
              <w:rPr>
                <w:rFonts w:ascii="Times New Roman" w:hAnsi="Times New Roman"/>
                <w:sz w:val="24"/>
                <w:szCs w:val="24"/>
                <w:lang w:val="ro-MD"/>
              </w:rPr>
              <w:t>Experienţa internaţională denotă faptul că autorităţile de reglementare în domeniul medicamentului şi dispozitivelor medicale îşi exercită atribuţiile prin prestarea de servicii</w:t>
            </w:r>
            <w:r w:rsidR="00703506" w:rsidRPr="00281AFE">
              <w:rPr>
                <w:rFonts w:ascii="Times New Roman" w:hAnsi="Times New Roman"/>
                <w:sz w:val="24"/>
                <w:szCs w:val="24"/>
                <w:lang w:val="ro-MD"/>
              </w:rPr>
              <w:t xml:space="preserve"> contra plat</w:t>
            </w:r>
            <w:r w:rsidR="001D3A75" w:rsidRPr="00281AFE">
              <w:rPr>
                <w:rFonts w:ascii="Times New Roman" w:hAnsi="Times New Roman"/>
                <w:sz w:val="24"/>
                <w:szCs w:val="24"/>
                <w:lang w:val="ro-MD"/>
              </w:rPr>
              <w:t>ă</w:t>
            </w:r>
            <w:r w:rsidRPr="00281AFE">
              <w:rPr>
                <w:rFonts w:ascii="Times New Roman" w:hAnsi="Times New Roman"/>
                <w:sz w:val="24"/>
                <w:szCs w:val="24"/>
                <w:lang w:val="ro-MD"/>
              </w:rPr>
              <w:t>, astfel asigurând realizarea obiectivului major – plasarea pe piaţă a produselor cost-eficiente, sigure şi de calitate</w:t>
            </w:r>
            <w:r w:rsidR="00114B35" w:rsidRPr="00281AFE">
              <w:rPr>
                <w:rFonts w:ascii="Times New Roman" w:hAnsi="Times New Roman"/>
                <w:sz w:val="24"/>
                <w:szCs w:val="24"/>
                <w:lang w:val="ro-MD"/>
              </w:rPr>
              <w:t>.</w:t>
            </w:r>
          </w:p>
          <w:p w14:paraId="50C2C746" w14:textId="7FE229B8" w:rsidR="00247803" w:rsidRPr="00281AFE" w:rsidRDefault="00736986" w:rsidP="001D3A75">
            <w:pPr>
              <w:autoSpaceDE w:val="0"/>
              <w:autoSpaceDN w:val="0"/>
              <w:adjustRightInd w:val="0"/>
              <w:spacing w:after="0" w:line="240" w:lineRule="auto"/>
              <w:ind w:firstLine="589"/>
              <w:jc w:val="both"/>
              <w:rPr>
                <w:rFonts w:ascii="Times New Roman" w:hAnsi="Times New Roman"/>
                <w:sz w:val="24"/>
                <w:szCs w:val="24"/>
                <w:lang w:val="ro-MD"/>
              </w:rPr>
            </w:pPr>
            <w:r w:rsidRPr="00281AFE">
              <w:rPr>
                <w:rFonts w:ascii="Times New Roman" w:hAnsi="Times New Roman"/>
                <w:sz w:val="24"/>
                <w:szCs w:val="24"/>
                <w:lang w:val="ro-MD"/>
              </w:rPr>
              <w:t xml:space="preserve">Tarifele la serviciile prestate de către </w:t>
            </w:r>
            <w:r w:rsidR="00A253D9" w:rsidRPr="00281AFE">
              <w:rPr>
                <w:rFonts w:ascii="Times New Roman" w:hAnsi="Times New Roman"/>
                <w:sz w:val="24"/>
                <w:szCs w:val="24"/>
                <w:lang w:val="ro-MD"/>
              </w:rPr>
              <w:t xml:space="preserve">AMDM </w:t>
            </w:r>
            <w:r w:rsidRPr="00281AFE">
              <w:rPr>
                <w:rFonts w:ascii="Times New Roman" w:hAnsi="Times New Roman"/>
                <w:sz w:val="24"/>
                <w:szCs w:val="24"/>
                <w:lang w:val="ro-MD"/>
              </w:rPr>
              <w:t>nu au fost revăzute din anul 2014, de la aprobarea Hotărârii</w:t>
            </w:r>
            <w:r w:rsidR="001D3A75" w:rsidRPr="00281AFE">
              <w:rPr>
                <w:rFonts w:ascii="Times New Roman" w:hAnsi="Times New Roman"/>
                <w:sz w:val="24"/>
                <w:szCs w:val="24"/>
                <w:lang w:val="ro-MD"/>
              </w:rPr>
              <w:t xml:space="preserve"> Guvernului nr.</w:t>
            </w:r>
            <w:r w:rsidR="00A253D9" w:rsidRPr="00281AFE">
              <w:rPr>
                <w:rFonts w:ascii="Times New Roman" w:hAnsi="Times New Roman"/>
                <w:sz w:val="24"/>
                <w:szCs w:val="24"/>
                <w:lang w:val="ro-MD"/>
              </w:rPr>
              <w:t xml:space="preserve"> </w:t>
            </w:r>
            <w:r w:rsidR="001D3A75" w:rsidRPr="00281AFE">
              <w:rPr>
                <w:rFonts w:ascii="Times New Roman" w:hAnsi="Times New Roman"/>
                <w:sz w:val="24"/>
                <w:szCs w:val="24"/>
                <w:lang w:val="ro-MD"/>
              </w:rPr>
              <w:t>348/2014</w:t>
            </w:r>
            <w:r w:rsidRPr="00281AFE">
              <w:rPr>
                <w:rFonts w:ascii="Times New Roman" w:hAnsi="Times New Roman"/>
                <w:sz w:val="24"/>
                <w:szCs w:val="24"/>
                <w:lang w:val="ro-MD"/>
              </w:rPr>
              <w:t xml:space="preserve"> cu privire la tarifele pentru serviciile prestate de către Agenţia Medicamentului şi Dispozitivelor Medicale, deși conform prevederilor pct.36 și pct.37 din R</w:t>
            </w:r>
            <w:r w:rsidR="00703506" w:rsidRPr="00281AFE">
              <w:rPr>
                <w:rFonts w:ascii="Times New Roman" w:hAnsi="Times New Roman"/>
                <w:sz w:val="24"/>
                <w:szCs w:val="24"/>
                <w:lang w:val="ro-MD"/>
              </w:rPr>
              <w:t>egulament</w:t>
            </w:r>
            <w:r w:rsidRPr="00281AFE">
              <w:rPr>
                <w:rFonts w:ascii="Times New Roman" w:hAnsi="Times New Roman"/>
                <w:sz w:val="24"/>
                <w:szCs w:val="24"/>
                <w:lang w:val="ro-MD"/>
              </w:rPr>
              <w:t xml:space="preserve">ul cu privire la tarifele pentru serviciile prestate de către </w:t>
            </w:r>
            <w:r w:rsidR="001D3A75" w:rsidRPr="00281AFE">
              <w:rPr>
                <w:rFonts w:ascii="Times New Roman" w:hAnsi="Times New Roman"/>
                <w:sz w:val="24"/>
                <w:szCs w:val="24"/>
                <w:lang w:val="ro-MD"/>
              </w:rPr>
              <w:t>AMDM</w:t>
            </w:r>
            <w:r w:rsidRPr="00281AFE">
              <w:rPr>
                <w:rFonts w:ascii="Times New Roman" w:hAnsi="Times New Roman"/>
                <w:sz w:val="24"/>
                <w:szCs w:val="24"/>
                <w:lang w:val="ro-MD"/>
              </w:rPr>
              <w:t>, este prevăzut</w:t>
            </w:r>
            <w:r w:rsidR="001D3A75" w:rsidRPr="00281AFE">
              <w:rPr>
                <w:rFonts w:ascii="Times New Roman" w:hAnsi="Times New Roman"/>
                <w:sz w:val="24"/>
                <w:szCs w:val="24"/>
                <w:lang w:val="ro-MD"/>
              </w:rPr>
              <w:t xml:space="preserve">ă </w:t>
            </w:r>
            <w:r w:rsidR="001D3A75" w:rsidRPr="00281AFE">
              <w:rPr>
                <w:rFonts w:ascii="Times New Roman" w:hAnsi="Times New Roman"/>
                <w:i/>
                <w:iCs/>
                <w:sz w:val="24"/>
                <w:szCs w:val="24"/>
                <w:lang w:val="ro-MD"/>
              </w:rPr>
              <w:t>ajustarea tarifelor.</w:t>
            </w:r>
          </w:p>
          <w:p w14:paraId="50B4EB28" w14:textId="226769D0" w:rsidR="001D3A75" w:rsidRPr="00281AFE" w:rsidRDefault="001D3A75" w:rsidP="001D3A75">
            <w:pPr>
              <w:spacing w:after="0" w:line="240" w:lineRule="auto"/>
              <w:ind w:firstLine="589"/>
              <w:jc w:val="both"/>
              <w:rPr>
                <w:rFonts w:ascii="Times New Roman" w:hAnsi="Times New Roman"/>
                <w:sz w:val="24"/>
                <w:szCs w:val="24"/>
                <w:lang w:val="ro-MD"/>
              </w:rPr>
            </w:pPr>
            <w:r w:rsidRPr="00281AFE">
              <w:rPr>
                <w:rFonts w:ascii="Times New Roman" w:hAnsi="Times New Roman"/>
                <w:sz w:val="24"/>
                <w:szCs w:val="24"/>
                <w:lang w:val="ro-MD"/>
              </w:rPr>
              <w:t xml:space="preserve">Necesitatea ajustării tarifelor existente </w:t>
            </w:r>
            <w:r w:rsidR="00A253D9" w:rsidRPr="00281AFE">
              <w:rPr>
                <w:rFonts w:ascii="Times New Roman" w:hAnsi="Times New Roman"/>
                <w:sz w:val="24"/>
                <w:szCs w:val="24"/>
                <w:lang w:val="ro-MD"/>
              </w:rPr>
              <w:t xml:space="preserve">și </w:t>
            </w:r>
            <w:r w:rsidRPr="00281AFE">
              <w:rPr>
                <w:rFonts w:ascii="Times New Roman" w:hAnsi="Times New Roman"/>
                <w:sz w:val="24"/>
                <w:szCs w:val="24"/>
                <w:lang w:val="ro-MD"/>
              </w:rPr>
              <w:t>introducerii unor noi servicii este rezultatul dezvoltării AMDM. Spre exemplu la ora actuala costurile de întreținere al</w:t>
            </w:r>
            <w:r w:rsidR="00A253D9" w:rsidRPr="00281AFE">
              <w:rPr>
                <w:rFonts w:ascii="Times New Roman" w:hAnsi="Times New Roman"/>
                <w:sz w:val="24"/>
                <w:szCs w:val="24"/>
                <w:lang w:val="ro-MD"/>
              </w:rPr>
              <w:t>e</w:t>
            </w:r>
            <w:r w:rsidRPr="00281AFE">
              <w:rPr>
                <w:rFonts w:ascii="Times New Roman" w:hAnsi="Times New Roman"/>
                <w:sz w:val="24"/>
                <w:szCs w:val="24"/>
                <w:lang w:val="ro-MD"/>
              </w:rPr>
              <w:t xml:space="preserve"> Laboratorului privind Controlul Calității Medicamentelor (LCCM) depășesc de trei ori veniturile colectate din taxele de analize.</w:t>
            </w:r>
            <w:r w:rsidRPr="00281AFE">
              <w:rPr>
                <w:rFonts w:ascii="Times New Roman" w:eastAsia="Times New Roman" w:hAnsi="Times New Roman"/>
                <w:sz w:val="24"/>
                <w:szCs w:val="24"/>
                <w:lang w:val="ro-MD"/>
              </w:rPr>
              <w:t xml:space="preserve"> </w:t>
            </w:r>
            <w:r w:rsidRPr="00281AFE">
              <w:rPr>
                <w:rFonts w:ascii="Times New Roman" w:hAnsi="Times New Roman"/>
                <w:sz w:val="24"/>
                <w:szCs w:val="24"/>
                <w:lang w:val="ro-MD"/>
              </w:rPr>
              <w:t xml:space="preserve">În LCCM a fost elaborat și implementat un Sistem de Management al Calității conform prevederilor standardului internațional ISO 17025, cerințe către laboratoare de încercări, conform căruia, ulterior LCCM a fost atestat de către Directoratul European în Calitatea Medicamentelor (EDQM). Odată cu obținerea Certificatului de Atestare la nivel European, LCCM obține titlul de Laborator Oficial al Rețelei Europene de Laboratoare Oficiale (GEON). Recunoașterea nivelului înalt de activitate, cât și cerințele pentru  menținerea acestui nivel au majorat considerabil costurile testelor de laborator. În vederea conformității cerințelor înalte europene și asigurării preciziei măsurărilor si  validității rezultatelor, au fost </w:t>
            </w:r>
            <w:r w:rsidR="003D35BA" w:rsidRPr="00281AFE">
              <w:rPr>
                <w:rFonts w:ascii="Times New Roman" w:hAnsi="Times New Roman"/>
                <w:sz w:val="24"/>
                <w:szCs w:val="24"/>
                <w:lang w:val="ro-MD"/>
              </w:rPr>
              <w:t>modificate</w:t>
            </w:r>
            <w:r w:rsidRPr="00281AFE">
              <w:rPr>
                <w:rFonts w:ascii="Times New Roman" w:hAnsi="Times New Roman"/>
                <w:sz w:val="24"/>
                <w:szCs w:val="24"/>
                <w:lang w:val="ro-MD"/>
              </w:rPr>
              <w:t xml:space="preserve"> procedurile interne ale laboratorului prin mărirea probelor efectuate de 3 ori, fapt ce a majorat corespunzător consumabilele, </w:t>
            </w:r>
            <w:r w:rsidR="003D35BA" w:rsidRPr="00281AFE">
              <w:rPr>
                <w:rFonts w:ascii="Times New Roman" w:hAnsi="Times New Roman"/>
                <w:sz w:val="24"/>
                <w:szCs w:val="24"/>
                <w:lang w:val="ro-MD"/>
              </w:rPr>
              <w:t>reagenții</w:t>
            </w:r>
            <w:r w:rsidRPr="00281AFE">
              <w:rPr>
                <w:rFonts w:ascii="Times New Roman" w:hAnsi="Times New Roman"/>
                <w:sz w:val="24"/>
                <w:szCs w:val="24"/>
                <w:lang w:val="ro-MD"/>
              </w:rPr>
              <w:t xml:space="preserve">, costurile de gestionare și întreținere a echipamentelor utilizate. Totodată s-a mărit considerabil și timpul necesar pentru efectuarea testelor de laborator. </w:t>
            </w:r>
          </w:p>
          <w:p w14:paraId="1C348A9B" w14:textId="77777777" w:rsidR="003D35BA" w:rsidRPr="00281AFE" w:rsidRDefault="003D35BA" w:rsidP="003D35BA">
            <w:pPr>
              <w:spacing w:after="0" w:line="240" w:lineRule="auto"/>
              <w:ind w:firstLine="589"/>
              <w:jc w:val="both"/>
              <w:rPr>
                <w:rFonts w:ascii="Times New Roman" w:hAnsi="Times New Roman"/>
                <w:sz w:val="24"/>
                <w:szCs w:val="24"/>
                <w:lang w:val="ro-MD" w:eastAsia="ru-RU"/>
              </w:rPr>
            </w:pPr>
            <w:r w:rsidRPr="00281AFE">
              <w:rPr>
                <w:rFonts w:ascii="Times New Roman" w:hAnsi="Times New Roman"/>
                <w:sz w:val="24"/>
                <w:szCs w:val="24"/>
                <w:lang w:val="ro-MD" w:eastAsia="ru-RU"/>
              </w:rPr>
              <w:t>Aplicarea tarifelor aprobate în 2014 pe parcursul acestor ani indică clar faptul că sistemul actual de tarife nu este eficient – cheltuielile suportate de către stat pentru prestarea serviciilor în domeniul medicamentului ( autorizare, efectuarea controlului calității, studii clinice etc.) depășesc cu mult tarifele actuale. Remunerarea expertizei specializate, cheltuielile pentru autorizarea și monitorizarea domeniului medicamentului nu sunt acoperite nici pe departe de tarifele actuale, lipsește modul de evaluare urgentă a dosarelor, lipsesc tarife pentru inspecție bunelor practici de fabricație, studii clinice și farmacovigilență.</w:t>
            </w:r>
          </w:p>
          <w:p w14:paraId="4CDF6E13" w14:textId="77777777" w:rsidR="00564F47" w:rsidRPr="00281AFE" w:rsidRDefault="00564F47" w:rsidP="003D35BA">
            <w:pPr>
              <w:spacing w:after="0" w:line="240" w:lineRule="auto"/>
              <w:ind w:firstLine="589"/>
              <w:jc w:val="both"/>
              <w:rPr>
                <w:rFonts w:ascii="Times New Roman" w:hAnsi="Times New Roman"/>
                <w:sz w:val="24"/>
                <w:szCs w:val="24"/>
                <w:lang w:val="ro-MD" w:eastAsia="ru-RU"/>
              </w:rPr>
            </w:pPr>
          </w:p>
          <w:p w14:paraId="29391DF1" w14:textId="3F6CA914"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en-US"/>
              </w:rPr>
              <w:t>F</w:t>
            </w:r>
            <w:r w:rsidRPr="00281AFE">
              <w:rPr>
                <w:rFonts w:ascii="Times New Roman" w:hAnsi="Times New Roman"/>
                <w:sz w:val="24"/>
                <w:szCs w:val="24"/>
                <w:lang w:val="ro-MD"/>
              </w:rPr>
              <w:t xml:space="preserve">ormula de calcul cât și metodologia pentru formarea tarifelor, este descrisă în capitolul III, IV al anexei 1 la HG 348/2014. Tarifele pentru </w:t>
            </w:r>
            <w:r w:rsidRPr="00281AFE">
              <w:rPr>
                <w:rFonts w:ascii="Times New Roman" w:hAnsi="Times New Roman"/>
                <w:b/>
                <w:bCs/>
                <w:sz w:val="24"/>
                <w:szCs w:val="24"/>
                <w:lang w:val="ro-MD"/>
              </w:rPr>
              <w:t>serviciile de control al calității medicamentelor</w:t>
            </w:r>
            <w:r w:rsidRPr="00281AFE">
              <w:rPr>
                <w:rFonts w:ascii="Times New Roman" w:hAnsi="Times New Roman"/>
                <w:sz w:val="24"/>
                <w:szCs w:val="24"/>
                <w:lang w:val="ro-MD"/>
              </w:rPr>
              <w:t xml:space="preserve"> au fost calculate cu respectarea acestor prevederi în vigoare.</w:t>
            </w:r>
            <w:r w:rsidR="009231DC" w:rsidRPr="00281AFE">
              <w:rPr>
                <w:rFonts w:ascii="Times New Roman" w:hAnsi="Times New Roman"/>
                <w:sz w:val="24"/>
                <w:szCs w:val="24"/>
                <w:lang w:val="ro-MD"/>
              </w:rPr>
              <w:t xml:space="preserve"> Adițional, la nota informativă prezentăm anexat informația ce a dus la calcularea noilor tarife.</w:t>
            </w:r>
          </w:p>
          <w:p w14:paraId="77CF8323"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0F3E69EA" w14:textId="1A6539D9"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xml:space="preserve">Prezentăm o analiză a veniturilor și cheltuielilor din perspectiva activității laboratorului pentru controlul calității medicamentelor, care demonstrează faptul de neacoperire a cheltuielilor executate de către laborator prin încasarea veniturilor din prestarea serviciilor. </w:t>
            </w:r>
          </w:p>
          <w:p w14:paraId="6871F4CC"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76C91830" w14:textId="3868FB18" w:rsidR="00564F47" w:rsidRPr="00281AFE" w:rsidRDefault="00564F47" w:rsidP="00564F47">
            <w:pPr>
              <w:autoSpaceDE w:val="0"/>
              <w:autoSpaceDN w:val="0"/>
              <w:adjustRightInd w:val="0"/>
              <w:spacing w:after="0" w:line="240" w:lineRule="auto"/>
              <w:jc w:val="both"/>
              <w:rPr>
                <w:rFonts w:ascii="Times New Roman" w:hAnsi="Times New Roman"/>
                <w:b/>
                <w:bCs/>
                <w:sz w:val="24"/>
                <w:szCs w:val="24"/>
                <w:lang w:val="ro-MD"/>
              </w:rPr>
            </w:pPr>
            <w:r w:rsidRPr="00281AFE">
              <w:rPr>
                <w:rFonts w:ascii="Times New Roman" w:hAnsi="Times New Roman"/>
                <w:b/>
                <w:bCs/>
                <w:sz w:val="24"/>
                <w:szCs w:val="24"/>
                <w:lang w:val="ro-MD"/>
              </w:rPr>
              <w:t>Informație generală asupra structurii veniturilor Agenției Medicamentului și Dispozitivelor Medicale</w:t>
            </w:r>
          </w:p>
          <w:p w14:paraId="1BB1E0BA"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Veniturile Agenției sunt formate din încasările rezultate din prestarea serviciilor,  și anume:</w:t>
            </w:r>
          </w:p>
          <w:p w14:paraId="1206F9A5" w14:textId="376996F8"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Autorizarea medicamentelor, modificări post autorizare;</w:t>
            </w:r>
          </w:p>
          <w:p w14:paraId="30A3D9A7"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Avizarea materialelor publicitare;</w:t>
            </w:r>
          </w:p>
          <w:p w14:paraId="18E1A3AD"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Aprobarea studiilor clinice;</w:t>
            </w:r>
          </w:p>
          <w:p w14:paraId="2350ECAE" w14:textId="015F3954"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Activitatea de farmacovigilență;</w:t>
            </w:r>
          </w:p>
          <w:p w14:paraId="729497F7" w14:textId="44EEC7FA"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Efectuarea controlului calității medicamentelor;</w:t>
            </w:r>
          </w:p>
          <w:p w14:paraId="4996C6E1"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Nimicirea medicamentelor;</w:t>
            </w:r>
          </w:p>
          <w:p w14:paraId="38589229"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b/>
                <w:bCs/>
                <w:sz w:val="24"/>
                <w:szCs w:val="24"/>
                <w:lang w:val="ro-MD"/>
              </w:rPr>
              <w:t xml:space="preserve">- </w:t>
            </w:r>
            <w:r w:rsidRPr="00281AFE">
              <w:rPr>
                <w:rFonts w:ascii="Times New Roman" w:hAnsi="Times New Roman"/>
                <w:sz w:val="24"/>
                <w:szCs w:val="24"/>
                <w:lang w:val="ro-MD"/>
              </w:rPr>
              <w:t>Examinarea dosarului privind corespondenta limitelor substanțelor narcotice, psihotrope și precursori.</w:t>
            </w:r>
          </w:p>
          <w:p w14:paraId="38EC025E" w14:textId="14963B75"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Structura veniturilor este dominată de încasările din prestarea serviciilor de autorizare a medicamentelor și modificări post autorizare, care formează aproximativ 85 la sută totalul încasărilor. (</w:t>
            </w:r>
            <w:r w:rsidRPr="00281AFE">
              <w:rPr>
                <w:rFonts w:ascii="Times New Roman" w:hAnsi="Times New Roman"/>
                <w:i/>
                <w:iCs/>
                <w:sz w:val="24"/>
                <w:szCs w:val="24"/>
                <w:lang w:val="ro-MD"/>
              </w:rPr>
              <w:t>de văzut</w:t>
            </w:r>
            <w:r w:rsidRPr="00281AFE">
              <w:rPr>
                <w:rFonts w:ascii="Times New Roman" w:hAnsi="Times New Roman"/>
                <w:sz w:val="24"/>
                <w:szCs w:val="24"/>
                <w:lang w:val="ro-MD"/>
              </w:rPr>
              <w:t xml:space="preserve"> diagramele prezentate pentru anii 2021,2022).</w:t>
            </w:r>
          </w:p>
          <w:p w14:paraId="512390F6"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5C7D0BC7" w14:textId="0D1056C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noProof/>
                <w:sz w:val="24"/>
                <w:szCs w:val="24"/>
                <w:lang w:val="en-US"/>
              </w:rPr>
              <w:drawing>
                <wp:inline distT="0" distB="0" distL="0" distR="0" wp14:anchorId="655458D1" wp14:editId="3449C4D1">
                  <wp:extent cx="5760720" cy="2959735"/>
                  <wp:effectExtent l="0" t="0" r="11430" b="12065"/>
                  <wp:docPr id="21036802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29449273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2959735"/>
                          </a:xfrm>
                          <a:prstGeom prst="rect">
                            <a:avLst/>
                          </a:prstGeom>
                          <a:noFill/>
                          <a:ln>
                            <a:noFill/>
                          </a:ln>
                        </pic:spPr>
                      </pic:pic>
                    </a:graphicData>
                  </a:graphic>
                </wp:inline>
              </w:drawing>
            </w:r>
          </w:p>
          <w:p w14:paraId="4439A609" w14:textId="0956058D"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noProof/>
                <w:sz w:val="24"/>
                <w:szCs w:val="24"/>
                <w:lang w:val="en-US"/>
              </w:rPr>
              <w:lastRenderedPageBreak/>
              <w:drawing>
                <wp:inline distT="0" distB="0" distL="0" distR="0" wp14:anchorId="6FE034FF" wp14:editId="7F4B5DAF">
                  <wp:extent cx="5760720" cy="2820670"/>
                  <wp:effectExtent l="0" t="0" r="11430" b="17780"/>
                  <wp:docPr id="938725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57932352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2820670"/>
                          </a:xfrm>
                          <a:prstGeom prst="rect">
                            <a:avLst/>
                          </a:prstGeom>
                          <a:noFill/>
                          <a:ln>
                            <a:noFill/>
                          </a:ln>
                        </pic:spPr>
                      </pic:pic>
                    </a:graphicData>
                  </a:graphic>
                </wp:inline>
              </w:drawing>
            </w:r>
          </w:p>
          <w:p w14:paraId="72A391D1"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081DE402"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xml:space="preserve">Ultimii ani se conturează o tendință de diminuare a încasărilor, </w:t>
            </w:r>
            <w:r w:rsidRPr="00281AFE">
              <w:rPr>
                <w:rFonts w:ascii="Times New Roman" w:hAnsi="Times New Roman"/>
                <w:i/>
                <w:iCs/>
                <w:sz w:val="24"/>
                <w:szCs w:val="24"/>
                <w:lang w:val="ro-MD"/>
              </w:rPr>
              <w:t>(de văzut tabelul de mai jos</w:t>
            </w:r>
            <w:r w:rsidRPr="00281AFE">
              <w:rPr>
                <w:rFonts w:ascii="Times New Roman" w:hAnsi="Times New Roman"/>
                <w:sz w:val="24"/>
                <w:szCs w:val="24"/>
                <w:lang w:val="ro-MD"/>
              </w:rPr>
              <w:t>), o posibilă cauza a căreia ar fi efectul pe termen lung al prevederilor normative în procesul de autorizare a medicamentelor, serviciu cu pondere dominantă în totalul încasărilor.</w:t>
            </w:r>
          </w:p>
          <w:p w14:paraId="7DC0D58C" w14:textId="77777777" w:rsidR="00564F47" w:rsidRPr="00281AFE" w:rsidRDefault="00564F47" w:rsidP="00564F47">
            <w:pPr>
              <w:autoSpaceDE w:val="0"/>
              <w:autoSpaceDN w:val="0"/>
              <w:adjustRightInd w:val="0"/>
              <w:spacing w:after="0" w:line="240" w:lineRule="auto"/>
              <w:jc w:val="both"/>
              <w:rPr>
                <w:rFonts w:ascii="Times New Roman" w:hAnsi="Times New Roman"/>
                <w:i/>
                <w:iCs/>
                <w:sz w:val="24"/>
                <w:szCs w:val="24"/>
                <w:lang w:val="ro-MD"/>
              </w:rPr>
            </w:pPr>
            <w:r w:rsidRPr="00281AFE">
              <w:rPr>
                <w:rFonts w:ascii="Times New Roman" w:hAnsi="Times New Roman"/>
                <w:i/>
                <w:iCs/>
                <w:sz w:val="24"/>
                <w:szCs w:val="24"/>
                <w:lang w:val="ro-MD"/>
              </w:rPr>
              <w:t>mii lei</w:t>
            </w:r>
          </w:p>
          <w:tbl>
            <w:tblPr>
              <w:tblW w:w="0" w:type="auto"/>
              <w:tblCellMar>
                <w:left w:w="0" w:type="dxa"/>
                <w:right w:w="0" w:type="dxa"/>
              </w:tblCellMar>
              <w:tblLook w:val="04A0" w:firstRow="1" w:lastRow="0" w:firstColumn="1" w:lastColumn="0" w:noHBand="0" w:noVBand="1"/>
            </w:tblPr>
            <w:tblGrid>
              <w:gridCol w:w="3958"/>
              <w:gridCol w:w="1243"/>
              <w:gridCol w:w="1492"/>
              <w:gridCol w:w="2133"/>
            </w:tblGrid>
            <w:tr w:rsidR="00564F47" w:rsidRPr="00281AFE" w14:paraId="6B3F4D76" w14:textId="77777777" w:rsidTr="00564F47">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D5E3B"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4FFBD" w14:textId="77777777" w:rsidR="00564F47" w:rsidRPr="00281AFE" w:rsidRDefault="00564F47" w:rsidP="00564F47">
                  <w:pPr>
                    <w:autoSpaceDE w:val="0"/>
                    <w:autoSpaceDN w:val="0"/>
                    <w:adjustRightInd w:val="0"/>
                    <w:spacing w:after="0" w:line="240" w:lineRule="auto"/>
                    <w:jc w:val="both"/>
                    <w:rPr>
                      <w:rFonts w:ascii="Times New Roman" w:hAnsi="Times New Roman"/>
                      <w:b/>
                      <w:bCs/>
                      <w:i/>
                      <w:iCs/>
                      <w:sz w:val="24"/>
                      <w:szCs w:val="24"/>
                      <w:lang w:val="ro-MD"/>
                    </w:rPr>
                  </w:pPr>
                  <w:r w:rsidRPr="00281AFE">
                    <w:rPr>
                      <w:rFonts w:ascii="Times New Roman" w:hAnsi="Times New Roman"/>
                      <w:b/>
                      <w:bCs/>
                      <w:i/>
                      <w:iCs/>
                      <w:sz w:val="24"/>
                      <w:szCs w:val="24"/>
                      <w:lang w:val="ro-MD"/>
                    </w:rPr>
                    <w:t>2021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3A445" w14:textId="77777777" w:rsidR="00564F47" w:rsidRPr="00281AFE" w:rsidRDefault="00564F47" w:rsidP="00564F47">
                  <w:pPr>
                    <w:autoSpaceDE w:val="0"/>
                    <w:autoSpaceDN w:val="0"/>
                    <w:adjustRightInd w:val="0"/>
                    <w:spacing w:after="0" w:line="240" w:lineRule="auto"/>
                    <w:jc w:val="both"/>
                    <w:rPr>
                      <w:rFonts w:ascii="Times New Roman" w:hAnsi="Times New Roman"/>
                      <w:b/>
                      <w:bCs/>
                      <w:i/>
                      <w:iCs/>
                      <w:sz w:val="24"/>
                      <w:szCs w:val="24"/>
                      <w:lang w:val="ro-MD"/>
                    </w:rPr>
                  </w:pPr>
                  <w:r w:rsidRPr="00281AFE">
                    <w:rPr>
                      <w:rFonts w:ascii="Times New Roman" w:hAnsi="Times New Roman"/>
                      <w:b/>
                      <w:bCs/>
                      <w:i/>
                      <w:iCs/>
                      <w:sz w:val="24"/>
                      <w:szCs w:val="24"/>
                      <w:lang w:val="ro-MD"/>
                    </w:rPr>
                    <w:t>2022</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19DCB" w14:textId="77777777" w:rsidR="00564F47" w:rsidRPr="00281AFE" w:rsidRDefault="00564F47" w:rsidP="00564F47">
                  <w:pPr>
                    <w:autoSpaceDE w:val="0"/>
                    <w:autoSpaceDN w:val="0"/>
                    <w:adjustRightInd w:val="0"/>
                    <w:spacing w:after="0" w:line="240" w:lineRule="auto"/>
                    <w:jc w:val="both"/>
                    <w:rPr>
                      <w:rFonts w:ascii="Times New Roman" w:hAnsi="Times New Roman"/>
                      <w:b/>
                      <w:bCs/>
                      <w:i/>
                      <w:iCs/>
                      <w:sz w:val="24"/>
                      <w:szCs w:val="24"/>
                      <w:lang w:val="ro-MD"/>
                    </w:rPr>
                  </w:pPr>
                  <w:r w:rsidRPr="00281AFE">
                    <w:rPr>
                      <w:rFonts w:ascii="Times New Roman" w:hAnsi="Times New Roman"/>
                      <w:b/>
                      <w:bCs/>
                      <w:i/>
                      <w:iCs/>
                      <w:sz w:val="24"/>
                      <w:szCs w:val="24"/>
                      <w:lang w:val="ro-MD"/>
                    </w:rPr>
                    <w:t>2023 (I semestru)</w:t>
                  </w:r>
                </w:p>
              </w:tc>
            </w:tr>
            <w:tr w:rsidR="00564F47" w:rsidRPr="00281AFE" w14:paraId="4E6542DA" w14:textId="77777777" w:rsidTr="00564F4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B9B1B" w14:textId="77777777" w:rsidR="00564F47" w:rsidRPr="00281AFE" w:rsidRDefault="00564F47" w:rsidP="00564F47">
                  <w:pPr>
                    <w:autoSpaceDE w:val="0"/>
                    <w:autoSpaceDN w:val="0"/>
                    <w:adjustRightInd w:val="0"/>
                    <w:spacing w:after="0" w:line="240" w:lineRule="auto"/>
                    <w:jc w:val="both"/>
                    <w:rPr>
                      <w:rFonts w:ascii="Times New Roman" w:hAnsi="Times New Roman"/>
                      <w:b/>
                      <w:bCs/>
                      <w:i/>
                      <w:iCs/>
                      <w:sz w:val="24"/>
                      <w:szCs w:val="24"/>
                      <w:lang w:val="ro-MD"/>
                    </w:rPr>
                  </w:pPr>
                  <w:r w:rsidRPr="00281AFE">
                    <w:rPr>
                      <w:rFonts w:ascii="Times New Roman" w:hAnsi="Times New Roman"/>
                      <w:b/>
                      <w:bCs/>
                      <w:i/>
                      <w:iCs/>
                      <w:sz w:val="24"/>
                      <w:szCs w:val="24"/>
                      <w:lang w:val="ro-MD"/>
                    </w:rPr>
                    <w:t>Total încasări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4CA42BB"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56227,7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6EFDBD"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48643,3</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43091486"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20419,4</w:t>
                  </w:r>
                </w:p>
              </w:tc>
            </w:tr>
            <w:tr w:rsidR="00564F47" w:rsidRPr="000F4619" w14:paraId="04A05FBE" w14:textId="77777777" w:rsidTr="00564F4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28DCC" w14:textId="23D78162" w:rsidR="00564F47" w:rsidRPr="00281AFE" w:rsidRDefault="00564F47" w:rsidP="00564F47">
                  <w:pPr>
                    <w:autoSpaceDE w:val="0"/>
                    <w:autoSpaceDN w:val="0"/>
                    <w:adjustRightInd w:val="0"/>
                    <w:spacing w:after="0" w:line="240" w:lineRule="auto"/>
                    <w:jc w:val="both"/>
                    <w:rPr>
                      <w:rFonts w:ascii="Times New Roman" w:hAnsi="Times New Roman"/>
                      <w:b/>
                      <w:bCs/>
                      <w:i/>
                      <w:iCs/>
                      <w:sz w:val="24"/>
                      <w:szCs w:val="24"/>
                      <w:lang w:val="ro-MD"/>
                    </w:rPr>
                  </w:pPr>
                  <w:r w:rsidRPr="00281AFE">
                    <w:rPr>
                      <w:rFonts w:ascii="Times New Roman" w:hAnsi="Times New Roman"/>
                      <w:b/>
                      <w:bCs/>
                      <w:i/>
                      <w:iCs/>
                      <w:sz w:val="24"/>
                      <w:szCs w:val="24"/>
                      <w:lang w:val="ro-MD"/>
                    </w:rPr>
                    <w:t>Încasări din prestarea serviciului de autorizare a a medicamentelor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BC69477"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48225,3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C3A6C67"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40784,0</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085D76BA"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16731,4</w:t>
                  </w:r>
                </w:p>
              </w:tc>
            </w:tr>
          </w:tbl>
          <w:p w14:paraId="1785A8E9"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7DAD9E8D"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08A87200" w14:textId="77777777" w:rsidR="00564F47" w:rsidRPr="00281AFE" w:rsidRDefault="00564F47" w:rsidP="00564F47">
            <w:pPr>
              <w:autoSpaceDE w:val="0"/>
              <w:autoSpaceDN w:val="0"/>
              <w:adjustRightInd w:val="0"/>
              <w:spacing w:after="0" w:line="240" w:lineRule="auto"/>
              <w:jc w:val="both"/>
              <w:rPr>
                <w:rFonts w:ascii="Times New Roman" w:hAnsi="Times New Roman"/>
                <w:b/>
                <w:bCs/>
                <w:sz w:val="24"/>
                <w:szCs w:val="24"/>
                <w:lang w:val="ro-MD"/>
              </w:rPr>
            </w:pPr>
            <w:r w:rsidRPr="00281AFE">
              <w:rPr>
                <w:rFonts w:ascii="Times New Roman" w:hAnsi="Times New Roman"/>
                <w:b/>
                <w:bCs/>
                <w:sz w:val="24"/>
                <w:szCs w:val="24"/>
                <w:lang w:val="ro-MD"/>
              </w:rPr>
              <w:t>Informația privind veniturile și cheltuielile Laboratorului pentru controlul calității medicamentelor (subdiviziune a Agenției Medicamentului și Dispozitivelor Medicale).</w:t>
            </w:r>
          </w:p>
          <w:p w14:paraId="412A1755" w14:textId="77777777" w:rsidR="00564F47" w:rsidRPr="00281AFE" w:rsidRDefault="00564F47" w:rsidP="00564F47">
            <w:pPr>
              <w:autoSpaceDE w:val="0"/>
              <w:autoSpaceDN w:val="0"/>
              <w:adjustRightInd w:val="0"/>
              <w:spacing w:after="0" w:line="240" w:lineRule="auto"/>
              <w:jc w:val="both"/>
              <w:rPr>
                <w:rFonts w:ascii="Times New Roman" w:hAnsi="Times New Roman"/>
                <w:b/>
                <w:bCs/>
                <w:sz w:val="24"/>
                <w:szCs w:val="24"/>
                <w:lang w:val="ro-MD"/>
              </w:rPr>
            </w:pPr>
          </w:p>
          <w:p w14:paraId="06CDED9A"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xml:space="preserve">Veniturile înscrise de către serviciile prestate de către laborator însumează aproximativ </w:t>
            </w:r>
            <w:r w:rsidRPr="00281AFE">
              <w:rPr>
                <w:rFonts w:ascii="Times New Roman" w:hAnsi="Times New Roman"/>
                <w:b/>
                <w:bCs/>
                <w:sz w:val="24"/>
                <w:szCs w:val="24"/>
                <w:lang w:val="ro-MD"/>
              </w:rPr>
              <w:t>7 la sută din totalul veniturilor</w:t>
            </w:r>
            <w:r w:rsidRPr="00281AFE">
              <w:rPr>
                <w:rFonts w:ascii="Times New Roman" w:hAnsi="Times New Roman"/>
                <w:sz w:val="24"/>
                <w:szCs w:val="24"/>
                <w:lang w:val="ro-MD"/>
              </w:rPr>
              <w:t xml:space="preserve"> Agenției.</w:t>
            </w:r>
          </w:p>
          <w:p w14:paraId="2520D8A1"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Pe de altă parte, cheltuielile laboratorului, care se compun din:</w:t>
            </w:r>
          </w:p>
          <w:p w14:paraId="78236E5A" w14:textId="77777777" w:rsidR="00564F47" w:rsidRPr="00281AFE" w:rsidRDefault="00564F47" w:rsidP="00564F47">
            <w:pPr>
              <w:numPr>
                <w:ilvl w:val="0"/>
                <w:numId w:val="25"/>
              </w:num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cheltuieli de personal;</w:t>
            </w:r>
          </w:p>
          <w:p w14:paraId="024D790C" w14:textId="77777777" w:rsidR="00564F47" w:rsidRPr="00281AFE" w:rsidRDefault="00564F47" w:rsidP="00564F47">
            <w:pPr>
              <w:numPr>
                <w:ilvl w:val="0"/>
                <w:numId w:val="25"/>
              </w:num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cheltuieli privind folosirea echipamentului de laborator, uzura blocului de laborator;</w:t>
            </w:r>
          </w:p>
          <w:p w14:paraId="712968B2" w14:textId="77777777" w:rsidR="00564F47" w:rsidRPr="00281AFE" w:rsidRDefault="00564F47" w:rsidP="00564F47">
            <w:pPr>
              <w:numPr>
                <w:ilvl w:val="0"/>
                <w:numId w:val="25"/>
              </w:num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serviciile de calificare pentru echipamentul de laborator;</w:t>
            </w:r>
          </w:p>
          <w:p w14:paraId="5CA25C5E" w14:textId="77777777" w:rsidR="00564F47" w:rsidRPr="00281AFE" w:rsidRDefault="00564F47" w:rsidP="00564F47">
            <w:pPr>
              <w:numPr>
                <w:ilvl w:val="0"/>
                <w:numId w:val="25"/>
              </w:num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consumul de reactivi, consumabile de laborator;</w:t>
            </w:r>
          </w:p>
          <w:p w14:paraId="5BBE5BB0" w14:textId="77777777" w:rsidR="00564F47" w:rsidRPr="00281AFE" w:rsidRDefault="00564F47" w:rsidP="00564F47">
            <w:pPr>
              <w:numPr>
                <w:ilvl w:val="0"/>
                <w:numId w:val="25"/>
              </w:num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serviciile de mentenanță a echipamentului și instalațiilor de laborator;</w:t>
            </w:r>
          </w:p>
          <w:p w14:paraId="30D04B1A" w14:textId="1D8B4FBD" w:rsidR="00564F47" w:rsidRPr="00281AFE" w:rsidRDefault="00564F47" w:rsidP="00564F47">
            <w:pPr>
              <w:numPr>
                <w:ilvl w:val="0"/>
                <w:numId w:val="25"/>
              </w:num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serviciile de reparție și întreținere a utilajului de laborator,</w:t>
            </w:r>
          </w:p>
          <w:p w14:paraId="41DDE7F5" w14:textId="10E113BB"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xml:space="preserve">formează aproximativ </w:t>
            </w:r>
            <w:r w:rsidRPr="00281AFE">
              <w:rPr>
                <w:rFonts w:ascii="Times New Roman" w:hAnsi="Times New Roman"/>
                <w:b/>
                <w:bCs/>
                <w:sz w:val="24"/>
                <w:szCs w:val="24"/>
                <w:lang w:val="ro-MD"/>
              </w:rPr>
              <w:t>1/3 din totalul cheltuielilor</w:t>
            </w:r>
            <w:r w:rsidRPr="00281AFE">
              <w:rPr>
                <w:rFonts w:ascii="Times New Roman" w:hAnsi="Times New Roman"/>
                <w:sz w:val="24"/>
                <w:szCs w:val="24"/>
                <w:lang w:val="ro-MD"/>
              </w:rPr>
              <w:t xml:space="preserve"> instituției. (</w:t>
            </w:r>
            <w:r w:rsidRPr="00281AFE">
              <w:rPr>
                <w:rFonts w:ascii="Times New Roman" w:hAnsi="Times New Roman"/>
                <w:i/>
                <w:iCs/>
                <w:sz w:val="24"/>
                <w:szCs w:val="24"/>
                <w:lang w:val="ro-MD"/>
              </w:rPr>
              <w:t>de văzut diagramele</w:t>
            </w:r>
            <w:r w:rsidRPr="00281AFE">
              <w:rPr>
                <w:rFonts w:ascii="Times New Roman" w:hAnsi="Times New Roman"/>
                <w:sz w:val="24"/>
                <w:szCs w:val="24"/>
                <w:lang w:val="ro-MD"/>
              </w:rPr>
              <w:t xml:space="preserve">)  </w:t>
            </w:r>
          </w:p>
          <w:p w14:paraId="79186EBA"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395CD5C6" w14:textId="1A6F5BA2"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noProof/>
                <w:sz w:val="24"/>
                <w:szCs w:val="24"/>
                <w:lang w:val="en-US"/>
              </w:rPr>
              <w:drawing>
                <wp:inline distT="0" distB="0" distL="0" distR="0" wp14:anchorId="075E0A22" wp14:editId="52802DF1">
                  <wp:extent cx="2781300" cy="1569720"/>
                  <wp:effectExtent l="0" t="0" r="0" b="11430"/>
                  <wp:docPr id="847897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5173099"/>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781300" cy="1569720"/>
                          </a:xfrm>
                          <a:prstGeom prst="rect">
                            <a:avLst/>
                          </a:prstGeom>
                          <a:noFill/>
                          <a:ln>
                            <a:noFill/>
                          </a:ln>
                        </pic:spPr>
                      </pic:pic>
                    </a:graphicData>
                  </a:graphic>
                </wp:inline>
              </w:drawing>
            </w:r>
            <w:r w:rsidRPr="00281AFE">
              <w:rPr>
                <w:rFonts w:ascii="Times New Roman" w:hAnsi="Times New Roman"/>
                <w:noProof/>
                <w:sz w:val="24"/>
                <w:szCs w:val="24"/>
                <w:lang w:val="en-US"/>
              </w:rPr>
              <w:drawing>
                <wp:inline distT="0" distB="0" distL="0" distR="0" wp14:anchorId="3DB7789E" wp14:editId="516219E6">
                  <wp:extent cx="2804160" cy="1569720"/>
                  <wp:effectExtent l="0" t="0" r="15240" b="11430"/>
                  <wp:docPr id="928580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22044571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04160" cy="1569720"/>
                          </a:xfrm>
                          <a:prstGeom prst="rect">
                            <a:avLst/>
                          </a:prstGeom>
                          <a:noFill/>
                          <a:ln>
                            <a:noFill/>
                          </a:ln>
                        </pic:spPr>
                      </pic:pic>
                    </a:graphicData>
                  </a:graphic>
                </wp:inline>
              </w:drawing>
            </w:r>
          </w:p>
          <w:p w14:paraId="3981DEAD"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46487335"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Volumul cheltuielilor în raport cu veniturile înregistrate din prestarea serviciilor laboratorului este redat în diagrama de mai jos. (</w:t>
            </w:r>
            <w:r w:rsidRPr="00281AFE">
              <w:rPr>
                <w:rFonts w:ascii="Times New Roman" w:hAnsi="Times New Roman"/>
                <w:i/>
                <w:iCs/>
                <w:sz w:val="24"/>
                <w:szCs w:val="24"/>
                <w:lang w:val="ro-MD"/>
              </w:rPr>
              <w:t>pentru anul 2021, 2022</w:t>
            </w:r>
            <w:r w:rsidRPr="00281AFE">
              <w:rPr>
                <w:rFonts w:ascii="Times New Roman" w:hAnsi="Times New Roman"/>
                <w:sz w:val="24"/>
                <w:szCs w:val="24"/>
                <w:lang w:val="ro-MD"/>
              </w:rPr>
              <w:t>)</w:t>
            </w:r>
          </w:p>
          <w:p w14:paraId="6478825B"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7E2DCF8C" w14:textId="3D729D5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en-US"/>
              </w:rPr>
            </w:pPr>
            <w:r w:rsidRPr="00281AFE">
              <w:rPr>
                <w:rFonts w:ascii="Times New Roman" w:hAnsi="Times New Roman"/>
                <w:noProof/>
                <w:sz w:val="24"/>
                <w:szCs w:val="24"/>
                <w:lang w:val="en-US"/>
              </w:rPr>
              <w:lastRenderedPageBreak/>
              <w:drawing>
                <wp:inline distT="0" distB="0" distL="0" distR="0" wp14:anchorId="429B1D11" wp14:editId="34AF2030">
                  <wp:extent cx="5547360" cy="1409700"/>
                  <wp:effectExtent l="0" t="0" r="15240" b="0"/>
                  <wp:docPr id="41530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02974545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547360" cy="1409700"/>
                          </a:xfrm>
                          <a:prstGeom prst="rect">
                            <a:avLst/>
                          </a:prstGeom>
                          <a:noFill/>
                          <a:ln>
                            <a:noFill/>
                          </a:ln>
                        </pic:spPr>
                      </pic:pic>
                    </a:graphicData>
                  </a:graphic>
                </wp:inline>
              </w:drawing>
            </w:r>
          </w:p>
          <w:p w14:paraId="3E801CAE" w14:textId="2EC8E392"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noProof/>
                <w:sz w:val="24"/>
                <w:szCs w:val="24"/>
                <w:lang w:val="en-US"/>
              </w:rPr>
              <w:drawing>
                <wp:inline distT="0" distB="0" distL="0" distR="0" wp14:anchorId="53B6DC95" wp14:editId="0049EAFF">
                  <wp:extent cx="5570220" cy="1493520"/>
                  <wp:effectExtent l="0" t="0" r="11430" b="11430"/>
                  <wp:docPr id="21688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6096142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570220" cy="1493520"/>
                          </a:xfrm>
                          <a:prstGeom prst="rect">
                            <a:avLst/>
                          </a:prstGeom>
                          <a:noFill/>
                          <a:ln>
                            <a:noFill/>
                          </a:ln>
                        </pic:spPr>
                      </pic:pic>
                    </a:graphicData>
                  </a:graphic>
                </wp:inline>
              </w:drawing>
            </w:r>
          </w:p>
          <w:p w14:paraId="53D90B90"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p>
          <w:p w14:paraId="489D70AC" w14:textId="77777777" w:rsidR="00564F47" w:rsidRPr="00281AFE" w:rsidRDefault="00564F47" w:rsidP="00564F47">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Din punct de vedere a rentabilității economice activitatea laboratorului nu atinge pragul de rentabilitate, fapt care demonstrează necesitatea ajustării urgente a tarifelor pentru controlul calității medicamentelor.</w:t>
            </w:r>
          </w:p>
          <w:p w14:paraId="3030B565" w14:textId="7D726952" w:rsidR="00817644" w:rsidRPr="00281AFE" w:rsidRDefault="00F83BCF" w:rsidP="00817644">
            <w:pPr>
              <w:autoSpaceDE w:val="0"/>
              <w:autoSpaceDN w:val="0"/>
              <w:adjustRightInd w:val="0"/>
              <w:spacing w:after="0" w:line="240" w:lineRule="auto"/>
              <w:jc w:val="both"/>
              <w:rPr>
                <w:rFonts w:ascii="Times New Roman" w:hAnsi="Times New Roman"/>
                <w:sz w:val="24"/>
                <w:szCs w:val="24"/>
                <w:lang w:val="ro-MD"/>
              </w:rPr>
            </w:pPr>
            <w:r w:rsidRPr="00281AFE">
              <w:rPr>
                <w:rFonts w:ascii="Times New Roman" w:hAnsi="Times New Roman"/>
                <w:sz w:val="24"/>
                <w:szCs w:val="24"/>
                <w:lang w:val="ro-MD"/>
              </w:rPr>
              <w:t xml:space="preserve">Totodată, </w:t>
            </w:r>
            <w:r w:rsidR="00817644" w:rsidRPr="00281AFE">
              <w:rPr>
                <w:rFonts w:ascii="Times New Roman" w:hAnsi="Times New Roman"/>
                <w:sz w:val="24"/>
                <w:szCs w:val="24"/>
                <w:lang w:val="ro-MD"/>
              </w:rPr>
              <w:t>se</w:t>
            </w:r>
            <w:r w:rsidRPr="00281AFE">
              <w:rPr>
                <w:rFonts w:ascii="Times New Roman" w:hAnsi="Times New Roman"/>
                <w:sz w:val="24"/>
                <w:szCs w:val="24"/>
                <w:lang w:val="ro-MD"/>
              </w:rPr>
              <w:t xml:space="preserve"> </w:t>
            </w:r>
            <w:r w:rsidR="00817644" w:rsidRPr="00281AFE">
              <w:rPr>
                <w:rFonts w:ascii="Times New Roman" w:hAnsi="Times New Roman"/>
                <w:sz w:val="24"/>
                <w:szCs w:val="24"/>
                <w:lang w:val="ro-MD"/>
              </w:rPr>
              <w:t>propune introducerea în proiectul hotărârii de guvern</w:t>
            </w:r>
            <w:bookmarkStart w:id="3" w:name="_Hlk140659316"/>
            <w:r w:rsidR="00817644" w:rsidRPr="00281AFE">
              <w:rPr>
                <w:rFonts w:ascii="Times New Roman" w:hAnsi="Times New Roman"/>
                <w:sz w:val="24"/>
                <w:szCs w:val="24"/>
                <w:lang w:val="ro-MD"/>
              </w:rPr>
              <w:t xml:space="preserve"> pentru calcularea costului serviciului prestat de către experți și/sau membri ai Comisiei Medicamentului, o nouă formula de calcul:</w:t>
            </w:r>
          </w:p>
          <w:p w14:paraId="57ABBF41" w14:textId="77777777" w:rsidR="00817644" w:rsidRPr="00817644" w:rsidRDefault="00817644" w:rsidP="00817644">
            <w:pPr>
              <w:numPr>
                <w:ilvl w:val="0"/>
                <w:numId w:val="18"/>
              </w:numPr>
              <w:autoSpaceDE w:val="0"/>
              <w:autoSpaceDN w:val="0"/>
              <w:adjustRightInd w:val="0"/>
              <w:spacing w:after="0" w:line="240" w:lineRule="auto"/>
              <w:ind w:hanging="197"/>
              <w:jc w:val="both"/>
              <w:rPr>
                <w:rFonts w:ascii="Times New Roman" w:hAnsi="Times New Roman"/>
                <w:sz w:val="24"/>
                <w:szCs w:val="24"/>
                <w:lang w:val="ro-MD"/>
              </w:rPr>
            </w:pPr>
            <w:bookmarkStart w:id="4" w:name="_Hlk140664990"/>
            <w:bookmarkEnd w:id="3"/>
            <w:r w:rsidRPr="00817644">
              <w:rPr>
                <w:rFonts w:ascii="Times New Roman" w:hAnsi="Times New Roman"/>
                <w:sz w:val="24"/>
                <w:szCs w:val="24"/>
                <w:lang w:val="ro-MD"/>
              </w:rPr>
              <w:t xml:space="preserve">Pentru experți: </w:t>
            </w:r>
          </w:p>
          <w:p w14:paraId="72D4F91A"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R =K x 1/3CSM</w:t>
            </w:r>
          </w:p>
          <w:p w14:paraId="6F654823"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unde:</w:t>
            </w:r>
          </w:p>
          <w:p w14:paraId="1B8D63EC"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R – remunerare expert,</w:t>
            </w:r>
          </w:p>
          <w:p w14:paraId="1A3F1C4B"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K – coeficient de remunerare în funcție de tipul cererii sau expertizei specializate (Anexa nr.3 din hotărâre), pentru expertiză în regim de urgență coeficientul de remunerare (K) se dublează,</w:t>
            </w:r>
          </w:p>
          <w:p w14:paraId="022D2EA2"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 xml:space="preserve">CSM – cuantumul salariului mediu </w:t>
            </w:r>
            <w:bookmarkStart w:id="5" w:name="_Hlk140053260"/>
            <w:r w:rsidRPr="00817644">
              <w:rPr>
                <w:rFonts w:ascii="Times New Roman" w:hAnsi="Times New Roman"/>
                <w:sz w:val="24"/>
                <w:szCs w:val="24"/>
                <w:lang w:val="ro-MD"/>
              </w:rPr>
              <w:t>lunar pe economie realizat în anul precedent celui de gestiune</w:t>
            </w:r>
            <w:bookmarkEnd w:id="5"/>
            <w:r w:rsidRPr="00817644">
              <w:rPr>
                <w:rFonts w:ascii="Times New Roman" w:hAnsi="Times New Roman"/>
                <w:sz w:val="24"/>
                <w:szCs w:val="24"/>
                <w:lang w:val="ro-MD"/>
              </w:rPr>
              <w:t>;</w:t>
            </w:r>
          </w:p>
          <w:p w14:paraId="1A62B7F9" w14:textId="77777777" w:rsidR="00817644" w:rsidRPr="00817644" w:rsidRDefault="00817644" w:rsidP="00817644">
            <w:pPr>
              <w:autoSpaceDE w:val="0"/>
              <w:autoSpaceDN w:val="0"/>
              <w:adjustRightInd w:val="0"/>
              <w:spacing w:after="0" w:line="240" w:lineRule="auto"/>
              <w:ind w:left="1308" w:hanging="371"/>
              <w:jc w:val="both"/>
              <w:rPr>
                <w:rFonts w:ascii="Times New Roman" w:hAnsi="Times New Roman"/>
                <w:sz w:val="24"/>
                <w:szCs w:val="24"/>
                <w:lang w:val="ro-MD"/>
              </w:rPr>
            </w:pPr>
            <w:r w:rsidRPr="00817644">
              <w:rPr>
                <w:rFonts w:ascii="Times New Roman" w:hAnsi="Times New Roman"/>
                <w:sz w:val="24"/>
                <w:szCs w:val="24"/>
                <w:lang w:val="ro-MD"/>
              </w:rPr>
              <w:t>2) Pentru membrii Comisiei Medicamentului:</w:t>
            </w:r>
          </w:p>
          <w:p w14:paraId="58388AFF"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R =K x CSM</w:t>
            </w:r>
          </w:p>
          <w:p w14:paraId="0C394AAE"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unde:</w:t>
            </w:r>
          </w:p>
          <w:p w14:paraId="0CF2BA39"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R – remunerare per ședință,</w:t>
            </w:r>
          </w:p>
          <w:p w14:paraId="56DEDB59"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K – coeficient de remunerare egal cu 1.5,</w:t>
            </w:r>
          </w:p>
          <w:p w14:paraId="3E91B97A" w14:textId="77777777" w:rsidR="00817644" w:rsidRPr="00817644" w:rsidRDefault="00817644" w:rsidP="00817644">
            <w:pPr>
              <w:autoSpaceDE w:val="0"/>
              <w:autoSpaceDN w:val="0"/>
              <w:adjustRightInd w:val="0"/>
              <w:spacing w:after="0" w:line="240" w:lineRule="auto"/>
              <w:ind w:firstLine="937"/>
              <w:jc w:val="both"/>
              <w:rPr>
                <w:rFonts w:ascii="Times New Roman" w:hAnsi="Times New Roman"/>
                <w:sz w:val="24"/>
                <w:szCs w:val="24"/>
                <w:lang w:val="ro-MD"/>
              </w:rPr>
            </w:pPr>
            <w:r w:rsidRPr="00817644">
              <w:rPr>
                <w:rFonts w:ascii="Times New Roman" w:hAnsi="Times New Roman"/>
                <w:sz w:val="24"/>
                <w:szCs w:val="24"/>
                <w:lang w:val="ro-MD"/>
              </w:rPr>
              <w:t>CSM – cuantumul salariului minim lunar pe economie realizat în anul precedent celui de gestiune.</w:t>
            </w:r>
          </w:p>
          <w:bookmarkEnd w:id="4"/>
          <w:p w14:paraId="7785567B" w14:textId="1DBF5DA0" w:rsidR="00817644" w:rsidRPr="00281AFE" w:rsidRDefault="00817644" w:rsidP="00817644">
            <w:pPr>
              <w:autoSpaceDE w:val="0"/>
              <w:autoSpaceDN w:val="0"/>
              <w:adjustRightInd w:val="0"/>
              <w:spacing w:after="0" w:line="240" w:lineRule="auto"/>
              <w:jc w:val="both"/>
              <w:rPr>
                <w:rFonts w:ascii="Times New Roman" w:hAnsi="Times New Roman"/>
                <w:sz w:val="24"/>
                <w:szCs w:val="24"/>
                <w:lang w:val="ro-MD"/>
              </w:rPr>
            </w:pPr>
            <w:r w:rsidRPr="00817644">
              <w:rPr>
                <w:rFonts w:ascii="Times New Roman" w:hAnsi="Times New Roman"/>
                <w:sz w:val="24"/>
                <w:szCs w:val="24"/>
                <w:lang w:val="ro-MD"/>
              </w:rPr>
              <w:t xml:space="preserve">Această formulă este necesară a fi aplicată, urmare a noilor servicii care urmează a fi aprobate și prestate de AMDM. </w:t>
            </w:r>
            <w:r w:rsidRPr="00281AFE">
              <w:rPr>
                <w:rFonts w:ascii="Times New Roman" w:hAnsi="Times New Roman"/>
                <w:sz w:val="24"/>
                <w:szCs w:val="24"/>
                <w:lang w:val="ro-MD"/>
              </w:rPr>
              <w:t>Formula de calcul menționată</w:t>
            </w:r>
            <w:r w:rsidRPr="00817644">
              <w:rPr>
                <w:rFonts w:ascii="Times New Roman" w:hAnsi="Times New Roman"/>
                <w:sz w:val="24"/>
                <w:szCs w:val="24"/>
                <w:lang w:val="ro-MD"/>
              </w:rPr>
              <w:t xml:space="preserve"> oferă o claritate de formare a tarifului la serviciul prestat, ceea ce </w:t>
            </w:r>
            <w:r w:rsidRPr="00281AFE">
              <w:rPr>
                <w:rFonts w:ascii="Times New Roman" w:hAnsi="Times New Roman"/>
                <w:sz w:val="24"/>
                <w:szCs w:val="24"/>
                <w:lang w:val="ro-MD"/>
              </w:rPr>
              <w:t>la moment</w:t>
            </w:r>
            <w:r w:rsidRPr="00817644">
              <w:rPr>
                <w:rFonts w:ascii="Times New Roman" w:hAnsi="Times New Roman"/>
                <w:sz w:val="24"/>
                <w:szCs w:val="24"/>
                <w:lang w:val="ro-MD"/>
              </w:rPr>
              <w:t xml:space="preserve"> lipsește din prevederile Regulamentului în vigoare</w:t>
            </w:r>
            <w:r w:rsidRPr="00281AFE">
              <w:rPr>
                <w:rFonts w:ascii="Times New Roman" w:hAnsi="Times New Roman"/>
                <w:sz w:val="24"/>
                <w:szCs w:val="24"/>
                <w:lang w:val="ro-MD"/>
              </w:rPr>
              <w:t>.</w:t>
            </w:r>
          </w:p>
          <w:p w14:paraId="00B304CE" w14:textId="31D5B609" w:rsidR="00281AFE" w:rsidRPr="000F4619" w:rsidRDefault="00281AFE" w:rsidP="000F4619">
            <w:pPr>
              <w:jc w:val="both"/>
              <w:rPr>
                <w:rFonts w:ascii="Times New Roman" w:hAnsi="Times New Roman"/>
                <w:sz w:val="24"/>
                <w:szCs w:val="24"/>
                <w:lang w:val="ro-MD"/>
              </w:rPr>
            </w:pPr>
            <w:r w:rsidRPr="00281AFE">
              <w:rPr>
                <w:rFonts w:ascii="Times New Roman" w:hAnsi="Times New Roman"/>
                <w:sz w:val="24"/>
                <w:szCs w:val="24"/>
                <w:lang w:val="ro-MD"/>
              </w:rPr>
              <w:t>Menționăm că</w:t>
            </w:r>
            <w:r w:rsidR="000F4619">
              <w:rPr>
                <w:rFonts w:ascii="Times New Roman" w:hAnsi="Times New Roman"/>
                <w:sz w:val="24"/>
                <w:szCs w:val="24"/>
                <w:lang w:val="ro-MD"/>
              </w:rPr>
              <w:t xml:space="preserve"> </w:t>
            </w:r>
            <w:r w:rsidR="000F4619" w:rsidRPr="000F4619">
              <w:rPr>
                <w:rFonts w:ascii="Times New Roman" w:hAnsi="Times New Roman"/>
                <w:sz w:val="24"/>
                <w:szCs w:val="24"/>
                <w:lang w:val="ro-MD"/>
              </w:rPr>
              <w:t xml:space="preserve">actul conține prevederi neaplicabile la ziua de azi. În anul 1993 dosarele prezentate pentru autorizarea medicamentelor erau conformate abstract ( non CTD). Toate dosarele erau prezentate  pe format de hârtie ce oferea posibilitatea numărării paginilor. Tariful stabilit era conform realităților economice din 1993. Începând cu anul 2012, Republica Moldova a adoptat modelul European de prezentare a dosarelor pentru autorizarea medicamentelor în format CTD cu 5 module, fiecare dosar. Dosarul este prezentat în format electronic care conține mii de pagini. Pe lângă evaluarea științifică a dosarului propriu-zis, experții trebuie să acceseze și informații on-line de pe paginile Agenției Europene, FDA etc., un exemplu poate fi accesarea ghidurilor ICH (https://www.ich.org/page/efficacy-guidelines) fiecare dintre experți trebuie să consulte până la 15 ghiduri /dosar. Experții care evaluează dosarele pe partea clinică și non clinică, trebuie să-și exercite funcția de evaluare în </w:t>
            </w:r>
            <w:r w:rsidR="000F4619" w:rsidRPr="000F4619">
              <w:rPr>
                <w:rFonts w:ascii="Times New Roman" w:hAnsi="Times New Roman"/>
                <w:sz w:val="24"/>
                <w:szCs w:val="24"/>
                <w:lang w:val="ro-MD"/>
              </w:rPr>
              <w:lastRenderedPageBreak/>
              <w:t>dependență de cele 9 tipuri de cereri stabilite de normele Europene. Expertul care evaluează partea calitate din dosar, trebuie s-o facă din 2 aspecte: subsanța activă și produsul finit. Astfel, timpul necesar pentru evaluarea dozelor suplimentare și a diferitor substanțe active din același medicament dublează lucrul expertului.</w:t>
            </w:r>
          </w:p>
          <w:p w14:paraId="709EF709" w14:textId="5153B2BB" w:rsidR="00736986" w:rsidRPr="00281AFE" w:rsidRDefault="003D35BA" w:rsidP="003D35BA">
            <w:pPr>
              <w:autoSpaceDE w:val="0"/>
              <w:autoSpaceDN w:val="0"/>
              <w:adjustRightInd w:val="0"/>
              <w:spacing w:after="0" w:line="240" w:lineRule="auto"/>
              <w:ind w:firstLine="589"/>
              <w:jc w:val="both"/>
              <w:rPr>
                <w:rFonts w:ascii="Times New Roman" w:hAnsi="Times New Roman"/>
                <w:sz w:val="24"/>
                <w:szCs w:val="24"/>
                <w:lang w:val="ro-MD"/>
              </w:rPr>
            </w:pPr>
            <w:r w:rsidRPr="00281AFE">
              <w:rPr>
                <w:rFonts w:ascii="Times New Roman" w:hAnsi="Times New Roman"/>
                <w:sz w:val="24"/>
                <w:szCs w:val="24"/>
                <w:lang w:val="ro-MD"/>
              </w:rPr>
              <w:t>Ca finalități urmărite, i</w:t>
            </w:r>
            <w:r w:rsidR="001D3A75" w:rsidRPr="00281AFE">
              <w:rPr>
                <w:rFonts w:ascii="Times New Roman" w:hAnsi="Times New Roman"/>
                <w:sz w:val="24"/>
                <w:szCs w:val="24"/>
                <w:lang w:val="ro-MD"/>
              </w:rPr>
              <w:t xml:space="preserve">mplementarea  noilor servicii vor aduce îmbunătățiri semnificative în procesul de autorizare a medicamentelor în Republica Moldova cât și încrederea producătorilor </w:t>
            </w:r>
            <w:r w:rsidRPr="00281AFE">
              <w:rPr>
                <w:rFonts w:ascii="Times New Roman" w:hAnsi="Times New Roman"/>
                <w:sz w:val="24"/>
                <w:szCs w:val="24"/>
                <w:lang w:val="ro-MD"/>
              </w:rPr>
              <w:t>străini</w:t>
            </w:r>
            <w:r w:rsidR="001D3A75" w:rsidRPr="00281AFE">
              <w:rPr>
                <w:rFonts w:ascii="Times New Roman" w:hAnsi="Times New Roman"/>
                <w:sz w:val="24"/>
                <w:szCs w:val="24"/>
                <w:lang w:val="ro-MD"/>
              </w:rPr>
              <w:t xml:space="preserve"> în ce privește calitatea serviciilor oferite de </w:t>
            </w:r>
            <w:r w:rsidRPr="00281AFE">
              <w:rPr>
                <w:rFonts w:ascii="Times New Roman" w:hAnsi="Times New Roman"/>
                <w:sz w:val="24"/>
                <w:szCs w:val="24"/>
                <w:lang w:val="ro-MD"/>
              </w:rPr>
              <w:t>AMDM, precum și va permite dezvoltarea continuă și durabilă a autorității.</w:t>
            </w:r>
          </w:p>
          <w:p w14:paraId="505AC52A" w14:textId="5444DB54" w:rsidR="003D35BA" w:rsidRPr="00281AFE" w:rsidRDefault="003D35BA" w:rsidP="003D35BA">
            <w:pPr>
              <w:autoSpaceDE w:val="0"/>
              <w:autoSpaceDN w:val="0"/>
              <w:adjustRightInd w:val="0"/>
              <w:spacing w:after="0" w:line="240" w:lineRule="auto"/>
              <w:ind w:firstLine="589"/>
              <w:jc w:val="both"/>
              <w:rPr>
                <w:rFonts w:ascii="Times New Roman" w:hAnsi="Times New Roman"/>
                <w:sz w:val="24"/>
                <w:szCs w:val="24"/>
                <w:lang w:val="ro-MD"/>
              </w:rPr>
            </w:pPr>
          </w:p>
        </w:tc>
      </w:tr>
      <w:tr w:rsidR="007B3678" w:rsidRPr="000F4619" w14:paraId="35B52FDD" w14:textId="77777777" w:rsidTr="00A441A3">
        <w:trPr>
          <w:trHeight w:val="606"/>
        </w:trPr>
        <w:tc>
          <w:tcPr>
            <w:tcW w:w="5000" w:type="pct"/>
          </w:tcPr>
          <w:p w14:paraId="5E63CCD0" w14:textId="366B0AC5" w:rsidR="007D35F2" w:rsidRPr="007D35F2" w:rsidRDefault="007D35F2" w:rsidP="007D35F2">
            <w:pPr>
              <w:tabs>
                <w:tab w:val="left" w:pos="884"/>
                <w:tab w:val="left" w:pos="1196"/>
              </w:tabs>
              <w:spacing w:line="240" w:lineRule="auto"/>
              <w:jc w:val="both"/>
              <w:rPr>
                <w:rFonts w:ascii="Times New Roman" w:hAnsi="Times New Roman"/>
                <w:b/>
                <w:sz w:val="24"/>
                <w:szCs w:val="24"/>
                <w:lang w:val="ro-MD"/>
              </w:rPr>
            </w:pPr>
            <w:r>
              <w:rPr>
                <w:rFonts w:ascii="Times New Roman" w:hAnsi="Times New Roman"/>
                <w:b/>
                <w:sz w:val="24"/>
                <w:szCs w:val="24"/>
                <w:lang w:val="ro-MD"/>
              </w:rPr>
              <w:lastRenderedPageBreak/>
              <w:t xml:space="preserve">3. </w:t>
            </w:r>
            <w:r w:rsidR="007B3678" w:rsidRPr="007D35F2">
              <w:rPr>
                <w:rFonts w:ascii="Times New Roman" w:hAnsi="Times New Roman"/>
                <w:b/>
                <w:sz w:val="24"/>
                <w:szCs w:val="24"/>
                <w:lang w:val="ro-MD"/>
              </w:rPr>
              <w:t xml:space="preserve">Descrierea gradului de compatibilitate pentru proiectele care au ca scop armonizarea </w:t>
            </w:r>
            <w:r w:rsidR="00564F47" w:rsidRPr="007D35F2">
              <w:rPr>
                <w:rFonts w:ascii="Times New Roman" w:hAnsi="Times New Roman"/>
                <w:b/>
                <w:sz w:val="24"/>
                <w:szCs w:val="24"/>
                <w:lang w:val="ro-MD"/>
              </w:rPr>
              <w:t>legislației</w:t>
            </w:r>
            <w:r w:rsidR="007B3678" w:rsidRPr="007D35F2">
              <w:rPr>
                <w:rFonts w:ascii="Times New Roman" w:hAnsi="Times New Roman"/>
                <w:b/>
                <w:sz w:val="24"/>
                <w:szCs w:val="24"/>
                <w:lang w:val="ro-MD"/>
              </w:rPr>
              <w:t xml:space="preserve"> </w:t>
            </w:r>
            <w:r w:rsidR="00564F47" w:rsidRPr="007D35F2">
              <w:rPr>
                <w:rFonts w:ascii="Times New Roman" w:hAnsi="Times New Roman"/>
                <w:b/>
                <w:sz w:val="24"/>
                <w:szCs w:val="24"/>
                <w:lang w:val="ro-MD"/>
              </w:rPr>
              <w:t>naționale</w:t>
            </w:r>
            <w:r w:rsidR="007B3678" w:rsidRPr="007D35F2">
              <w:rPr>
                <w:rFonts w:ascii="Times New Roman" w:hAnsi="Times New Roman"/>
                <w:b/>
                <w:sz w:val="24"/>
                <w:szCs w:val="24"/>
                <w:lang w:val="ro-MD"/>
              </w:rPr>
              <w:t xml:space="preserve"> cu </w:t>
            </w:r>
            <w:r w:rsidR="00564F47" w:rsidRPr="007D35F2">
              <w:rPr>
                <w:rFonts w:ascii="Times New Roman" w:hAnsi="Times New Roman"/>
                <w:b/>
                <w:sz w:val="24"/>
                <w:szCs w:val="24"/>
                <w:lang w:val="ro-MD"/>
              </w:rPr>
              <w:t>legislația</w:t>
            </w:r>
            <w:r w:rsidR="007B3678" w:rsidRPr="007D35F2">
              <w:rPr>
                <w:rFonts w:ascii="Times New Roman" w:hAnsi="Times New Roman"/>
                <w:b/>
                <w:sz w:val="24"/>
                <w:szCs w:val="24"/>
                <w:lang w:val="ro-MD"/>
              </w:rPr>
              <w:t xml:space="preserve"> Uniunii Europene</w:t>
            </w:r>
          </w:p>
        </w:tc>
      </w:tr>
      <w:tr w:rsidR="007B3678" w:rsidRPr="000F4619" w14:paraId="4CA3A6A4" w14:textId="77777777" w:rsidTr="00224CED">
        <w:tc>
          <w:tcPr>
            <w:tcW w:w="5000" w:type="pct"/>
          </w:tcPr>
          <w:p w14:paraId="061E4FCC" w14:textId="7BD9C1E0" w:rsidR="000D2C7A" w:rsidRPr="009523BC" w:rsidRDefault="007B3678" w:rsidP="007D0B96">
            <w:pPr>
              <w:pStyle w:val="NoSpacing"/>
              <w:jc w:val="both"/>
              <w:rPr>
                <w:rFonts w:ascii="Times New Roman" w:hAnsi="Times New Roman"/>
                <w:sz w:val="24"/>
                <w:szCs w:val="24"/>
                <w:lang w:val="ro-MD"/>
              </w:rPr>
            </w:pPr>
            <w:r w:rsidRPr="009523BC">
              <w:rPr>
                <w:rFonts w:ascii="Times New Roman" w:hAnsi="Times New Roman"/>
                <w:sz w:val="24"/>
                <w:szCs w:val="24"/>
                <w:lang w:val="ro-MD"/>
              </w:rPr>
              <w:t xml:space="preserve">Proiectul de act normativ </w:t>
            </w:r>
            <w:r w:rsidR="004751C9" w:rsidRPr="009523BC">
              <w:rPr>
                <w:rFonts w:ascii="Times New Roman" w:hAnsi="Times New Roman"/>
                <w:sz w:val="24"/>
                <w:szCs w:val="24"/>
                <w:lang w:val="ro-MD"/>
              </w:rPr>
              <w:t xml:space="preserve">nu </w:t>
            </w:r>
            <w:r w:rsidR="00F725E3" w:rsidRPr="009523BC">
              <w:rPr>
                <w:rFonts w:ascii="Times New Roman" w:hAnsi="Times New Roman"/>
                <w:sz w:val="24"/>
                <w:szCs w:val="24"/>
                <w:lang w:val="ro-MD"/>
              </w:rPr>
              <w:t xml:space="preserve">are ca scop armonizarea legislației naționale cu </w:t>
            </w:r>
            <w:r w:rsidR="000D2C7A" w:rsidRPr="009523BC">
              <w:rPr>
                <w:rFonts w:ascii="Times New Roman" w:hAnsi="Times New Roman"/>
                <w:sz w:val="24"/>
                <w:szCs w:val="24"/>
                <w:lang w:val="ro-MD"/>
              </w:rPr>
              <w:t>legislația Uniunii Europene.</w:t>
            </w:r>
          </w:p>
          <w:p w14:paraId="02FA0522" w14:textId="643FFEC9" w:rsidR="009E276B" w:rsidRPr="009523BC" w:rsidRDefault="009E276B" w:rsidP="007D0B96">
            <w:pPr>
              <w:pStyle w:val="NoSpacing"/>
              <w:jc w:val="both"/>
              <w:rPr>
                <w:rFonts w:ascii="Times New Roman" w:hAnsi="Times New Roman"/>
                <w:sz w:val="24"/>
                <w:szCs w:val="24"/>
                <w:lang w:val="ro-MD"/>
              </w:rPr>
            </w:pPr>
          </w:p>
        </w:tc>
      </w:tr>
      <w:tr w:rsidR="007B3678" w:rsidRPr="000F4619" w14:paraId="61477A01" w14:textId="77777777" w:rsidTr="00224CED">
        <w:tc>
          <w:tcPr>
            <w:tcW w:w="5000" w:type="pct"/>
          </w:tcPr>
          <w:p w14:paraId="3D3CD1C0" w14:textId="208E5089" w:rsidR="007B3678" w:rsidRPr="009523BC" w:rsidRDefault="007B3678" w:rsidP="007D0B96">
            <w:pPr>
              <w:tabs>
                <w:tab w:val="left" w:pos="884"/>
                <w:tab w:val="left" w:pos="1196"/>
              </w:tabs>
              <w:spacing w:line="240" w:lineRule="auto"/>
              <w:jc w:val="both"/>
              <w:rPr>
                <w:rFonts w:ascii="Times New Roman" w:hAnsi="Times New Roman"/>
                <w:b/>
                <w:sz w:val="24"/>
                <w:szCs w:val="24"/>
                <w:lang w:val="ro-MD"/>
              </w:rPr>
            </w:pPr>
            <w:r w:rsidRPr="009523BC">
              <w:rPr>
                <w:rFonts w:ascii="Times New Roman" w:hAnsi="Times New Roman"/>
                <w:b/>
                <w:sz w:val="24"/>
                <w:szCs w:val="24"/>
                <w:lang w:val="ro-MD"/>
              </w:rPr>
              <w:t xml:space="preserve">4. Principalele prevederi ale proiectului şi </w:t>
            </w:r>
            <w:r w:rsidR="003D35BA" w:rsidRPr="009523BC">
              <w:rPr>
                <w:rFonts w:ascii="Times New Roman" w:hAnsi="Times New Roman"/>
                <w:b/>
                <w:sz w:val="24"/>
                <w:szCs w:val="24"/>
                <w:lang w:val="ro-MD"/>
              </w:rPr>
              <w:t>evidențierea</w:t>
            </w:r>
            <w:r w:rsidRPr="009523BC">
              <w:rPr>
                <w:rFonts w:ascii="Times New Roman" w:hAnsi="Times New Roman"/>
                <w:b/>
                <w:sz w:val="24"/>
                <w:szCs w:val="24"/>
                <w:lang w:val="ro-MD"/>
              </w:rPr>
              <w:t xml:space="preserve"> elementelor noi</w:t>
            </w:r>
          </w:p>
        </w:tc>
      </w:tr>
      <w:tr w:rsidR="007B3678" w:rsidRPr="000F4619" w14:paraId="70634CD5" w14:textId="77777777" w:rsidTr="00224CED">
        <w:tc>
          <w:tcPr>
            <w:tcW w:w="5000" w:type="pct"/>
          </w:tcPr>
          <w:p w14:paraId="1AAD1AEF" w14:textId="77777777" w:rsidR="00A25C05" w:rsidRDefault="00A25C05" w:rsidP="00CA3382">
            <w:pPr>
              <w:spacing w:after="0" w:line="240" w:lineRule="auto"/>
              <w:jc w:val="both"/>
              <w:rPr>
                <w:rFonts w:ascii="Times New Roman" w:hAnsi="Times New Roman"/>
                <w:sz w:val="24"/>
                <w:szCs w:val="24"/>
                <w:lang w:val="ro-MD"/>
              </w:rPr>
            </w:pPr>
            <w:r>
              <w:rPr>
                <w:rFonts w:ascii="Times New Roman" w:hAnsi="Times New Roman"/>
                <w:sz w:val="24"/>
                <w:szCs w:val="24"/>
                <w:lang w:val="ro-MD"/>
              </w:rPr>
              <w:t>Prin acest proiect se propune:</w:t>
            </w:r>
          </w:p>
          <w:p w14:paraId="4B8DE645" w14:textId="0431DFA4" w:rsidR="00A25C05" w:rsidRDefault="00A25C05" w:rsidP="00A25C05">
            <w:pPr>
              <w:pStyle w:val="ListParagraph"/>
              <w:numPr>
                <w:ilvl w:val="0"/>
                <w:numId w:val="23"/>
              </w:num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ajustarea unor prevederi, urmare a modificărilor actelor normative </w:t>
            </w:r>
            <w:r w:rsidRPr="009523BC">
              <w:rPr>
                <w:rFonts w:ascii="Times New Roman" w:hAnsi="Times New Roman"/>
                <w:sz w:val="24"/>
                <w:szCs w:val="24"/>
                <w:lang w:val="ro-MD"/>
              </w:rPr>
              <w:t>ce vizează activitatea AMDM și sistemul bugetar</w:t>
            </w:r>
            <w:r>
              <w:rPr>
                <w:rFonts w:ascii="Times New Roman" w:hAnsi="Times New Roman"/>
                <w:sz w:val="24"/>
                <w:szCs w:val="24"/>
                <w:lang w:val="ro-MD"/>
              </w:rPr>
              <w:t>;</w:t>
            </w:r>
          </w:p>
          <w:p w14:paraId="085D377A" w14:textId="4CFCF82D" w:rsidR="00A25C05" w:rsidRPr="0038395B" w:rsidRDefault="00A25C05" w:rsidP="002B3642">
            <w:pPr>
              <w:pStyle w:val="ListParagraph"/>
              <w:numPr>
                <w:ilvl w:val="0"/>
                <w:numId w:val="23"/>
              </w:numPr>
              <w:spacing w:after="0" w:line="240" w:lineRule="auto"/>
              <w:jc w:val="both"/>
              <w:rPr>
                <w:rFonts w:ascii="Times New Roman" w:hAnsi="Times New Roman"/>
                <w:sz w:val="24"/>
                <w:szCs w:val="24"/>
                <w:lang w:val="ro-MD"/>
              </w:rPr>
            </w:pPr>
            <w:r w:rsidRPr="0038395B">
              <w:rPr>
                <w:rFonts w:ascii="Times New Roman" w:hAnsi="Times New Roman"/>
                <w:sz w:val="24"/>
                <w:szCs w:val="24"/>
                <w:lang w:val="ro-MD"/>
              </w:rPr>
              <w:t>reglementarea modalității de calcul a costului serviciului prestat de către experți și /sau membri ai Comisiei Medicamentului</w:t>
            </w:r>
            <w:r w:rsidR="0038395B" w:rsidRPr="0038395B">
              <w:rPr>
                <w:rFonts w:ascii="Times New Roman" w:hAnsi="Times New Roman"/>
                <w:sz w:val="24"/>
                <w:szCs w:val="24"/>
                <w:lang w:val="ro-MD"/>
              </w:rPr>
              <w:t>, prin aplicarea</w:t>
            </w:r>
            <w:r w:rsidR="0038395B" w:rsidRPr="0038395B">
              <w:rPr>
                <w:lang w:val="en-US"/>
              </w:rPr>
              <w:t xml:space="preserve"> </w:t>
            </w:r>
            <w:r w:rsidR="0038395B" w:rsidRPr="0038395B">
              <w:rPr>
                <w:rFonts w:ascii="Times New Roman" w:hAnsi="Times New Roman"/>
                <w:sz w:val="24"/>
                <w:szCs w:val="24"/>
                <w:lang w:val="ro-MD"/>
              </w:rPr>
              <w:t xml:space="preserve">unui coeficient de remunerare la  cuantumul salariului mediu lunar pe economie realizat în anul precedent celui de gestiune. Formula respectivă este argumentată de noile servicii care urmează a fi prestate de AMDM. Totodată aceasta va oferi o claritate de formare a tarifului la serviciul prestat, ceea ce până acum nu era prevăzut. </w:t>
            </w:r>
          </w:p>
          <w:p w14:paraId="1460AB88" w14:textId="1BEB4C66" w:rsidR="00A25C05" w:rsidRDefault="0056608D" w:rsidP="00A25C05">
            <w:pPr>
              <w:pStyle w:val="ListParagraph"/>
              <w:numPr>
                <w:ilvl w:val="0"/>
                <w:numId w:val="23"/>
              </w:numPr>
              <w:spacing w:after="0" w:line="240" w:lineRule="auto"/>
              <w:jc w:val="both"/>
              <w:rPr>
                <w:rFonts w:ascii="Times New Roman" w:hAnsi="Times New Roman"/>
                <w:sz w:val="24"/>
                <w:szCs w:val="24"/>
                <w:lang w:val="ro-MD"/>
              </w:rPr>
            </w:pPr>
            <w:r>
              <w:rPr>
                <w:rFonts w:ascii="Times New Roman" w:hAnsi="Times New Roman"/>
                <w:sz w:val="24"/>
                <w:szCs w:val="24"/>
                <w:lang w:val="ro-MD"/>
              </w:rPr>
              <w:t>e</w:t>
            </w:r>
            <w:r w:rsidR="0038395B">
              <w:rPr>
                <w:rFonts w:ascii="Times New Roman" w:hAnsi="Times New Roman"/>
                <w:sz w:val="24"/>
                <w:szCs w:val="24"/>
                <w:lang w:val="ro-MD"/>
              </w:rPr>
              <w:t xml:space="preserve">xpunerea într-o nouă redacție a Anexei nr.2 care prevede </w:t>
            </w:r>
            <w:r w:rsidRPr="0056608D">
              <w:rPr>
                <w:rFonts w:ascii="Times New Roman" w:hAnsi="Times New Roman"/>
                <w:sz w:val="24"/>
                <w:szCs w:val="24"/>
                <w:lang w:val="ro-MD"/>
              </w:rPr>
              <w:t>Nomenclatorul şi tarifele serviciilor prestate de către Agenţia Medicamentului şi Dispozitivelor Medicale</w:t>
            </w:r>
            <w:r>
              <w:rPr>
                <w:rFonts w:ascii="Times New Roman" w:hAnsi="Times New Roman"/>
                <w:sz w:val="24"/>
                <w:szCs w:val="24"/>
                <w:lang w:val="ro-MD"/>
              </w:rPr>
              <w:t>. Aceasta include:</w:t>
            </w:r>
          </w:p>
          <w:p w14:paraId="24B71FB8" w14:textId="78107273" w:rsidR="0056608D" w:rsidRDefault="0056608D" w:rsidP="0056608D">
            <w:pPr>
              <w:pStyle w:val="ListParagraph"/>
              <w:numPr>
                <w:ilvl w:val="0"/>
                <w:numId w:val="24"/>
              </w:numPr>
              <w:spacing w:after="0" w:line="240" w:lineRule="auto"/>
              <w:jc w:val="both"/>
              <w:rPr>
                <w:rFonts w:ascii="Times New Roman" w:hAnsi="Times New Roman"/>
                <w:sz w:val="24"/>
                <w:szCs w:val="24"/>
                <w:lang w:val="ro-MD"/>
              </w:rPr>
            </w:pPr>
            <w:r w:rsidRPr="0056608D">
              <w:rPr>
                <w:rFonts w:ascii="Times New Roman" w:hAnsi="Times New Roman"/>
                <w:sz w:val="24"/>
                <w:szCs w:val="24"/>
                <w:lang w:val="ro-MD"/>
              </w:rPr>
              <w:t>ajustarea tarifelor pentru laborator și studii clinice</w:t>
            </w:r>
            <w:r>
              <w:rPr>
                <w:rFonts w:ascii="Times New Roman" w:hAnsi="Times New Roman"/>
                <w:sz w:val="24"/>
                <w:szCs w:val="24"/>
                <w:lang w:val="ro-MD"/>
              </w:rPr>
              <w:t>;</w:t>
            </w:r>
          </w:p>
          <w:p w14:paraId="24240C3A" w14:textId="15E6AF43" w:rsidR="0056608D" w:rsidRDefault="0056608D" w:rsidP="0056608D">
            <w:pPr>
              <w:pStyle w:val="ListParagraph"/>
              <w:numPr>
                <w:ilvl w:val="0"/>
                <w:numId w:val="24"/>
              </w:numPr>
              <w:spacing w:after="0" w:line="240" w:lineRule="auto"/>
              <w:jc w:val="both"/>
              <w:rPr>
                <w:rFonts w:ascii="Times New Roman" w:hAnsi="Times New Roman"/>
                <w:sz w:val="24"/>
                <w:szCs w:val="24"/>
                <w:lang w:val="ro-MD"/>
              </w:rPr>
            </w:pPr>
            <w:r w:rsidRPr="0056608D">
              <w:rPr>
                <w:rFonts w:ascii="Times New Roman" w:hAnsi="Times New Roman"/>
                <w:sz w:val="24"/>
                <w:szCs w:val="24"/>
                <w:lang w:val="ro-MD"/>
              </w:rPr>
              <w:t>introducerea de noi tarife pentru servicii, cum ar fi inspecțiile de verificare a respectării</w:t>
            </w:r>
            <w:r>
              <w:rPr>
                <w:rFonts w:ascii="Times New Roman" w:hAnsi="Times New Roman"/>
                <w:sz w:val="24"/>
                <w:szCs w:val="24"/>
                <w:lang w:val="ro-MD"/>
              </w:rPr>
              <w:t xml:space="preserve"> </w:t>
            </w:r>
            <w:r w:rsidRPr="0056608D">
              <w:rPr>
                <w:rFonts w:ascii="Times New Roman" w:hAnsi="Times New Roman"/>
                <w:sz w:val="24"/>
                <w:szCs w:val="24"/>
                <w:lang w:val="ro-MD"/>
              </w:rPr>
              <w:t>regulilor de bună practică și pentru evaluarea cererilor privind importul de medicamente</w:t>
            </w:r>
            <w:r>
              <w:rPr>
                <w:rFonts w:ascii="Times New Roman" w:hAnsi="Times New Roman"/>
                <w:sz w:val="24"/>
                <w:szCs w:val="24"/>
                <w:lang w:val="ro-MD"/>
              </w:rPr>
              <w:t xml:space="preserve"> </w:t>
            </w:r>
            <w:r w:rsidRPr="0056608D">
              <w:rPr>
                <w:rFonts w:ascii="Times New Roman" w:hAnsi="Times New Roman"/>
                <w:sz w:val="24"/>
                <w:szCs w:val="24"/>
                <w:lang w:val="ro-MD"/>
              </w:rPr>
              <w:t>neautorizate</w:t>
            </w:r>
            <w:r>
              <w:rPr>
                <w:rFonts w:ascii="Times New Roman" w:hAnsi="Times New Roman"/>
                <w:sz w:val="24"/>
                <w:szCs w:val="24"/>
                <w:lang w:val="ro-MD"/>
              </w:rPr>
              <w:t>, care vor</w:t>
            </w:r>
            <w:r w:rsidRPr="0056608D">
              <w:rPr>
                <w:rFonts w:ascii="Times New Roman" w:hAnsi="Times New Roman"/>
                <w:sz w:val="24"/>
                <w:szCs w:val="24"/>
                <w:lang w:val="ro-MD"/>
              </w:rPr>
              <w:t xml:space="preserve"> asigura acoperirea costurilor și eficiența proceselor;</w:t>
            </w:r>
          </w:p>
          <w:p w14:paraId="3D435588" w14:textId="197CF788" w:rsidR="0056608D" w:rsidRDefault="0056608D" w:rsidP="0056608D">
            <w:pPr>
              <w:pStyle w:val="ListParagraph"/>
              <w:numPr>
                <w:ilvl w:val="0"/>
                <w:numId w:val="24"/>
              </w:numPr>
              <w:spacing w:after="0" w:line="240" w:lineRule="auto"/>
              <w:jc w:val="both"/>
              <w:rPr>
                <w:rFonts w:ascii="Times New Roman" w:hAnsi="Times New Roman"/>
                <w:sz w:val="24"/>
                <w:szCs w:val="24"/>
                <w:lang w:val="ro-MD"/>
              </w:rPr>
            </w:pPr>
            <w:r w:rsidRPr="0056608D">
              <w:rPr>
                <w:rFonts w:ascii="Times New Roman" w:hAnsi="Times New Roman"/>
                <w:sz w:val="24"/>
                <w:szCs w:val="24"/>
                <w:lang w:val="ro-MD"/>
              </w:rPr>
              <w:t>taxe anuale pentru întreținerea certificatelor de înregistrare</w:t>
            </w:r>
            <w:r>
              <w:rPr>
                <w:rFonts w:ascii="Times New Roman" w:hAnsi="Times New Roman"/>
                <w:sz w:val="24"/>
                <w:szCs w:val="24"/>
                <w:lang w:val="ro-MD"/>
              </w:rPr>
              <w:t>;</w:t>
            </w:r>
          </w:p>
          <w:p w14:paraId="1E0B1FC3" w14:textId="7C827ADA" w:rsidR="0056608D" w:rsidRDefault="0056608D" w:rsidP="0056608D">
            <w:pPr>
              <w:pStyle w:val="ListParagraph"/>
              <w:numPr>
                <w:ilvl w:val="0"/>
                <w:numId w:val="24"/>
              </w:numPr>
              <w:spacing w:after="0" w:line="240" w:lineRule="auto"/>
              <w:jc w:val="both"/>
              <w:rPr>
                <w:rFonts w:ascii="Times New Roman" w:hAnsi="Times New Roman"/>
                <w:sz w:val="24"/>
                <w:szCs w:val="24"/>
                <w:lang w:val="ro-MD"/>
              </w:rPr>
            </w:pPr>
            <w:r w:rsidRPr="0056608D">
              <w:rPr>
                <w:rFonts w:ascii="Times New Roman" w:hAnsi="Times New Roman"/>
                <w:sz w:val="24"/>
                <w:szCs w:val="24"/>
                <w:lang w:val="ro-MD"/>
              </w:rPr>
              <w:t>ajustarea tarifelor pentru procedurile</w:t>
            </w:r>
            <w:r>
              <w:rPr>
                <w:rFonts w:ascii="Times New Roman" w:hAnsi="Times New Roman"/>
                <w:sz w:val="24"/>
                <w:szCs w:val="24"/>
                <w:lang w:val="ro-MD"/>
              </w:rPr>
              <w:t xml:space="preserve"> </w:t>
            </w:r>
            <w:r w:rsidRPr="0056608D">
              <w:rPr>
                <w:rFonts w:ascii="Times New Roman" w:hAnsi="Times New Roman"/>
                <w:sz w:val="24"/>
                <w:szCs w:val="24"/>
                <w:lang w:val="ro-MD"/>
              </w:rPr>
              <w:t>accelerate și condiționate, pentru a reflecta cerințele și timpul necesar pentru aceste servicii speciale</w:t>
            </w:r>
            <w:r>
              <w:rPr>
                <w:rFonts w:ascii="Times New Roman" w:hAnsi="Times New Roman"/>
                <w:sz w:val="24"/>
                <w:szCs w:val="24"/>
                <w:lang w:val="ro-MD"/>
              </w:rPr>
              <w:t>;</w:t>
            </w:r>
          </w:p>
          <w:p w14:paraId="6E0D58E2" w14:textId="77777777" w:rsidR="00952D84" w:rsidRDefault="0056608D" w:rsidP="003D35BA">
            <w:pPr>
              <w:pStyle w:val="ListParagraph"/>
              <w:numPr>
                <w:ilvl w:val="0"/>
                <w:numId w:val="24"/>
              </w:num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coeficienții de remunerare </w:t>
            </w:r>
            <w:r w:rsidRPr="0056608D">
              <w:rPr>
                <w:rFonts w:ascii="Times New Roman" w:hAnsi="Times New Roman"/>
                <w:sz w:val="24"/>
                <w:szCs w:val="24"/>
                <w:lang w:val="ro-MD"/>
              </w:rPr>
              <w:t>aplicat la calcularea costului expertizei specializate pentru</w:t>
            </w:r>
            <w:r>
              <w:rPr>
                <w:rFonts w:ascii="Times New Roman" w:hAnsi="Times New Roman"/>
                <w:sz w:val="24"/>
                <w:szCs w:val="24"/>
                <w:lang w:val="ro-MD"/>
              </w:rPr>
              <w:t xml:space="preserve"> </w:t>
            </w:r>
            <w:r w:rsidRPr="0056608D">
              <w:rPr>
                <w:rFonts w:ascii="Times New Roman" w:hAnsi="Times New Roman"/>
                <w:sz w:val="24"/>
                <w:szCs w:val="24"/>
                <w:lang w:val="ro-MD"/>
              </w:rPr>
              <w:t>autorizarea medicamentelor de uz uman, aprobarea variațiilor postautorizare şi autorizarea studiilor clinice cu medicamente de uz uman</w:t>
            </w:r>
            <w:r>
              <w:rPr>
                <w:rFonts w:ascii="Times New Roman" w:hAnsi="Times New Roman"/>
                <w:sz w:val="24"/>
                <w:szCs w:val="24"/>
                <w:lang w:val="ro-MD"/>
              </w:rPr>
              <w:t>.</w:t>
            </w:r>
          </w:p>
          <w:p w14:paraId="3A693000" w14:textId="02901F4C" w:rsidR="00FA32D8" w:rsidRPr="00FA32D8" w:rsidRDefault="00FA32D8" w:rsidP="00FA32D8">
            <w:pPr>
              <w:pStyle w:val="ListParagraph"/>
              <w:spacing w:after="0" w:line="240" w:lineRule="auto"/>
              <w:jc w:val="both"/>
              <w:rPr>
                <w:rFonts w:ascii="Times New Roman" w:hAnsi="Times New Roman"/>
                <w:sz w:val="24"/>
                <w:szCs w:val="24"/>
                <w:lang w:val="ro-MD"/>
              </w:rPr>
            </w:pPr>
          </w:p>
        </w:tc>
      </w:tr>
      <w:tr w:rsidR="007B3678" w:rsidRPr="009523BC" w14:paraId="66B6CD75" w14:textId="77777777" w:rsidTr="00224CED">
        <w:tc>
          <w:tcPr>
            <w:tcW w:w="5000" w:type="pct"/>
          </w:tcPr>
          <w:p w14:paraId="2C87899B" w14:textId="77777777" w:rsidR="007B3678" w:rsidRPr="009523BC" w:rsidRDefault="007B3678" w:rsidP="007D0B96">
            <w:pPr>
              <w:tabs>
                <w:tab w:val="left" w:pos="884"/>
                <w:tab w:val="left" w:pos="1196"/>
              </w:tabs>
              <w:spacing w:line="240" w:lineRule="auto"/>
              <w:jc w:val="both"/>
              <w:rPr>
                <w:rFonts w:ascii="Times New Roman" w:hAnsi="Times New Roman"/>
                <w:b/>
                <w:sz w:val="24"/>
                <w:szCs w:val="24"/>
                <w:lang w:val="ro-MD"/>
              </w:rPr>
            </w:pPr>
            <w:r w:rsidRPr="009523BC">
              <w:rPr>
                <w:rFonts w:ascii="Times New Roman" w:hAnsi="Times New Roman"/>
                <w:b/>
                <w:sz w:val="24"/>
                <w:szCs w:val="24"/>
                <w:lang w:val="ro-MD"/>
              </w:rPr>
              <w:t>5. Fundamentarea economico-financiară</w:t>
            </w:r>
          </w:p>
        </w:tc>
      </w:tr>
      <w:tr w:rsidR="007B3678" w:rsidRPr="000F4619" w14:paraId="713649B5" w14:textId="77777777" w:rsidTr="00224CED">
        <w:tc>
          <w:tcPr>
            <w:tcW w:w="5000" w:type="pct"/>
          </w:tcPr>
          <w:p w14:paraId="4A977770" w14:textId="0307C903" w:rsidR="00AD1453" w:rsidRPr="009523BC" w:rsidRDefault="00D4369F" w:rsidP="00FA32D8">
            <w:pPr>
              <w:spacing w:after="0" w:line="240" w:lineRule="auto"/>
              <w:ind w:firstLine="589"/>
              <w:jc w:val="both"/>
              <w:rPr>
                <w:rFonts w:ascii="Times New Roman" w:hAnsi="Times New Roman"/>
                <w:bCs/>
                <w:sz w:val="24"/>
                <w:szCs w:val="24"/>
                <w:lang w:val="ro-MD"/>
              </w:rPr>
            </w:pPr>
            <w:r w:rsidRPr="009523BC">
              <w:rPr>
                <w:rFonts w:ascii="Times New Roman" w:hAnsi="Times New Roman"/>
                <w:bCs/>
                <w:sz w:val="24"/>
                <w:szCs w:val="24"/>
                <w:lang w:val="ro-MD"/>
              </w:rPr>
              <w:t>Implementarea</w:t>
            </w:r>
            <w:r w:rsidR="0015633A" w:rsidRPr="009523BC">
              <w:rPr>
                <w:rFonts w:ascii="Times New Roman" w:hAnsi="Times New Roman"/>
                <w:bCs/>
                <w:sz w:val="24"/>
                <w:szCs w:val="24"/>
                <w:lang w:val="ro-MD"/>
              </w:rPr>
              <w:t xml:space="preserve"> proiectului </w:t>
            </w:r>
            <w:r w:rsidR="00E60FDE" w:rsidRPr="009523BC">
              <w:rPr>
                <w:rFonts w:ascii="Times New Roman" w:hAnsi="Times New Roman"/>
                <w:bCs/>
                <w:sz w:val="24"/>
                <w:szCs w:val="24"/>
                <w:lang w:val="ro-MD"/>
              </w:rPr>
              <w:t>nu va presupune cheltuieli financiare din bugetul de stat.</w:t>
            </w:r>
          </w:p>
          <w:p w14:paraId="1347E787" w14:textId="749FC79E" w:rsidR="0091543B" w:rsidRDefault="0091543B" w:rsidP="00FA32D8">
            <w:pPr>
              <w:spacing w:after="0" w:line="240" w:lineRule="auto"/>
              <w:ind w:firstLine="589"/>
              <w:jc w:val="both"/>
              <w:rPr>
                <w:rFonts w:ascii="Times New Roman" w:hAnsi="Times New Roman"/>
                <w:bCs/>
                <w:sz w:val="24"/>
                <w:szCs w:val="24"/>
                <w:lang w:val="ro-MD"/>
              </w:rPr>
            </w:pPr>
            <w:r w:rsidRPr="0091543B">
              <w:rPr>
                <w:rFonts w:ascii="Times New Roman" w:hAnsi="Times New Roman"/>
                <w:bCs/>
                <w:sz w:val="24"/>
                <w:szCs w:val="24"/>
                <w:lang w:val="ro-MD"/>
              </w:rPr>
              <w:t xml:space="preserve">Tariful pentru fiecare serviciu este calculat în baza costului unui minut care este echivalent cu cheltuielile efective calculate </w:t>
            </w:r>
            <w:r w:rsidRPr="00D06687">
              <w:rPr>
                <w:rFonts w:ascii="Times New Roman" w:hAnsi="Times New Roman"/>
                <w:bCs/>
                <w:sz w:val="24"/>
                <w:szCs w:val="24"/>
                <w:lang w:val="ro-MD"/>
              </w:rPr>
              <w:t>pentru anul 202</w:t>
            </w:r>
            <w:r w:rsidR="00590AE9" w:rsidRPr="00D06687">
              <w:rPr>
                <w:rFonts w:ascii="Times New Roman" w:hAnsi="Times New Roman"/>
                <w:bCs/>
                <w:sz w:val="24"/>
                <w:szCs w:val="24"/>
                <w:lang w:val="ro-MD"/>
              </w:rPr>
              <w:t>2</w:t>
            </w:r>
            <w:r w:rsidRPr="00D06687">
              <w:rPr>
                <w:rFonts w:ascii="Times New Roman" w:hAnsi="Times New Roman"/>
                <w:bCs/>
                <w:sz w:val="24"/>
                <w:szCs w:val="24"/>
                <w:lang w:val="ro-MD"/>
              </w:rPr>
              <w:t>,</w:t>
            </w:r>
            <w:r w:rsidRPr="0091543B">
              <w:rPr>
                <w:rFonts w:ascii="Times New Roman" w:hAnsi="Times New Roman"/>
                <w:bCs/>
                <w:sz w:val="24"/>
                <w:szCs w:val="24"/>
                <w:lang w:val="ro-MD"/>
              </w:rPr>
              <w:t xml:space="preserve"> respectiv fiecare secție în dependență de timpul lucrat și resursele utilizate (salariu, bunuri, timp) a calculat costul serviciilor prestate.</w:t>
            </w:r>
          </w:p>
          <w:p w14:paraId="104134EB" w14:textId="3287419F" w:rsidR="00ED787F" w:rsidRPr="009523BC" w:rsidRDefault="002E7636" w:rsidP="00FA32D8">
            <w:pPr>
              <w:spacing w:after="0" w:line="240" w:lineRule="auto"/>
              <w:ind w:firstLine="589"/>
              <w:jc w:val="both"/>
              <w:rPr>
                <w:rFonts w:ascii="Times New Roman" w:hAnsi="Times New Roman"/>
                <w:bCs/>
                <w:sz w:val="24"/>
                <w:szCs w:val="24"/>
                <w:lang w:val="ro-MD"/>
              </w:rPr>
            </w:pPr>
            <w:r>
              <w:rPr>
                <w:rFonts w:ascii="Times New Roman" w:hAnsi="Times New Roman"/>
                <w:bCs/>
                <w:sz w:val="24"/>
                <w:szCs w:val="24"/>
                <w:lang w:val="ro-MD"/>
              </w:rPr>
              <w:t>Actualizarea tarifelor și i</w:t>
            </w:r>
            <w:r w:rsidR="00ED787F" w:rsidRPr="009523BC">
              <w:rPr>
                <w:rFonts w:ascii="Times New Roman" w:hAnsi="Times New Roman"/>
                <w:bCs/>
                <w:sz w:val="24"/>
                <w:szCs w:val="24"/>
                <w:lang w:val="ro-MD"/>
              </w:rPr>
              <w:t xml:space="preserve">ntroducerea unor taxe anuale pentru întreținerea certificatelor de înregistrare </w:t>
            </w:r>
            <w:r>
              <w:rPr>
                <w:rFonts w:ascii="Times New Roman" w:hAnsi="Times New Roman"/>
                <w:bCs/>
                <w:sz w:val="24"/>
                <w:szCs w:val="24"/>
                <w:lang w:val="ro-MD"/>
              </w:rPr>
              <w:t>va</w:t>
            </w:r>
            <w:r w:rsidR="00ED787F" w:rsidRPr="009523BC">
              <w:rPr>
                <w:rFonts w:ascii="Times New Roman" w:hAnsi="Times New Roman"/>
                <w:bCs/>
                <w:sz w:val="24"/>
                <w:szCs w:val="24"/>
                <w:lang w:val="ro-MD"/>
              </w:rPr>
              <w:t xml:space="preserve"> genera presiuni financiare suplimentare pentru operatorii economici. Cu toate acestea, </w:t>
            </w:r>
            <w:r w:rsidR="0091543B" w:rsidRPr="009523BC">
              <w:rPr>
                <w:rFonts w:ascii="Times New Roman" w:hAnsi="Times New Roman"/>
                <w:bCs/>
                <w:sz w:val="24"/>
                <w:szCs w:val="24"/>
                <w:lang w:val="ro-MD"/>
              </w:rPr>
              <w:t>aceste costuri sunt justificate de beneficiile aduse de serviciile îmbunătățite și de siguranța produselor pe piață.</w:t>
            </w:r>
            <w:r w:rsidR="0091543B">
              <w:rPr>
                <w:rFonts w:ascii="Times New Roman" w:hAnsi="Times New Roman"/>
                <w:bCs/>
                <w:sz w:val="24"/>
                <w:szCs w:val="24"/>
                <w:lang w:val="ro-MD"/>
              </w:rPr>
              <w:t xml:space="preserve"> Totodată, </w:t>
            </w:r>
            <w:r w:rsidR="00ED787F" w:rsidRPr="009523BC">
              <w:rPr>
                <w:rFonts w:ascii="Times New Roman" w:hAnsi="Times New Roman"/>
                <w:bCs/>
                <w:sz w:val="24"/>
                <w:szCs w:val="24"/>
                <w:lang w:val="ro-MD"/>
              </w:rPr>
              <w:t>aceste taxe sunt necesare pentru a asigura sustenabilitatea activităților AMDM și pentru a menține accesul la medicamente sigure și de calitate.</w:t>
            </w:r>
          </w:p>
          <w:p w14:paraId="3097CF60" w14:textId="77777777" w:rsidR="00ED787F" w:rsidRPr="009523BC" w:rsidRDefault="00ED787F" w:rsidP="00FA32D8">
            <w:pPr>
              <w:spacing w:after="0" w:line="240" w:lineRule="auto"/>
              <w:ind w:firstLine="589"/>
              <w:jc w:val="both"/>
              <w:rPr>
                <w:rFonts w:ascii="Times New Roman" w:hAnsi="Times New Roman"/>
                <w:bCs/>
                <w:sz w:val="24"/>
                <w:szCs w:val="24"/>
                <w:lang w:val="ro-MD"/>
              </w:rPr>
            </w:pPr>
            <w:r w:rsidRPr="009523BC">
              <w:rPr>
                <w:rFonts w:ascii="Times New Roman" w:hAnsi="Times New Roman"/>
                <w:bCs/>
                <w:sz w:val="24"/>
                <w:szCs w:val="24"/>
                <w:lang w:val="ro-MD"/>
              </w:rPr>
              <w:lastRenderedPageBreak/>
              <w:t>În ansamblu, ajustarea și actualizarea tarifelor pentru serviciile prestate de către AMDM, împreună cu introducerea unor noi tarife pentru servicii esențiale, reprezintă o abordare echilibrată și bine fundamentată pentru a atinge obiectivele de calitate și siguranță în domeniul medicamentelor și dispozitivelor medicale în Republica Moldova.</w:t>
            </w:r>
          </w:p>
          <w:p w14:paraId="082792C5" w14:textId="3ED3D0AB" w:rsidR="00ED787F" w:rsidRPr="009523BC" w:rsidRDefault="00ED787F" w:rsidP="007D0B96">
            <w:pPr>
              <w:spacing w:after="0" w:line="240" w:lineRule="auto"/>
              <w:jc w:val="both"/>
              <w:rPr>
                <w:rFonts w:ascii="Times New Roman" w:hAnsi="Times New Roman"/>
                <w:bCs/>
                <w:sz w:val="24"/>
                <w:szCs w:val="24"/>
                <w:lang w:val="ro-MD"/>
              </w:rPr>
            </w:pPr>
          </w:p>
        </w:tc>
      </w:tr>
      <w:tr w:rsidR="007B3678" w:rsidRPr="000F4619" w14:paraId="5B9E1FDA" w14:textId="77777777" w:rsidTr="00224CED">
        <w:tc>
          <w:tcPr>
            <w:tcW w:w="5000" w:type="pct"/>
          </w:tcPr>
          <w:p w14:paraId="4AB6A328" w14:textId="77777777" w:rsidR="007B3678" w:rsidRPr="009523BC" w:rsidRDefault="007B3678" w:rsidP="007D0B96">
            <w:pPr>
              <w:tabs>
                <w:tab w:val="left" w:pos="884"/>
                <w:tab w:val="left" w:pos="1196"/>
              </w:tabs>
              <w:spacing w:line="240" w:lineRule="auto"/>
              <w:jc w:val="both"/>
              <w:rPr>
                <w:rFonts w:ascii="Times New Roman" w:hAnsi="Times New Roman"/>
                <w:b/>
                <w:sz w:val="24"/>
                <w:szCs w:val="24"/>
                <w:lang w:val="ro-MD"/>
              </w:rPr>
            </w:pPr>
            <w:r w:rsidRPr="009523BC">
              <w:rPr>
                <w:rFonts w:ascii="Times New Roman" w:hAnsi="Times New Roman"/>
                <w:b/>
                <w:sz w:val="24"/>
                <w:szCs w:val="24"/>
                <w:lang w:val="ro-MD"/>
              </w:rPr>
              <w:lastRenderedPageBreak/>
              <w:t>6. Modul de încorporare a actului în cadrul normativ în vigoare</w:t>
            </w:r>
          </w:p>
        </w:tc>
      </w:tr>
      <w:tr w:rsidR="007B3678" w:rsidRPr="000F4619" w14:paraId="0DABC16A" w14:textId="77777777" w:rsidTr="00224CED">
        <w:tc>
          <w:tcPr>
            <w:tcW w:w="5000" w:type="pct"/>
          </w:tcPr>
          <w:p w14:paraId="5C38E4BB" w14:textId="58E3170E" w:rsidR="007B3678" w:rsidRPr="009523BC" w:rsidRDefault="005231C9" w:rsidP="007D0B96">
            <w:pPr>
              <w:tabs>
                <w:tab w:val="left" w:pos="884"/>
                <w:tab w:val="left" w:pos="1196"/>
              </w:tabs>
              <w:spacing w:line="240" w:lineRule="auto"/>
              <w:jc w:val="both"/>
              <w:rPr>
                <w:rFonts w:ascii="Times New Roman" w:hAnsi="Times New Roman"/>
                <w:sz w:val="24"/>
                <w:szCs w:val="24"/>
                <w:lang w:val="ro-MD"/>
              </w:rPr>
            </w:pPr>
            <w:r w:rsidRPr="009523BC">
              <w:rPr>
                <w:rFonts w:ascii="Times New Roman" w:hAnsi="Times New Roman"/>
                <w:sz w:val="24"/>
                <w:szCs w:val="24"/>
                <w:lang w:val="ro-MD"/>
              </w:rPr>
              <w:t xml:space="preserve">            </w:t>
            </w:r>
            <w:r w:rsidR="00816E61" w:rsidRPr="009523BC">
              <w:rPr>
                <w:rFonts w:ascii="Times New Roman" w:hAnsi="Times New Roman"/>
                <w:sz w:val="24"/>
                <w:szCs w:val="24"/>
                <w:lang w:val="ro-MD"/>
              </w:rPr>
              <w:t>Aprobarea proiectului</w:t>
            </w:r>
            <w:r w:rsidR="002E7636">
              <w:rPr>
                <w:rFonts w:ascii="Times New Roman" w:hAnsi="Times New Roman"/>
                <w:sz w:val="24"/>
                <w:szCs w:val="24"/>
                <w:lang w:val="ro-MD"/>
              </w:rPr>
              <w:t xml:space="preserve"> </w:t>
            </w:r>
            <w:r w:rsidR="002E6CD3">
              <w:rPr>
                <w:rFonts w:ascii="Times New Roman" w:hAnsi="Times New Roman"/>
                <w:sz w:val="24"/>
                <w:szCs w:val="24"/>
                <w:lang w:val="ro-MD"/>
              </w:rPr>
              <w:t>hotărârii</w:t>
            </w:r>
            <w:r w:rsidR="002E7636">
              <w:rPr>
                <w:rFonts w:ascii="Times New Roman" w:hAnsi="Times New Roman"/>
                <w:sz w:val="24"/>
                <w:szCs w:val="24"/>
                <w:lang w:val="ro-MD"/>
              </w:rPr>
              <w:t xml:space="preserve"> Guvernului </w:t>
            </w:r>
            <w:r w:rsidR="00FA32D8">
              <w:rPr>
                <w:rFonts w:ascii="Times New Roman" w:hAnsi="Times New Roman"/>
                <w:sz w:val="24"/>
                <w:szCs w:val="24"/>
                <w:lang w:val="ro-MD"/>
              </w:rPr>
              <w:t xml:space="preserve">pentru </w:t>
            </w:r>
            <w:r w:rsidR="00816E61" w:rsidRPr="009523BC">
              <w:rPr>
                <w:rFonts w:ascii="Times New Roman" w:hAnsi="Times New Roman"/>
                <w:sz w:val="24"/>
                <w:szCs w:val="24"/>
                <w:lang w:val="ro-MD"/>
              </w:rPr>
              <w:t>modificare</w:t>
            </w:r>
            <w:r w:rsidR="002E7636">
              <w:rPr>
                <w:rFonts w:ascii="Times New Roman" w:hAnsi="Times New Roman"/>
                <w:sz w:val="24"/>
                <w:szCs w:val="24"/>
                <w:lang w:val="ro-MD"/>
              </w:rPr>
              <w:t>a</w:t>
            </w:r>
            <w:r w:rsidR="00816E61" w:rsidRPr="009523BC">
              <w:rPr>
                <w:rFonts w:ascii="Times New Roman" w:hAnsi="Times New Roman"/>
                <w:sz w:val="24"/>
                <w:szCs w:val="24"/>
                <w:lang w:val="ro-MD"/>
              </w:rPr>
              <w:t xml:space="preserve"> hotărârii </w:t>
            </w:r>
            <w:r w:rsidR="002E7636">
              <w:rPr>
                <w:rFonts w:ascii="Times New Roman" w:hAnsi="Times New Roman"/>
                <w:sz w:val="24"/>
                <w:szCs w:val="24"/>
                <w:lang w:val="ro-MD"/>
              </w:rPr>
              <w:t>Guvernului</w:t>
            </w:r>
            <w:r w:rsidR="00816E61" w:rsidRPr="009523BC">
              <w:rPr>
                <w:rFonts w:ascii="Times New Roman" w:hAnsi="Times New Roman"/>
                <w:sz w:val="24"/>
                <w:szCs w:val="24"/>
                <w:lang w:val="ro-MD"/>
              </w:rPr>
              <w:t xml:space="preserve"> nr. 348</w:t>
            </w:r>
            <w:r w:rsidR="002E7636">
              <w:rPr>
                <w:rFonts w:ascii="Times New Roman" w:hAnsi="Times New Roman"/>
                <w:sz w:val="24"/>
                <w:szCs w:val="24"/>
                <w:lang w:val="ro-MD"/>
              </w:rPr>
              <w:t xml:space="preserve">/2014 </w:t>
            </w:r>
            <w:r w:rsidR="00816E61" w:rsidRPr="009523BC">
              <w:rPr>
                <w:rFonts w:ascii="Times New Roman" w:hAnsi="Times New Roman"/>
                <w:sz w:val="24"/>
                <w:szCs w:val="24"/>
                <w:lang w:val="ro-MD"/>
              </w:rPr>
              <w:t xml:space="preserve">cu privire la tarifele pentru serviciile prestate de către </w:t>
            </w:r>
            <w:r w:rsidR="002E6CD3" w:rsidRPr="009523BC">
              <w:rPr>
                <w:rFonts w:ascii="Times New Roman" w:hAnsi="Times New Roman"/>
                <w:sz w:val="24"/>
                <w:szCs w:val="24"/>
                <w:lang w:val="ro-MD"/>
              </w:rPr>
              <w:t>Agenția</w:t>
            </w:r>
            <w:r w:rsidR="00816E61" w:rsidRPr="009523BC">
              <w:rPr>
                <w:rFonts w:ascii="Times New Roman" w:hAnsi="Times New Roman"/>
                <w:sz w:val="24"/>
                <w:szCs w:val="24"/>
                <w:lang w:val="ro-MD"/>
              </w:rPr>
              <w:t xml:space="preserve"> Medicamentului şi Dispozitivelor Medicale nu implică elaborarea și</w:t>
            </w:r>
            <w:r w:rsidR="002E7636">
              <w:rPr>
                <w:rFonts w:ascii="Times New Roman" w:hAnsi="Times New Roman"/>
                <w:sz w:val="24"/>
                <w:szCs w:val="24"/>
                <w:lang w:val="ro-MD"/>
              </w:rPr>
              <w:t>/sau</w:t>
            </w:r>
            <w:r w:rsidR="00816E61" w:rsidRPr="009523BC">
              <w:rPr>
                <w:rFonts w:ascii="Times New Roman" w:hAnsi="Times New Roman"/>
                <w:sz w:val="24"/>
                <w:szCs w:val="24"/>
                <w:lang w:val="ro-MD"/>
              </w:rPr>
              <w:t xml:space="preserve"> modificarea altor acte normative.</w:t>
            </w:r>
          </w:p>
        </w:tc>
      </w:tr>
      <w:tr w:rsidR="007B3678" w:rsidRPr="000F4619" w14:paraId="3A272970" w14:textId="77777777" w:rsidTr="00224CED">
        <w:tc>
          <w:tcPr>
            <w:tcW w:w="5000" w:type="pct"/>
          </w:tcPr>
          <w:p w14:paraId="1127AD11" w14:textId="77777777" w:rsidR="007B3678" w:rsidRPr="009523BC" w:rsidRDefault="007B3678" w:rsidP="007D0B96">
            <w:pPr>
              <w:tabs>
                <w:tab w:val="left" w:pos="884"/>
                <w:tab w:val="left" w:pos="1196"/>
              </w:tabs>
              <w:spacing w:line="240" w:lineRule="auto"/>
              <w:jc w:val="both"/>
              <w:rPr>
                <w:rFonts w:ascii="Times New Roman" w:hAnsi="Times New Roman"/>
                <w:b/>
                <w:sz w:val="24"/>
                <w:szCs w:val="24"/>
                <w:lang w:val="ro-MD"/>
              </w:rPr>
            </w:pPr>
            <w:r w:rsidRPr="009523BC">
              <w:rPr>
                <w:rFonts w:ascii="Times New Roman" w:hAnsi="Times New Roman"/>
                <w:b/>
                <w:sz w:val="24"/>
                <w:szCs w:val="24"/>
                <w:lang w:val="ro-MD"/>
              </w:rPr>
              <w:t>7. Avizarea şi consultarea publică a proiectului</w:t>
            </w:r>
          </w:p>
        </w:tc>
      </w:tr>
      <w:tr w:rsidR="007B3678" w:rsidRPr="000F4619" w14:paraId="00EFDA82" w14:textId="77777777" w:rsidTr="00071E75">
        <w:trPr>
          <w:trHeight w:val="477"/>
        </w:trPr>
        <w:tc>
          <w:tcPr>
            <w:tcW w:w="5000" w:type="pct"/>
          </w:tcPr>
          <w:p w14:paraId="10C81944" w14:textId="35AC36D3" w:rsidR="009523BC" w:rsidRDefault="009523BC" w:rsidP="002E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r w:rsidRPr="009523BC">
              <w:rPr>
                <w:rFonts w:ascii="Times New Roman" w:hAnsi="Times New Roman"/>
                <w:sz w:val="24"/>
                <w:szCs w:val="24"/>
                <w:lang w:val="ro-MD"/>
              </w:rPr>
              <w:t>În vederea respectării Legii nr. 239/2008 privind transparența în procesul decizional,</w:t>
            </w:r>
            <w:r>
              <w:rPr>
                <w:rFonts w:ascii="Times New Roman" w:hAnsi="Times New Roman"/>
                <w:sz w:val="24"/>
                <w:szCs w:val="24"/>
                <w:lang w:val="ro-MD"/>
              </w:rPr>
              <w:t xml:space="preserve"> anunțul cu privire la inițierea elaborării proiectului a fost plasat pe particip.gov.md</w:t>
            </w:r>
            <w:r w:rsidR="002E7636">
              <w:rPr>
                <w:rFonts w:ascii="Times New Roman" w:hAnsi="Times New Roman"/>
                <w:sz w:val="24"/>
                <w:szCs w:val="24"/>
                <w:lang w:val="ro-MD"/>
              </w:rPr>
              <w:t xml:space="preserve">, la următoarea adresă </w:t>
            </w:r>
            <w:r w:rsidR="00000000">
              <w:fldChar w:fldCharType="begin"/>
            </w:r>
            <w:r w:rsidR="00000000" w:rsidRPr="000F4619">
              <w:rPr>
                <w:lang w:val="en-US"/>
              </w:rPr>
              <w:instrText>HYPERLINK "https://particip.gov.md/ro/search?authoritie_ids=189"</w:instrText>
            </w:r>
            <w:r w:rsidR="00000000">
              <w:fldChar w:fldCharType="separate"/>
            </w:r>
            <w:r w:rsidR="002E7636" w:rsidRPr="0015736F">
              <w:rPr>
                <w:rStyle w:val="Hyperlink"/>
                <w:rFonts w:ascii="Times New Roman" w:hAnsi="Times New Roman"/>
                <w:sz w:val="24"/>
                <w:szCs w:val="24"/>
                <w:lang w:val="ro-MD"/>
              </w:rPr>
              <w:t>https://particip.gov.md/ro/search?authoritie_ids=189</w:t>
            </w:r>
            <w:r w:rsidR="00000000">
              <w:rPr>
                <w:rStyle w:val="Hyperlink"/>
                <w:rFonts w:ascii="Times New Roman" w:hAnsi="Times New Roman"/>
                <w:sz w:val="24"/>
                <w:szCs w:val="24"/>
                <w:lang w:val="ro-MD"/>
              </w:rPr>
              <w:fldChar w:fldCharType="end"/>
            </w:r>
            <w:r w:rsidR="002E7636">
              <w:rPr>
                <w:rFonts w:ascii="Times New Roman" w:hAnsi="Times New Roman"/>
                <w:sz w:val="24"/>
                <w:szCs w:val="24"/>
                <w:lang w:val="ro-MD"/>
              </w:rPr>
              <w:t>.</w:t>
            </w:r>
          </w:p>
          <w:p w14:paraId="645317E6" w14:textId="51A1BECB" w:rsidR="00C35256" w:rsidRDefault="005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Proiectul a fost prezentat spre consultație operatorilor economici urmare aceștea au prezentat opiniile care sunt anexate la Nota Informativă. Operatorii economici au expus că decizia de modificare a tarifelor prin aprobarea unor noi servicii reprezintă un pas semnificativ către atingerea obiectivelor AMDM și neîncetatele eforturi de a excela în domeniul dezvoltării științifice, asigurarea calității în domeniul farmaceutic și alinierea la standardele internaționale în desfășurarea studiilor clinice – parte compenentă a procesului de integrare a Republicii Moldova  în UE. </w:t>
            </w:r>
          </w:p>
          <w:p w14:paraId="0B6D7360" w14:textId="42CC7AA1" w:rsidR="00590AE9" w:rsidRPr="009523BC" w:rsidRDefault="005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p>
        </w:tc>
      </w:tr>
      <w:tr w:rsidR="00071E75" w:rsidRPr="009523BC" w14:paraId="52D55921" w14:textId="77777777" w:rsidTr="001C5CDE">
        <w:trPr>
          <w:trHeight w:val="561"/>
        </w:trPr>
        <w:tc>
          <w:tcPr>
            <w:tcW w:w="5000" w:type="pct"/>
          </w:tcPr>
          <w:p w14:paraId="56CEB3D2" w14:textId="11D0E3D6" w:rsidR="00071E75" w:rsidRPr="009523BC" w:rsidRDefault="00071E75" w:rsidP="00071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lang w:val="ro-MD"/>
              </w:rPr>
            </w:pPr>
            <w:r w:rsidRPr="009523BC">
              <w:rPr>
                <w:rFonts w:ascii="Times New Roman" w:hAnsi="Times New Roman"/>
                <w:b/>
                <w:bCs/>
                <w:sz w:val="24"/>
                <w:szCs w:val="24"/>
                <w:lang w:val="ro-MD"/>
              </w:rPr>
              <w:t xml:space="preserve">8. Constatările expertizei anticorupţie </w:t>
            </w:r>
          </w:p>
        </w:tc>
      </w:tr>
      <w:tr w:rsidR="00071E75" w:rsidRPr="000F4619" w14:paraId="174E181F" w14:textId="77777777" w:rsidTr="00071E75">
        <w:trPr>
          <w:trHeight w:val="190"/>
        </w:trPr>
        <w:tc>
          <w:tcPr>
            <w:tcW w:w="5000" w:type="pct"/>
          </w:tcPr>
          <w:p w14:paraId="5C572C5F" w14:textId="3EC071D8" w:rsidR="00071E75" w:rsidRPr="002E6CD3" w:rsidRDefault="00CB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expertiză</w:t>
            </w:r>
            <w:proofErr w:type="spellEnd"/>
            <w:r>
              <w:rPr>
                <w:rFonts w:ascii="Times New Roman" w:hAnsi="Times New Roman"/>
                <w:sz w:val="24"/>
                <w:szCs w:val="24"/>
                <w:lang w:val="en-US"/>
              </w:rPr>
              <w:t xml:space="preserve"> nr</w:t>
            </w:r>
            <w:r w:rsidR="00253C31">
              <w:rPr>
                <w:rFonts w:ascii="Times New Roman" w:hAnsi="Times New Roman"/>
                <w:sz w:val="24"/>
                <w:szCs w:val="24"/>
                <w:lang w:val="en-US"/>
              </w:rPr>
              <w:t xml:space="preserve"> EHG 23/9280 </w:t>
            </w:r>
            <w:r>
              <w:rPr>
                <w:rFonts w:ascii="Times New Roman" w:hAnsi="Times New Roman"/>
                <w:sz w:val="24"/>
                <w:szCs w:val="24"/>
                <w:lang w:val="en-US"/>
              </w:rPr>
              <w:t>din</w:t>
            </w:r>
            <w:r w:rsidR="00253C31">
              <w:rPr>
                <w:rFonts w:ascii="Times New Roman" w:hAnsi="Times New Roman"/>
                <w:sz w:val="24"/>
                <w:szCs w:val="24"/>
                <w:lang w:val="en-US"/>
              </w:rPr>
              <w:t xml:space="preserve"> 05.12.2023 </w:t>
            </w:r>
            <w:proofErr w:type="spellStart"/>
            <w:r w:rsidR="002E6CD3">
              <w:rPr>
                <w:rFonts w:ascii="Times New Roman" w:hAnsi="Times New Roman"/>
                <w:sz w:val="24"/>
                <w:szCs w:val="24"/>
                <w:lang w:val="en-US"/>
              </w:rPr>
              <w:t>Centrul</w:t>
            </w:r>
            <w:proofErr w:type="spellEnd"/>
            <w:r w:rsidR="002E6CD3">
              <w:rPr>
                <w:rFonts w:ascii="Times New Roman" w:hAnsi="Times New Roman"/>
                <w:sz w:val="24"/>
                <w:szCs w:val="24"/>
                <w:lang w:val="en-US"/>
              </w:rPr>
              <w:t xml:space="preserve"> </w:t>
            </w:r>
            <w:proofErr w:type="spellStart"/>
            <w:r w:rsidR="002E6CD3">
              <w:rPr>
                <w:rFonts w:ascii="Times New Roman" w:hAnsi="Times New Roman"/>
                <w:sz w:val="24"/>
                <w:szCs w:val="24"/>
                <w:lang w:val="en-US"/>
              </w:rPr>
              <w:t>Național</w:t>
            </w:r>
            <w:proofErr w:type="spellEnd"/>
            <w:r w:rsidR="002E6CD3">
              <w:rPr>
                <w:rFonts w:ascii="Times New Roman" w:hAnsi="Times New Roman"/>
                <w:sz w:val="24"/>
                <w:szCs w:val="24"/>
                <w:lang w:val="en-US"/>
              </w:rPr>
              <w:t xml:space="preserve"> </w:t>
            </w:r>
            <w:proofErr w:type="spellStart"/>
            <w:r w:rsidR="002E6CD3">
              <w:rPr>
                <w:rFonts w:ascii="Times New Roman" w:hAnsi="Times New Roman"/>
                <w:sz w:val="24"/>
                <w:szCs w:val="24"/>
                <w:lang w:val="en-US"/>
              </w:rPr>
              <w:t>Anticorupție</w:t>
            </w:r>
            <w:proofErr w:type="spellEnd"/>
            <w:r w:rsidR="002E6CD3">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constată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sidR="002E6CD3" w:rsidRPr="002E6CD3">
              <w:rPr>
                <w:rFonts w:ascii="Times New Roman" w:hAnsi="Times New Roman"/>
                <w:i/>
                <w:iCs/>
                <w:sz w:val="24"/>
                <w:szCs w:val="24"/>
                <w:lang w:val="en-US"/>
              </w:rPr>
              <w:t>redacția</w:t>
            </w:r>
            <w:proofErr w:type="spellEnd"/>
            <w:r w:rsidR="002E6CD3" w:rsidRPr="002E6CD3">
              <w:rPr>
                <w:rFonts w:ascii="Times New Roman" w:hAnsi="Times New Roman"/>
                <w:i/>
                <w:iCs/>
                <w:sz w:val="24"/>
                <w:szCs w:val="24"/>
                <w:lang w:val="en-US"/>
              </w:rPr>
              <w:t xml:space="preserve"> </w:t>
            </w:r>
            <w:proofErr w:type="spellStart"/>
            <w:r w:rsidR="002E6CD3" w:rsidRPr="002E6CD3">
              <w:rPr>
                <w:rFonts w:ascii="Times New Roman" w:hAnsi="Times New Roman"/>
                <w:i/>
                <w:iCs/>
                <w:sz w:val="24"/>
                <w:szCs w:val="24"/>
                <w:lang w:val="en-US"/>
              </w:rPr>
              <w:t>propusă</w:t>
            </w:r>
            <w:proofErr w:type="spellEnd"/>
            <w:r w:rsidR="002E6CD3" w:rsidRPr="002E6CD3">
              <w:rPr>
                <w:rFonts w:ascii="Times New Roman" w:hAnsi="Times New Roman"/>
                <w:i/>
                <w:iCs/>
                <w:sz w:val="24"/>
                <w:szCs w:val="24"/>
                <w:lang w:val="en-US"/>
              </w:rPr>
              <w:t xml:space="preserve">, </w:t>
            </w:r>
            <w:proofErr w:type="spellStart"/>
            <w:r w:rsidR="002E6CD3" w:rsidRPr="002E6CD3">
              <w:rPr>
                <w:rFonts w:ascii="Times New Roman" w:hAnsi="Times New Roman"/>
                <w:i/>
                <w:iCs/>
                <w:sz w:val="24"/>
                <w:szCs w:val="24"/>
                <w:lang w:val="en-US"/>
              </w:rPr>
              <w:t>proiectul</w:t>
            </w:r>
            <w:proofErr w:type="spellEnd"/>
            <w:r w:rsidR="002E6CD3" w:rsidRPr="002E6CD3">
              <w:rPr>
                <w:rFonts w:ascii="Times New Roman" w:hAnsi="Times New Roman"/>
                <w:i/>
                <w:iCs/>
                <w:sz w:val="24"/>
                <w:szCs w:val="24"/>
                <w:lang w:val="en-US"/>
              </w:rPr>
              <w:t xml:space="preserve"> nu </w:t>
            </w:r>
            <w:proofErr w:type="spellStart"/>
            <w:r w:rsidR="002E6CD3" w:rsidRPr="002E6CD3">
              <w:rPr>
                <w:rFonts w:ascii="Times New Roman" w:hAnsi="Times New Roman"/>
                <w:i/>
                <w:iCs/>
                <w:sz w:val="24"/>
                <w:szCs w:val="24"/>
                <w:lang w:val="en-US"/>
              </w:rPr>
              <w:t>conține</w:t>
            </w:r>
            <w:proofErr w:type="spellEnd"/>
            <w:r w:rsidR="002E6CD3" w:rsidRPr="002E6CD3">
              <w:rPr>
                <w:rFonts w:ascii="Times New Roman" w:hAnsi="Times New Roman"/>
                <w:i/>
                <w:iCs/>
                <w:sz w:val="24"/>
                <w:szCs w:val="24"/>
                <w:lang w:val="en-US"/>
              </w:rPr>
              <w:t xml:space="preserve"> </w:t>
            </w:r>
            <w:proofErr w:type="spellStart"/>
            <w:r w:rsidR="002E6CD3" w:rsidRPr="002E6CD3">
              <w:rPr>
                <w:rFonts w:ascii="Times New Roman" w:hAnsi="Times New Roman"/>
                <w:i/>
                <w:iCs/>
                <w:sz w:val="24"/>
                <w:szCs w:val="24"/>
                <w:lang w:val="en-US"/>
              </w:rPr>
              <w:t>factori</w:t>
            </w:r>
            <w:proofErr w:type="spellEnd"/>
            <w:r w:rsidR="002E6CD3" w:rsidRPr="002E6CD3">
              <w:rPr>
                <w:rFonts w:ascii="Times New Roman" w:hAnsi="Times New Roman"/>
                <w:i/>
                <w:iCs/>
                <w:sz w:val="24"/>
                <w:szCs w:val="24"/>
                <w:lang w:val="en-US"/>
              </w:rPr>
              <w:t xml:space="preserve"> de </w:t>
            </w:r>
            <w:proofErr w:type="spellStart"/>
            <w:r w:rsidR="002E6CD3" w:rsidRPr="002E6CD3">
              <w:rPr>
                <w:rFonts w:ascii="Times New Roman" w:hAnsi="Times New Roman"/>
                <w:i/>
                <w:iCs/>
                <w:sz w:val="24"/>
                <w:szCs w:val="24"/>
                <w:lang w:val="en-US"/>
              </w:rPr>
              <w:t>risc</w:t>
            </w:r>
            <w:proofErr w:type="spellEnd"/>
            <w:r w:rsidR="002E6CD3" w:rsidRPr="002E6CD3">
              <w:rPr>
                <w:rFonts w:ascii="Times New Roman" w:hAnsi="Times New Roman"/>
                <w:i/>
                <w:iCs/>
                <w:sz w:val="24"/>
                <w:szCs w:val="24"/>
                <w:lang w:val="en-US"/>
              </w:rPr>
              <w:t xml:space="preserve"> care </w:t>
            </w:r>
            <w:proofErr w:type="spellStart"/>
            <w:r w:rsidR="002E6CD3" w:rsidRPr="002E6CD3">
              <w:rPr>
                <w:rFonts w:ascii="Times New Roman" w:hAnsi="Times New Roman"/>
                <w:i/>
                <w:iCs/>
                <w:sz w:val="24"/>
                <w:szCs w:val="24"/>
                <w:lang w:val="en-US"/>
              </w:rPr>
              <w:t>să</w:t>
            </w:r>
            <w:proofErr w:type="spellEnd"/>
            <w:r w:rsidR="002E6CD3" w:rsidRPr="002E6CD3">
              <w:rPr>
                <w:rFonts w:ascii="Times New Roman" w:hAnsi="Times New Roman"/>
                <w:i/>
                <w:iCs/>
                <w:sz w:val="24"/>
                <w:szCs w:val="24"/>
                <w:lang w:val="en-US"/>
              </w:rPr>
              <w:t xml:space="preserve"> </w:t>
            </w:r>
            <w:proofErr w:type="spellStart"/>
            <w:r w:rsidR="002E6CD3" w:rsidRPr="002E6CD3">
              <w:rPr>
                <w:rFonts w:ascii="Times New Roman" w:hAnsi="Times New Roman"/>
                <w:i/>
                <w:iCs/>
                <w:sz w:val="24"/>
                <w:szCs w:val="24"/>
                <w:lang w:val="en-US"/>
              </w:rPr>
              <w:t>genereze</w:t>
            </w:r>
            <w:proofErr w:type="spellEnd"/>
            <w:r w:rsidR="002E6CD3" w:rsidRPr="002E6CD3">
              <w:rPr>
                <w:rFonts w:ascii="Times New Roman" w:hAnsi="Times New Roman"/>
                <w:i/>
                <w:iCs/>
                <w:sz w:val="24"/>
                <w:szCs w:val="24"/>
                <w:lang w:val="en-US"/>
              </w:rPr>
              <w:t xml:space="preserve"> </w:t>
            </w:r>
            <w:proofErr w:type="spellStart"/>
            <w:r w:rsidR="002E6CD3" w:rsidRPr="002E6CD3">
              <w:rPr>
                <w:rFonts w:ascii="Times New Roman" w:hAnsi="Times New Roman"/>
                <w:i/>
                <w:iCs/>
                <w:sz w:val="24"/>
                <w:szCs w:val="24"/>
                <w:lang w:val="en-US"/>
              </w:rPr>
              <w:t>apariția</w:t>
            </w:r>
            <w:proofErr w:type="spellEnd"/>
            <w:r w:rsidR="002E6CD3" w:rsidRPr="002E6CD3">
              <w:rPr>
                <w:rFonts w:ascii="Times New Roman" w:hAnsi="Times New Roman"/>
                <w:i/>
                <w:iCs/>
                <w:sz w:val="24"/>
                <w:szCs w:val="24"/>
                <w:lang w:val="en-US"/>
              </w:rPr>
              <w:t xml:space="preserve"> </w:t>
            </w:r>
            <w:proofErr w:type="spellStart"/>
            <w:r w:rsidR="002E6CD3" w:rsidRPr="002E6CD3">
              <w:rPr>
                <w:rFonts w:ascii="Times New Roman" w:hAnsi="Times New Roman"/>
                <w:i/>
                <w:iCs/>
                <w:sz w:val="24"/>
                <w:szCs w:val="24"/>
                <w:lang w:val="en-US"/>
              </w:rPr>
              <w:t>riscurilor</w:t>
            </w:r>
            <w:proofErr w:type="spellEnd"/>
            <w:r w:rsidR="002E6CD3" w:rsidRPr="002E6CD3">
              <w:rPr>
                <w:rFonts w:ascii="Times New Roman" w:hAnsi="Times New Roman"/>
                <w:i/>
                <w:iCs/>
                <w:sz w:val="24"/>
                <w:szCs w:val="24"/>
                <w:lang w:val="en-US"/>
              </w:rPr>
              <w:t xml:space="preserve"> de </w:t>
            </w:r>
            <w:proofErr w:type="spellStart"/>
            <w:r w:rsidR="002E6CD3" w:rsidRPr="002E6CD3">
              <w:rPr>
                <w:rFonts w:ascii="Times New Roman" w:hAnsi="Times New Roman"/>
                <w:i/>
                <w:iCs/>
                <w:sz w:val="24"/>
                <w:szCs w:val="24"/>
                <w:lang w:val="en-US"/>
              </w:rPr>
              <w:t>corupție</w:t>
            </w:r>
            <w:proofErr w:type="spellEnd"/>
            <w:r w:rsidR="002E6CD3" w:rsidRPr="002E6CD3">
              <w:rPr>
                <w:rFonts w:ascii="Times New Roman" w:hAnsi="Times New Roman"/>
                <w:sz w:val="24"/>
                <w:szCs w:val="24"/>
                <w:lang w:val="en-US"/>
              </w:rPr>
              <w:t>.</w:t>
            </w:r>
          </w:p>
        </w:tc>
      </w:tr>
      <w:tr w:rsidR="00071E75" w:rsidRPr="00CB2D24" w14:paraId="1F2C06F9" w14:textId="77777777" w:rsidTr="00071E75">
        <w:trPr>
          <w:trHeight w:val="190"/>
        </w:trPr>
        <w:tc>
          <w:tcPr>
            <w:tcW w:w="5000" w:type="pct"/>
          </w:tcPr>
          <w:p w14:paraId="6401411E" w14:textId="34188085" w:rsidR="00071E75" w:rsidRPr="009523BC" w:rsidRDefault="00071E75" w:rsidP="00071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ro-MD"/>
              </w:rPr>
            </w:pPr>
            <w:r w:rsidRPr="009523BC">
              <w:rPr>
                <w:rFonts w:ascii="Times New Roman" w:hAnsi="Times New Roman"/>
                <w:b/>
                <w:bCs/>
                <w:sz w:val="24"/>
                <w:szCs w:val="24"/>
                <w:lang w:val="ro-MD"/>
              </w:rPr>
              <w:t>9. Constatările expertizei de compatibilitate</w:t>
            </w:r>
          </w:p>
        </w:tc>
      </w:tr>
      <w:tr w:rsidR="00071E75" w:rsidRPr="000F4619" w14:paraId="275BBF01" w14:textId="77777777" w:rsidTr="00071E75">
        <w:trPr>
          <w:trHeight w:val="190"/>
        </w:trPr>
        <w:tc>
          <w:tcPr>
            <w:tcW w:w="5000" w:type="pct"/>
          </w:tcPr>
          <w:p w14:paraId="76741F87" w14:textId="4ABBC744" w:rsidR="009523BC" w:rsidRPr="009523BC" w:rsidRDefault="009523BC" w:rsidP="0095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r w:rsidRPr="009523BC">
              <w:rPr>
                <w:rFonts w:ascii="Times New Roman" w:hAnsi="Times New Roman"/>
                <w:sz w:val="24"/>
                <w:szCs w:val="24"/>
                <w:lang w:val="ro-MD"/>
              </w:rPr>
              <w:t>Proiectul de hotărâre nu conține norme privind armonizarea legislației naționale cu legislația</w:t>
            </w:r>
          </w:p>
          <w:p w14:paraId="24CB19A3" w14:textId="68473166" w:rsidR="00071E75" w:rsidRDefault="0095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r w:rsidRPr="009523BC">
              <w:rPr>
                <w:rFonts w:ascii="Times New Roman" w:hAnsi="Times New Roman"/>
                <w:sz w:val="24"/>
                <w:szCs w:val="24"/>
                <w:lang w:val="ro-MD"/>
              </w:rPr>
              <w:t xml:space="preserve">Uniunii Europene și respectiv, nu a </w:t>
            </w:r>
            <w:r w:rsidR="00CB2D24" w:rsidRPr="009523BC">
              <w:rPr>
                <w:rFonts w:ascii="Times New Roman" w:hAnsi="Times New Roman"/>
                <w:sz w:val="24"/>
                <w:szCs w:val="24"/>
                <w:lang w:val="ro-MD"/>
              </w:rPr>
              <w:t>f</w:t>
            </w:r>
            <w:r w:rsidR="00CB2D24">
              <w:rPr>
                <w:rFonts w:ascii="Times New Roman" w:hAnsi="Times New Roman"/>
                <w:sz w:val="24"/>
                <w:szCs w:val="24"/>
                <w:lang w:val="ro-MD"/>
              </w:rPr>
              <w:t>ost</w:t>
            </w:r>
            <w:r w:rsidR="00CB2D24" w:rsidRPr="009523BC">
              <w:rPr>
                <w:rFonts w:ascii="Times New Roman" w:hAnsi="Times New Roman"/>
                <w:sz w:val="24"/>
                <w:szCs w:val="24"/>
                <w:lang w:val="ro-MD"/>
              </w:rPr>
              <w:t xml:space="preserve"> </w:t>
            </w:r>
            <w:r w:rsidRPr="009523BC">
              <w:rPr>
                <w:rFonts w:ascii="Times New Roman" w:hAnsi="Times New Roman"/>
                <w:sz w:val="24"/>
                <w:szCs w:val="24"/>
                <w:lang w:val="ro-MD"/>
              </w:rPr>
              <w:t>supus expertizei de compatibilitate.</w:t>
            </w:r>
          </w:p>
          <w:p w14:paraId="600B2A1F" w14:textId="0D4F1A84" w:rsidR="00CB2D24" w:rsidRPr="009523BC" w:rsidRDefault="00CB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p>
        </w:tc>
      </w:tr>
      <w:tr w:rsidR="00071E75" w:rsidRPr="009523BC" w14:paraId="4DE98B6E" w14:textId="77777777" w:rsidTr="00096D25">
        <w:trPr>
          <w:trHeight w:val="324"/>
        </w:trPr>
        <w:tc>
          <w:tcPr>
            <w:tcW w:w="5000" w:type="pct"/>
          </w:tcPr>
          <w:p w14:paraId="7F21C759" w14:textId="0DD701E1" w:rsidR="00096D25" w:rsidRPr="009523BC" w:rsidRDefault="00071E75" w:rsidP="00071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ro-MD"/>
              </w:rPr>
            </w:pPr>
            <w:r w:rsidRPr="009523BC">
              <w:rPr>
                <w:rFonts w:ascii="Times New Roman" w:hAnsi="Times New Roman"/>
                <w:b/>
                <w:bCs/>
                <w:sz w:val="24"/>
                <w:szCs w:val="24"/>
                <w:lang w:val="ro-MD"/>
              </w:rPr>
              <w:t>10. Constatările expertizei juridice</w:t>
            </w:r>
          </w:p>
        </w:tc>
      </w:tr>
      <w:tr w:rsidR="00096D25" w:rsidRPr="000F4619" w14:paraId="09A0A020" w14:textId="77777777" w:rsidTr="00071E75">
        <w:trPr>
          <w:trHeight w:val="540"/>
        </w:trPr>
        <w:tc>
          <w:tcPr>
            <w:tcW w:w="5000" w:type="pct"/>
          </w:tcPr>
          <w:p w14:paraId="4DADEF88" w14:textId="3C718AA0" w:rsidR="00096D25" w:rsidRDefault="002E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Proiectul de </w:t>
            </w:r>
            <w:r w:rsidR="00CB2D24">
              <w:rPr>
                <w:rFonts w:ascii="Times New Roman" w:hAnsi="Times New Roman"/>
                <w:sz w:val="24"/>
                <w:szCs w:val="24"/>
                <w:lang w:val="ro-MD"/>
              </w:rPr>
              <w:t>hotărâre a fost supus expertizei juridice, conform recomandărilor expuse prin avizul Ministerului Justiției nr. … din …prevederile proiectului au fost ajustate în conformitate cu cerințele tehnicii legislative.</w:t>
            </w:r>
          </w:p>
          <w:p w14:paraId="3DE808A6" w14:textId="5137330A" w:rsidR="00CB2D24" w:rsidRPr="002E6CD3" w:rsidRDefault="00CB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o-MD"/>
              </w:rPr>
            </w:pPr>
          </w:p>
        </w:tc>
      </w:tr>
      <w:tr w:rsidR="00071E75" w:rsidRPr="00CB2D24" w14:paraId="3BB5D1B8" w14:textId="77777777" w:rsidTr="00096D25">
        <w:trPr>
          <w:trHeight w:val="336"/>
        </w:trPr>
        <w:tc>
          <w:tcPr>
            <w:tcW w:w="5000" w:type="pct"/>
          </w:tcPr>
          <w:p w14:paraId="4EFF859E" w14:textId="58F9A422" w:rsidR="00ED787F" w:rsidRPr="009523BC" w:rsidRDefault="00071E75" w:rsidP="00071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lang w:val="ro-MD"/>
              </w:rPr>
            </w:pPr>
            <w:r w:rsidRPr="009523BC">
              <w:rPr>
                <w:rFonts w:ascii="Times New Roman" w:hAnsi="Times New Roman"/>
                <w:b/>
                <w:bCs/>
                <w:sz w:val="24"/>
                <w:szCs w:val="24"/>
                <w:lang w:val="ro-MD"/>
              </w:rPr>
              <w:t xml:space="preserve">11. Constatările altor expertize </w:t>
            </w:r>
          </w:p>
        </w:tc>
      </w:tr>
      <w:tr w:rsidR="00096D25" w:rsidRPr="000F4619" w14:paraId="64E24A18" w14:textId="77777777" w:rsidTr="0011567E">
        <w:trPr>
          <w:trHeight w:val="2563"/>
        </w:trPr>
        <w:tc>
          <w:tcPr>
            <w:tcW w:w="5000" w:type="pct"/>
          </w:tcPr>
          <w:p w14:paraId="046FFEFD" w14:textId="77777777" w:rsidR="003A595D" w:rsidRDefault="0011567E" w:rsidP="007D35F2">
            <w:pPr>
              <w:spacing w:after="0" w:line="240" w:lineRule="auto"/>
              <w:jc w:val="both"/>
              <w:rPr>
                <w:rFonts w:ascii="Times New Roman" w:eastAsia="Times New Roman" w:hAnsi="Times New Roman"/>
                <w:bCs/>
                <w:sz w:val="24"/>
                <w:szCs w:val="24"/>
                <w:lang w:val="ro-MD"/>
              </w:rPr>
            </w:pPr>
            <w:r w:rsidRPr="009523BC">
              <w:rPr>
                <w:rFonts w:ascii="Times New Roman" w:eastAsia="Times New Roman" w:hAnsi="Times New Roman"/>
                <w:bCs/>
                <w:sz w:val="24"/>
                <w:szCs w:val="24"/>
                <w:lang w:val="ro-MD"/>
              </w:rPr>
              <w:t>În conformitate prevederile pct. 11 subpct. 2</w:t>
            </w:r>
            <w:r w:rsidRPr="009523BC">
              <w:rPr>
                <w:rFonts w:ascii="Times New Roman" w:eastAsia="Times New Roman" w:hAnsi="Times New Roman"/>
                <w:bCs/>
                <w:sz w:val="24"/>
                <w:szCs w:val="24"/>
                <w:vertAlign w:val="superscript"/>
                <w:lang w:val="ro-MD"/>
              </w:rPr>
              <w:t>1</w:t>
            </w:r>
            <w:r w:rsidRPr="009523BC">
              <w:rPr>
                <w:rFonts w:ascii="Times New Roman" w:eastAsia="Times New Roman" w:hAnsi="Times New Roman"/>
                <w:bCs/>
                <w:sz w:val="24"/>
                <w:szCs w:val="24"/>
                <w:lang w:val="ro-MD"/>
              </w:rPr>
              <w:t xml:space="preserve"> lit. b) din Metodologia de analiză a impactului în procesul de fundamentare a proiectelor de acte normative, aprobată prin Hotărârea Guvernului nr. 23/2019, </w:t>
            </w:r>
            <w:r w:rsidR="00FA32D8">
              <w:rPr>
                <w:rFonts w:ascii="Times New Roman" w:eastAsia="Times New Roman" w:hAnsi="Times New Roman"/>
                <w:bCs/>
                <w:sz w:val="24"/>
                <w:szCs w:val="24"/>
                <w:lang w:val="ro-MD"/>
              </w:rPr>
              <w:t xml:space="preserve">analiza impactului de reglementare la proiectul hotărârii Guvernului </w:t>
            </w:r>
            <w:r w:rsidR="00FA32D8" w:rsidRPr="00FA32D8">
              <w:rPr>
                <w:rFonts w:ascii="Times New Roman" w:eastAsia="Times New Roman" w:hAnsi="Times New Roman"/>
                <w:bCs/>
                <w:sz w:val="24"/>
                <w:szCs w:val="24"/>
                <w:lang w:val="ro-MD"/>
              </w:rPr>
              <w:t>pentru modificarea hotărârii Guvernului nr. 348/2014 cu privire la tarifele pentru serviciile prestate de către Agenţia Medicamentului şi Dispozitivelor Medicale</w:t>
            </w:r>
            <w:r w:rsidRPr="009523BC">
              <w:rPr>
                <w:rFonts w:ascii="Times New Roman" w:eastAsia="Times New Roman" w:hAnsi="Times New Roman"/>
                <w:bCs/>
                <w:sz w:val="24"/>
                <w:szCs w:val="24"/>
                <w:lang w:val="ro-MD"/>
              </w:rPr>
              <w:t xml:space="preserve"> a fost examinat de către reprezentanții Grupului de lucru al Comisiei de stat pentru reglementarea activității de întreprinzător, în cadrul ședinței grupului de lucru din data de 26.09.2023, prin care a fost susținut</w:t>
            </w:r>
            <w:r w:rsidR="00FA32D8">
              <w:rPr>
                <w:rFonts w:ascii="Times New Roman" w:eastAsia="Times New Roman" w:hAnsi="Times New Roman"/>
                <w:bCs/>
                <w:sz w:val="24"/>
                <w:szCs w:val="24"/>
                <w:lang w:val="ro-MD"/>
              </w:rPr>
              <w:t>ă</w:t>
            </w:r>
            <w:r w:rsidRPr="009523BC">
              <w:rPr>
                <w:rFonts w:ascii="Times New Roman" w:eastAsia="Times New Roman" w:hAnsi="Times New Roman"/>
                <w:bCs/>
                <w:sz w:val="24"/>
                <w:szCs w:val="24"/>
                <w:lang w:val="ro-MD"/>
              </w:rPr>
              <w:t xml:space="preserve"> analiza impactului de reglementare cu condiția luării în considerare a obiecțiilor și recomandărilor. </w:t>
            </w:r>
          </w:p>
          <w:p w14:paraId="5ACE08C9" w14:textId="74869D28" w:rsidR="007D35F2" w:rsidRPr="007D35F2" w:rsidRDefault="0011567E" w:rsidP="007D35F2">
            <w:pPr>
              <w:spacing w:after="0" w:line="240" w:lineRule="auto"/>
              <w:jc w:val="both"/>
              <w:rPr>
                <w:rFonts w:ascii="Times New Roman" w:eastAsia="Times New Roman" w:hAnsi="Times New Roman"/>
                <w:bCs/>
                <w:sz w:val="24"/>
                <w:szCs w:val="24"/>
                <w:lang w:val="ro-RO"/>
              </w:rPr>
            </w:pPr>
            <w:r w:rsidRPr="007D35F2">
              <w:rPr>
                <w:rFonts w:ascii="Times New Roman" w:eastAsia="Times New Roman" w:hAnsi="Times New Roman"/>
                <w:bCs/>
                <w:sz w:val="24"/>
                <w:szCs w:val="24"/>
                <w:lang w:val="ro-MD"/>
              </w:rPr>
              <w:t xml:space="preserve">Proiectul a </w:t>
            </w:r>
            <w:r w:rsidR="007D35F2" w:rsidRPr="007D35F2">
              <w:rPr>
                <w:rFonts w:ascii="Times New Roman" w:eastAsia="Times New Roman" w:hAnsi="Times New Roman"/>
                <w:bCs/>
                <w:sz w:val="24"/>
                <w:szCs w:val="24"/>
                <w:lang w:val="ro-MD"/>
              </w:rPr>
              <w:t xml:space="preserve">fost ajustat conform </w:t>
            </w:r>
            <w:r w:rsidR="007D35F2" w:rsidRPr="007D35F2">
              <w:rPr>
                <w:rFonts w:ascii="Times New Roman" w:eastAsia="Times New Roman" w:hAnsi="Times New Roman"/>
                <w:bCs/>
                <w:sz w:val="24"/>
                <w:szCs w:val="24"/>
                <w:lang w:val="ro-RO"/>
              </w:rPr>
              <w:t>recomandărilor prezentate în cadrul ședinței din data de 26.09.2023 și au fost efectuate completări la AIR conform propunerilor.</w:t>
            </w:r>
            <w:r w:rsidR="003C0D03">
              <w:rPr>
                <w:rFonts w:ascii="Times New Roman" w:eastAsia="Times New Roman" w:hAnsi="Times New Roman"/>
                <w:bCs/>
                <w:sz w:val="24"/>
                <w:szCs w:val="24"/>
                <w:lang w:val="ro-RO"/>
              </w:rPr>
              <w:t xml:space="preserve"> Totodată informăm că proiectul a suportat ajustări urmare a avizărilor prezentate de instituțiile implicate în avizarea proiectului. </w:t>
            </w:r>
          </w:p>
          <w:p w14:paraId="120F0292" w14:textId="7B3AA3BA" w:rsidR="00096D25" w:rsidRPr="009523BC" w:rsidRDefault="00096D25" w:rsidP="0011567E">
            <w:pPr>
              <w:spacing w:after="0" w:line="240" w:lineRule="auto"/>
              <w:jc w:val="both"/>
              <w:rPr>
                <w:rFonts w:ascii="Times New Roman" w:eastAsia="Times New Roman" w:hAnsi="Times New Roman"/>
                <w:bCs/>
                <w:sz w:val="24"/>
                <w:szCs w:val="24"/>
                <w:lang w:val="ro-MD"/>
              </w:rPr>
            </w:pPr>
          </w:p>
        </w:tc>
      </w:tr>
    </w:tbl>
    <w:p w14:paraId="41C208D8" w14:textId="77777777" w:rsidR="00AA21D6" w:rsidRPr="009523BC" w:rsidRDefault="00AA21D6" w:rsidP="00AA21D6">
      <w:pPr>
        <w:spacing w:line="276" w:lineRule="auto"/>
        <w:rPr>
          <w:rFonts w:ascii="Times New Roman" w:hAnsi="Times New Roman"/>
          <w:b/>
          <w:bCs/>
          <w:color w:val="000000"/>
          <w:sz w:val="24"/>
          <w:szCs w:val="24"/>
          <w:lang w:val="ro-MD"/>
        </w:rPr>
      </w:pPr>
    </w:p>
    <w:p w14:paraId="0F308936" w14:textId="1E249770" w:rsidR="000D6506" w:rsidRPr="009523BC" w:rsidRDefault="00C35256" w:rsidP="00816E61">
      <w:pPr>
        <w:spacing w:line="276" w:lineRule="auto"/>
        <w:jc w:val="center"/>
        <w:rPr>
          <w:rFonts w:ascii="Times New Roman" w:hAnsi="Times New Roman"/>
          <w:b/>
          <w:bCs/>
          <w:color w:val="000000"/>
          <w:sz w:val="24"/>
          <w:szCs w:val="24"/>
          <w:lang w:val="ro-MD"/>
        </w:rPr>
      </w:pPr>
      <w:r w:rsidRPr="009523BC">
        <w:rPr>
          <w:rFonts w:ascii="Times New Roman" w:hAnsi="Times New Roman"/>
          <w:b/>
          <w:sz w:val="24"/>
          <w:szCs w:val="24"/>
          <w:lang w:val="ro-MD"/>
        </w:rPr>
        <w:t>Director general                                                                                     Dragoș GUȚU</w:t>
      </w:r>
    </w:p>
    <w:sectPr w:rsidR="000D6506" w:rsidRPr="009523BC" w:rsidSect="007D0B96">
      <w:pgSz w:w="11906" w:h="16838"/>
      <w:pgMar w:top="709" w:right="1133"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C4FC" w14:textId="77777777" w:rsidR="0060027E" w:rsidRDefault="0060027E" w:rsidP="005231C9">
      <w:pPr>
        <w:spacing w:after="0" w:line="240" w:lineRule="auto"/>
      </w:pPr>
      <w:r>
        <w:separator/>
      </w:r>
    </w:p>
  </w:endnote>
  <w:endnote w:type="continuationSeparator" w:id="0">
    <w:p w14:paraId="0B78B1C7" w14:textId="77777777" w:rsidR="0060027E" w:rsidRDefault="0060027E" w:rsidP="0052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39D2" w14:textId="77777777" w:rsidR="0060027E" w:rsidRDefault="0060027E" w:rsidP="005231C9">
      <w:pPr>
        <w:spacing w:after="0" w:line="240" w:lineRule="auto"/>
      </w:pPr>
      <w:r>
        <w:separator/>
      </w:r>
    </w:p>
  </w:footnote>
  <w:footnote w:type="continuationSeparator" w:id="0">
    <w:p w14:paraId="6F31BAAB" w14:textId="77777777" w:rsidR="0060027E" w:rsidRDefault="0060027E" w:rsidP="0052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022"/>
    <w:multiLevelType w:val="hybridMultilevel"/>
    <w:tmpl w:val="0396D83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5E722F3"/>
    <w:multiLevelType w:val="hybridMultilevel"/>
    <w:tmpl w:val="0D2002C8"/>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093E3A6F"/>
    <w:multiLevelType w:val="hybridMultilevel"/>
    <w:tmpl w:val="0D2002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82881"/>
    <w:multiLevelType w:val="hybridMultilevel"/>
    <w:tmpl w:val="C8C4952C"/>
    <w:lvl w:ilvl="0" w:tplc="4D0E6CFA">
      <w:start w:val="1"/>
      <w:numFmt w:val="decimal"/>
      <w:lvlText w:val="%1."/>
      <w:lvlJc w:val="left"/>
      <w:pPr>
        <w:ind w:left="1080" w:hanging="360"/>
      </w:pPr>
      <w:rPr>
        <w:rFonts w:ascii="Times New Roman" w:eastAsia="Calibri" w:hAnsi="Times New Roman" w:cs="Times New Roman"/>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F54A54"/>
    <w:multiLevelType w:val="hybridMultilevel"/>
    <w:tmpl w:val="176CFAC4"/>
    <w:lvl w:ilvl="0" w:tplc="CD2208E8">
      <w:start w:val="1"/>
      <w:numFmt w:val="decimal"/>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ED62F9B"/>
    <w:multiLevelType w:val="hybridMultilevel"/>
    <w:tmpl w:val="19B4646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77076B"/>
    <w:multiLevelType w:val="hybridMultilevel"/>
    <w:tmpl w:val="E3E2DAA0"/>
    <w:lvl w:ilvl="0" w:tplc="5DD2C2D4">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B3436CC"/>
    <w:multiLevelType w:val="hybridMultilevel"/>
    <w:tmpl w:val="A7C4AB50"/>
    <w:lvl w:ilvl="0" w:tplc="C212E042">
      <w:start w:val="1"/>
      <w:numFmt w:val="decimal"/>
      <w:lvlText w:val="%1."/>
      <w:lvlJc w:val="left"/>
      <w:pPr>
        <w:ind w:left="810" w:hanging="360"/>
      </w:pPr>
      <w:rPr>
        <w:rFonts w:hint="default"/>
        <w:b/>
        <w:bCs/>
      </w:r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8" w15:restartNumberingAfterBreak="0">
    <w:nsid w:val="2B633136"/>
    <w:multiLevelType w:val="hybridMultilevel"/>
    <w:tmpl w:val="C76637D4"/>
    <w:lvl w:ilvl="0" w:tplc="FFFFFFFF">
      <w:start w:val="1"/>
      <w:numFmt w:val="decimal"/>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15A1074"/>
    <w:multiLevelType w:val="hybridMultilevel"/>
    <w:tmpl w:val="74402FE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37F158DA"/>
    <w:multiLevelType w:val="hybridMultilevel"/>
    <w:tmpl w:val="C76637D4"/>
    <w:lvl w:ilvl="0" w:tplc="FFFFFFFF">
      <w:start w:val="1"/>
      <w:numFmt w:val="decimal"/>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9A22D6F"/>
    <w:multiLevelType w:val="hybridMultilevel"/>
    <w:tmpl w:val="92287B48"/>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2" w15:restartNumberingAfterBreak="0">
    <w:nsid w:val="3E086DA0"/>
    <w:multiLevelType w:val="hybridMultilevel"/>
    <w:tmpl w:val="1EE6D9F0"/>
    <w:lvl w:ilvl="0" w:tplc="FFFFFFFF">
      <w:start w:val="1"/>
      <w:numFmt w:val="decimal"/>
      <w:lvlText w:val="%1."/>
      <w:lvlJc w:val="left"/>
      <w:pPr>
        <w:ind w:left="1080" w:hanging="360"/>
      </w:pPr>
      <w:rPr>
        <w:rFonts w:ascii="Times New Roman" w:eastAsia="Calibri" w:hAnsi="Times New Roman" w:cs="Times New Roman"/>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51B52E1"/>
    <w:multiLevelType w:val="hybridMultilevel"/>
    <w:tmpl w:val="C76637D4"/>
    <w:lvl w:ilvl="0" w:tplc="FFFFFFFF">
      <w:start w:val="1"/>
      <w:numFmt w:val="decimal"/>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74491A"/>
    <w:multiLevelType w:val="hybridMultilevel"/>
    <w:tmpl w:val="C76637D4"/>
    <w:lvl w:ilvl="0" w:tplc="FFFFFFFF">
      <w:start w:val="1"/>
      <w:numFmt w:val="decimal"/>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AC93985"/>
    <w:multiLevelType w:val="hybridMultilevel"/>
    <w:tmpl w:val="434C1C02"/>
    <w:lvl w:ilvl="0" w:tplc="81C49B8E">
      <w:start w:val="202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E8178C4"/>
    <w:multiLevelType w:val="hybridMultilevel"/>
    <w:tmpl w:val="0D200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AA72A6"/>
    <w:multiLevelType w:val="hybridMultilevel"/>
    <w:tmpl w:val="5978C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B3617"/>
    <w:multiLevelType w:val="hybridMultilevel"/>
    <w:tmpl w:val="A6CA0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FA5121"/>
    <w:multiLevelType w:val="hybridMultilevel"/>
    <w:tmpl w:val="C262DD18"/>
    <w:lvl w:ilvl="0" w:tplc="40067C8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68C61D6"/>
    <w:multiLevelType w:val="hybridMultilevel"/>
    <w:tmpl w:val="0D1C4AEC"/>
    <w:lvl w:ilvl="0" w:tplc="479819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6A022E47"/>
    <w:multiLevelType w:val="hybridMultilevel"/>
    <w:tmpl w:val="92B6D8C2"/>
    <w:lvl w:ilvl="0" w:tplc="ADCE4604">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3" w15:restartNumberingAfterBreak="0">
    <w:nsid w:val="6DC9147A"/>
    <w:multiLevelType w:val="hybridMultilevel"/>
    <w:tmpl w:val="82186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5D64E9"/>
    <w:multiLevelType w:val="hybridMultilevel"/>
    <w:tmpl w:val="3CE4468E"/>
    <w:lvl w:ilvl="0" w:tplc="5174502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798657">
    <w:abstractNumId w:val="11"/>
  </w:num>
  <w:num w:numId="2" w16cid:durableId="1707870688">
    <w:abstractNumId w:val="6"/>
  </w:num>
  <w:num w:numId="3" w16cid:durableId="932594957">
    <w:abstractNumId w:val="21"/>
  </w:num>
  <w:num w:numId="4" w16cid:durableId="1644038774">
    <w:abstractNumId w:val="4"/>
  </w:num>
  <w:num w:numId="5" w16cid:durableId="1450511453">
    <w:abstractNumId w:val="16"/>
  </w:num>
  <w:num w:numId="6" w16cid:durableId="1132098655">
    <w:abstractNumId w:val="19"/>
  </w:num>
  <w:num w:numId="7" w16cid:durableId="143932482">
    <w:abstractNumId w:val="23"/>
  </w:num>
  <w:num w:numId="8" w16cid:durableId="61219477">
    <w:abstractNumId w:val="2"/>
  </w:num>
  <w:num w:numId="9" w16cid:durableId="165169364">
    <w:abstractNumId w:val="20"/>
  </w:num>
  <w:num w:numId="10" w16cid:durableId="1735160602">
    <w:abstractNumId w:val="1"/>
  </w:num>
  <w:num w:numId="11" w16cid:durableId="227307892">
    <w:abstractNumId w:val="5"/>
  </w:num>
  <w:num w:numId="12" w16cid:durableId="1757165330">
    <w:abstractNumId w:val="3"/>
  </w:num>
  <w:num w:numId="13" w16cid:durableId="636683234">
    <w:abstractNumId w:val="7"/>
  </w:num>
  <w:num w:numId="14" w16cid:durableId="1215235385">
    <w:abstractNumId w:val="14"/>
  </w:num>
  <w:num w:numId="15" w16cid:durableId="416251827">
    <w:abstractNumId w:val="8"/>
  </w:num>
  <w:num w:numId="16" w16cid:durableId="1672560060">
    <w:abstractNumId w:val="10"/>
  </w:num>
  <w:num w:numId="17" w16cid:durableId="846600370">
    <w:abstractNumId w:val="13"/>
  </w:num>
  <w:num w:numId="18" w16cid:durableId="2106997361">
    <w:abstractNumId w:val="22"/>
  </w:num>
  <w:num w:numId="19" w16cid:durableId="1067648535">
    <w:abstractNumId w:val="12"/>
  </w:num>
  <w:num w:numId="20" w16cid:durableId="1882743781">
    <w:abstractNumId w:val="0"/>
  </w:num>
  <w:num w:numId="21" w16cid:durableId="1071731043">
    <w:abstractNumId w:val="18"/>
  </w:num>
  <w:num w:numId="22" w16cid:durableId="1513255297">
    <w:abstractNumId w:val="9"/>
  </w:num>
  <w:num w:numId="23" w16cid:durableId="310136557">
    <w:abstractNumId w:val="17"/>
  </w:num>
  <w:num w:numId="24" w16cid:durableId="1888563026">
    <w:abstractNumId w:val="24"/>
  </w:num>
  <w:num w:numId="25" w16cid:durableId="228736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67"/>
    <w:rsid w:val="00000AE0"/>
    <w:rsid w:val="0002183E"/>
    <w:rsid w:val="000300D5"/>
    <w:rsid w:val="00046A5B"/>
    <w:rsid w:val="00051FEB"/>
    <w:rsid w:val="00057A49"/>
    <w:rsid w:val="00071E75"/>
    <w:rsid w:val="00077CEC"/>
    <w:rsid w:val="000943F2"/>
    <w:rsid w:val="00095066"/>
    <w:rsid w:val="00096D25"/>
    <w:rsid w:val="000A5F31"/>
    <w:rsid w:val="000B4756"/>
    <w:rsid w:val="000B4B78"/>
    <w:rsid w:val="000D2BC0"/>
    <w:rsid w:val="000D2C7A"/>
    <w:rsid w:val="000D6506"/>
    <w:rsid w:val="000E0EDB"/>
    <w:rsid w:val="000E7B28"/>
    <w:rsid w:val="000F3EEF"/>
    <w:rsid w:val="000F4619"/>
    <w:rsid w:val="00114B35"/>
    <w:rsid w:val="00114BAC"/>
    <w:rsid w:val="0011567E"/>
    <w:rsid w:val="00121952"/>
    <w:rsid w:val="001242CE"/>
    <w:rsid w:val="001265C2"/>
    <w:rsid w:val="00127D19"/>
    <w:rsid w:val="00127EE2"/>
    <w:rsid w:val="00147895"/>
    <w:rsid w:val="00154220"/>
    <w:rsid w:val="0015633A"/>
    <w:rsid w:val="001617C2"/>
    <w:rsid w:val="001744D7"/>
    <w:rsid w:val="00187C2E"/>
    <w:rsid w:val="001B06EC"/>
    <w:rsid w:val="001C4040"/>
    <w:rsid w:val="001C5CDE"/>
    <w:rsid w:val="001D2D97"/>
    <w:rsid w:val="001D3A75"/>
    <w:rsid w:val="001E2EAF"/>
    <w:rsid w:val="001E2EF8"/>
    <w:rsid w:val="001F1714"/>
    <w:rsid w:val="00211CC9"/>
    <w:rsid w:val="00221918"/>
    <w:rsid w:val="00224CED"/>
    <w:rsid w:val="00247803"/>
    <w:rsid w:val="00251C95"/>
    <w:rsid w:val="00253C31"/>
    <w:rsid w:val="002551D0"/>
    <w:rsid w:val="00265634"/>
    <w:rsid w:val="00265D98"/>
    <w:rsid w:val="00281AFE"/>
    <w:rsid w:val="00283F24"/>
    <w:rsid w:val="00286587"/>
    <w:rsid w:val="00290A64"/>
    <w:rsid w:val="002913C4"/>
    <w:rsid w:val="00292D13"/>
    <w:rsid w:val="002A609E"/>
    <w:rsid w:val="002A615B"/>
    <w:rsid w:val="002B5035"/>
    <w:rsid w:val="002C681A"/>
    <w:rsid w:val="002D2C74"/>
    <w:rsid w:val="002D3406"/>
    <w:rsid w:val="002E6CD3"/>
    <w:rsid w:val="002E7636"/>
    <w:rsid w:val="002F492B"/>
    <w:rsid w:val="00305CF2"/>
    <w:rsid w:val="00312A79"/>
    <w:rsid w:val="00312E22"/>
    <w:rsid w:val="00320388"/>
    <w:rsid w:val="00333F39"/>
    <w:rsid w:val="003443E3"/>
    <w:rsid w:val="00353078"/>
    <w:rsid w:val="00367971"/>
    <w:rsid w:val="0037758E"/>
    <w:rsid w:val="00382186"/>
    <w:rsid w:val="0038395B"/>
    <w:rsid w:val="00390D67"/>
    <w:rsid w:val="0039281B"/>
    <w:rsid w:val="00394D69"/>
    <w:rsid w:val="003A36D4"/>
    <w:rsid w:val="003A4C47"/>
    <w:rsid w:val="003A595D"/>
    <w:rsid w:val="003A7A92"/>
    <w:rsid w:val="003C0D03"/>
    <w:rsid w:val="003D26D8"/>
    <w:rsid w:val="003D35BA"/>
    <w:rsid w:val="003D472E"/>
    <w:rsid w:val="003E28EE"/>
    <w:rsid w:val="00403198"/>
    <w:rsid w:val="00411F35"/>
    <w:rsid w:val="0041558A"/>
    <w:rsid w:val="00443AB8"/>
    <w:rsid w:val="00444F7C"/>
    <w:rsid w:val="004455F7"/>
    <w:rsid w:val="004516B3"/>
    <w:rsid w:val="0045253C"/>
    <w:rsid w:val="00454C0D"/>
    <w:rsid w:val="0046479B"/>
    <w:rsid w:val="004656FE"/>
    <w:rsid w:val="004751C9"/>
    <w:rsid w:val="00483BA0"/>
    <w:rsid w:val="004B358D"/>
    <w:rsid w:val="004D3FA4"/>
    <w:rsid w:val="004F799C"/>
    <w:rsid w:val="0050056E"/>
    <w:rsid w:val="005231C9"/>
    <w:rsid w:val="0053254C"/>
    <w:rsid w:val="005538FD"/>
    <w:rsid w:val="005629AA"/>
    <w:rsid w:val="00564F47"/>
    <w:rsid w:val="0056608D"/>
    <w:rsid w:val="00571DEF"/>
    <w:rsid w:val="005730F0"/>
    <w:rsid w:val="00576E46"/>
    <w:rsid w:val="005777CB"/>
    <w:rsid w:val="00580612"/>
    <w:rsid w:val="00590AE9"/>
    <w:rsid w:val="00593939"/>
    <w:rsid w:val="00595925"/>
    <w:rsid w:val="0059674C"/>
    <w:rsid w:val="005B3256"/>
    <w:rsid w:val="005B440E"/>
    <w:rsid w:val="005B6BB4"/>
    <w:rsid w:val="005C11B5"/>
    <w:rsid w:val="005C6879"/>
    <w:rsid w:val="0060027E"/>
    <w:rsid w:val="00603F92"/>
    <w:rsid w:val="006111A3"/>
    <w:rsid w:val="00612500"/>
    <w:rsid w:val="0061296E"/>
    <w:rsid w:val="00614977"/>
    <w:rsid w:val="00625166"/>
    <w:rsid w:val="00627AF3"/>
    <w:rsid w:val="0063338F"/>
    <w:rsid w:val="00635D64"/>
    <w:rsid w:val="006545E4"/>
    <w:rsid w:val="00657307"/>
    <w:rsid w:val="00662FC9"/>
    <w:rsid w:val="00670968"/>
    <w:rsid w:val="006714C5"/>
    <w:rsid w:val="0067264D"/>
    <w:rsid w:val="006728CB"/>
    <w:rsid w:val="00681F53"/>
    <w:rsid w:val="00687C8F"/>
    <w:rsid w:val="0069751A"/>
    <w:rsid w:val="006B709D"/>
    <w:rsid w:val="006C1196"/>
    <w:rsid w:val="006C3563"/>
    <w:rsid w:val="006C41A8"/>
    <w:rsid w:val="006C57A4"/>
    <w:rsid w:val="006E24B5"/>
    <w:rsid w:val="006F0203"/>
    <w:rsid w:val="006F2188"/>
    <w:rsid w:val="006F4B73"/>
    <w:rsid w:val="00703350"/>
    <w:rsid w:val="00703506"/>
    <w:rsid w:val="0070691D"/>
    <w:rsid w:val="00723B4D"/>
    <w:rsid w:val="00733DF7"/>
    <w:rsid w:val="00736986"/>
    <w:rsid w:val="00736FB7"/>
    <w:rsid w:val="00751F5B"/>
    <w:rsid w:val="00752C5F"/>
    <w:rsid w:val="007A1F8A"/>
    <w:rsid w:val="007B1A00"/>
    <w:rsid w:val="007B3678"/>
    <w:rsid w:val="007B3DB8"/>
    <w:rsid w:val="007C3C7D"/>
    <w:rsid w:val="007D0B96"/>
    <w:rsid w:val="007D2C63"/>
    <w:rsid w:val="007D35F2"/>
    <w:rsid w:val="007E076E"/>
    <w:rsid w:val="007E522D"/>
    <w:rsid w:val="007F11C8"/>
    <w:rsid w:val="007F7324"/>
    <w:rsid w:val="00800990"/>
    <w:rsid w:val="00803CEC"/>
    <w:rsid w:val="008102ED"/>
    <w:rsid w:val="00816E61"/>
    <w:rsid w:val="00817644"/>
    <w:rsid w:val="00822F48"/>
    <w:rsid w:val="00843D6E"/>
    <w:rsid w:val="008449F7"/>
    <w:rsid w:val="00856088"/>
    <w:rsid w:val="008915DA"/>
    <w:rsid w:val="00895E89"/>
    <w:rsid w:val="008A6A0A"/>
    <w:rsid w:val="008A7614"/>
    <w:rsid w:val="008B02DD"/>
    <w:rsid w:val="008D498E"/>
    <w:rsid w:val="008E3033"/>
    <w:rsid w:val="008F0320"/>
    <w:rsid w:val="008F38D6"/>
    <w:rsid w:val="009140F4"/>
    <w:rsid w:val="0091543B"/>
    <w:rsid w:val="009178B9"/>
    <w:rsid w:val="009231DC"/>
    <w:rsid w:val="009324F3"/>
    <w:rsid w:val="00934A46"/>
    <w:rsid w:val="009356E8"/>
    <w:rsid w:val="009515C2"/>
    <w:rsid w:val="00951611"/>
    <w:rsid w:val="009523BC"/>
    <w:rsid w:val="00952D84"/>
    <w:rsid w:val="00970B47"/>
    <w:rsid w:val="00985709"/>
    <w:rsid w:val="00992B9B"/>
    <w:rsid w:val="009A0128"/>
    <w:rsid w:val="009B11FD"/>
    <w:rsid w:val="009B2344"/>
    <w:rsid w:val="009B2E2F"/>
    <w:rsid w:val="009B7228"/>
    <w:rsid w:val="009C6DA8"/>
    <w:rsid w:val="009E091D"/>
    <w:rsid w:val="009E276B"/>
    <w:rsid w:val="009E326F"/>
    <w:rsid w:val="009E42F5"/>
    <w:rsid w:val="009F09B1"/>
    <w:rsid w:val="00A01B06"/>
    <w:rsid w:val="00A057C7"/>
    <w:rsid w:val="00A207B4"/>
    <w:rsid w:val="00A20DC2"/>
    <w:rsid w:val="00A253D9"/>
    <w:rsid w:val="00A25C05"/>
    <w:rsid w:val="00A27F73"/>
    <w:rsid w:val="00A441A3"/>
    <w:rsid w:val="00A51976"/>
    <w:rsid w:val="00A7369A"/>
    <w:rsid w:val="00A8043C"/>
    <w:rsid w:val="00A87DEF"/>
    <w:rsid w:val="00A9218E"/>
    <w:rsid w:val="00A9381E"/>
    <w:rsid w:val="00A9507C"/>
    <w:rsid w:val="00A96831"/>
    <w:rsid w:val="00AA21D6"/>
    <w:rsid w:val="00AA2F83"/>
    <w:rsid w:val="00AA3E6B"/>
    <w:rsid w:val="00AC0885"/>
    <w:rsid w:val="00AD1453"/>
    <w:rsid w:val="00AD1DCA"/>
    <w:rsid w:val="00AF7EFC"/>
    <w:rsid w:val="00B04EF6"/>
    <w:rsid w:val="00B10CA5"/>
    <w:rsid w:val="00B21DDD"/>
    <w:rsid w:val="00B33A01"/>
    <w:rsid w:val="00B62ACB"/>
    <w:rsid w:val="00B63102"/>
    <w:rsid w:val="00B66BE6"/>
    <w:rsid w:val="00B9304E"/>
    <w:rsid w:val="00BC2E62"/>
    <w:rsid w:val="00BC6679"/>
    <w:rsid w:val="00BD0951"/>
    <w:rsid w:val="00BF53D1"/>
    <w:rsid w:val="00BF6C44"/>
    <w:rsid w:val="00C240EF"/>
    <w:rsid w:val="00C35256"/>
    <w:rsid w:val="00C3677F"/>
    <w:rsid w:val="00C564C3"/>
    <w:rsid w:val="00C7413A"/>
    <w:rsid w:val="00C75757"/>
    <w:rsid w:val="00C96588"/>
    <w:rsid w:val="00C97655"/>
    <w:rsid w:val="00CA3382"/>
    <w:rsid w:val="00CA67EA"/>
    <w:rsid w:val="00CB2D24"/>
    <w:rsid w:val="00CB3DBF"/>
    <w:rsid w:val="00CD4460"/>
    <w:rsid w:val="00CD4A33"/>
    <w:rsid w:val="00CD73C4"/>
    <w:rsid w:val="00CF46C7"/>
    <w:rsid w:val="00D06687"/>
    <w:rsid w:val="00D20453"/>
    <w:rsid w:val="00D33330"/>
    <w:rsid w:val="00D4369F"/>
    <w:rsid w:val="00D50FCE"/>
    <w:rsid w:val="00D6189C"/>
    <w:rsid w:val="00D8271C"/>
    <w:rsid w:val="00DB20A2"/>
    <w:rsid w:val="00DC1672"/>
    <w:rsid w:val="00DD18AA"/>
    <w:rsid w:val="00DD5A02"/>
    <w:rsid w:val="00E011F0"/>
    <w:rsid w:val="00E342EE"/>
    <w:rsid w:val="00E45A45"/>
    <w:rsid w:val="00E46517"/>
    <w:rsid w:val="00E5540A"/>
    <w:rsid w:val="00E60FDE"/>
    <w:rsid w:val="00E76A93"/>
    <w:rsid w:val="00E77ACC"/>
    <w:rsid w:val="00EA6A88"/>
    <w:rsid w:val="00ED24D1"/>
    <w:rsid w:val="00ED4425"/>
    <w:rsid w:val="00ED787F"/>
    <w:rsid w:val="00EE486A"/>
    <w:rsid w:val="00EF501F"/>
    <w:rsid w:val="00F2677E"/>
    <w:rsid w:val="00F314BD"/>
    <w:rsid w:val="00F50D71"/>
    <w:rsid w:val="00F51575"/>
    <w:rsid w:val="00F57196"/>
    <w:rsid w:val="00F725E3"/>
    <w:rsid w:val="00F730DE"/>
    <w:rsid w:val="00F769D6"/>
    <w:rsid w:val="00F83BCF"/>
    <w:rsid w:val="00F93CFE"/>
    <w:rsid w:val="00FA32D8"/>
    <w:rsid w:val="00FA4D92"/>
    <w:rsid w:val="00FA6C1B"/>
    <w:rsid w:val="00FB3A2D"/>
    <w:rsid w:val="00FD68F5"/>
    <w:rsid w:val="00FD7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C6426"/>
  <w15:docId w15:val="{B07808C5-40C2-49DD-98DD-1F365DA1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8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D67"/>
    <w:pPr>
      <w:ind w:left="720"/>
      <w:contextualSpacing/>
    </w:pPr>
  </w:style>
  <w:style w:type="character" w:styleId="Strong">
    <w:name w:val="Strong"/>
    <w:basedOn w:val="DefaultParagraphFont"/>
    <w:uiPriority w:val="22"/>
    <w:qFormat/>
    <w:rsid w:val="00BD0951"/>
    <w:rPr>
      <w:b/>
      <w:bCs/>
    </w:rPr>
  </w:style>
  <w:style w:type="paragraph" w:styleId="BodyTextIndent">
    <w:name w:val="Body Text Indent"/>
    <w:basedOn w:val="Normal"/>
    <w:link w:val="BodyTextIndentChar"/>
    <w:uiPriority w:val="99"/>
    <w:semiHidden/>
    <w:unhideWhenUsed/>
    <w:rsid w:val="00BD0951"/>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rsid w:val="00BD0951"/>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D0951"/>
    <w:rPr>
      <w:color w:val="0000FF"/>
      <w:u w:val="single"/>
    </w:rPr>
  </w:style>
  <w:style w:type="character" w:customStyle="1" w:styleId="tal1">
    <w:name w:val="tal1"/>
    <w:basedOn w:val="DefaultParagraphFont"/>
    <w:rsid w:val="00BD0951"/>
  </w:style>
  <w:style w:type="paragraph" w:styleId="BodyText">
    <w:name w:val="Body Text"/>
    <w:basedOn w:val="Normal"/>
    <w:link w:val="BodyTextChar"/>
    <w:uiPriority w:val="99"/>
    <w:semiHidden/>
    <w:unhideWhenUsed/>
    <w:rsid w:val="006F2188"/>
    <w:pPr>
      <w:spacing w:after="120"/>
    </w:pPr>
  </w:style>
  <w:style w:type="character" w:customStyle="1" w:styleId="BodyTextChar">
    <w:name w:val="Body Text Char"/>
    <w:basedOn w:val="DefaultParagraphFont"/>
    <w:link w:val="BodyText"/>
    <w:uiPriority w:val="99"/>
    <w:semiHidden/>
    <w:rsid w:val="006F2188"/>
    <w:rPr>
      <w:rFonts w:ascii="Calibri" w:eastAsia="Calibri" w:hAnsi="Calibri" w:cs="Times New Roman"/>
    </w:rPr>
  </w:style>
  <w:style w:type="character" w:customStyle="1" w:styleId="apple-converted-space">
    <w:name w:val="apple-converted-space"/>
    <w:basedOn w:val="DefaultParagraphFont"/>
    <w:rsid w:val="00934A46"/>
  </w:style>
  <w:style w:type="paragraph" w:customStyle="1" w:styleId="al">
    <w:name w:val="a_l"/>
    <w:basedOn w:val="Normal"/>
    <w:rsid w:val="002219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
    <w:name w:val="_"/>
    <w:basedOn w:val="DefaultParagraphFont"/>
    <w:rsid w:val="001C4040"/>
  </w:style>
  <w:style w:type="character" w:customStyle="1" w:styleId="ff9">
    <w:name w:val="ff9"/>
    <w:basedOn w:val="DefaultParagraphFont"/>
    <w:rsid w:val="001C4040"/>
  </w:style>
  <w:style w:type="character" w:customStyle="1" w:styleId="ff5">
    <w:name w:val="ff5"/>
    <w:basedOn w:val="DefaultParagraphFont"/>
    <w:rsid w:val="001C4040"/>
  </w:style>
  <w:style w:type="character" w:styleId="Emphasis">
    <w:name w:val="Emphasis"/>
    <w:qFormat/>
    <w:rsid w:val="008F38D6"/>
    <w:rPr>
      <w:i/>
      <w:iCs/>
    </w:rPr>
  </w:style>
  <w:style w:type="character" w:customStyle="1" w:styleId="docheader">
    <w:name w:val="doc_header"/>
    <w:basedOn w:val="DefaultParagraphFont"/>
    <w:rsid w:val="007B3678"/>
  </w:style>
  <w:style w:type="paragraph" w:styleId="NoSpacing">
    <w:name w:val="No Spacing"/>
    <w:uiPriority w:val="1"/>
    <w:qFormat/>
    <w:rsid w:val="007B3678"/>
    <w:pPr>
      <w:spacing w:after="0" w:line="240" w:lineRule="auto"/>
    </w:pPr>
    <w:rPr>
      <w:rFonts w:ascii="Calibri" w:eastAsia="Times New Roman" w:hAnsi="Calibri" w:cs="Times New Roman"/>
      <w:lang w:val="en-US"/>
    </w:rPr>
  </w:style>
  <w:style w:type="character" w:customStyle="1" w:styleId="italic">
    <w:name w:val="italic"/>
    <w:basedOn w:val="DefaultParagraphFont"/>
    <w:rsid w:val="00AA3E6B"/>
  </w:style>
  <w:style w:type="paragraph" w:styleId="Header">
    <w:name w:val="header"/>
    <w:basedOn w:val="Normal"/>
    <w:link w:val="HeaderChar"/>
    <w:uiPriority w:val="99"/>
    <w:unhideWhenUsed/>
    <w:rsid w:val="005231C9"/>
    <w:pPr>
      <w:tabs>
        <w:tab w:val="center" w:pos="4677"/>
        <w:tab w:val="right" w:pos="9355"/>
      </w:tabs>
      <w:spacing w:after="0" w:line="240" w:lineRule="auto"/>
    </w:pPr>
  </w:style>
  <w:style w:type="character" w:customStyle="1" w:styleId="HeaderChar">
    <w:name w:val="Header Char"/>
    <w:basedOn w:val="DefaultParagraphFont"/>
    <w:link w:val="Header"/>
    <w:uiPriority w:val="99"/>
    <w:rsid w:val="005231C9"/>
    <w:rPr>
      <w:rFonts w:ascii="Calibri" w:eastAsia="Calibri" w:hAnsi="Calibri" w:cs="Times New Roman"/>
    </w:rPr>
  </w:style>
  <w:style w:type="paragraph" w:styleId="Footer">
    <w:name w:val="footer"/>
    <w:basedOn w:val="Normal"/>
    <w:link w:val="FooterChar"/>
    <w:uiPriority w:val="99"/>
    <w:unhideWhenUsed/>
    <w:rsid w:val="005231C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231C9"/>
    <w:rPr>
      <w:rFonts w:ascii="Calibri" w:eastAsia="Calibri" w:hAnsi="Calibri" w:cs="Times New Roman"/>
    </w:rPr>
  </w:style>
  <w:style w:type="character" w:customStyle="1" w:styleId="UnresolvedMention1">
    <w:name w:val="Unresolved Mention1"/>
    <w:basedOn w:val="DefaultParagraphFont"/>
    <w:uiPriority w:val="99"/>
    <w:semiHidden/>
    <w:unhideWhenUsed/>
    <w:rsid w:val="003443E3"/>
    <w:rPr>
      <w:color w:val="605E5C"/>
      <w:shd w:val="clear" w:color="auto" w:fill="E1DFDD"/>
    </w:rPr>
  </w:style>
  <w:style w:type="character" w:styleId="CommentReference">
    <w:name w:val="annotation reference"/>
    <w:basedOn w:val="DefaultParagraphFont"/>
    <w:uiPriority w:val="99"/>
    <w:semiHidden/>
    <w:unhideWhenUsed/>
    <w:rsid w:val="00154220"/>
    <w:rPr>
      <w:sz w:val="16"/>
      <w:szCs w:val="16"/>
    </w:rPr>
  </w:style>
  <w:style w:type="paragraph" w:styleId="CommentText">
    <w:name w:val="annotation text"/>
    <w:basedOn w:val="Normal"/>
    <w:link w:val="CommentTextChar"/>
    <w:uiPriority w:val="99"/>
    <w:semiHidden/>
    <w:unhideWhenUsed/>
    <w:rsid w:val="00154220"/>
    <w:pPr>
      <w:spacing w:line="240" w:lineRule="auto"/>
    </w:pPr>
    <w:rPr>
      <w:sz w:val="20"/>
      <w:szCs w:val="20"/>
    </w:rPr>
  </w:style>
  <w:style w:type="character" w:customStyle="1" w:styleId="CommentTextChar">
    <w:name w:val="Comment Text Char"/>
    <w:basedOn w:val="DefaultParagraphFont"/>
    <w:link w:val="CommentText"/>
    <w:uiPriority w:val="99"/>
    <w:semiHidden/>
    <w:rsid w:val="001542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4220"/>
    <w:rPr>
      <w:b/>
      <w:bCs/>
    </w:rPr>
  </w:style>
  <w:style w:type="character" w:customStyle="1" w:styleId="CommentSubjectChar">
    <w:name w:val="Comment Subject Char"/>
    <w:basedOn w:val="CommentTextChar"/>
    <w:link w:val="CommentSubject"/>
    <w:uiPriority w:val="99"/>
    <w:semiHidden/>
    <w:rsid w:val="00154220"/>
    <w:rPr>
      <w:rFonts w:ascii="Calibri" w:eastAsia="Calibri" w:hAnsi="Calibri" w:cs="Times New Roman"/>
      <w:b/>
      <w:bCs/>
      <w:sz w:val="20"/>
      <w:szCs w:val="20"/>
    </w:rPr>
  </w:style>
  <w:style w:type="paragraph" w:styleId="Revision">
    <w:name w:val="Revision"/>
    <w:hidden/>
    <w:uiPriority w:val="99"/>
    <w:semiHidden/>
    <w:rsid w:val="0002183E"/>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2E7636"/>
    <w:rPr>
      <w:color w:val="605E5C"/>
      <w:shd w:val="clear" w:color="auto" w:fill="E1DFDD"/>
    </w:rPr>
  </w:style>
  <w:style w:type="paragraph" w:styleId="BalloonText">
    <w:name w:val="Balloon Text"/>
    <w:basedOn w:val="Normal"/>
    <w:link w:val="BalloonTextChar"/>
    <w:uiPriority w:val="99"/>
    <w:semiHidden/>
    <w:unhideWhenUsed/>
    <w:rsid w:val="00A2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3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629">
      <w:bodyDiv w:val="1"/>
      <w:marLeft w:val="0"/>
      <w:marRight w:val="0"/>
      <w:marTop w:val="0"/>
      <w:marBottom w:val="0"/>
      <w:divBdr>
        <w:top w:val="none" w:sz="0" w:space="0" w:color="auto"/>
        <w:left w:val="none" w:sz="0" w:space="0" w:color="auto"/>
        <w:bottom w:val="none" w:sz="0" w:space="0" w:color="auto"/>
        <w:right w:val="none" w:sz="0" w:space="0" w:color="auto"/>
      </w:divBdr>
    </w:div>
    <w:div w:id="119493384">
      <w:bodyDiv w:val="1"/>
      <w:marLeft w:val="0"/>
      <w:marRight w:val="0"/>
      <w:marTop w:val="0"/>
      <w:marBottom w:val="0"/>
      <w:divBdr>
        <w:top w:val="none" w:sz="0" w:space="0" w:color="auto"/>
        <w:left w:val="none" w:sz="0" w:space="0" w:color="auto"/>
        <w:bottom w:val="none" w:sz="0" w:space="0" w:color="auto"/>
        <w:right w:val="none" w:sz="0" w:space="0" w:color="auto"/>
      </w:divBdr>
    </w:div>
    <w:div w:id="254442841">
      <w:bodyDiv w:val="1"/>
      <w:marLeft w:val="0"/>
      <w:marRight w:val="0"/>
      <w:marTop w:val="0"/>
      <w:marBottom w:val="0"/>
      <w:divBdr>
        <w:top w:val="none" w:sz="0" w:space="0" w:color="auto"/>
        <w:left w:val="none" w:sz="0" w:space="0" w:color="auto"/>
        <w:bottom w:val="none" w:sz="0" w:space="0" w:color="auto"/>
        <w:right w:val="none" w:sz="0" w:space="0" w:color="auto"/>
      </w:divBdr>
    </w:div>
    <w:div w:id="295718277">
      <w:bodyDiv w:val="1"/>
      <w:marLeft w:val="0"/>
      <w:marRight w:val="0"/>
      <w:marTop w:val="0"/>
      <w:marBottom w:val="0"/>
      <w:divBdr>
        <w:top w:val="none" w:sz="0" w:space="0" w:color="auto"/>
        <w:left w:val="none" w:sz="0" w:space="0" w:color="auto"/>
        <w:bottom w:val="none" w:sz="0" w:space="0" w:color="auto"/>
        <w:right w:val="none" w:sz="0" w:space="0" w:color="auto"/>
      </w:divBdr>
    </w:div>
    <w:div w:id="353191277">
      <w:bodyDiv w:val="1"/>
      <w:marLeft w:val="0"/>
      <w:marRight w:val="0"/>
      <w:marTop w:val="0"/>
      <w:marBottom w:val="0"/>
      <w:divBdr>
        <w:top w:val="none" w:sz="0" w:space="0" w:color="auto"/>
        <w:left w:val="none" w:sz="0" w:space="0" w:color="auto"/>
        <w:bottom w:val="none" w:sz="0" w:space="0" w:color="auto"/>
        <w:right w:val="none" w:sz="0" w:space="0" w:color="auto"/>
      </w:divBdr>
    </w:div>
    <w:div w:id="723220388">
      <w:bodyDiv w:val="1"/>
      <w:marLeft w:val="0"/>
      <w:marRight w:val="0"/>
      <w:marTop w:val="0"/>
      <w:marBottom w:val="0"/>
      <w:divBdr>
        <w:top w:val="none" w:sz="0" w:space="0" w:color="auto"/>
        <w:left w:val="none" w:sz="0" w:space="0" w:color="auto"/>
        <w:bottom w:val="none" w:sz="0" w:space="0" w:color="auto"/>
        <w:right w:val="none" w:sz="0" w:space="0" w:color="auto"/>
      </w:divBdr>
    </w:div>
    <w:div w:id="1149252907">
      <w:bodyDiv w:val="1"/>
      <w:marLeft w:val="0"/>
      <w:marRight w:val="0"/>
      <w:marTop w:val="0"/>
      <w:marBottom w:val="0"/>
      <w:divBdr>
        <w:top w:val="none" w:sz="0" w:space="0" w:color="auto"/>
        <w:left w:val="none" w:sz="0" w:space="0" w:color="auto"/>
        <w:bottom w:val="none" w:sz="0" w:space="0" w:color="auto"/>
        <w:right w:val="none" w:sz="0" w:space="0" w:color="auto"/>
      </w:divBdr>
    </w:div>
    <w:div w:id="14204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A1D35.66F81EE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5.png@01DA1D35.66F81EE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A1D35.66F81EE0" TargetMode="External"/><Relationship Id="rId5" Type="http://schemas.openxmlformats.org/officeDocument/2006/relationships/webSettings" Target="webSettings.xml"/><Relationship Id="rId15" Type="http://schemas.openxmlformats.org/officeDocument/2006/relationships/image" Target="cid:image004.png@01DA1D35.66F81EE0" TargetMode="External"/><Relationship Id="rId10" Type="http://schemas.openxmlformats.org/officeDocument/2006/relationships/image" Target="media/image2.png"/><Relationship Id="rId19" Type="http://schemas.openxmlformats.org/officeDocument/2006/relationships/image" Target="cid:image006.png@01DA1D35.66F81EE0" TargetMode="External"/><Relationship Id="rId4" Type="http://schemas.openxmlformats.org/officeDocument/2006/relationships/settings" Target="settings.xml"/><Relationship Id="rId9" Type="http://schemas.openxmlformats.org/officeDocument/2006/relationships/image" Target="cid:image001.png@01DA1D35.66F81EE0"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4F8E-51FE-416F-ACF3-1363D0AE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2144</Words>
  <Characters>13962</Characters>
  <Application>Microsoft Office Word</Application>
  <DocSecurity>0</DocSecurity>
  <Lines>263</Lines>
  <Paragraphs>112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Lina Gudima</cp:lastModifiedBy>
  <cp:revision>14</cp:revision>
  <cp:lastPrinted>2023-12-07T14:41:00Z</cp:lastPrinted>
  <dcterms:created xsi:type="dcterms:W3CDTF">2023-12-07T15:04:00Z</dcterms:created>
  <dcterms:modified xsi:type="dcterms:W3CDTF">2023-12-14T08:24:00Z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a9511e6be5c4bb0d69f2bc36cd62b523933d1438a8944c8ab8eaaca64d671ea9</vt:lpwstr>
  </property>
</Properties>
</file>