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DDFE" w14:textId="77777777" w:rsidR="00BE60AE" w:rsidRPr="00836CA5" w:rsidRDefault="00BE60AE" w:rsidP="00D72936">
      <w:pPr>
        <w:pStyle w:val="Title"/>
        <w:tabs>
          <w:tab w:val="left" w:pos="11340"/>
        </w:tabs>
        <w:jc w:val="left"/>
        <w:rPr>
          <w:sz w:val="24"/>
          <w:lang w:val="ro-MD"/>
        </w:rPr>
      </w:pPr>
    </w:p>
    <w:p w14:paraId="3CDBB8B7" w14:textId="77777777" w:rsidR="008E6672" w:rsidRPr="00836CA5" w:rsidRDefault="00CA4226" w:rsidP="00836CA5">
      <w:pPr>
        <w:pStyle w:val="Title"/>
        <w:tabs>
          <w:tab w:val="left" w:pos="11340"/>
        </w:tabs>
        <w:rPr>
          <w:sz w:val="24"/>
          <w:lang w:val="ro-MD"/>
        </w:rPr>
      </w:pPr>
      <w:r w:rsidRPr="00836CA5">
        <w:rPr>
          <w:sz w:val="24"/>
          <w:lang w:val="ro-MD"/>
        </w:rPr>
        <w:t>Sinteza</w:t>
      </w:r>
      <w:r w:rsidR="00240395" w:rsidRPr="00836CA5">
        <w:rPr>
          <w:sz w:val="24"/>
          <w:lang w:val="ro-MD"/>
        </w:rPr>
        <w:t xml:space="preserve"> </w:t>
      </w:r>
      <w:r w:rsidR="00433E2C" w:rsidRPr="00836CA5">
        <w:rPr>
          <w:sz w:val="24"/>
          <w:lang w:val="ro-MD"/>
        </w:rPr>
        <w:t>obiecţiilor şi propunerilor (recomandărilor)</w:t>
      </w:r>
    </w:p>
    <w:p w14:paraId="205C44C1" w14:textId="77777777" w:rsidR="0026609C" w:rsidRDefault="00973852" w:rsidP="00836CA5">
      <w:pPr>
        <w:pStyle w:val="Title"/>
        <w:tabs>
          <w:tab w:val="left" w:pos="11340"/>
        </w:tabs>
        <w:rPr>
          <w:sz w:val="24"/>
          <w:lang w:val="ro-MD"/>
        </w:rPr>
      </w:pPr>
      <w:r w:rsidRPr="00836CA5">
        <w:rPr>
          <w:sz w:val="24"/>
          <w:lang w:val="ro-MD"/>
        </w:rPr>
        <w:t xml:space="preserve">la </w:t>
      </w:r>
      <w:r w:rsidR="008E6672" w:rsidRPr="00836CA5">
        <w:rPr>
          <w:sz w:val="24"/>
          <w:lang w:val="ro-MD"/>
        </w:rPr>
        <w:t xml:space="preserve">Proiectul hotărârii Guvernului pentru modificarea hotărârii Guvernului nr. 348/2014 cu privire la tarifele </w:t>
      </w:r>
    </w:p>
    <w:p w14:paraId="5814DD7E" w14:textId="0EC656E4" w:rsidR="008E6672" w:rsidRPr="00836CA5" w:rsidRDefault="008E6672" w:rsidP="00836CA5">
      <w:pPr>
        <w:pStyle w:val="Title"/>
        <w:tabs>
          <w:tab w:val="left" w:pos="11340"/>
        </w:tabs>
        <w:rPr>
          <w:sz w:val="24"/>
          <w:lang w:val="ro-MD"/>
        </w:rPr>
      </w:pPr>
      <w:r w:rsidRPr="00836CA5">
        <w:rPr>
          <w:sz w:val="24"/>
          <w:lang w:val="ro-MD"/>
        </w:rPr>
        <w:t>pentru serviciile prestate de către Agenția Medicamentului și Dispozitivelor Medicale</w:t>
      </w:r>
    </w:p>
    <w:p w14:paraId="57147518" w14:textId="7B2653D5" w:rsidR="00BA12EA" w:rsidRPr="00836CA5" w:rsidRDefault="00BA12EA" w:rsidP="00836CA5">
      <w:pPr>
        <w:jc w:val="center"/>
        <w:rPr>
          <w:b/>
          <w:lang w:val="ro-RO"/>
        </w:rPr>
      </w:pPr>
      <w:r w:rsidRPr="00836CA5">
        <w:rPr>
          <w:b/>
          <w:bCs/>
          <w:lang w:val="ro-RO"/>
        </w:rPr>
        <w:t xml:space="preserve">(număr unic </w:t>
      </w:r>
      <w:r w:rsidR="00EA30DC" w:rsidRPr="00836CA5">
        <w:rPr>
          <w:b/>
          <w:bCs/>
          <w:lang w:val="ro-RO"/>
        </w:rPr>
        <w:t>8</w:t>
      </w:r>
      <w:r w:rsidR="008E6672" w:rsidRPr="00836CA5">
        <w:rPr>
          <w:b/>
          <w:bCs/>
          <w:lang w:val="ro-RO"/>
        </w:rPr>
        <w:t>98</w:t>
      </w:r>
      <w:r w:rsidRPr="00836CA5">
        <w:rPr>
          <w:b/>
          <w:bCs/>
          <w:lang w:val="ro-RO"/>
        </w:rPr>
        <w:t>/</w:t>
      </w:r>
      <w:r w:rsidR="008E6672" w:rsidRPr="00836CA5">
        <w:rPr>
          <w:b/>
          <w:bCs/>
          <w:lang w:val="ro-RO"/>
        </w:rPr>
        <w:t>AMDM</w:t>
      </w:r>
      <w:r w:rsidRPr="00836CA5">
        <w:rPr>
          <w:b/>
          <w:bCs/>
          <w:lang w:val="ro-RO"/>
        </w:rPr>
        <w:t>/202</w:t>
      </w:r>
      <w:r w:rsidR="00CC281F" w:rsidRPr="00836CA5">
        <w:rPr>
          <w:b/>
          <w:bCs/>
          <w:lang w:val="ro-RO"/>
        </w:rPr>
        <w:t>3</w:t>
      </w:r>
      <w:r w:rsidRPr="00836CA5">
        <w:rPr>
          <w:b/>
          <w:bCs/>
          <w:lang w:val="ro-RO"/>
        </w:rPr>
        <w:t>)</w:t>
      </w:r>
    </w:p>
    <w:p w14:paraId="1EFEFBEA" w14:textId="77777777" w:rsidR="00BA5CFF" w:rsidRPr="00836CA5" w:rsidRDefault="00BA5CFF" w:rsidP="00836CA5">
      <w:pPr>
        <w:jc w:val="right"/>
        <w:rPr>
          <w:b/>
          <w:bCs/>
          <w:lang w:val="ro-RO"/>
        </w:rPr>
      </w:pPr>
    </w:p>
    <w:tbl>
      <w:tblPr>
        <w:tblW w:w="1516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3585"/>
        <w:gridCol w:w="6804"/>
        <w:gridCol w:w="3967"/>
      </w:tblGrid>
      <w:tr w:rsidR="00EA0975" w:rsidRPr="008C10FE" w14:paraId="218AF7DB" w14:textId="77777777" w:rsidTr="00276517">
        <w:tc>
          <w:tcPr>
            <w:tcW w:w="805" w:type="dxa"/>
            <w:vAlign w:val="center"/>
          </w:tcPr>
          <w:p w14:paraId="38289BC6" w14:textId="77777777" w:rsidR="00EA0975" w:rsidRPr="008C10FE" w:rsidRDefault="00EA0975" w:rsidP="008C10FE">
            <w:pPr>
              <w:jc w:val="center"/>
              <w:rPr>
                <w:b/>
                <w:lang w:val="ro-MD"/>
              </w:rPr>
            </w:pPr>
            <w:r w:rsidRPr="008C10FE">
              <w:rPr>
                <w:b/>
                <w:lang w:val="ro-MD"/>
              </w:rPr>
              <w:t>Nr.</w:t>
            </w:r>
          </w:p>
          <w:p w14:paraId="08ECD8BF" w14:textId="77777777" w:rsidR="00EA0975" w:rsidRPr="008C10FE" w:rsidRDefault="00EA0975" w:rsidP="008C10FE">
            <w:pPr>
              <w:jc w:val="center"/>
              <w:rPr>
                <w:b/>
                <w:lang w:val="ro-MD"/>
              </w:rPr>
            </w:pPr>
            <w:r w:rsidRPr="008C10FE">
              <w:rPr>
                <w:b/>
                <w:lang w:val="ro-MD"/>
              </w:rPr>
              <w:t>d/o</w:t>
            </w:r>
          </w:p>
        </w:tc>
        <w:tc>
          <w:tcPr>
            <w:tcW w:w="3585" w:type="dxa"/>
            <w:vAlign w:val="center"/>
          </w:tcPr>
          <w:p w14:paraId="0143CB64" w14:textId="77777777" w:rsidR="00EA0975" w:rsidRPr="008C10FE" w:rsidRDefault="00EA0975" w:rsidP="008C10FE">
            <w:pPr>
              <w:jc w:val="center"/>
              <w:rPr>
                <w:b/>
                <w:lang w:val="ro-RO"/>
              </w:rPr>
            </w:pPr>
            <w:r w:rsidRPr="008C10FE">
              <w:rPr>
                <w:b/>
                <w:lang w:val="ro-MD"/>
              </w:rPr>
              <w:t>Participantul la avizare/(expertizare) consultare public</w:t>
            </w:r>
            <w:r w:rsidRPr="008C10FE">
              <w:rPr>
                <w:b/>
                <w:lang w:val="ro-RO"/>
              </w:rPr>
              <w:t>ă</w:t>
            </w:r>
          </w:p>
        </w:tc>
        <w:tc>
          <w:tcPr>
            <w:tcW w:w="6804" w:type="dxa"/>
            <w:vAlign w:val="center"/>
          </w:tcPr>
          <w:p w14:paraId="20DE710E" w14:textId="77777777" w:rsidR="00EA0975" w:rsidRPr="008C10FE" w:rsidRDefault="00EA0975" w:rsidP="008C10FE">
            <w:pPr>
              <w:jc w:val="center"/>
              <w:rPr>
                <w:b/>
                <w:lang w:val="ro-MD"/>
              </w:rPr>
            </w:pPr>
            <w:r w:rsidRPr="008C10FE">
              <w:rPr>
                <w:b/>
                <w:lang w:val="ro-MD"/>
              </w:rPr>
              <w:t>Conţinutul obiecţiei/propunerii (recomandării)</w:t>
            </w:r>
          </w:p>
          <w:p w14:paraId="10A3E2A2" w14:textId="77777777" w:rsidR="00EA0975" w:rsidRPr="008C10FE" w:rsidRDefault="00EA0975" w:rsidP="008C10FE">
            <w:pPr>
              <w:jc w:val="center"/>
              <w:rPr>
                <w:b/>
                <w:lang w:val="ro-MD"/>
              </w:rPr>
            </w:pPr>
          </w:p>
        </w:tc>
        <w:tc>
          <w:tcPr>
            <w:tcW w:w="3967" w:type="dxa"/>
            <w:vAlign w:val="center"/>
          </w:tcPr>
          <w:p w14:paraId="7A3A16D6" w14:textId="77777777" w:rsidR="00EA0975" w:rsidRPr="008C10FE" w:rsidRDefault="00EA0975" w:rsidP="008C10FE">
            <w:pPr>
              <w:jc w:val="center"/>
              <w:rPr>
                <w:b/>
                <w:lang w:val="ro-MD"/>
              </w:rPr>
            </w:pPr>
            <w:r w:rsidRPr="008C10FE">
              <w:rPr>
                <w:b/>
                <w:lang w:val="ro-MD"/>
              </w:rPr>
              <w:t>Argumentarea asupra proiectului</w:t>
            </w:r>
          </w:p>
        </w:tc>
      </w:tr>
      <w:tr w:rsidR="0079417E" w:rsidRPr="008C10FE" w14:paraId="52D052A1" w14:textId="77777777" w:rsidTr="0079417E">
        <w:trPr>
          <w:trHeight w:val="120"/>
        </w:trPr>
        <w:tc>
          <w:tcPr>
            <w:tcW w:w="805" w:type="dxa"/>
            <w:vMerge w:val="restart"/>
            <w:vAlign w:val="center"/>
          </w:tcPr>
          <w:p w14:paraId="5AA4B935" w14:textId="20FAD021" w:rsidR="0079417E" w:rsidRPr="00276517" w:rsidRDefault="0079417E">
            <w:pPr>
              <w:pStyle w:val="ListParagraph"/>
              <w:numPr>
                <w:ilvl w:val="0"/>
                <w:numId w:val="1"/>
              </w:numPr>
              <w:jc w:val="both"/>
              <w:rPr>
                <w:b/>
              </w:rPr>
            </w:pPr>
          </w:p>
        </w:tc>
        <w:tc>
          <w:tcPr>
            <w:tcW w:w="3585" w:type="dxa"/>
            <w:vMerge w:val="restart"/>
            <w:vAlign w:val="center"/>
          </w:tcPr>
          <w:p w14:paraId="7C6210E0" w14:textId="56E84EE8" w:rsidR="0079417E" w:rsidRPr="00276517" w:rsidRDefault="0079417E" w:rsidP="008C10FE">
            <w:pPr>
              <w:ind w:left="9"/>
              <w:jc w:val="both"/>
              <w:rPr>
                <w:bCs/>
                <w:lang w:val="ro-MD"/>
              </w:rPr>
            </w:pPr>
            <w:r w:rsidRPr="00276517">
              <w:rPr>
                <w:bCs/>
                <w:lang w:val="ro-MD"/>
              </w:rPr>
              <w:t>Ministerul Finanțelor</w:t>
            </w:r>
          </w:p>
        </w:tc>
        <w:tc>
          <w:tcPr>
            <w:tcW w:w="6804" w:type="dxa"/>
            <w:tcBorders>
              <w:bottom w:val="single" w:sz="4" w:space="0" w:color="auto"/>
            </w:tcBorders>
            <w:vAlign w:val="center"/>
          </w:tcPr>
          <w:p w14:paraId="592E58E2" w14:textId="32FA1968" w:rsidR="0079417E" w:rsidRPr="008C10FE" w:rsidRDefault="00DB5AAD" w:rsidP="008C10FE">
            <w:pPr>
              <w:pStyle w:val="22"/>
              <w:spacing w:before="0" w:after="0" w:line="240" w:lineRule="auto"/>
              <w:rPr>
                <w:rFonts w:ascii="Times New Roman" w:eastAsia="Times New Roman" w:hAnsi="Times New Roman" w:cs="Times New Roman"/>
                <w:sz w:val="24"/>
                <w:szCs w:val="24"/>
                <w:lang w:val="ro-RO"/>
              </w:rPr>
            </w:pPr>
            <w:r w:rsidRPr="00DB5AAD">
              <w:rPr>
                <w:rFonts w:ascii="Times New Roman" w:eastAsia="Times New Roman" w:hAnsi="Times New Roman" w:cs="Times New Roman"/>
                <w:sz w:val="24"/>
                <w:szCs w:val="24"/>
                <w:lang w:val="en-US"/>
              </w:rPr>
              <w:t>Proiectul în cauză prevede majorarea (de la 1,2 ori până la 44,8 ori) a tarifelor pentru serviciile prestate de către Agenția Medicamentului și Dispozitivelor Medicale, care nu au fost modificate din anul 2014. Totodată, în Nota informativă și în Analiza impactului în procesul de fundamentare a proiectelor de acte normative, nu este indicată modalitatea de estimare a tarifelor (tipurile de cheltuieli luate în calcul), precum și motivul majorării atât de diferențiate și semnificative a tarifelor actuale.</w:t>
            </w:r>
          </w:p>
        </w:tc>
        <w:tc>
          <w:tcPr>
            <w:tcW w:w="3967" w:type="dxa"/>
            <w:tcBorders>
              <w:bottom w:val="single" w:sz="4" w:space="0" w:color="auto"/>
            </w:tcBorders>
            <w:vAlign w:val="center"/>
          </w:tcPr>
          <w:p w14:paraId="5D26C0BF" w14:textId="77777777" w:rsidR="0079417E" w:rsidRPr="00D72936" w:rsidRDefault="00D72936" w:rsidP="008C10FE">
            <w:pPr>
              <w:jc w:val="both"/>
              <w:rPr>
                <w:b/>
                <w:bCs/>
                <w:lang w:val="ro-RO"/>
              </w:rPr>
            </w:pPr>
            <w:r w:rsidRPr="00D72936">
              <w:rPr>
                <w:b/>
                <w:bCs/>
                <w:lang w:val="ro-RO"/>
              </w:rPr>
              <w:t>Acceptat.</w:t>
            </w:r>
          </w:p>
          <w:p w14:paraId="6214CB83" w14:textId="5259040A" w:rsidR="00CF6AB0" w:rsidRPr="00CF6AB0" w:rsidRDefault="00D72936" w:rsidP="008C10FE">
            <w:pPr>
              <w:jc w:val="both"/>
              <w:rPr>
                <w:lang w:val="ro-MD"/>
              </w:rPr>
            </w:pPr>
            <w:r w:rsidRPr="00D72936">
              <w:rPr>
                <w:lang w:val="ro-RO"/>
              </w:rPr>
              <w:t>Nota informativă și AIR au fost completate</w:t>
            </w:r>
            <w:r w:rsidR="00CF6AB0">
              <w:rPr>
                <w:lang w:val="ro-RO"/>
              </w:rPr>
              <w:t xml:space="preserve"> </w:t>
            </w:r>
            <w:r w:rsidR="00CF6AB0">
              <w:rPr>
                <w:lang w:val="ro-MD"/>
              </w:rPr>
              <w:t>și au fost anexate metoda de calcul a noilor tarife.</w:t>
            </w:r>
          </w:p>
        </w:tc>
      </w:tr>
      <w:tr w:rsidR="0079417E" w:rsidRPr="008C10FE" w14:paraId="7B9A4A96" w14:textId="77777777" w:rsidTr="00DB5AAD">
        <w:trPr>
          <w:trHeight w:val="168"/>
        </w:trPr>
        <w:tc>
          <w:tcPr>
            <w:tcW w:w="805" w:type="dxa"/>
            <w:vMerge/>
            <w:vAlign w:val="center"/>
          </w:tcPr>
          <w:p w14:paraId="705448C7" w14:textId="77777777" w:rsidR="0079417E" w:rsidRPr="00276517" w:rsidRDefault="0079417E">
            <w:pPr>
              <w:pStyle w:val="ListParagraph"/>
              <w:numPr>
                <w:ilvl w:val="0"/>
                <w:numId w:val="1"/>
              </w:numPr>
              <w:jc w:val="both"/>
              <w:rPr>
                <w:b/>
              </w:rPr>
            </w:pPr>
          </w:p>
        </w:tc>
        <w:tc>
          <w:tcPr>
            <w:tcW w:w="3585" w:type="dxa"/>
            <w:vMerge/>
            <w:vAlign w:val="center"/>
          </w:tcPr>
          <w:p w14:paraId="6C78E3CA" w14:textId="77777777" w:rsidR="0079417E" w:rsidRPr="00276517" w:rsidRDefault="0079417E" w:rsidP="008C10FE">
            <w:pPr>
              <w:ind w:left="9"/>
              <w:jc w:val="both"/>
              <w:rPr>
                <w:bCs/>
                <w:lang w:val="ro-MD"/>
              </w:rPr>
            </w:pPr>
          </w:p>
        </w:tc>
        <w:tc>
          <w:tcPr>
            <w:tcW w:w="6804" w:type="dxa"/>
            <w:tcBorders>
              <w:top w:val="single" w:sz="4" w:space="0" w:color="auto"/>
              <w:bottom w:val="single" w:sz="4" w:space="0" w:color="auto"/>
            </w:tcBorders>
            <w:vAlign w:val="center"/>
          </w:tcPr>
          <w:p w14:paraId="74C7B2FE" w14:textId="2A9C9DD8" w:rsidR="0079417E" w:rsidRPr="008C10FE" w:rsidRDefault="00DB5AAD" w:rsidP="008C10FE">
            <w:pPr>
              <w:pStyle w:val="22"/>
              <w:spacing w:before="0" w:after="0" w:line="240" w:lineRule="auto"/>
              <w:rPr>
                <w:rFonts w:ascii="Times New Roman" w:eastAsia="Times New Roman" w:hAnsi="Times New Roman" w:cs="Times New Roman"/>
                <w:sz w:val="24"/>
                <w:szCs w:val="24"/>
                <w:lang w:val="ro-RO"/>
              </w:rPr>
            </w:pPr>
            <w:r w:rsidRPr="00DB5AAD">
              <w:rPr>
                <w:rFonts w:ascii="Times New Roman" w:eastAsia="Times New Roman" w:hAnsi="Times New Roman" w:cs="Times New Roman"/>
                <w:sz w:val="24"/>
                <w:szCs w:val="24"/>
                <w:lang w:val="en-US"/>
              </w:rPr>
              <w:t>În același timp, proiectul prevede o nouă formulă de calcul a serviciilor prestate de către experți și/sau membrii Comisiei Medicamentului, reieșind din cuantumul salariului mediu lunar pe economie, dar nu din salariul tarifar pe unitate de timp (așa cum prevede cadrul normativ actual). În acest sens, se solicită de a completa atât Nota informativă, cât și Analiza impactului, cu argumente plauzibile și calcule confirmative care au stat la baza estimării și, respectiv, majorării tarifelor</w:t>
            </w:r>
          </w:p>
        </w:tc>
        <w:tc>
          <w:tcPr>
            <w:tcW w:w="3967" w:type="dxa"/>
            <w:tcBorders>
              <w:top w:val="single" w:sz="4" w:space="0" w:color="auto"/>
              <w:bottom w:val="single" w:sz="4" w:space="0" w:color="auto"/>
            </w:tcBorders>
            <w:vAlign w:val="center"/>
          </w:tcPr>
          <w:p w14:paraId="0BB07FD3" w14:textId="16E0FEB9" w:rsidR="0079417E" w:rsidRPr="00D72936" w:rsidRDefault="00D72936" w:rsidP="008C10FE">
            <w:pPr>
              <w:jc w:val="both"/>
              <w:rPr>
                <w:b/>
                <w:bCs/>
                <w:lang w:val="ro-MD"/>
              </w:rPr>
            </w:pPr>
            <w:r w:rsidRPr="00D72936">
              <w:rPr>
                <w:b/>
                <w:bCs/>
                <w:lang w:val="ro-MD"/>
              </w:rPr>
              <w:t>Se acceptă parțial.</w:t>
            </w:r>
          </w:p>
          <w:p w14:paraId="0FA6973F" w14:textId="5E2C1E04" w:rsidR="00D72936" w:rsidRDefault="00D72936" w:rsidP="008C10FE">
            <w:pPr>
              <w:jc w:val="both"/>
              <w:rPr>
                <w:lang w:val="ro-MD"/>
              </w:rPr>
            </w:pPr>
            <w:r w:rsidRPr="00D72936">
              <w:rPr>
                <w:lang w:val="ro-MD"/>
              </w:rPr>
              <w:t xml:space="preserve">Menționăm că în HG 222/1993 </w:t>
            </w:r>
            <w:r w:rsidRPr="009A6CE7">
              <w:rPr>
                <w:i/>
                <w:iCs/>
                <w:lang w:val="ro-MD"/>
              </w:rPr>
              <w:t>cu privire la retribuirea muncii specialiștilor încadrați în procesul de atestare a cadrelor științifice didactice, membrilor comisiei medicamentului, comitetului național de expertiză etică a studiului clinic și a  altor comisii de experți.</w:t>
            </w:r>
            <w:r w:rsidRPr="00D72936">
              <w:rPr>
                <w:lang w:val="ro-MD"/>
              </w:rPr>
              <w:t xml:space="preserve"> </w:t>
            </w:r>
            <w:r w:rsidR="000D0262">
              <w:rPr>
                <w:lang w:val="ro-MD"/>
              </w:rPr>
              <w:t>n</w:t>
            </w:r>
            <w:r w:rsidRPr="00D72936">
              <w:rPr>
                <w:lang w:val="ro-MD"/>
              </w:rPr>
              <w:t xml:space="preserve">u sunt prevăzute clar și nici nu transpune realitatea remunerării și aplicării coeficientului pentru expert, la momentul actual. Actul normativ </w:t>
            </w:r>
            <w:r>
              <w:rPr>
                <w:lang w:val="ro-MD"/>
              </w:rPr>
              <w:t>prevede tarife din</w:t>
            </w:r>
            <w:r w:rsidRPr="00D72936">
              <w:rPr>
                <w:lang w:val="ro-MD"/>
              </w:rPr>
              <w:t xml:space="preserve"> 1993!</w:t>
            </w:r>
          </w:p>
          <w:p w14:paraId="15EC5DBE" w14:textId="75D05CDB" w:rsidR="0080318B" w:rsidRPr="00D72936" w:rsidRDefault="0080318B" w:rsidP="008C10FE">
            <w:pPr>
              <w:jc w:val="both"/>
              <w:rPr>
                <w:lang w:val="ro-MD"/>
              </w:rPr>
            </w:pPr>
            <w:r w:rsidRPr="009D1987">
              <w:rPr>
                <w:lang w:val="ro-MD"/>
              </w:rPr>
              <w:t>Totodată actul conține prevederi neaplicabile la ziua de azi.</w:t>
            </w:r>
            <w:r>
              <w:rPr>
                <w:lang w:val="ro-MD"/>
              </w:rPr>
              <w:t xml:space="preserve"> </w:t>
            </w:r>
            <w:r w:rsidR="00CB4DE2">
              <w:rPr>
                <w:lang w:val="ro-MD"/>
              </w:rPr>
              <w:t>În anul 1993 dosarele prezentate pentru autorizarea medicamentelor erau conformate abstract ( no</w:t>
            </w:r>
            <w:r w:rsidR="00E72683">
              <w:rPr>
                <w:lang w:val="ro-MD"/>
              </w:rPr>
              <w:t>n</w:t>
            </w:r>
            <w:r w:rsidR="00CB4DE2">
              <w:rPr>
                <w:lang w:val="ro-MD"/>
              </w:rPr>
              <w:t xml:space="preserve"> CTD). Toate dosarele erau prezentate  pe format de hârtie ce oferea posibilitatea numărării </w:t>
            </w:r>
            <w:r w:rsidR="00CB4DE2">
              <w:rPr>
                <w:lang w:val="ro-MD"/>
              </w:rPr>
              <w:lastRenderedPageBreak/>
              <w:t>paginilor. Tariful stabilit era conform realităților economice din 1993. Începând cu anul 2012, Republica Moldova a ad</w:t>
            </w:r>
            <w:r w:rsidR="009D1987">
              <w:rPr>
                <w:lang w:val="ro-MD"/>
              </w:rPr>
              <w:t>o</w:t>
            </w:r>
            <w:r w:rsidR="00CB4DE2">
              <w:rPr>
                <w:lang w:val="ro-MD"/>
              </w:rPr>
              <w:t>ptat modelul European de prezentare a dosarelor pentru autorizarea medicamentelor în format CTD cu 5 module, fiecare dosar. Dosarul este prezentat în format electronic care conține mii de pagini. Pe lângă evaluarea științifică a dosarului propriu-zis, experții trebuie să acceseze și informații</w:t>
            </w:r>
            <w:r w:rsidR="00E72683">
              <w:rPr>
                <w:lang w:val="ro-MD"/>
              </w:rPr>
              <w:t xml:space="preserve"> on-line de pe paginile Agenției Europene</w:t>
            </w:r>
            <w:r w:rsidR="007F3E3D">
              <w:rPr>
                <w:lang w:val="ro-MD"/>
              </w:rPr>
              <w:t>,</w:t>
            </w:r>
            <w:r w:rsidR="00E72683">
              <w:rPr>
                <w:lang w:val="ro-MD"/>
              </w:rPr>
              <w:t xml:space="preserve"> FDA etc., un exemplu poate fi accesarea ghidurilor ICH (</w:t>
            </w:r>
            <w:r w:rsidR="00E72683" w:rsidRPr="00E72683">
              <w:rPr>
                <w:lang w:val="ro-MD"/>
              </w:rPr>
              <w:t>https://www.ich.org/page/efficacy-guidelines</w:t>
            </w:r>
            <w:r w:rsidR="00E72683">
              <w:rPr>
                <w:lang w:val="ro-MD"/>
              </w:rPr>
              <w:t xml:space="preserve">) fiecare dintre experți trebuie să consulte până la 15 ghiduri /dosar. Experții care evaluează dosarele pe partea clinică și non clinică, trebuie să-și exercite funcția de evaluare în dependență de cele 9 tipuri de cereri stabilite de normele Europene. Expertul care evaluează partea calitate din dosar, </w:t>
            </w:r>
            <w:r w:rsidR="007F3E3D">
              <w:rPr>
                <w:lang w:val="ro-MD"/>
              </w:rPr>
              <w:t xml:space="preserve">trebuie s-o facă </w:t>
            </w:r>
            <w:r w:rsidR="00E72683">
              <w:rPr>
                <w:lang w:val="ro-MD"/>
              </w:rPr>
              <w:t>din 2 aspecte: subsanța activă și produsul finit. Astfel, timpul necesar pentru evaluarea dozelor suplimentare și a diferitor substanțe active din același medicament dublează lucrul expertului.</w:t>
            </w:r>
          </w:p>
          <w:p w14:paraId="2C2AA8CB" w14:textId="469654F5" w:rsidR="00D72936" w:rsidRPr="00404646" w:rsidRDefault="00CB4DE2" w:rsidP="008C10FE">
            <w:pPr>
              <w:jc w:val="both"/>
              <w:rPr>
                <w:highlight w:val="yellow"/>
                <w:lang w:val="ro-MD"/>
              </w:rPr>
            </w:pPr>
            <w:r>
              <w:rPr>
                <w:lang w:val="ro-RO"/>
              </w:rPr>
              <w:t xml:space="preserve">Pct. 2 din </w:t>
            </w:r>
            <w:r w:rsidR="00D72936" w:rsidRPr="00D72936">
              <w:rPr>
                <w:lang w:val="ro-RO"/>
              </w:rPr>
              <w:t>Nota informativă și AIR au fost completate cu argumente suplimentare.</w:t>
            </w:r>
          </w:p>
        </w:tc>
      </w:tr>
      <w:tr w:rsidR="00DB5AAD" w:rsidRPr="008C10FE" w14:paraId="2B28CA34" w14:textId="77777777" w:rsidTr="00DB5AAD">
        <w:trPr>
          <w:trHeight w:val="108"/>
        </w:trPr>
        <w:tc>
          <w:tcPr>
            <w:tcW w:w="805" w:type="dxa"/>
            <w:vMerge/>
            <w:vAlign w:val="center"/>
          </w:tcPr>
          <w:p w14:paraId="65EE615D" w14:textId="77777777" w:rsidR="00DB5AAD" w:rsidRPr="00276517" w:rsidRDefault="00DB5AAD">
            <w:pPr>
              <w:pStyle w:val="ListParagraph"/>
              <w:numPr>
                <w:ilvl w:val="0"/>
                <w:numId w:val="1"/>
              </w:numPr>
              <w:jc w:val="both"/>
              <w:rPr>
                <w:b/>
              </w:rPr>
            </w:pPr>
          </w:p>
        </w:tc>
        <w:tc>
          <w:tcPr>
            <w:tcW w:w="3585" w:type="dxa"/>
            <w:vMerge/>
            <w:vAlign w:val="center"/>
          </w:tcPr>
          <w:p w14:paraId="051A292C" w14:textId="77777777" w:rsidR="00DB5AAD" w:rsidRPr="00276517" w:rsidRDefault="00DB5AAD" w:rsidP="008C10FE">
            <w:pPr>
              <w:ind w:left="9"/>
              <w:jc w:val="both"/>
              <w:rPr>
                <w:bCs/>
                <w:lang w:val="ro-MD"/>
              </w:rPr>
            </w:pPr>
          </w:p>
        </w:tc>
        <w:tc>
          <w:tcPr>
            <w:tcW w:w="6804" w:type="dxa"/>
            <w:tcBorders>
              <w:top w:val="single" w:sz="4" w:space="0" w:color="auto"/>
              <w:bottom w:val="single" w:sz="4" w:space="0" w:color="auto"/>
            </w:tcBorders>
            <w:vAlign w:val="center"/>
          </w:tcPr>
          <w:p w14:paraId="57AA1E2D" w14:textId="36F97756" w:rsidR="00DB5AAD" w:rsidRPr="008C10FE" w:rsidRDefault="00DB5AAD" w:rsidP="008C10FE">
            <w:pPr>
              <w:pStyle w:val="22"/>
              <w:spacing w:before="0" w:after="0" w:line="240" w:lineRule="auto"/>
              <w:rPr>
                <w:rFonts w:ascii="Times New Roman" w:eastAsia="Times New Roman" w:hAnsi="Times New Roman" w:cs="Times New Roman"/>
                <w:sz w:val="24"/>
                <w:szCs w:val="24"/>
                <w:lang w:val="ro-RO"/>
              </w:rPr>
            </w:pPr>
            <w:r w:rsidRPr="00DB5AAD">
              <w:rPr>
                <w:rFonts w:ascii="Times New Roman" w:eastAsia="Times New Roman" w:hAnsi="Times New Roman" w:cs="Times New Roman"/>
                <w:sz w:val="24"/>
                <w:szCs w:val="24"/>
                <w:lang w:val="en-US"/>
              </w:rPr>
              <w:t xml:space="preserve">Subsecvent, menționăm că, implementarea proiectului vizat poate genera presiuni financiare asupra operatorilor economici implicați în procesul de autorizare a medicamentelor și dispozitivelor medicale, precum și va genera posibile creșteri de prețuri asupra </w:t>
            </w:r>
            <w:r w:rsidRPr="00DB5AAD">
              <w:rPr>
                <w:rFonts w:ascii="Times New Roman" w:eastAsia="Times New Roman" w:hAnsi="Times New Roman" w:cs="Times New Roman"/>
                <w:sz w:val="24"/>
                <w:szCs w:val="24"/>
                <w:lang w:val="en-US"/>
              </w:rPr>
              <w:lastRenderedPageBreak/>
              <w:t>consumatorilor finali (cetățeni).</w:t>
            </w:r>
          </w:p>
        </w:tc>
        <w:tc>
          <w:tcPr>
            <w:tcW w:w="3967" w:type="dxa"/>
            <w:tcBorders>
              <w:top w:val="single" w:sz="4" w:space="0" w:color="auto"/>
              <w:bottom w:val="single" w:sz="4" w:space="0" w:color="auto"/>
            </w:tcBorders>
            <w:vAlign w:val="center"/>
          </w:tcPr>
          <w:p w14:paraId="7B404ECC" w14:textId="77777777" w:rsidR="00DB5AAD" w:rsidRPr="007366A3" w:rsidRDefault="007366A3" w:rsidP="008C10FE">
            <w:pPr>
              <w:jc w:val="both"/>
              <w:rPr>
                <w:b/>
                <w:bCs/>
                <w:lang w:val="ro-MD"/>
              </w:rPr>
            </w:pPr>
            <w:r w:rsidRPr="007366A3">
              <w:rPr>
                <w:b/>
                <w:bCs/>
                <w:lang w:val="ro-MD"/>
              </w:rPr>
              <w:lastRenderedPageBreak/>
              <w:t>Nu se acceptă.</w:t>
            </w:r>
          </w:p>
          <w:p w14:paraId="3B772C09" w14:textId="1ED94E5A" w:rsidR="007366A3" w:rsidRPr="007366A3" w:rsidRDefault="007366A3" w:rsidP="007366A3">
            <w:pPr>
              <w:jc w:val="both"/>
            </w:pPr>
            <w:r>
              <w:rPr>
                <w:lang w:val="ro-MD"/>
              </w:rPr>
              <w:t xml:space="preserve">Inițiativa proiectului și prevederile cu privire la implementarea noilor servicii au fost consultate cu agenții </w:t>
            </w:r>
            <w:r>
              <w:rPr>
                <w:lang w:val="ro-MD"/>
              </w:rPr>
              <w:lastRenderedPageBreak/>
              <w:t xml:space="preserve">economici. Aceștia au prezentat susținerea proiectului. Anexat la tabelul de sinteză, prezentăm opinia </w:t>
            </w:r>
            <w:r w:rsidRPr="007366A3">
              <w:t>Asociați</w:t>
            </w:r>
            <w:r>
              <w:t>ei</w:t>
            </w:r>
            <w:r w:rsidRPr="007366A3">
              <w:t xml:space="preserve"> Businessului European (EBA Moldova)</w:t>
            </w:r>
            <w:r>
              <w:t xml:space="preserve">, </w:t>
            </w:r>
            <w:r w:rsidRPr="009A6CE7">
              <w:t>Asociației Patronale „Camera de Comerț Americană din Moldova” (în continuare „AmCham Moldova</w:t>
            </w:r>
            <w:r w:rsidRPr="002D6C74">
              <w:t>”)</w:t>
            </w:r>
            <w:r>
              <w:t xml:space="preserve">, </w:t>
            </w:r>
            <w:r w:rsidRPr="007366A3">
              <w:rPr>
                <w:bCs/>
                <w:lang w:val="ro-MD"/>
              </w:rPr>
              <w:t>Compania cu Capital Străin ARENSIA Exploratory Medicine SRL</w:t>
            </w:r>
            <w:r>
              <w:rPr>
                <w:bCs/>
                <w:lang w:val="ro-MD"/>
              </w:rPr>
              <w:t>.</w:t>
            </w:r>
          </w:p>
          <w:p w14:paraId="34549018" w14:textId="65E12F1B" w:rsidR="007366A3" w:rsidRPr="007366A3" w:rsidRDefault="007366A3" w:rsidP="008C10FE">
            <w:pPr>
              <w:jc w:val="both"/>
            </w:pPr>
          </w:p>
        </w:tc>
      </w:tr>
      <w:tr w:rsidR="0079417E" w:rsidRPr="008C10FE" w14:paraId="682FCC16" w14:textId="77777777" w:rsidTr="0079417E">
        <w:trPr>
          <w:trHeight w:val="144"/>
        </w:trPr>
        <w:tc>
          <w:tcPr>
            <w:tcW w:w="805" w:type="dxa"/>
            <w:vMerge/>
            <w:vAlign w:val="center"/>
          </w:tcPr>
          <w:p w14:paraId="665611E5" w14:textId="77777777" w:rsidR="0079417E" w:rsidRPr="00276517" w:rsidRDefault="0079417E">
            <w:pPr>
              <w:pStyle w:val="ListParagraph"/>
              <w:numPr>
                <w:ilvl w:val="0"/>
                <w:numId w:val="1"/>
              </w:numPr>
              <w:jc w:val="both"/>
              <w:rPr>
                <w:b/>
              </w:rPr>
            </w:pPr>
          </w:p>
        </w:tc>
        <w:tc>
          <w:tcPr>
            <w:tcW w:w="3585" w:type="dxa"/>
            <w:vMerge/>
            <w:vAlign w:val="center"/>
          </w:tcPr>
          <w:p w14:paraId="0EF96106" w14:textId="77777777" w:rsidR="0079417E" w:rsidRPr="00276517" w:rsidRDefault="0079417E" w:rsidP="008C10FE">
            <w:pPr>
              <w:ind w:left="9"/>
              <w:jc w:val="both"/>
              <w:rPr>
                <w:bCs/>
                <w:lang w:val="ro-MD"/>
              </w:rPr>
            </w:pPr>
          </w:p>
        </w:tc>
        <w:tc>
          <w:tcPr>
            <w:tcW w:w="6804" w:type="dxa"/>
            <w:tcBorders>
              <w:top w:val="single" w:sz="4" w:space="0" w:color="auto"/>
              <w:bottom w:val="single" w:sz="4" w:space="0" w:color="auto"/>
            </w:tcBorders>
            <w:vAlign w:val="center"/>
          </w:tcPr>
          <w:p w14:paraId="100BED10" w14:textId="7B22A295" w:rsidR="0079417E" w:rsidRPr="008C10FE" w:rsidRDefault="00DB5AAD" w:rsidP="008C10FE">
            <w:pPr>
              <w:pStyle w:val="22"/>
              <w:spacing w:before="0" w:after="0" w:line="240" w:lineRule="auto"/>
              <w:rPr>
                <w:rFonts w:ascii="Times New Roman" w:eastAsia="Times New Roman" w:hAnsi="Times New Roman" w:cs="Times New Roman"/>
                <w:sz w:val="24"/>
                <w:szCs w:val="24"/>
                <w:lang w:val="ro-RO"/>
              </w:rPr>
            </w:pPr>
            <w:r w:rsidRPr="00DB5AAD">
              <w:rPr>
                <w:rFonts w:ascii="Times New Roman" w:eastAsia="Times New Roman" w:hAnsi="Times New Roman" w:cs="Times New Roman"/>
                <w:sz w:val="24"/>
                <w:szCs w:val="24"/>
                <w:lang w:val="en-US"/>
              </w:rPr>
              <w:t>Suplimentar, este de menționat că, potrivit art. 36 alin. (2) din Legea nr. 136 din 7 iulie 2017 cu privire la Guvern, hotărârile se contrasemnează de miniștrii care au obligația punerii în aplicare a acestora și/sau care sunt responsabili de domeniile de activitate care intră parțial sau integral în obiectul de reglementare al actului contrasemnat. Astfel, clauza de contrasemnare necesită a fi revizuită prin excluderea ministrului finanțelor din lista contrasemnatarilor.</w:t>
            </w:r>
          </w:p>
        </w:tc>
        <w:tc>
          <w:tcPr>
            <w:tcW w:w="3967" w:type="dxa"/>
            <w:tcBorders>
              <w:top w:val="single" w:sz="4" w:space="0" w:color="auto"/>
              <w:bottom w:val="single" w:sz="4" w:space="0" w:color="auto"/>
            </w:tcBorders>
            <w:vAlign w:val="center"/>
          </w:tcPr>
          <w:p w14:paraId="5C6A16C4" w14:textId="77777777" w:rsidR="0079417E" w:rsidRPr="002D6C74" w:rsidRDefault="007366A3" w:rsidP="008C10FE">
            <w:pPr>
              <w:jc w:val="both"/>
              <w:rPr>
                <w:b/>
                <w:bCs/>
                <w:lang w:val="ro-MD"/>
              </w:rPr>
            </w:pPr>
            <w:r w:rsidRPr="002D6C74">
              <w:rPr>
                <w:b/>
                <w:bCs/>
                <w:lang w:val="ro-MD"/>
              </w:rPr>
              <w:t>Nu se acceptă.</w:t>
            </w:r>
          </w:p>
          <w:p w14:paraId="0ACCF0DA" w14:textId="6BAC4603" w:rsidR="00CB4A67" w:rsidRPr="002D6C74" w:rsidRDefault="00CB4A67" w:rsidP="008C10FE">
            <w:pPr>
              <w:jc w:val="both"/>
            </w:pPr>
            <w:r w:rsidRPr="002D6C74">
              <w:t>Potrivit art.50 alin. (4) din Legea nr.100/2017 cu privire la actele normative, data actelor normative ale Guvernului este data adoptării acestora în cadrul ședinței Guvernului. În conformitate cu prevederile art. 102 alin. (4) din Constituţia Republicii Moldova şi Legii nr. 136/2017 cu privire la Guvern, hotărîrile şi ordonanţele adoptate de Guvern se contrasemnează de miniştrii care au obligaţia punerii acestora în aplicare</w:t>
            </w:r>
          </w:p>
          <w:p w14:paraId="1E3E20B9" w14:textId="065BCCD0" w:rsidR="00F0219D" w:rsidRPr="002D6C74" w:rsidRDefault="007366A3" w:rsidP="008C10FE">
            <w:pPr>
              <w:jc w:val="both"/>
            </w:pPr>
            <w:r w:rsidRPr="002D6C74">
              <w:t>Respectiv</w:t>
            </w:r>
            <w:r w:rsidR="00CB4A67" w:rsidRPr="002D6C74">
              <w:t>,</w:t>
            </w:r>
            <w:r w:rsidRPr="002D6C74">
              <w:t xml:space="preserve"> una din atribuțiile ministrului finanțelor este de administrare a finanțelor publice, AMDM fiind instituție din subordinea Guvernului</w:t>
            </w:r>
            <w:r w:rsidR="00F0219D" w:rsidRPr="002D6C74">
              <w:t>.</w:t>
            </w:r>
          </w:p>
          <w:p w14:paraId="49D1038D" w14:textId="4CF275F6" w:rsidR="00CB4A67" w:rsidRPr="002D6C74" w:rsidRDefault="00CB4A67" w:rsidP="008C10FE">
            <w:pPr>
              <w:jc w:val="both"/>
            </w:pPr>
            <w:r w:rsidRPr="002D6C74">
              <w:t>Art. 36 alin. (2) din Legea nr. 136 din 7 iulie 2017 cu privire la Guvern, hotărârile se contrasemnează de miniștrii care au obligația punerii în aplicare a acestora și/sau care sunt responsabili de domeniile de activitate care intră parțial sau integral în obiectul de reglementare al actului contrasemnat.</w:t>
            </w:r>
          </w:p>
          <w:p w14:paraId="15C1DBC3" w14:textId="6D4BC499" w:rsidR="00CB4A67" w:rsidRPr="002D6C74" w:rsidRDefault="00CB4A67" w:rsidP="008C10FE">
            <w:pPr>
              <w:jc w:val="both"/>
            </w:pPr>
            <w:r w:rsidRPr="002D6C74">
              <w:lastRenderedPageBreak/>
              <w:t>AMDM</w:t>
            </w:r>
            <w:r w:rsidR="00FC34E1" w:rsidRPr="002D6C74">
              <w:t xml:space="preserve"> </w:t>
            </w:r>
            <w:r w:rsidRPr="002D6C74">
              <w:t>este o instituție subordonată Guvernului. Iar una din funcțiile acestuia este și administrarea finanțelor.</w:t>
            </w:r>
          </w:p>
          <w:p w14:paraId="34923609" w14:textId="3FDC53C6" w:rsidR="007366A3" w:rsidRPr="008C10FE" w:rsidRDefault="00F0219D" w:rsidP="008C10FE">
            <w:pPr>
              <w:jc w:val="both"/>
              <w:rPr>
                <w:lang w:val="ro-MD"/>
              </w:rPr>
            </w:pPr>
            <w:r w:rsidRPr="002D6C74">
              <w:rPr>
                <w:lang w:val="ro-MD"/>
              </w:rPr>
              <w:t>Totodată, argumentarea se bazează și pe prevederile privind funcțiile Ministerului Finanțelor prevăzute la pct. 6 din Regulamentul cu privire la organizarea şi funcţionarea Ministerului Finanțelor, aprobat prin HG</w:t>
            </w:r>
            <w:r w:rsidR="00265B85" w:rsidRPr="009A6CE7">
              <w:rPr>
                <w:lang w:val="ro-MD"/>
              </w:rPr>
              <w:t xml:space="preserve"> nr. </w:t>
            </w:r>
            <w:r w:rsidRPr="002D6C74">
              <w:rPr>
                <w:lang w:val="ro-MD"/>
              </w:rPr>
              <w:t>696</w:t>
            </w:r>
            <w:r w:rsidRPr="009A6CE7">
              <w:rPr>
                <w:lang w:val="ro-MD"/>
              </w:rPr>
              <w:t>/2017</w:t>
            </w:r>
            <w:r w:rsidRPr="002D6C74">
              <w:rPr>
                <w:lang w:val="ro-MD"/>
              </w:rPr>
              <w:t>.</w:t>
            </w:r>
          </w:p>
        </w:tc>
      </w:tr>
      <w:tr w:rsidR="00D37BC7" w:rsidRPr="008C10FE" w14:paraId="7BC6238C" w14:textId="77777777">
        <w:trPr>
          <w:trHeight w:val="240"/>
        </w:trPr>
        <w:tc>
          <w:tcPr>
            <w:tcW w:w="805" w:type="dxa"/>
            <w:vMerge w:val="restart"/>
            <w:tcBorders>
              <w:top w:val="single" w:sz="4" w:space="0" w:color="auto"/>
            </w:tcBorders>
            <w:vAlign w:val="center"/>
          </w:tcPr>
          <w:p w14:paraId="334F63ED" w14:textId="642AF4F6" w:rsidR="00D37BC7" w:rsidRPr="00276517" w:rsidRDefault="00D37BC7">
            <w:pPr>
              <w:pStyle w:val="ListParagraph"/>
              <w:numPr>
                <w:ilvl w:val="0"/>
                <w:numId w:val="1"/>
              </w:numPr>
              <w:jc w:val="both"/>
              <w:rPr>
                <w:b/>
              </w:rPr>
            </w:pPr>
          </w:p>
        </w:tc>
        <w:tc>
          <w:tcPr>
            <w:tcW w:w="3585" w:type="dxa"/>
            <w:vMerge w:val="restart"/>
            <w:tcBorders>
              <w:top w:val="single" w:sz="4" w:space="0" w:color="auto"/>
            </w:tcBorders>
            <w:vAlign w:val="center"/>
          </w:tcPr>
          <w:p w14:paraId="07B954A4" w14:textId="40B2235F" w:rsidR="00D37BC7" w:rsidRPr="00276517" w:rsidRDefault="00D37BC7" w:rsidP="008C10FE">
            <w:pPr>
              <w:pStyle w:val="BodyText"/>
              <w:ind w:left="9"/>
              <w:jc w:val="both"/>
              <w:rPr>
                <w:bCs/>
                <w:lang w:val="ro-MD"/>
              </w:rPr>
            </w:pPr>
            <w:r w:rsidRPr="00276517">
              <w:rPr>
                <w:bCs/>
                <w:lang w:val="ro-MD"/>
              </w:rPr>
              <w:t>Ministerul Dezvoltării Economice și Digitalizării</w:t>
            </w:r>
          </w:p>
        </w:tc>
        <w:tc>
          <w:tcPr>
            <w:tcW w:w="6804" w:type="dxa"/>
            <w:tcBorders>
              <w:top w:val="single" w:sz="4" w:space="0" w:color="auto"/>
              <w:bottom w:val="single" w:sz="4" w:space="0" w:color="auto"/>
            </w:tcBorders>
            <w:vAlign w:val="center"/>
          </w:tcPr>
          <w:p w14:paraId="6BF0CD60" w14:textId="0824E1B4" w:rsidR="00D37BC7" w:rsidRPr="008C10FE" w:rsidRDefault="00D37BC7" w:rsidP="008C10FE">
            <w:pPr>
              <w:pStyle w:val="BodyText"/>
              <w:spacing w:before="1"/>
              <w:ind w:right="28"/>
              <w:jc w:val="both"/>
              <w:rPr>
                <w:lang w:val="en-US"/>
              </w:rPr>
            </w:pPr>
            <w:r w:rsidRPr="00D37BC7">
              <w:rPr>
                <w:lang w:val="en-US"/>
              </w:rPr>
              <w:t>La pct. 2 din proiectul hotărârii, modificările propuse la pct. 3 cu privire la efectuarea controlului asupra aplicării Nomenclatorului de către Agenția Medicamentului și Dispozitivelor Medicale, considerăm necesară revizuirea acestuia din perspectiva evitării situației de conflict de interese, or este imperios argumentarea acestui aspect, în Nota informativă.</w:t>
            </w:r>
          </w:p>
        </w:tc>
        <w:tc>
          <w:tcPr>
            <w:tcW w:w="3967" w:type="dxa"/>
            <w:tcBorders>
              <w:top w:val="single" w:sz="4" w:space="0" w:color="auto"/>
              <w:bottom w:val="single" w:sz="4" w:space="0" w:color="auto"/>
            </w:tcBorders>
            <w:vAlign w:val="center"/>
          </w:tcPr>
          <w:p w14:paraId="6D52EE99" w14:textId="77777777" w:rsidR="00D37BC7" w:rsidRPr="001A79D6" w:rsidRDefault="001A79D6" w:rsidP="008C10FE">
            <w:pPr>
              <w:jc w:val="both"/>
              <w:rPr>
                <w:b/>
              </w:rPr>
            </w:pPr>
            <w:r w:rsidRPr="001A79D6">
              <w:rPr>
                <w:b/>
              </w:rPr>
              <w:t>Acceptat.</w:t>
            </w:r>
          </w:p>
          <w:p w14:paraId="2BAD07CF" w14:textId="77777777" w:rsidR="001A79D6" w:rsidRPr="001A79D6" w:rsidRDefault="001A79D6" w:rsidP="001A79D6">
            <w:pPr>
              <w:jc w:val="both"/>
              <w:rPr>
                <w:bCs/>
              </w:rPr>
            </w:pPr>
            <w:r w:rsidRPr="001A79D6">
              <w:rPr>
                <w:bCs/>
              </w:rPr>
              <w:t>Pct. 2 din proiect a fost modificat cu textul</w:t>
            </w:r>
          </w:p>
          <w:p w14:paraId="7FBBF64F" w14:textId="453209C1" w:rsidR="001A79D6" w:rsidRPr="001A79D6" w:rsidRDefault="001A79D6" w:rsidP="001A79D6">
            <w:pPr>
              <w:jc w:val="both"/>
              <w:rPr>
                <w:bCs/>
              </w:rPr>
            </w:pPr>
            <w:r w:rsidRPr="001A79D6">
              <w:rPr>
                <w:bCs/>
              </w:rPr>
              <w:t>„3. Agenția Medicamentului și Dispozitivelor Medicale va asigura actualizarea  tarifelor serviciilor prestate, cu prezentarea ulterioară Guvernului spre examinare și aprobare.”</w:t>
            </w:r>
          </w:p>
          <w:p w14:paraId="1003C5C0" w14:textId="300DB94C" w:rsidR="001A79D6" w:rsidRPr="001A79D6" w:rsidRDefault="001A79D6" w:rsidP="008C10FE">
            <w:pPr>
              <w:jc w:val="both"/>
              <w:rPr>
                <w:bCs/>
              </w:rPr>
            </w:pPr>
          </w:p>
        </w:tc>
      </w:tr>
      <w:tr w:rsidR="00D37BC7" w:rsidRPr="00F93E5C" w14:paraId="643C4B6B" w14:textId="77777777">
        <w:trPr>
          <w:trHeight w:val="180"/>
        </w:trPr>
        <w:tc>
          <w:tcPr>
            <w:tcW w:w="805" w:type="dxa"/>
            <w:vMerge/>
            <w:vAlign w:val="center"/>
          </w:tcPr>
          <w:p w14:paraId="6E6CBCFC" w14:textId="77777777" w:rsidR="00D37BC7" w:rsidRPr="00276517" w:rsidRDefault="00D37BC7">
            <w:pPr>
              <w:pStyle w:val="ListParagraph"/>
              <w:numPr>
                <w:ilvl w:val="0"/>
                <w:numId w:val="1"/>
              </w:numPr>
              <w:jc w:val="both"/>
              <w:rPr>
                <w:b/>
              </w:rPr>
            </w:pPr>
          </w:p>
        </w:tc>
        <w:tc>
          <w:tcPr>
            <w:tcW w:w="3585" w:type="dxa"/>
            <w:vMerge/>
            <w:vAlign w:val="center"/>
          </w:tcPr>
          <w:p w14:paraId="5C9AF719" w14:textId="77777777" w:rsidR="00D37BC7" w:rsidRPr="00276517" w:rsidRDefault="00D37BC7"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0286B145" w14:textId="77777777" w:rsidR="00265B85" w:rsidRDefault="00D37BC7" w:rsidP="008C10FE">
            <w:pPr>
              <w:pStyle w:val="BodyText"/>
              <w:spacing w:before="1"/>
              <w:ind w:right="28"/>
              <w:jc w:val="both"/>
              <w:rPr>
                <w:lang w:val="en-US"/>
              </w:rPr>
            </w:pPr>
            <w:r w:rsidRPr="00D37BC7">
              <w:rPr>
                <w:lang w:val="en-US"/>
              </w:rPr>
              <w:t xml:space="preserve">Cu titlu general, proiectul de hotărâre propune introducerea unui cost suplimentar pentru analizele de urgență. Acest aspect poate impune o povară financiară semnificativă asupra agenților economici, precum și posibilitatea tergiversării termenilor de efectuare a analizelor standarde. În acest context, considerăm judicios efectuarea unei analize sporite a acestui aspect și să exploreze modalități de reducere a costurilor sau de acordare de sprijin pentru a minimiza impactul financiar prin argumentare solidă a necesității acestui aspect. </w:t>
            </w:r>
          </w:p>
          <w:p w14:paraId="579B75FE" w14:textId="77777777" w:rsidR="00265B85" w:rsidRDefault="00D37BC7" w:rsidP="008C10FE">
            <w:pPr>
              <w:pStyle w:val="BodyText"/>
              <w:spacing w:before="1"/>
              <w:ind w:right="28"/>
              <w:jc w:val="both"/>
              <w:rPr>
                <w:lang w:val="en-US"/>
              </w:rPr>
            </w:pPr>
            <w:r w:rsidRPr="00D37BC7">
              <w:rPr>
                <w:lang w:val="en-US"/>
              </w:rPr>
              <w:t xml:space="preserve">Este important să fie efectuată o evaluare amănunțită a fiecărei poziții prin calcule detaliate pentru a estima costurile pe care agenții economici le vor suporta în urma propunerilor de modificare, precum și elaborarea unui tabel comparativ a prețurilor actuale și a valorii modificărilor solicitate. Această evaluare trebuie să fie realizată în cooperare strânsă cu organizațiile de afaceri și alte părți interesate, astfel încât să reflecte cât mai fidel situația reală. </w:t>
            </w:r>
          </w:p>
          <w:p w14:paraId="4006551F" w14:textId="020A669D" w:rsidR="00D37BC7" w:rsidRPr="008C10FE" w:rsidRDefault="00D37BC7" w:rsidP="008C10FE">
            <w:pPr>
              <w:pStyle w:val="BodyText"/>
              <w:spacing w:before="1"/>
              <w:ind w:right="28"/>
              <w:jc w:val="both"/>
              <w:rPr>
                <w:lang w:val="en-US"/>
              </w:rPr>
            </w:pPr>
            <w:r w:rsidRPr="00D37BC7">
              <w:rPr>
                <w:lang w:val="en-US"/>
              </w:rPr>
              <w:lastRenderedPageBreak/>
              <w:t>În lumina modificărilor propuse, solicităm o analiză detaliată a posibilității de menținere a prețurilor serviciilor la nivelul actual sau de a limita creșterea acestora. Reiterăm, că această analiză ar trebui să implice consultarea cu reprezentanții mediului de afaceri și să țină cont de impactul pe termen scurt și lung asupra acestora.</w:t>
            </w:r>
          </w:p>
        </w:tc>
        <w:tc>
          <w:tcPr>
            <w:tcW w:w="3967" w:type="dxa"/>
            <w:tcBorders>
              <w:top w:val="single" w:sz="4" w:space="0" w:color="auto"/>
              <w:bottom w:val="single" w:sz="4" w:space="0" w:color="auto"/>
            </w:tcBorders>
            <w:vAlign w:val="center"/>
          </w:tcPr>
          <w:p w14:paraId="59AF800D" w14:textId="77777777" w:rsidR="00F0219D" w:rsidRPr="00AC78B8" w:rsidRDefault="00F0219D" w:rsidP="008C10FE">
            <w:pPr>
              <w:jc w:val="both"/>
              <w:rPr>
                <w:b/>
              </w:rPr>
            </w:pPr>
            <w:r w:rsidRPr="00AC78B8">
              <w:rPr>
                <w:b/>
              </w:rPr>
              <w:lastRenderedPageBreak/>
              <w:t>Nu se acceptă.</w:t>
            </w:r>
          </w:p>
          <w:p w14:paraId="39E1017A" w14:textId="77777777" w:rsidR="00F0219D" w:rsidRDefault="00F0219D" w:rsidP="008C10FE">
            <w:pPr>
              <w:jc w:val="both"/>
              <w:rPr>
                <w:bCs/>
              </w:rPr>
            </w:pPr>
            <w:r>
              <w:rPr>
                <w:bCs/>
              </w:rPr>
              <w:t>Analiza de urgentare a fost introdusă urmare a consultărilor AMDM cu agenții economici. Aceasta este introdusă ca necesitate a unor operațiuni urgente solicitate</w:t>
            </w:r>
            <w:r w:rsidR="00AC78B8">
              <w:rPr>
                <w:bCs/>
              </w:rPr>
              <w:t xml:space="preserve"> adesea de către agenții economici dar care nu puteau fi efectuat, contrar actelor normative. Respectiv aceasta a fost implementat ca un nou Serviciu și susținut de către operatorii economici. Mai mult, acest Serviciu vine și întru combaterea riscului de corupere îintru urgentarea unor servicii prestate de AMDM și solicitate de agentul economic.</w:t>
            </w:r>
          </w:p>
          <w:p w14:paraId="38404255" w14:textId="0EC220BD" w:rsidR="00AC78B8" w:rsidRDefault="00AC78B8" w:rsidP="008C10FE">
            <w:pPr>
              <w:jc w:val="both"/>
              <w:rPr>
                <w:bCs/>
                <w:lang w:val="ro-MD"/>
              </w:rPr>
            </w:pPr>
            <w:r>
              <w:rPr>
                <w:bCs/>
              </w:rPr>
              <w:t xml:space="preserve">Pozitia privind implimentarea </w:t>
            </w:r>
            <w:r w:rsidR="00265B85">
              <w:rPr>
                <w:bCs/>
              </w:rPr>
              <w:t xml:space="preserve">acestui </w:t>
            </w:r>
            <w:r>
              <w:rPr>
                <w:bCs/>
              </w:rPr>
              <w:lastRenderedPageBreak/>
              <w:t xml:space="preserve">Serviciu este expusă în </w:t>
            </w:r>
            <w:r w:rsidRPr="00AC78B8">
              <w:rPr>
                <w:bCs/>
                <w:lang w:val="ro-MD"/>
              </w:rPr>
              <w:t>tabelul de sinteză</w:t>
            </w:r>
            <w:r>
              <w:rPr>
                <w:bCs/>
                <w:lang w:val="ro-MD"/>
              </w:rPr>
              <w:t xml:space="preserve"> privind </w:t>
            </w:r>
            <w:r w:rsidRPr="00AC78B8">
              <w:rPr>
                <w:bCs/>
                <w:lang w:val="ro-MD"/>
              </w:rPr>
              <w:t>opinia</w:t>
            </w:r>
            <w:r>
              <w:rPr>
                <w:bCs/>
                <w:lang w:val="ro-MD"/>
              </w:rPr>
              <w:t xml:space="preserve"> agenților economici asupra modificării HG 348/2014.</w:t>
            </w:r>
            <w:r w:rsidRPr="00AC78B8">
              <w:rPr>
                <w:bCs/>
                <w:lang w:val="ro-MD"/>
              </w:rPr>
              <w:t xml:space="preserve"> </w:t>
            </w:r>
            <w:r>
              <w:rPr>
                <w:bCs/>
                <w:lang w:val="ro-MD"/>
              </w:rPr>
              <w:t>(</w:t>
            </w:r>
            <w:r w:rsidRPr="00AC78B8">
              <w:rPr>
                <w:bCs/>
              </w:rPr>
              <w:t xml:space="preserve">Asociației Businessului European (EBA Moldova), Asociației Patronale „Camera de Comerț Americană din Moldova” (în continuare „AmCham Moldova”), </w:t>
            </w:r>
            <w:r w:rsidRPr="00AC78B8">
              <w:rPr>
                <w:bCs/>
                <w:lang w:val="ro-MD"/>
              </w:rPr>
              <w:t>Compania cu Capital Străin ARENSIA Exploratory Medicine SRL</w:t>
            </w:r>
            <w:r>
              <w:rPr>
                <w:bCs/>
                <w:lang w:val="ro-MD"/>
              </w:rPr>
              <w:t>)</w:t>
            </w:r>
            <w:r w:rsidR="00F93E5C">
              <w:rPr>
                <w:bCs/>
                <w:lang w:val="ro-MD"/>
              </w:rPr>
              <w:t>.</w:t>
            </w:r>
          </w:p>
          <w:p w14:paraId="23330F46" w14:textId="77777777" w:rsidR="00F93E5C" w:rsidRDefault="00F93E5C" w:rsidP="008C10FE">
            <w:pPr>
              <w:jc w:val="both"/>
              <w:rPr>
                <w:bCs/>
                <w:lang w:val="ro-MD"/>
              </w:rPr>
            </w:pPr>
            <w:r>
              <w:rPr>
                <w:bCs/>
                <w:lang w:val="ro-MD"/>
              </w:rPr>
              <w:t>Totodată menționăm, că la prezentarea proiectului spre avizare a fost prezentat tabelul comparativ al prețurilor.</w:t>
            </w:r>
          </w:p>
          <w:p w14:paraId="4DFC5456" w14:textId="5F76DE33" w:rsidR="00F93E5C" w:rsidRPr="00F93E5C" w:rsidRDefault="00F93E5C" w:rsidP="008C10FE">
            <w:pPr>
              <w:jc w:val="both"/>
              <w:rPr>
                <w:bCs/>
                <w:lang w:val="ro-MD"/>
              </w:rPr>
            </w:pPr>
            <w:r>
              <w:rPr>
                <w:bCs/>
                <w:lang w:val="ro-MD"/>
              </w:rPr>
              <w:t>Necesitatea ajustării prețurilor a fost prezentată argumentat în Nota informativă și AIR, fiind prezentată inclusiv și formula de calcul argumentat.</w:t>
            </w:r>
          </w:p>
        </w:tc>
      </w:tr>
      <w:tr w:rsidR="00D37BC7" w:rsidRPr="008C10FE" w14:paraId="5258AF0F" w14:textId="77777777">
        <w:trPr>
          <w:trHeight w:val="181"/>
        </w:trPr>
        <w:tc>
          <w:tcPr>
            <w:tcW w:w="805" w:type="dxa"/>
            <w:vMerge/>
            <w:vAlign w:val="center"/>
          </w:tcPr>
          <w:p w14:paraId="53B17FC3" w14:textId="77777777" w:rsidR="00D37BC7" w:rsidRPr="00F93E5C" w:rsidRDefault="00D37BC7">
            <w:pPr>
              <w:pStyle w:val="ListParagraph"/>
              <w:numPr>
                <w:ilvl w:val="0"/>
                <w:numId w:val="1"/>
              </w:numPr>
              <w:jc w:val="both"/>
              <w:rPr>
                <w:b/>
                <w:lang w:val="ro-MD"/>
              </w:rPr>
            </w:pPr>
          </w:p>
        </w:tc>
        <w:tc>
          <w:tcPr>
            <w:tcW w:w="3585" w:type="dxa"/>
            <w:vMerge/>
            <w:vAlign w:val="center"/>
          </w:tcPr>
          <w:p w14:paraId="5B7F2C76" w14:textId="77777777" w:rsidR="00D37BC7" w:rsidRPr="00276517" w:rsidRDefault="00D37BC7"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38D995CA" w14:textId="71FBF5AC" w:rsidR="00D37BC7" w:rsidRPr="008C10FE" w:rsidRDefault="00D37BC7" w:rsidP="008C10FE">
            <w:pPr>
              <w:pStyle w:val="BodyText"/>
              <w:spacing w:before="1"/>
              <w:ind w:right="28"/>
              <w:jc w:val="both"/>
              <w:rPr>
                <w:lang w:val="en-US"/>
              </w:rPr>
            </w:pPr>
            <w:r w:rsidRPr="00D37BC7">
              <w:rPr>
                <w:lang w:val="en-US"/>
              </w:rPr>
              <w:t>În contextul celor expuse mai sus, subliniem importanța unui dialog constructiv între instituțiile de stat și comunitatea de afaceri pentru identificarea soluțiilor care să aducă beneficii ambelor părți.</w:t>
            </w:r>
          </w:p>
        </w:tc>
        <w:tc>
          <w:tcPr>
            <w:tcW w:w="3967" w:type="dxa"/>
            <w:tcBorders>
              <w:top w:val="single" w:sz="4" w:space="0" w:color="auto"/>
              <w:bottom w:val="single" w:sz="4" w:space="0" w:color="auto"/>
            </w:tcBorders>
            <w:vAlign w:val="center"/>
          </w:tcPr>
          <w:p w14:paraId="0225B3E0" w14:textId="77777777" w:rsidR="00D37BC7" w:rsidRPr="00AC78B8" w:rsidRDefault="00AC78B8" w:rsidP="008C10FE">
            <w:pPr>
              <w:jc w:val="both"/>
              <w:rPr>
                <w:b/>
              </w:rPr>
            </w:pPr>
            <w:r w:rsidRPr="00AC78B8">
              <w:rPr>
                <w:b/>
              </w:rPr>
              <w:t>Nu se acceptă.</w:t>
            </w:r>
          </w:p>
          <w:p w14:paraId="0E5447F1" w14:textId="59528E17" w:rsidR="00AC78B8" w:rsidRPr="00AC78B8" w:rsidRDefault="00AC78B8">
            <w:pPr>
              <w:jc w:val="both"/>
              <w:rPr>
                <w:bCs/>
              </w:rPr>
            </w:pPr>
            <w:r w:rsidRPr="00AC78B8">
              <w:rPr>
                <w:bCs/>
              </w:rPr>
              <w:t xml:space="preserve">Inițiativa și însuși proiectul a fost consultat cu agenții economici. </w:t>
            </w:r>
            <w:r w:rsidR="00265B85" w:rsidRPr="00AC78B8">
              <w:rPr>
                <w:bCs/>
              </w:rPr>
              <w:t>Ace</w:t>
            </w:r>
            <w:r w:rsidR="00265B85">
              <w:rPr>
                <w:bCs/>
              </w:rPr>
              <w:t>știa</w:t>
            </w:r>
            <w:r w:rsidR="00265B85" w:rsidRPr="00AC78B8">
              <w:rPr>
                <w:bCs/>
              </w:rPr>
              <w:t xml:space="preserve"> </w:t>
            </w:r>
            <w:r w:rsidRPr="00AC78B8">
              <w:rPr>
                <w:bCs/>
              </w:rPr>
              <w:t>au prezentat susținerea și încurajarea întru implementarea modificărilor propuse. Anexat sunt prezentate opiniile acestora.</w:t>
            </w:r>
          </w:p>
        </w:tc>
      </w:tr>
      <w:tr w:rsidR="00D37BC7" w:rsidRPr="008C10FE" w14:paraId="311E1CB6" w14:textId="77777777">
        <w:trPr>
          <w:trHeight w:val="204"/>
        </w:trPr>
        <w:tc>
          <w:tcPr>
            <w:tcW w:w="805" w:type="dxa"/>
            <w:vMerge/>
            <w:tcBorders>
              <w:bottom w:val="single" w:sz="4" w:space="0" w:color="auto"/>
            </w:tcBorders>
            <w:vAlign w:val="center"/>
          </w:tcPr>
          <w:p w14:paraId="49834AEF" w14:textId="77777777" w:rsidR="00D37BC7" w:rsidRPr="00276517" w:rsidRDefault="00D37BC7">
            <w:pPr>
              <w:pStyle w:val="ListParagraph"/>
              <w:numPr>
                <w:ilvl w:val="0"/>
                <w:numId w:val="1"/>
              </w:numPr>
              <w:jc w:val="both"/>
              <w:rPr>
                <w:b/>
              </w:rPr>
            </w:pPr>
          </w:p>
        </w:tc>
        <w:tc>
          <w:tcPr>
            <w:tcW w:w="3585" w:type="dxa"/>
            <w:vMerge/>
            <w:tcBorders>
              <w:bottom w:val="single" w:sz="4" w:space="0" w:color="auto"/>
            </w:tcBorders>
            <w:vAlign w:val="center"/>
          </w:tcPr>
          <w:p w14:paraId="4CDE8180" w14:textId="77777777" w:rsidR="00D37BC7" w:rsidRPr="00276517" w:rsidRDefault="00D37BC7"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0F1ADAB4" w14:textId="3C152304" w:rsidR="00D37BC7" w:rsidRPr="008C10FE" w:rsidRDefault="00D37BC7" w:rsidP="008C10FE">
            <w:pPr>
              <w:pStyle w:val="BodyText"/>
              <w:spacing w:before="1"/>
              <w:ind w:right="28"/>
              <w:jc w:val="both"/>
              <w:rPr>
                <w:lang w:val="en-US"/>
              </w:rPr>
            </w:pPr>
            <w:r w:rsidRPr="00D37BC7">
              <w:rPr>
                <w:lang w:val="en-US"/>
              </w:rPr>
              <w:t>Subsecvent, reieșind din domeniul de aplicare al proiectului respectiv, precum și în conformitate cu prevederile art.50 alin. (4) din Legea nr.100/2017 cu privire la actele normative, din formula de atestare a proiectului urmează a fi exclus „Viceprim-ministru, ministrul dezvoltării economice și digitalizării”</w:t>
            </w:r>
          </w:p>
        </w:tc>
        <w:tc>
          <w:tcPr>
            <w:tcW w:w="3967" w:type="dxa"/>
            <w:tcBorders>
              <w:top w:val="single" w:sz="4" w:space="0" w:color="auto"/>
              <w:bottom w:val="single" w:sz="4" w:space="0" w:color="auto"/>
            </w:tcBorders>
            <w:vAlign w:val="center"/>
          </w:tcPr>
          <w:p w14:paraId="75B273F8" w14:textId="77777777" w:rsidR="00D37BC7" w:rsidRPr="002B3123" w:rsidRDefault="00AC78B8" w:rsidP="008C10FE">
            <w:pPr>
              <w:jc w:val="both"/>
              <w:rPr>
                <w:b/>
              </w:rPr>
            </w:pPr>
            <w:r w:rsidRPr="002B3123">
              <w:rPr>
                <w:b/>
              </w:rPr>
              <w:t>Acceptat.</w:t>
            </w:r>
          </w:p>
          <w:p w14:paraId="1444DEA5" w14:textId="5A556C06" w:rsidR="00AC78B8" w:rsidRPr="009A6CE7" w:rsidRDefault="00AC78B8" w:rsidP="008C10FE">
            <w:pPr>
              <w:jc w:val="both"/>
              <w:rPr>
                <w:bCs/>
                <w:color w:val="FF0000"/>
                <w:highlight w:val="yellow"/>
              </w:rPr>
            </w:pPr>
            <w:r w:rsidRPr="002B3123">
              <w:rPr>
                <w:bCs/>
              </w:rPr>
              <w:t>A fost exclus</w:t>
            </w:r>
            <w:r w:rsidR="003343A6" w:rsidRPr="002B3123">
              <w:t xml:space="preserve"> </w:t>
            </w:r>
            <w:r w:rsidR="003343A6" w:rsidRPr="002B3123">
              <w:rPr>
                <w:bCs/>
              </w:rPr>
              <w:t xml:space="preserve">potrivit art.50 alin. (4) din Legea nr.100/2017 cu privire la actele normative și Legii nr. 136/2017 cu privire la Guvern, </w:t>
            </w:r>
            <w:r w:rsidR="003343A6" w:rsidRPr="002B3123">
              <w:rPr>
                <w:bCs/>
                <w:i/>
                <w:iCs/>
              </w:rPr>
              <w:t>hotărîrile şi ordonanţele adoptate de Guvern se contrasemnează de miniştrii care au obligaţia punerii acestora în aplicare,</w:t>
            </w:r>
            <w:r w:rsidR="003343A6" w:rsidRPr="002B3123">
              <w:rPr>
                <w:bCs/>
              </w:rPr>
              <w:t xml:space="preserve"> ”viceprim-ministru, ministrul dezvoltării economice și digitalizării” nu are competențe de a contrasemna </w:t>
            </w:r>
            <w:r w:rsidR="003343A6" w:rsidRPr="002B3123">
              <w:rPr>
                <w:bCs/>
              </w:rPr>
              <w:lastRenderedPageBreak/>
              <w:t>hotărrile adoptate de Guvern.</w:t>
            </w:r>
          </w:p>
        </w:tc>
      </w:tr>
      <w:tr w:rsidR="007C5286" w:rsidRPr="008C10FE" w14:paraId="6497D5AA" w14:textId="77777777" w:rsidTr="00276517">
        <w:trPr>
          <w:trHeight w:val="179"/>
        </w:trPr>
        <w:tc>
          <w:tcPr>
            <w:tcW w:w="805" w:type="dxa"/>
            <w:tcBorders>
              <w:top w:val="single" w:sz="4" w:space="0" w:color="auto"/>
              <w:bottom w:val="single" w:sz="4" w:space="0" w:color="auto"/>
            </w:tcBorders>
            <w:vAlign w:val="center"/>
          </w:tcPr>
          <w:p w14:paraId="250EDFB7" w14:textId="23CC64BE" w:rsidR="007C5286" w:rsidRPr="00276517" w:rsidRDefault="007C5286">
            <w:pPr>
              <w:pStyle w:val="ListParagraph"/>
              <w:numPr>
                <w:ilvl w:val="0"/>
                <w:numId w:val="1"/>
              </w:numPr>
              <w:jc w:val="both"/>
              <w:rPr>
                <w:b/>
              </w:rPr>
            </w:pPr>
          </w:p>
        </w:tc>
        <w:tc>
          <w:tcPr>
            <w:tcW w:w="3585" w:type="dxa"/>
            <w:tcBorders>
              <w:top w:val="single" w:sz="4" w:space="0" w:color="auto"/>
              <w:bottom w:val="single" w:sz="4" w:space="0" w:color="auto"/>
            </w:tcBorders>
            <w:vAlign w:val="center"/>
          </w:tcPr>
          <w:p w14:paraId="46A92FFE" w14:textId="67BC7296" w:rsidR="007C5286" w:rsidRPr="00276517" w:rsidRDefault="008C10FE" w:rsidP="008C10FE">
            <w:pPr>
              <w:pStyle w:val="BodyText"/>
              <w:ind w:left="9"/>
              <w:jc w:val="both"/>
              <w:rPr>
                <w:bCs/>
                <w:lang w:val="ro-MD"/>
              </w:rPr>
            </w:pPr>
            <w:r w:rsidRPr="00276517">
              <w:rPr>
                <w:bCs/>
                <w:lang w:val="ro-MD"/>
              </w:rPr>
              <w:t>Ministerul Afacerilor Interne</w:t>
            </w:r>
          </w:p>
        </w:tc>
        <w:tc>
          <w:tcPr>
            <w:tcW w:w="6804" w:type="dxa"/>
            <w:tcBorders>
              <w:top w:val="single" w:sz="4" w:space="0" w:color="auto"/>
              <w:bottom w:val="single" w:sz="4" w:space="0" w:color="auto"/>
            </w:tcBorders>
            <w:vAlign w:val="center"/>
          </w:tcPr>
          <w:p w14:paraId="63A30C2C" w14:textId="0284C32A" w:rsidR="007C5286" w:rsidRPr="008C10FE" w:rsidRDefault="008C10FE" w:rsidP="008C10FE">
            <w:pPr>
              <w:pStyle w:val="BodyText"/>
              <w:spacing w:before="1"/>
              <w:ind w:right="28"/>
              <w:jc w:val="both"/>
              <w:rPr>
                <w:lang w:val="en-US"/>
              </w:rPr>
            </w:pPr>
            <w:r w:rsidRPr="008C10FE">
              <w:rPr>
                <w:lang w:val="en-US"/>
              </w:rPr>
              <w:t>Comunică lipsă de obiecții și propuneri.</w:t>
            </w:r>
          </w:p>
        </w:tc>
        <w:tc>
          <w:tcPr>
            <w:tcW w:w="3967" w:type="dxa"/>
            <w:tcBorders>
              <w:top w:val="single" w:sz="4" w:space="0" w:color="auto"/>
              <w:bottom w:val="single" w:sz="4" w:space="0" w:color="auto"/>
            </w:tcBorders>
            <w:vAlign w:val="center"/>
          </w:tcPr>
          <w:p w14:paraId="0116D937" w14:textId="24A8AEEB" w:rsidR="007C5286" w:rsidRPr="008C10FE" w:rsidRDefault="006E2860" w:rsidP="008C10FE">
            <w:pPr>
              <w:jc w:val="both"/>
              <w:rPr>
                <w:bCs/>
                <w:color w:val="FF0000"/>
              </w:rPr>
            </w:pPr>
            <w:r w:rsidRPr="009A6CE7">
              <w:rPr>
                <w:bCs/>
              </w:rPr>
              <w:t>Se ia act.</w:t>
            </w:r>
          </w:p>
        </w:tc>
      </w:tr>
      <w:tr w:rsidR="000801BD" w:rsidRPr="008C10FE" w14:paraId="6475FA47" w14:textId="77777777" w:rsidTr="000801BD">
        <w:trPr>
          <w:trHeight w:val="216"/>
        </w:trPr>
        <w:tc>
          <w:tcPr>
            <w:tcW w:w="805" w:type="dxa"/>
            <w:vMerge w:val="restart"/>
            <w:tcBorders>
              <w:top w:val="single" w:sz="4" w:space="0" w:color="auto"/>
            </w:tcBorders>
            <w:vAlign w:val="center"/>
          </w:tcPr>
          <w:p w14:paraId="0339C533" w14:textId="18C28BBE" w:rsidR="000801BD" w:rsidRPr="00276517" w:rsidRDefault="000801BD">
            <w:pPr>
              <w:pStyle w:val="ListParagraph"/>
              <w:numPr>
                <w:ilvl w:val="0"/>
                <w:numId w:val="1"/>
              </w:numPr>
              <w:jc w:val="both"/>
              <w:rPr>
                <w:b/>
              </w:rPr>
            </w:pPr>
          </w:p>
        </w:tc>
        <w:tc>
          <w:tcPr>
            <w:tcW w:w="3585" w:type="dxa"/>
            <w:vMerge w:val="restart"/>
            <w:tcBorders>
              <w:top w:val="single" w:sz="4" w:space="0" w:color="auto"/>
            </w:tcBorders>
            <w:vAlign w:val="center"/>
          </w:tcPr>
          <w:p w14:paraId="5A4ED7C5" w14:textId="108830EF" w:rsidR="000801BD" w:rsidRPr="00276517" w:rsidRDefault="000801BD" w:rsidP="008C10FE">
            <w:pPr>
              <w:pStyle w:val="BodyText"/>
              <w:ind w:left="9"/>
              <w:jc w:val="both"/>
              <w:rPr>
                <w:bCs/>
                <w:lang w:val="ro-MD"/>
              </w:rPr>
            </w:pPr>
            <w:r w:rsidRPr="00276517">
              <w:rPr>
                <w:bCs/>
                <w:lang w:val="ro-MD"/>
              </w:rPr>
              <w:t>Ministerul Justiției</w:t>
            </w:r>
          </w:p>
        </w:tc>
        <w:tc>
          <w:tcPr>
            <w:tcW w:w="6804" w:type="dxa"/>
            <w:tcBorders>
              <w:top w:val="single" w:sz="4" w:space="0" w:color="auto"/>
              <w:bottom w:val="single" w:sz="4" w:space="0" w:color="auto"/>
            </w:tcBorders>
            <w:vAlign w:val="center"/>
          </w:tcPr>
          <w:p w14:paraId="1DB87AC9" w14:textId="4E4645C7" w:rsidR="000801BD" w:rsidRPr="000801BD" w:rsidRDefault="000801BD" w:rsidP="008C10FE">
            <w:pPr>
              <w:pStyle w:val="BodyText"/>
              <w:spacing w:before="1"/>
              <w:ind w:right="28"/>
              <w:jc w:val="both"/>
              <w:rPr>
                <w:lang w:val="en-US"/>
              </w:rPr>
            </w:pPr>
            <w:r w:rsidRPr="000801BD">
              <w:rPr>
                <w:lang w:val="en-US"/>
              </w:rPr>
              <w:t>La pct. 1, cuvântul „Preambul”, în temeiul art. 44 din Legea nr. 100/2017 cu privire la actele normative, se va substitui cu cuvintele „Clauza de adoptare”. Totodată, în contextul în care modificările sunt operate la Hotărârea Guvernului nr. 348/2014, cuvântul „hotărârii” este inutil, motiv pentru care urmează a fi exclus (obiecție valabilă și pentru pct. 2).</w:t>
            </w:r>
          </w:p>
        </w:tc>
        <w:tc>
          <w:tcPr>
            <w:tcW w:w="3967" w:type="dxa"/>
            <w:tcBorders>
              <w:top w:val="single" w:sz="4" w:space="0" w:color="auto"/>
              <w:bottom w:val="single" w:sz="4" w:space="0" w:color="auto"/>
            </w:tcBorders>
            <w:vAlign w:val="center"/>
          </w:tcPr>
          <w:p w14:paraId="41D4C1BE" w14:textId="77777777" w:rsidR="000801BD" w:rsidRPr="007D2CBC" w:rsidRDefault="007D2CBC" w:rsidP="008C10FE">
            <w:pPr>
              <w:jc w:val="both"/>
              <w:rPr>
                <w:b/>
              </w:rPr>
            </w:pPr>
            <w:r w:rsidRPr="007D2CBC">
              <w:rPr>
                <w:b/>
              </w:rPr>
              <w:t>Acceptat.</w:t>
            </w:r>
          </w:p>
          <w:p w14:paraId="494B2FCF" w14:textId="4F21F394" w:rsidR="007D2CBC" w:rsidRPr="007D2CBC" w:rsidRDefault="006E2860" w:rsidP="008C10FE">
            <w:pPr>
              <w:jc w:val="both"/>
              <w:rPr>
                <w:bCs/>
              </w:rPr>
            </w:pPr>
            <w:r>
              <w:rPr>
                <w:bCs/>
              </w:rPr>
              <w:t>Proiectul</w:t>
            </w:r>
            <w:r w:rsidR="007D2CBC" w:rsidRPr="007D2CBC">
              <w:rPr>
                <w:bCs/>
              </w:rPr>
              <w:t xml:space="preserve"> fost modificat.</w:t>
            </w:r>
          </w:p>
        </w:tc>
      </w:tr>
      <w:tr w:rsidR="000801BD" w:rsidRPr="008C10FE" w14:paraId="028E81E3" w14:textId="77777777" w:rsidTr="000801BD">
        <w:trPr>
          <w:trHeight w:val="169"/>
        </w:trPr>
        <w:tc>
          <w:tcPr>
            <w:tcW w:w="805" w:type="dxa"/>
            <w:vMerge/>
            <w:tcBorders>
              <w:top w:val="single" w:sz="4" w:space="0" w:color="auto"/>
            </w:tcBorders>
            <w:vAlign w:val="center"/>
          </w:tcPr>
          <w:p w14:paraId="1C2CC0C5" w14:textId="77777777" w:rsidR="000801BD" w:rsidRPr="00276517" w:rsidRDefault="000801BD">
            <w:pPr>
              <w:pStyle w:val="ListParagraph"/>
              <w:numPr>
                <w:ilvl w:val="0"/>
                <w:numId w:val="1"/>
              </w:numPr>
              <w:jc w:val="both"/>
              <w:rPr>
                <w:b/>
              </w:rPr>
            </w:pPr>
          </w:p>
        </w:tc>
        <w:tc>
          <w:tcPr>
            <w:tcW w:w="3585" w:type="dxa"/>
            <w:vMerge/>
            <w:tcBorders>
              <w:top w:val="single" w:sz="4" w:space="0" w:color="auto"/>
            </w:tcBorders>
            <w:vAlign w:val="center"/>
          </w:tcPr>
          <w:p w14:paraId="7BEC0B2C" w14:textId="77777777" w:rsidR="000801BD" w:rsidRPr="00276517" w:rsidRDefault="000801BD"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73846602" w14:textId="77777777" w:rsidR="000801BD" w:rsidRDefault="000801BD" w:rsidP="008C10FE">
            <w:pPr>
              <w:pStyle w:val="BodyText"/>
              <w:spacing w:before="1"/>
              <w:ind w:right="28"/>
              <w:jc w:val="both"/>
              <w:rPr>
                <w:lang w:val="en-US"/>
              </w:rPr>
            </w:pPr>
            <w:r w:rsidRPr="000801BD">
              <w:rPr>
                <w:lang w:val="en-US"/>
              </w:rPr>
              <w:t xml:space="preserve">La pct. 3: </w:t>
            </w:r>
          </w:p>
          <w:p w14:paraId="7341BD35" w14:textId="6668F75B" w:rsidR="000801BD" w:rsidRDefault="000801BD" w:rsidP="008C10FE">
            <w:pPr>
              <w:pStyle w:val="BodyText"/>
              <w:spacing w:before="1"/>
              <w:ind w:right="28"/>
              <w:jc w:val="both"/>
              <w:rPr>
                <w:lang w:val="en-US"/>
              </w:rPr>
            </w:pPr>
            <w:r w:rsidRPr="000801BD">
              <w:rPr>
                <w:lang w:val="en-US"/>
              </w:rPr>
              <w:t>La lit. b) din dispoziția de modificare textul „</w:t>
            </w:r>
            <w:r w:rsidR="00B20C8E">
              <w:rPr>
                <w:lang w:val="en-US"/>
              </w:rPr>
              <w:t xml:space="preserve"> ,</w:t>
            </w:r>
            <w:r w:rsidRPr="000801BD">
              <w:rPr>
                <w:lang w:val="en-US"/>
              </w:rPr>
              <w:t xml:space="preserve">cu pct. 4-5” se va exclude. </w:t>
            </w:r>
          </w:p>
          <w:p w14:paraId="158704C5" w14:textId="77777777" w:rsidR="000801BD" w:rsidRDefault="000801BD" w:rsidP="008C10FE">
            <w:pPr>
              <w:pStyle w:val="BodyText"/>
              <w:spacing w:before="1"/>
              <w:ind w:right="28"/>
              <w:jc w:val="both"/>
              <w:rPr>
                <w:lang w:val="en-US"/>
              </w:rPr>
            </w:pPr>
            <w:r w:rsidRPr="000801BD">
              <w:rPr>
                <w:lang w:val="en-US"/>
              </w:rPr>
              <w:t xml:space="preserve">La lit. d), cu referire la pct. 8 sbp. 2) din anexa nr. 1 la Hotărârea Guvernului nr. 348/2014, se va ține cont că, în cazul expunerii în redacție nouă a conținutului unui element structural se va utiliza sintagma „va avea următorul cuprins:”, urmată de redarea textului nou (obiecție valabilă și pentru lit. f)); </w:t>
            </w:r>
          </w:p>
          <w:p w14:paraId="52944558" w14:textId="77777777" w:rsidR="000801BD" w:rsidRDefault="000801BD" w:rsidP="008C10FE">
            <w:pPr>
              <w:pStyle w:val="BodyText"/>
              <w:spacing w:before="1"/>
              <w:ind w:right="28"/>
              <w:jc w:val="both"/>
              <w:rPr>
                <w:lang w:val="en-US"/>
              </w:rPr>
            </w:pPr>
            <w:r w:rsidRPr="000801BD">
              <w:rPr>
                <w:lang w:val="en-US"/>
              </w:rPr>
              <w:t xml:space="preserve">La lit. e) remarcăm că în cazul completării actului normativ cu un element structural nou, numerotat cu indice, nu se menționează după care articol, punct, alineat, literă etc. se amplasează acesta sau pe care dintre acestea le precedă. </w:t>
            </w:r>
          </w:p>
          <w:p w14:paraId="1958089D" w14:textId="77777777" w:rsidR="000801BD" w:rsidRDefault="000801BD" w:rsidP="008C10FE">
            <w:pPr>
              <w:pStyle w:val="BodyText"/>
              <w:spacing w:before="1"/>
              <w:ind w:right="28"/>
              <w:jc w:val="both"/>
              <w:rPr>
                <w:lang w:val="en-US"/>
              </w:rPr>
            </w:pPr>
            <w:r w:rsidRPr="000801BD">
              <w:rPr>
                <w:lang w:val="en-US"/>
              </w:rPr>
              <w:t>La lit. f) în scopul utilizării unei terminologii conforme Legii nr. 489/1999 privind sistemul public de asigurări sociale, se propune reformularea pct. 19 din anexa nr. 1 după cum urmează: „19. Cheltuielile aferente defalcărilor pentru asigurarea obligatorie socială de stat sunt determinate în funcție de cheltuielile pentru retribuirea muncii și de cotele de contribuții de asigurări sociale de stat obligatorii virate la bugetul asigurărilor sociale de stat, conform legislației.”.</w:t>
            </w:r>
          </w:p>
          <w:p w14:paraId="29758D5F" w14:textId="0E03AB02" w:rsidR="000801BD" w:rsidRPr="008C10FE" w:rsidRDefault="000801BD" w:rsidP="008C10FE">
            <w:pPr>
              <w:pStyle w:val="BodyText"/>
              <w:spacing w:before="1"/>
              <w:ind w:right="28"/>
              <w:jc w:val="both"/>
              <w:rPr>
                <w:lang w:val="en-US"/>
              </w:rPr>
            </w:pPr>
            <w:r w:rsidRPr="000801BD">
              <w:rPr>
                <w:lang w:val="en-US"/>
              </w:rPr>
              <w:t>La lit. g) cuvântul „ministerului” se va substitui cu cuvântul „ministrului” prin prisma art. 11 alin. (1) lit. k) din Legea nr. 98/2012 privind administraţia publică centrală de specialitate, potrivit căruia ministrul emite în mod unipersonal ordine în limitele competenţei sale. Totodată, pentru a respecta ierarhia actelor normative, se va exclude textul „nr. 216/2015”.</w:t>
            </w:r>
          </w:p>
        </w:tc>
        <w:tc>
          <w:tcPr>
            <w:tcW w:w="3967" w:type="dxa"/>
            <w:tcBorders>
              <w:top w:val="single" w:sz="4" w:space="0" w:color="auto"/>
              <w:bottom w:val="single" w:sz="4" w:space="0" w:color="auto"/>
            </w:tcBorders>
            <w:vAlign w:val="center"/>
          </w:tcPr>
          <w:p w14:paraId="2404440B" w14:textId="77777777" w:rsidR="000801BD" w:rsidRPr="00A22004" w:rsidRDefault="007D2CBC" w:rsidP="008C10FE">
            <w:pPr>
              <w:jc w:val="both"/>
              <w:rPr>
                <w:b/>
              </w:rPr>
            </w:pPr>
            <w:r w:rsidRPr="00A22004">
              <w:rPr>
                <w:b/>
              </w:rPr>
              <w:t>Acceptat.</w:t>
            </w:r>
          </w:p>
          <w:p w14:paraId="1DBD4F0E" w14:textId="288C06C4" w:rsidR="007D2CBC" w:rsidRPr="00A22004" w:rsidRDefault="007D2CBC" w:rsidP="008C10FE">
            <w:pPr>
              <w:jc w:val="both"/>
              <w:rPr>
                <w:bCs/>
              </w:rPr>
            </w:pPr>
            <w:r w:rsidRPr="00A22004">
              <w:rPr>
                <w:bCs/>
              </w:rPr>
              <w:t>A fost modificat</w:t>
            </w:r>
            <w:r w:rsidR="00F023E1">
              <w:rPr>
                <w:bCs/>
              </w:rPr>
              <w:t xml:space="preserve"> </w:t>
            </w:r>
            <w:r w:rsidR="006E2860">
              <w:rPr>
                <w:bCs/>
              </w:rPr>
              <w:t>p</w:t>
            </w:r>
            <w:r w:rsidR="00F023E1">
              <w:rPr>
                <w:bCs/>
              </w:rPr>
              <w:t>ct. 19 inclusiv lit.g).</w:t>
            </w:r>
          </w:p>
        </w:tc>
      </w:tr>
      <w:tr w:rsidR="000801BD" w:rsidRPr="008C10FE" w14:paraId="2BDBAD31" w14:textId="77777777" w:rsidTr="000801BD">
        <w:trPr>
          <w:trHeight w:val="169"/>
        </w:trPr>
        <w:tc>
          <w:tcPr>
            <w:tcW w:w="805" w:type="dxa"/>
            <w:vMerge/>
            <w:tcBorders>
              <w:top w:val="single" w:sz="4" w:space="0" w:color="auto"/>
            </w:tcBorders>
            <w:vAlign w:val="center"/>
          </w:tcPr>
          <w:p w14:paraId="2CAE1C37" w14:textId="77777777" w:rsidR="000801BD" w:rsidRPr="00276517" w:rsidRDefault="000801BD">
            <w:pPr>
              <w:pStyle w:val="ListParagraph"/>
              <w:numPr>
                <w:ilvl w:val="0"/>
                <w:numId w:val="1"/>
              </w:numPr>
              <w:jc w:val="both"/>
              <w:rPr>
                <w:b/>
              </w:rPr>
            </w:pPr>
          </w:p>
        </w:tc>
        <w:tc>
          <w:tcPr>
            <w:tcW w:w="3585" w:type="dxa"/>
            <w:vMerge/>
            <w:tcBorders>
              <w:top w:val="single" w:sz="4" w:space="0" w:color="auto"/>
            </w:tcBorders>
            <w:vAlign w:val="center"/>
          </w:tcPr>
          <w:p w14:paraId="2E7D25B3" w14:textId="77777777" w:rsidR="000801BD" w:rsidRPr="00276517" w:rsidRDefault="000801BD"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121C14F4" w14:textId="4F387AC7" w:rsidR="000801BD" w:rsidRPr="008C10FE" w:rsidRDefault="000801BD" w:rsidP="008C10FE">
            <w:pPr>
              <w:pStyle w:val="BodyText"/>
              <w:spacing w:before="1"/>
              <w:ind w:right="28"/>
              <w:jc w:val="both"/>
              <w:rPr>
                <w:lang w:val="en-US"/>
              </w:rPr>
            </w:pPr>
            <w:r w:rsidRPr="000801BD">
              <w:rPr>
                <w:lang w:val="en-US"/>
              </w:rPr>
              <w:t>În ceea ce privește explicația suplimentară numerotată cu semnul grafic „*”, cuprinsă în anexa nr. 2, menționăm că potrivit art. 49 alin. (5) al Legii nr. 100/2017 cu privire la actele normative, exprimările cifrice, tabelele, planurile şi altele asemenea, care sunt incluse în anexe, pot fi urmate de explicații suplimentare, care se notează cu indici numerici, în ordinea în care au fost enunțate în textul anexei (spre ex. 1 , 2 , 3…).</w:t>
            </w:r>
          </w:p>
        </w:tc>
        <w:tc>
          <w:tcPr>
            <w:tcW w:w="3967" w:type="dxa"/>
            <w:tcBorders>
              <w:top w:val="single" w:sz="4" w:space="0" w:color="auto"/>
              <w:bottom w:val="single" w:sz="4" w:space="0" w:color="auto"/>
            </w:tcBorders>
            <w:vAlign w:val="center"/>
          </w:tcPr>
          <w:p w14:paraId="70A37C1C" w14:textId="77777777" w:rsidR="000801BD" w:rsidRDefault="007D2CBC" w:rsidP="008C10FE">
            <w:pPr>
              <w:jc w:val="both"/>
              <w:rPr>
                <w:b/>
              </w:rPr>
            </w:pPr>
            <w:r w:rsidRPr="00A22004">
              <w:rPr>
                <w:b/>
              </w:rPr>
              <w:t>Acceptat.</w:t>
            </w:r>
          </w:p>
          <w:p w14:paraId="6A61A090" w14:textId="5A68D6CE" w:rsidR="00800176" w:rsidRDefault="00800176" w:rsidP="008C10FE">
            <w:pPr>
              <w:jc w:val="both"/>
              <w:rPr>
                <w:b/>
              </w:rPr>
            </w:pPr>
            <w:r>
              <w:rPr>
                <w:b/>
              </w:rPr>
              <w:t xml:space="preserve">Anexa nr. 2 a fost ajustată: </w:t>
            </w:r>
            <w:r w:rsidRPr="000801BD">
              <w:t xml:space="preserve"> semnul grafic „*”</w:t>
            </w:r>
            <w:r>
              <w:t xml:space="preserve"> cu cifra </w:t>
            </w:r>
            <w:r w:rsidRPr="000801BD">
              <w:t>„</w:t>
            </w:r>
            <w:r w:rsidRPr="00800176">
              <w:rPr>
                <w:vertAlign w:val="superscript"/>
              </w:rPr>
              <w:t>1</w:t>
            </w:r>
            <w:r w:rsidRPr="000801BD">
              <w:t>”</w:t>
            </w:r>
          </w:p>
          <w:p w14:paraId="23693FF2" w14:textId="77777777" w:rsidR="002B3123" w:rsidRDefault="002B3123" w:rsidP="008C10FE">
            <w:pPr>
              <w:jc w:val="both"/>
              <w:rPr>
                <w:b/>
              </w:rPr>
            </w:pPr>
          </w:p>
          <w:p w14:paraId="5A5C8EB5" w14:textId="6FC65B03" w:rsidR="006E2860" w:rsidRPr="00A22004" w:rsidRDefault="006E2860" w:rsidP="008C10FE">
            <w:pPr>
              <w:jc w:val="both"/>
              <w:rPr>
                <w:b/>
              </w:rPr>
            </w:pPr>
          </w:p>
        </w:tc>
      </w:tr>
      <w:tr w:rsidR="000801BD" w:rsidRPr="008C10FE" w14:paraId="27CA998E" w14:textId="77777777" w:rsidTr="000801BD">
        <w:trPr>
          <w:trHeight w:val="193"/>
        </w:trPr>
        <w:tc>
          <w:tcPr>
            <w:tcW w:w="805" w:type="dxa"/>
            <w:vMerge/>
            <w:tcBorders>
              <w:top w:val="single" w:sz="4" w:space="0" w:color="auto"/>
            </w:tcBorders>
            <w:vAlign w:val="center"/>
          </w:tcPr>
          <w:p w14:paraId="4DBA5E25" w14:textId="77777777" w:rsidR="000801BD" w:rsidRPr="00276517" w:rsidRDefault="000801BD">
            <w:pPr>
              <w:pStyle w:val="ListParagraph"/>
              <w:numPr>
                <w:ilvl w:val="0"/>
                <w:numId w:val="1"/>
              </w:numPr>
              <w:jc w:val="both"/>
              <w:rPr>
                <w:b/>
              </w:rPr>
            </w:pPr>
          </w:p>
        </w:tc>
        <w:tc>
          <w:tcPr>
            <w:tcW w:w="3585" w:type="dxa"/>
            <w:vMerge/>
            <w:tcBorders>
              <w:top w:val="single" w:sz="4" w:space="0" w:color="auto"/>
            </w:tcBorders>
            <w:vAlign w:val="center"/>
          </w:tcPr>
          <w:p w14:paraId="01BA7EEC" w14:textId="77777777" w:rsidR="000801BD" w:rsidRPr="00276517" w:rsidRDefault="000801BD"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6AA3D02A" w14:textId="659A5425" w:rsidR="000801BD" w:rsidRPr="008C10FE" w:rsidRDefault="000801BD" w:rsidP="008C10FE">
            <w:pPr>
              <w:pStyle w:val="BodyText"/>
              <w:spacing w:before="1"/>
              <w:ind w:right="28"/>
              <w:jc w:val="both"/>
              <w:rPr>
                <w:lang w:val="en-US"/>
              </w:rPr>
            </w:pPr>
            <w:r w:rsidRPr="000801BD">
              <w:rPr>
                <w:lang w:val="en-US"/>
              </w:rPr>
              <w:t>La definitivarea proiectului de act normativ modificările se vor însemna conform art. 52 alin. (3) din Legea nr. 100/2017 cu privire la actele normative.</w:t>
            </w:r>
          </w:p>
        </w:tc>
        <w:tc>
          <w:tcPr>
            <w:tcW w:w="3967" w:type="dxa"/>
            <w:tcBorders>
              <w:top w:val="single" w:sz="4" w:space="0" w:color="auto"/>
              <w:bottom w:val="single" w:sz="4" w:space="0" w:color="auto"/>
            </w:tcBorders>
            <w:vAlign w:val="center"/>
          </w:tcPr>
          <w:p w14:paraId="2975D073" w14:textId="5BD25684" w:rsidR="000801BD" w:rsidRPr="00A22004" w:rsidRDefault="007D2CBC" w:rsidP="008C10FE">
            <w:pPr>
              <w:jc w:val="both"/>
              <w:rPr>
                <w:b/>
              </w:rPr>
            </w:pPr>
            <w:r w:rsidRPr="00A22004">
              <w:rPr>
                <w:b/>
              </w:rPr>
              <w:t>Acceptat.</w:t>
            </w:r>
          </w:p>
        </w:tc>
      </w:tr>
      <w:tr w:rsidR="008C10FE" w:rsidRPr="008C10FE" w14:paraId="3391E8A2" w14:textId="77777777" w:rsidTr="009D73ED">
        <w:trPr>
          <w:trHeight w:val="996"/>
        </w:trPr>
        <w:tc>
          <w:tcPr>
            <w:tcW w:w="805" w:type="dxa"/>
            <w:tcBorders>
              <w:top w:val="single" w:sz="4" w:space="0" w:color="auto"/>
              <w:bottom w:val="single" w:sz="4" w:space="0" w:color="auto"/>
            </w:tcBorders>
            <w:vAlign w:val="center"/>
          </w:tcPr>
          <w:p w14:paraId="0DB8AD3D" w14:textId="7DACE5D7" w:rsidR="008C10FE" w:rsidRPr="009A6CE7" w:rsidRDefault="00D37BC7" w:rsidP="009D73ED">
            <w:pPr>
              <w:jc w:val="both"/>
              <w:rPr>
                <w:b/>
                <w:highlight w:val="yellow"/>
              </w:rPr>
            </w:pPr>
            <w:r w:rsidRPr="009A6CE7">
              <w:rPr>
                <w:b/>
                <w:highlight w:val="yellow"/>
              </w:rPr>
              <w:t xml:space="preserve">5. </w:t>
            </w:r>
          </w:p>
          <w:p w14:paraId="6032F4D6" w14:textId="77777777" w:rsidR="009D73ED" w:rsidRPr="009A6CE7" w:rsidRDefault="009D73ED" w:rsidP="009D73ED">
            <w:pPr>
              <w:jc w:val="both"/>
              <w:rPr>
                <w:b/>
                <w:highlight w:val="yellow"/>
              </w:rPr>
            </w:pPr>
          </w:p>
          <w:p w14:paraId="192E91EE" w14:textId="27C72343" w:rsidR="009D73ED" w:rsidRPr="009A6CE7" w:rsidRDefault="009D73ED" w:rsidP="009D73ED">
            <w:pPr>
              <w:jc w:val="both"/>
              <w:rPr>
                <w:b/>
                <w:highlight w:val="yellow"/>
              </w:rPr>
            </w:pPr>
          </w:p>
        </w:tc>
        <w:tc>
          <w:tcPr>
            <w:tcW w:w="3585" w:type="dxa"/>
            <w:tcBorders>
              <w:top w:val="single" w:sz="4" w:space="0" w:color="auto"/>
              <w:bottom w:val="single" w:sz="4" w:space="0" w:color="auto"/>
            </w:tcBorders>
            <w:vAlign w:val="center"/>
          </w:tcPr>
          <w:p w14:paraId="11AC10AB" w14:textId="77777777" w:rsidR="008C10FE" w:rsidRPr="002B3123" w:rsidRDefault="008C10FE" w:rsidP="008C10FE">
            <w:pPr>
              <w:pStyle w:val="BodyText"/>
              <w:ind w:left="9"/>
              <w:jc w:val="both"/>
              <w:rPr>
                <w:bCs/>
                <w:lang w:val="ro-MD"/>
              </w:rPr>
            </w:pPr>
            <w:r w:rsidRPr="002B3123">
              <w:rPr>
                <w:bCs/>
                <w:lang w:val="ro-MD"/>
              </w:rPr>
              <w:t>Centrul Național Anticorupție</w:t>
            </w:r>
          </w:p>
          <w:p w14:paraId="042D0983" w14:textId="77777777" w:rsidR="009D73ED" w:rsidRPr="002B3123" w:rsidRDefault="009D73ED" w:rsidP="008C10FE">
            <w:pPr>
              <w:pStyle w:val="BodyText"/>
              <w:ind w:left="9"/>
              <w:jc w:val="both"/>
              <w:rPr>
                <w:bCs/>
                <w:lang w:val="ro-MD"/>
              </w:rPr>
            </w:pPr>
          </w:p>
          <w:p w14:paraId="2AA11F05" w14:textId="4EA9582E" w:rsidR="009D73ED" w:rsidRPr="002B3123" w:rsidRDefault="009D73ED"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013DB35B" w14:textId="7175F75E" w:rsidR="008C10FE" w:rsidRPr="002B3123" w:rsidRDefault="008C10FE" w:rsidP="008C10FE">
            <w:pPr>
              <w:pStyle w:val="BodyText"/>
              <w:spacing w:before="1"/>
              <w:ind w:right="28"/>
              <w:jc w:val="both"/>
              <w:rPr>
                <w:lang w:val="en-US"/>
              </w:rPr>
            </w:pPr>
            <w:r w:rsidRPr="002B3123">
              <w:rPr>
                <w:lang w:val="en-US"/>
              </w:rPr>
              <w:t>Proiectul urmează a fi avizat după definitivare și ajustarea obiecțiilor prezentate de autorități</w:t>
            </w:r>
            <w:r w:rsidR="00276517" w:rsidRPr="002B3123">
              <w:rPr>
                <w:lang w:val="en-US"/>
              </w:rPr>
              <w:t>le</w:t>
            </w:r>
            <w:r w:rsidRPr="002B3123">
              <w:rPr>
                <w:lang w:val="en-US"/>
              </w:rPr>
              <w:t xml:space="preserve"> vizate în avizare.</w:t>
            </w:r>
          </w:p>
          <w:p w14:paraId="022FC834" w14:textId="05C0DF66" w:rsidR="009D73ED" w:rsidRPr="002B3123" w:rsidRDefault="009D73ED" w:rsidP="008C10FE">
            <w:pPr>
              <w:pStyle w:val="BodyText"/>
              <w:spacing w:before="1"/>
              <w:ind w:right="28"/>
              <w:jc w:val="both"/>
              <w:rPr>
                <w:lang w:val="en-US"/>
              </w:rPr>
            </w:pPr>
          </w:p>
        </w:tc>
        <w:tc>
          <w:tcPr>
            <w:tcW w:w="3967" w:type="dxa"/>
            <w:tcBorders>
              <w:top w:val="single" w:sz="4" w:space="0" w:color="auto"/>
              <w:bottom w:val="single" w:sz="4" w:space="0" w:color="auto"/>
            </w:tcBorders>
            <w:vAlign w:val="center"/>
          </w:tcPr>
          <w:p w14:paraId="40957B2E" w14:textId="16CEA457" w:rsidR="008C10FE" w:rsidRPr="002B3123" w:rsidRDefault="00A22004" w:rsidP="008C10FE">
            <w:pPr>
              <w:jc w:val="both"/>
              <w:rPr>
                <w:b/>
              </w:rPr>
            </w:pPr>
            <w:r w:rsidRPr="002B3123">
              <w:rPr>
                <w:b/>
              </w:rPr>
              <w:t>Acceptat.</w:t>
            </w:r>
          </w:p>
          <w:p w14:paraId="69DD9187" w14:textId="7CD43FB2" w:rsidR="005F6000" w:rsidRPr="002B3123" w:rsidRDefault="005F6000" w:rsidP="008C10FE">
            <w:pPr>
              <w:jc w:val="both"/>
              <w:rPr>
                <w:bCs/>
              </w:rPr>
            </w:pPr>
            <w:r w:rsidRPr="002B3123">
              <w:rPr>
                <w:bCs/>
              </w:rPr>
              <w:t>Proiectul a fost expertizat de către C</w:t>
            </w:r>
            <w:r w:rsidR="009A6CE7" w:rsidRPr="002B3123">
              <w:rPr>
                <w:bCs/>
              </w:rPr>
              <w:t>NA</w:t>
            </w:r>
            <w:r w:rsidRPr="002B3123">
              <w:rPr>
                <w:bCs/>
              </w:rPr>
              <w:t xml:space="preserve"> și a fost prezentat R</w:t>
            </w:r>
            <w:r w:rsidR="009A6CE7" w:rsidRPr="002B3123">
              <w:rPr>
                <w:bCs/>
              </w:rPr>
              <w:t>a</w:t>
            </w:r>
            <w:r w:rsidRPr="002B3123">
              <w:rPr>
                <w:bCs/>
              </w:rPr>
              <w:t>portul nr.</w:t>
            </w:r>
          </w:p>
          <w:p w14:paraId="369A414A" w14:textId="26ACA926" w:rsidR="009D73ED" w:rsidRPr="002B3123" w:rsidRDefault="005F6000" w:rsidP="008C10FE">
            <w:pPr>
              <w:jc w:val="both"/>
              <w:rPr>
                <w:bCs/>
              </w:rPr>
            </w:pPr>
            <w:r w:rsidRPr="002B3123">
              <w:rPr>
                <w:bCs/>
              </w:rPr>
              <w:t xml:space="preserve">nr EHG 23/9280 din 05.12.2023 , care a constatat că în </w:t>
            </w:r>
            <w:r w:rsidRPr="002B3123">
              <w:rPr>
                <w:bCs/>
                <w:i/>
                <w:iCs/>
              </w:rPr>
              <w:t>redacția propusă, proiectul nu conține factori de risc care să genereze apariția riscurilor de corupție</w:t>
            </w:r>
            <w:r w:rsidRPr="002B3123">
              <w:rPr>
                <w:bCs/>
              </w:rPr>
              <w:t>.</w:t>
            </w:r>
          </w:p>
          <w:p w14:paraId="419D37FB" w14:textId="77777777" w:rsidR="009D73ED" w:rsidRPr="002B3123" w:rsidRDefault="009D73ED" w:rsidP="008C10FE">
            <w:pPr>
              <w:jc w:val="both"/>
              <w:rPr>
                <w:bCs/>
              </w:rPr>
            </w:pPr>
          </w:p>
          <w:p w14:paraId="7E202E01" w14:textId="122216F2" w:rsidR="009D73ED" w:rsidRPr="002B3123" w:rsidRDefault="009D73ED" w:rsidP="008C10FE">
            <w:pPr>
              <w:jc w:val="both"/>
              <w:rPr>
                <w:b/>
              </w:rPr>
            </w:pPr>
          </w:p>
        </w:tc>
      </w:tr>
      <w:tr w:rsidR="00FB7F95" w:rsidRPr="008C10FE" w14:paraId="232805C8" w14:textId="77777777" w:rsidTr="009D73ED">
        <w:trPr>
          <w:trHeight w:val="192"/>
        </w:trPr>
        <w:tc>
          <w:tcPr>
            <w:tcW w:w="805" w:type="dxa"/>
            <w:vMerge w:val="restart"/>
            <w:tcBorders>
              <w:top w:val="single" w:sz="4" w:space="0" w:color="auto"/>
            </w:tcBorders>
            <w:vAlign w:val="center"/>
          </w:tcPr>
          <w:p w14:paraId="06B51500" w14:textId="5C567CA7" w:rsidR="00FB7F95" w:rsidRDefault="00D37BC7" w:rsidP="009D73ED">
            <w:pPr>
              <w:jc w:val="both"/>
              <w:rPr>
                <w:b/>
              </w:rPr>
            </w:pPr>
            <w:r>
              <w:rPr>
                <w:b/>
              </w:rPr>
              <w:t>6.</w:t>
            </w:r>
          </w:p>
        </w:tc>
        <w:tc>
          <w:tcPr>
            <w:tcW w:w="3585" w:type="dxa"/>
            <w:vMerge w:val="restart"/>
            <w:tcBorders>
              <w:top w:val="single" w:sz="4" w:space="0" w:color="auto"/>
            </w:tcBorders>
            <w:vAlign w:val="center"/>
          </w:tcPr>
          <w:p w14:paraId="6BF355E6" w14:textId="474773C9" w:rsidR="00FB7F95" w:rsidRPr="002B3123" w:rsidRDefault="00FB7F95" w:rsidP="008C10FE">
            <w:pPr>
              <w:pStyle w:val="BodyText"/>
              <w:ind w:left="9"/>
              <w:jc w:val="both"/>
              <w:rPr>
                <w:bCs/>
                <w:lang w:val="ro-MD"/>
              </w:rPr>
            </w:pPr>
            <w:r w:rsidRPr="002B3123">
              <w:rPr>
                <w:bCs/>
                <w:lang w:val="ro-MD"/>
              </w:rPr>
              <w:t>Ministerul Sănătății</w:t>
            </w:r>
          </w:p>
        </w:tc>
        <w:tc>
          <w:tcPr>
            <w:tcW w:w="6804" w:type="dxa"/>
            <w:tcBorders>
              <w:top w:val="single" w:sz="4" w:space="0" w:color="auto"/>
              <w:bottom w:val="single" w:sz="4" w:space="0" w:color="auto"/>
            </w:tcBorders>
            <w:vAlign w:val="center"/>
          </w:tcPr>
          <w:p w14:paraId="71333B88" w14:textId="7924898A" w:rsidR="00FB7F95" w:rsidRPr="002B3123" w:rsidRDefault="00FB7F95" w:rsidP="008C10FE">
            <w:pPr>
              <w:pStyle w:val="BodyText"/>
              <w:spacing w:before="1"/>
              <w:ind w:right="28"/>
              <w:jc w:val="both"/>
              <w:rPr>
                <w:lang w:val="en-US"/>
              </w:rPr>
            </w:pPr>
            <w:r w:rsidRPr="002B3123">
              <w:rPr>
                <w:lang w:val="en-US"/>
              </w:rPr>
              <w:t>La pct. 1, preambulul Hotărârii Guvernului nr. 348/2014 cu privire la tarifele pentru serviciile prestate de catre Agenția Medicamentului și Dispozitivelor Medicale nu se va modifica, preambulul dat poate fi la baza proiectului pentru modificarea HG nr. 348/2014, dacă actele normative vizate sunt la baza subiectului modificării.</w:t>
            </w:r>
          </w:p>
        </w:tc>
        <w:tc>
          <w:tcPr>
            <w:tcW w:w="3967" w:type="dxa"/>
            <w:tcBorders>
              <w:top w:val="single" w:sz="4" w:space="0" w:color="auto"/>
              <w:bottom w:val="single" w:sz="4" w:space="0" w:color="auto"/>
            </w:tcBorders>
            <w:vAlign w:val="center"/>
          </w:tcPr>
          <w:p w14:paraId="6A50FF69" w14:textId="77777777" w:rsidR="00FB7F95" w:rsidRPr="002B3123" w:rsidRDefault="00FB7F95" w:rsidP="008C10FE">
            <w:pPr>
              <w:jc w:val="both"/>
              <w:rPr>
                <w:b/>
              </w:rPr>
            </w:pPr>
            <w:r w:rsidRPr="002B3123">
              <w:rPr>
                <w:b/>
              </w:rPr>
              <w:t>Nu se acceptă.</w:t>
            </w:r>
          </w:p>
          <w:p w14:paraId="396701CD" w14:textId="6E03451F" w:rsidR="009A6CE7" w:rsidRPr="002B3123" w:rsidRDefault="005F6000">
            <w:pPr>
              <w:jc w:val="both"/>
              <w:rPr>
                <w:bCs/>
              </w:rPr>
            </w:pPr>
            <w:r w:rsidRPr="002B3123">
              <w:rPr>
                <w:bCs/>
              </w:rPr>
              <w:t xml:space="preserve">Preambulul conține </w:t>
            </w:r>
            <w:r w:rsidR="00FB7F95" w:rsidRPr="002B3123">
              <w:rPr>
                <w:bCs/>
              </w:rPr>
              <w:t xml:space="preserve">la actele normative la care face referire aprobarea HG </w:t>
            </w:r>
            <w:r w:rsidR="00C85A7D" w:rsidRPr="002B3123">
              <w:rPr>
                <w:bCs/>
              </w:rPr>
              <w:t xml:space="preserve">nr. </w:t>
            </w:r>
            <w:r w:rsidR="00FB7F95" w:rsidRPr="002B3123">
              <w:rPr>
                <w:bCs/>
              </w:rPr>
              <w:t>348/2014.</w:t>
            </w:r>
            <w:r w:rsidR="009A6CE7" w:rsidRPr="002B3123">
              <w:rPr>
                <w:bCs/>
              </w:rPr>
              <w:t xml:space="preserve"> Respectiv, Legea nr.847-XIII din 24 mai 1996 privind sistemul bugetar şi procesul bugetar (republicată în Monitorul Oficial al Republicii Moldova, 2005, a fost abrogate.</w:t>
            </w:r>
            <w:r w:rsidRPr="002B3123">
              <w:rPr>
                <w:bCs/>
              </w:rPr>
              <w:t xml:space="preserve"> </w:t>
            </w:r>
          </w:p>
          <w:p w14:paraId="557FCEA9" w14:textId="756765DD" w:rsidR="00FB7F95" w:rsidRPr="002B3123" w:rsidRDefault="005F6000">
            <w:pPr>
              <w:jc w:val="both"/>
              <w:rPr>
                <w:bCs/>
              </w:rPr>
            </w:pPr>
            <w:r w:rsidRPr="002B3123">
              <w:rPr>
                <w:bCs/>
              </w:rPr>
              <w:t>În conformitate cu</w:t>
            </w:r>
            <w:r w:rsidR="00FB7F95" w:rsidRPr="002B3123">
              <w:rPr>
                <w:bCs/>
              </w:rPr>
              <w:t xml:space="preserve"> </w:t>
            </w:r>
            <w:r w:rsidR="009A6CE7" w:rsidRPr="002B3123">
              <w:rPr>
                <w:bCs/>
              </w:rPr>
              <w:t xml:space="preserve">propunerile </w:t>
            </w:r>
            <w:r w:rsidR="00FB7F95" w:rsidRPr="002B3123">
              <w:rPr>
                <w:bCs/>
              </w:rPr>
              <w:t xml:space="preserve"> Ministerului </w:t>
            </w:r>
            <w:r w:rsidR="00C85A7D" w:rsidRPr="002B3123">
              <w:rPr>
                <w:bCs/>
              </w:rPr>
              <w:t xml:space="preserve">Justiției </w:t>
            </w:r>
            <w:r w:rsidR="00FB7F95" w:rsidRPr="002B3123">
              <w:rPr>
                <w:bCs/>
              </w:rPr>
              <w:t xml:space="preserve">a fost </w:t>
            </w:r>
            <w:r w:rsidR="00C85A7D" w:rsidRPr="002B3123">
              <w:rPr>
                <w:bCs/>
              </w:rPr>
              <w:t xml:space="preserve">modificat </w:t>
            </w:r>
            <w:r w:rsidR="00FB7F95" w:rsidRPr="002B3123">
              <w:rPr>
                <w:bCs/>
              </w:rPr>
              <w:t>textul</w:t>
            </w:r>
            <w:r w:rsidR="009A6CE7" w:rsidRPr="002B3123">
              <w:rPr>
                <w:bCs/>
              </w:rPr>
              <w:t xml:space="preserve"> preambulului </w:t>
            </w:r>
          </w:p>
        </w:tc>
      </w:tr>
      <w:tr w:rsidR="00FB7F95" w:rsidRPr="008C10FE" w14:paraId="03D8938A" w14:textId="77777777">
        <w:trPr>
          <w:trHeight w:val="193"/>
        </w:trPr>
        <w:tc>
          <w:tcPr>
            <w:tcW w:w="805" w:type="dxa"/>
            <w:vMerge/>
            <w:vAlign w:val="center"/>
          </w:tcPr>
          <w:p w14:paraId="76DE28E9" w14:textId="77777777" w:rsidR="00FB7F95" w:rsidRDefault="00FB7F95" w:rsidP="009D73ED">
            <w:pPr>
              <w:jc w:val="both"/>
              <w:rPr>
                <w:b/>
              </w:rPr>
            </w:pPr>
          </w:p>
        </w:tc>
        <w:tc>
          <w:tcPr>
            <w:tcW w:w="3585" w:type="dxa"/>
            <w:vMerge/>
            <w:vAlign w:val="center"/>
          </w:tcPr>
          <w:p w14:paraId="43D46EA7" w14:textId="77777777" w:rsidR="00FB7F95" w:rsidRPr="00276517" w:rsidRDefault="00FB7F95"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47A5D35C" w14:textId="4D966401" w:rsidR="00FB7F95" w:rsidRPr="009D73ED" w:rsidRDefault="00FB7F95" w:rsidP="008C10FE">
            <w:pPr>
              <w:pStyle w:val="BodyText"/>
              <w:spacing w:before="1"/>
              <w:ind w:right="28"/>
              <w:jc w:val="both"/>
              <w:rPr>
                <w:lang w:val="ro-MD"/>
              </w:rPr>
            </w:pPr>
            <w:r w:rsidRPr="009D73ED">
              <w:rPr>
                <w:lang w:val="en-US"/>
              </w:rPr>
              <w:t>La pct. 3, lit. f) pct. 19 se va completa cu textul „se modifică și” .....</w:t>
            </w:r>
          </w:p>
        </w:tc>
        <w:tc>
          <w:tcPr>
            <w:tcW w:w="3967" w:type="dxa"/>
            <w:tcBorders>
              <w:top w:val="single" w:sz="4" w:space="0" w:color="auto"/>
              <w:bottom w:val="single" w:sz="4" w:space="0" w:color="auto"/>
            </w:tcBorders>
            <w:vAlign w:val="center"/>
          </w:tcPr>
          <w:p w14:paraId="40F80B64" w14:textId="77777777" w:rsidR="00FB7F95" w:rsidRDefault="00FB7F95" w:rsidP="008C10FE">
            <w:pPr>
              <w:jc w:val="both"/>
              <w:rPr>
                <w:b/>
              </w:rPr>
            </w:pPr>
            <w:r>
              <w:rPr>
                <w:b/>
              </w:rPr>
              <w:t>Nu se acceptă.</w:t>
            </w:r>
          </w:p>
          <w:p w14:paraId="3FAA5055" w14:textId="22744F8B" w:rsidR="00FB7F95" w:rsidRPr="009D73ED" w:rsidRDefault="00FB7F95" w:rsidP="008C10FE">
            <w:pPr>
              <w:jc w:val="both"/>
              <w:rPr>
                <w:bCs/>
              </w:rPr>
            </w:pPr>
            <w:r w:rsidRPr="002B3123">
              <w:rPr>
                <w:bCs/>
              </w:rPr>
              <w:t>A fost acceptat și modificat</w:t>
            </w:r>
            <w:r w:rsidR="009A6CE7" w:rsidRPr="002B3123">
              <w:rPr>
                <w:bCs/>
              </w:rPr>
              <w:t xml:space="preserve"> textul  la pct. 3, lit. f) pct. 19, conform</w:t>
            </w:r>
            <w:r w:rsidRPr="002B3123">
              <w:rPr>
                <w:bCs/>
              </w:rPr>
              <w:t xml:space="preserve"> formul</w:t>
            </w:r>
            <w:r w:rsidR="009A6CE7" w:rsidRPr="002B3123">
              <w:rPr>
                <w:bCs/>
              </w:rPr>
              <w:t>ării</w:t>
            </w:r>
            <w:r w:rsidRPr="002B3123">
              <w:rPr>
                <w:bCs/>
              </w:rPr>
              <w:t xml:space="preserve"> propus</w:t>
            </w:r>
            <w:r w:rsidR="009A6CE7" w:rsidRPr="002B3123">
              <w:rPr>
                <w:bCs/>
              </w:rPr>
              <w:t>e</w:t>
            </w:r>
            <w:r w:rsidRPr="002B3123">
              <w:rPr>
                <w:bCs/>
              </w:rPr>
              <w:t xml:space="preserve"> de Ministerul justiției.</w:t>
            </w:r>
          </w:p>
        </w:tc>
      </w:tr>
      <w:tr w:rsidR="00FB7F95" w:rsidRPr="009D73ED" w14:paraId="60E08829" w14:textId="77777777">
        <w:trPr>
          <w:trHeight w:val="169"/>
        </w:trPr>
        <w:tc>
          <w:tcPr>
            <w:tcW w:w="805" w:type="dxa"/>
            <w:vMerge/>
            <w:vAlign w:val="center"/>
          </w:tcPr>
          <w:p w14:paraId="1379D889" w14:textId="77777777" w:rsidR="00FB7F95" w:rsidRDefault="00FB7F95" w:rsidP="009D73ED">
            <w:pPr>
              <w:jc w:val="both"/>
              <w:rPr>
                <w:b/>
              </w:rPr>
            </w:pPr>
          </w:p>
        </w:tc>
        <w:tc>
          <w:tcPr>
            <w:tcW w:w="3585" w:type="dxa"/>
            <w:vMerge/>
            <w:vAlign w:val="center"/>
          </w:tcPr>
          <w:p w14:paraId="4474CC7F" w14:textId="77777777" w:rsidR="00FB7F95" w:rsidRPr="00276517" w:rsidRDefault="00FB7F95"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4FD5FDFA" w14:textId="324C81C3" w:rsidR="00FB7F95" w:rsidRPr="009D73ED" w:rsidRDefault="00FB7F95" w:rsidP="008C10FE">
            <w:pPr>
              <w:pStyle w:val="BodyText"/>
              <w:spacing w:before="1"/>
              <w:ind w:right="28"/>
              <w:jc w:val="both"/>
              <w:rPr>
                <w:lang w:val="ro-MD"/>
              </w:rPr>
            </w:pPr>
            <w:r w:rsidRPr="009D73ED">
              <w:rPr>
                <w:lang w:val="ro-MD"/>
              </w:rPr>
              <w:t>La pct. 4, Anexa nr. 2, urmează să fie enumerată orice modificare, după cum urmează – excludere, includere sau se va menționa că se abrogă și se expune într-o nouă redacție.</w:t>
            </w:r>
          </w:p>
        </w:tc>
        <w:tc>
          <w:tcPr>
            <w:tcW w:w="3967" w:type="dxa"/>
            <w:tcBorders>
              <w:top w:val="single" w:sz="4" w:space="0" w:color="auto"/>
              <w:bottom w:val="single" w:sz="4" w:space="0" w:color="auto"/>
            </w:tcBorders>
            <w:vAlign w:val="center"/>
          </w:tcPr>
          <w:p w14:paraId="32D90AC5" w14:textId="77777777" w:rsidR="00FB7F95" w:rsidRDefault="00FB7F95" w:rsidP="008C10FE">
            <w:pPr>
              <w:jc w:val="both"/>
              <w:rPr>
                <w:b/>
                <w:lang w:val="ro-MD"/>
              </w:rPr>
            </w:pPr>
            <w:r>
              <w:rPr>
                <w:b/>
                <w:lang w:val="ro-MD"/>
              </w:rPr>
              <w:t>Nu se acceptă.</w:t>
            </w:r>
          </w:p>
          <w:p w14:paraId="5F7D317E" w14:textId="724AFEAD" w:rsidR="00FB7F95" w:rsidRPr="00FB7F95" w:rsidRDefault="00FB7F95" w:rsidP="008C10FE">
            <w:pPr>
              <w:jc w:val="both"/>
              <w:rPr>
                <w:bCs/>
                <w:lang w:val="ro-MD"/>
              </w:rPr>
            </w:pPr>
            <w:r w:rsidRPr="00FB7F95">
              <w:rPr>
                <w:bCs/>
                <w:lang w:val="ro-MD"/>
              </w:rPr>
              <w:t xml:space="preserve">Este menționat că </w:t>
            </w:r>
            <w:r>
              <w:rPr>
                <w:bCs/>
                <w:lang w:val="ro-MD"/>
              </w:rPr>
              <w:t>”</w:t>
            </w:r>
            <w:r w:rsidRPr="00FB7F95">
              <w:rPr>
                <w:bCs/>
                <w:lang w:val="ro-MD"/>
              </w:rPr>
              <w:t xml:space="preserve">Anexa nr. 2 va avea </w:t>
            </w:r>
            <w:r>
              <w:rPr>
                <w:bCs/>
                <w:lang w:val="ro-MD"/>
              </w:rPr>
              <w:t>următorul</w:t>
            </w:r>
            <w:r w:rsidRPr="00FB7F95">
              <w:rPr>
                <w:bCs/>
                <w:lang w:val="ro-MD"/>
              </w:rPr>
              <w:t xml:space="preserve"> cuprins.</w:t>
            </w:r>
            <w:r>
              <w:rPr>
                <w:bCs/>
                <w:lang w:val="ro-MD"/>
              </w:rPr>
              <w:t>”</w:t>
            </w:r>
          </w:p>
        </w:tc>
      </w:tr>
      <w:tr w:rsidR="00FB7F95" w:rsidRPr="009D73ED" w14:paraId="4BB5DFAF" w14:textId="77777777">
        <w:trPr>
          <w:trHeight w:val="181"/>
        </w:trPr>
        <w:tc>
          <w:tcPr>
            <w:tcW w:w="805" w:type="dxa"/>
            <w:vMerge/>
            <w:vAlign w:val="center"/>
          </w:tcPr>
          <w:p w14:paraId="55D8C072" w14:textId="77777777" w:rsidR="00FB7F95" w:rsidRPr="009D73ED" w:rsidRDefault="00FB7F95" w:rsidP="009D73ED">
            <w:pPr>
              <w:jc w:val="both"/>
              <w:rPr>
                <w:b/>
                <w:lang w:val="ro-MD"/>
              </w:rPr>
            </w:pPr>
          </w:p>
        </w:tc>
        <w:tc>
          <w:tcPr>
            <w:tcW w:w="3585" w:type="dxa"/>
            <w:vMerge/>
            <w:vAlign w:val="center"/>
          </w:tcPr>
          <w:p w14:paraId="775BB518" w14:textId="77777777" w:rsidR="00FB7F95" w:rsidRPr="00276517" w:rsidRDefault="00FB7F95"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143F5833" w14:textId="63F80383" w:rsidR="00FB7F95" w:rsidRPr="009D73ED" w:rsidRDefault="00FB7F95" w:rsidP="008C10FE">
            <w:pPr>
              <w:pStyle w:val="BodyText"/>
              <w:spacing w:before="1"/>
              <w:ind w:right="28"/>
              <w:jc w:val="both"/>
              <w:rPr>
                <w:lang w:val="ro-MD"/>
              </w:rPr>
            </w:pPr>
            <w:r w:rsidRPr="00FB7F95">
              <w:rPr>
                <w:lang w:val="en-US"/>
              </w:rPr>
              <w:t>În cazul expunerii în redacție nouă a conținutului unui element structural se va utiliza sintagma „va avea următorul cuprins:”, urmată de redarea textului nou</w:t>
            </w:r>
          </w:p>
        </w:tc>
        <w:tc>
          <w:tcPr>
            <w:tcW w:w="3967" w:type="dxa"/>
            <w:tcBorders>
              <w:top w:val="single" w:sz="4" w:space="0" w:color="auto"/>
              <w:bottom w:val="single" w:sz="4" w:space="0" w:color="auto"/>
            </w:tcBorders>
            <w:vAlign w:val="center"/>
          </w:tcPr>
          <w:p w14:paraId="75631264" w14:textId="394C24AD" w:rsidR="00FB7F95" w:rsidRDefault="00FB7F95" w:rsidP="008C10FE">
            <w:pPr>
              <w:jc w:val="both"/>
              <w:rPr>
                <w:b/>
                <w:lang w:val="ro-MD"/>
              </w:rPr>
            </w:pPr>
            <w:r>
              <w:rPr>
                <w:b/>
                <w:lang w:val="ro-MD"/>
              </w:rPr>
              <w:t>Nu se acceptă.</w:t>
            </w:r>
          </w:p>
          <w:p w14:paraId="5D276761" w14:textId="740F0F84" w:rsidR="00FB7F95" w:rsidRPr="00FB7F95" w:rsidRDefault="00FB7F95" w:rsidP="008C10FE">
            <w:pPr>
              <w:jc w:val="both"/>
              <w:rPr>
                <w:bCs/>
                <w:lang w:val="ro-MD"/>
              </w:rPr>
            </w:pPr>
            <w:r w:rsidRPr="00FB7F95">
              <w:rPr>
                <w:bCs/>
                <w:lang w:val="ro-MD"/>
              </w:rPr>
              <w:t>Această sintagmă și este folosită în text.</w:t>
            </w:r>
          </w:p>
        </w:tc>
      </w:tr>
      <w:tr w:rsidR="00FB7F95" w:rsidRPr="009D73ED" w14:paraId="7F42FE3E" w14:textId="77777777" w:rsidTr="00FB7F95">
        <w:trPr>
          <w:trHeight w:val="1812"/>
        </w:trPr>
        <w:tc>
          <w:tcPr>
            <w:tcW w:w="805" w:type="dxa"/>
            <w:vMerge/>
            <w:vAlign w:val="center"/>
          </w:tcPr>
          <w:p w14:paraId="1010ABF6" w14:textId="77777777" w:rsidR="00FB7F95" w:rsidRPr="009D73ED" w:rsidRDefault="00FB7F95" w:rsidP="009D73ED">
            <w:pPr>
              <w:jc w:val="both"/>
              <w:rPr>
                <w:b/>
                <w:lang w:val="ro-MD"/>
              </w:rPr>
            </w:pPr>
          </w:p>
        </w:tc>
        <w:tc>
          <w:tcPr>
            <w:tcW w:w="3585" w:type="dxa"/>
            <w:vMerge/>
            <w:vAlign w:val="center"/>
          </w:tcPr>
          <w:p w14:paraId="6AA1AB32" w14:textId="77777777" w:rsidR="00FB7F95" w:rsidRPr="00276517" w:rsidRDefault="00FB7F95"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6B3544E8" w14:textId="77777777" w:rsidR="00FB7F95" w:rsidRDefault="00FB7F95" w:rsidP="008C10FE">
            <w:pPr>
              <w:pStyle w:val="BodyText"/>
              <w:spacing w:before="1"/>
              <w:ind w:right="28"/>
              <w:jc w:val="both"/>
              <w:rPr>
                <w:lang w:val="en-US"/>
              </w:rPr>
            </w:pPr>
            <w:r w:rsidRPr="00FB7F95">
              <w:rPr>
                <w:lang w:val="en-US"/>
              </w:rPr>
              <w:t>Conform Ghidului tehnoredactare a actelor normative a Guvernului, documentele urmează în mod obligatoriu să fie cu diacritice, și conform art. 54 al Legii 100/2017, conţinutul proiectului se expune într-un limbaj simplu, clar şi concis, pentru a se exclude orice echivoc, cu respectarea strictă a regulilor gramaticale, de ortografie şi de punctuaţie.</w:t>
            </w:r>
          </w:p>
          <w:p w14:paraId="57318B28" w14:textId="2E7C6796" w:rsidR="00FB7F95" w:rsidRPr="009D73ED" w:rsidRDefault="00FB7F95" w:rsidP="008C10FE">
            <w:pPr>
              <w:pStyle w:val="BodyText"/>
              <w:spacing w:before="1"/>
              <w:ind w:right="28"/>
              <w:jc w:val="both"/>
              <w:rPr>
                <w:lang w:val="ro-MD"/>
              </w:rPr>
            </w:pPr>
          </w:p>
        </w:tc>
        <w:tc>
          <w:tcPr>
            <w:tcW w:w="3967" w:type="dxa"/>
            <w:tcBorders>
              <w:top w:val="single" w:sz="4" w:space="0" w:color="auto"/>
              <w:bottom w:val="single" w:sz="4" w:space="0" w:color="auto"/>
            </w:tcBorders>
            <w:vAlign w:val="center"/>
          </w:tcPr>
          <w:p w14:paraId="11FB4286" w14:textId="32FD65F9" w:rsidR="00FB7F95" w:rsidRDefault="00FB7F95" w:rsidP="008C10FE">
            <w:pPr>
              <w:jc w:val="both"/>
              <w:rPr>
                <w:b/>
                <w:lang w:val="ro-MD"/>
              </w:rPr>
            </w:pPr>
            <w:r>
              <w:rPr>
                <w:b/>
                <w:lang w:val="ro-MD"/>
              </w:rPr>
              <w:t>Nu se acceptă.</w:t>
            </w:r>
          </w:p>
          <w:p w14:paraId="641E9AC8" w14:textId="2F8C3362" w:rsidR="00FB7F95" w:rsidRDefault="00FB7F95" w:rsidP="008C10FE">
            <w:pPr>
              <w:jc w:val="both"/>
              <w:rPr>
                <w:bCs/>
              </w:rPr>
            </w:pPr>
            <w:r w:rsidRPr="00FB7F95">
              <w:rPr>
                <w:bCs/>
                <w:lang w:val="ro-MD"/>
              </w:rPr>
              <w:t xml:space="preserve">Proiectul de modificare este expus în limbaj foarte simplu și sunt respectate prevederile </w:t>
            </w:r>
            <w:r w:rsidRPr="00FB7F95">
              <w:rPr>
                <w:bCs/>
              </w:rPr>
              <w:t>art. 54 al Legii</w:t>
            </w:r>
            <w:r w:rsidR="001456C9">
              <w:rPr>
                <w:bCs/>
              </w:rPr>
              <w:t xml:space="preserve"> nr.</w:t>
            </w:r>
            <w:r w:rsidRPr="00FB7F95">
              <w:rPr>
                <w:bCs/>
              </w:rPr>
              <w:t xml:space="preserve"> 100/2017</w:t>
            </w:r>
            <w:r w:rsidR="001456C9">
              <w:rPr>
                <w:bCs/>
              </w:rPr>
              <w:t xml:space="preserve"> cu privire la actele normative</w:t>
            </w:r>
            <w:r w:rsidR="001A79D6">
              <w:rPr>
                <w:bCs/>
              </w:rPr>
              <w:t>.</w:t>
            </w:r>
          </w:p>
          <w:p w14:paraId="618FC197" w14:textId="60CCC8C6" w:rsidR="001A79D6" w:rsidRPr="00FB7F95" w:rsidRDefault="001A79D6" w:rsidP="008C10FE">
            <w:pPr>
              <w:jc w:val="both"/>
              <w:rPr>
                <w:bCs/>
                <w:lang w:val="ro-MD"/>
              </w:rPr>
            </w:pPr>
          </w:p>
          <w:p w14:paraId="329D7F53" w14:textId="77777777" w:rsidR="00FB7F95" w:rsidRDefault="00FB7F95" w:rsidP="008C10FE">
            <w:pPr>
              <w:jc w:val="both"/>
              <w:rPr>
                <w:b/>
                <w:lang w:val="ro-MD"/>
              </w:rPr>
            </w:pPr>
          </w:p>
          <w:p w14:paraId="776537CF" w14:textId="77777777" w:rsidR="00FB7F95" w:rsidRDefault="00FB7F95" w:rsidP="008C10FE">
            <w:pPr>
              <w:jc w:val="both"/>
              <w:rPr>
                <w:b/>
                <w:lang w:val="ro-MD"/>
              </w:rPr>
            </w:pPr>
          </w:p>
          <w:p w14:paraId="00E32416" w14:textId="77777777" w:rsidR="00FB7F95" w:rsidRDefault="00FB7F95" w:rsidP="008C10FE">
            <w:pPr>
              <w:jc w:val="both"/>
              <w:rPr>
                <w:b/>
                <w:lang w:val="ro-MD"/>
              </w:rPr>
            </w:pPr>
          </w:p>
          <w:p w14:paraId="10B39442" w14:textId="77777777" w:rsidR="00FB7F95" w:rsidRDefault="00FB7F95" w:rsidP="008C10FE">
            <w:pPr>
              <w:jc w:val="both"/>
              <w:rPr>
                <w:b/>
                <w:lang w:val="ro-MD"/>
              </w:rPr>
            </w:pPr>
          </w:p>
          <w:p w14:paraId="22B47040" w14:textId="0DAB6496" w:rsidR="00FB7F95" w:rsidRPr="009D73ED" w:rsidRDefault="00FB7F95" w:rsidP="008C10FE">
            <w:pPr>
              <w:jc w:val="both"/>
              <w:rPr>
                <w:b/>
                <w:lang w:val="ro-MD"/>
              </w:rPr>
            </w:pPr>
          </w:p>
        </w:tc>
      </w:tr>
      <w:tr w:rsidR="00FB7F95" w:rsidRPr="009D73ED" w14:paraId="266423C0" w14:textId="77777777">
        <w:trPr>
          <w:trHeight w:val="745"/>
        </w:trPr>
        <w:tc>
          <w:tcPr>
            <w:tcW w:w="805" w:type="dxa"/>
            <w:vMerge/>
            <w:tcBorders>
              <w:bottom w:val="single" w:sz="4" w:space="0" w:color="auto"/>
            </w:tcBorders>
            <w:vAlign w:val="center"/>
          </w:tcPr>
          <w:p w14:paraId="62062A6F" w14:textId="77777777" w:rsidR="00FB7F95" w:rsidRPr="009D73ED" w:rsidRDefault="00FB7F95" w:rsidP="009D73ED">
            <w:pPr>
              <w:jc w:val="both"/>
              <w:rPr>
                <w:b/>
                <w:lang w:val="ro-MD"/>
              </w:rPr>
            </w:pPr>
          </w:p>
        </w:tc>
        <w:tc>
          <w:tcPr>
            <w:tcW w:w="3585" w:type="dxa"/>
            <w:vMerge/>
            <w:tcBorders>
              <w:bottom w:val="single" w:sz="4" w:space="0" w:color="auto"/>
            </w:tcBorders>
            <w:vAlign w:val="center"/>
          </w:tcPr>
          <w:p w14:paraId="2196E222" w14:textId="77777777" w:rsidR="00FB7F95" w:rsidRPr="00276517" w:rsidRDefault="00FB7F95" w:rsidP="008C10FE">
            <w:pPr>
              <w:pStyle w:val="BodyText"/>
              <w:ind w:left="9"/>
              <w:jc w:val="both"/>
              <w:rPr>
                <w:bCs/>
                <w:lang w:val="ro-MD"/>
              </w:rPr>
            </w:pPr>
          </w:p>
        </w:tc>
        <w:tc>
          <w:tcPr>
            <w:tcW w:w="6804" w:type="dxa"/>
            <w:tcBorders>
              <w:top w:val="single" w:sz="4" w:space="0" w:color="auto"/>
              <w:bottom w:val="single" w:sz="4" w:space="0" w:color="auto"/>
            </w:tcBorders>
            <w:vAlign w:val="center"/>
          </w:tcPr>
          <w:p w14:paraId="346DE4DB" w14:textId="3D1EC74D" w:rsidR="00FB7F95" w:rsidRPr="00FB7F95" w:rsidRDefault="00FB7F95" w:rsidP="008C10FE">
            <w:pPr>
              <w:pStyle w:val="BodyText"/>
              <w:spacing w:before="1"/>
              <w:ind w:right="28"/>
              <w:jc w:val="both"/>
              <w:rPr>
                <w:lang w:val="en-US"/>
              </w:rPr>
            </w:pPr>
            <w:r>
              <w:rPr>
                <w:lang w:val="en-US"/>
              </w:rPr>
              <w:t>Î</w:t>
            </w:r>
            <w:r w:rsidRPr="00FB7F95">
              <w:rPr>
                <w:lang w:val="en-US"/>
              </w:rPr>
              <w:t>n contextul propunerilor de modificare a pct. 3 din Hotărârea Guvernului nr. 348/2014, care prevede transmiterea atribuției de actualizare a tarifelor pentru efectuarea controlului calității și utilizarea rațională a medicamentelor de la Ministerul Sănătății la Agenţia Medicamentului şi Dispozitivelor Medicale, apare necesitatea abrogării punctelor 4 și 5 din Regulament, care prevăd modalitatea de prezentare a tarifelor Ministerului Sănătății.</w:t>
            </w:r>
          </w:p>
        </w:tc>
        <w:tc>
          <w:tcPr>
            <w:tcW w:w="3967" w:type="dxa"/>
            <w:tcBorders>
              <w:top w:val="single" w:sz="4" w:space="0" w:color="auto"/>
              <w:bottom w:val="single" w:sz="4" w:space="0" w:color="auto"/>
            </w:tcBorders>
            <w:vAlign w:val="center"/>
          </w:tcPr>
          <w:p w14:paraId="4CEDDBA9" w14:textId="77777777" w:rsidR="00FB7F95" w:rsidRDefault="00B20C8E" w:rsidP="008C10FE">
            <w:pPr>
              <w:jc w:val="both"/>
              <w:rPr>
                <w:b/>
                <w:lang w:val="ro-MD"/>
              </w:rPr>
            </w:pPr>
            <w:r>
              <w:rPr>
                <w:b/>
                <w:lang w:val="ro-MD"/>
              </w:rPr>
              <w:t>Nu se acceptă.</w:t>
            </w:r>
          </w:p>
          <w:p w14:paraId="76F1695E" w14:textId="4EB5C11E" w:rsidR="00B20C8E" w:rsidRPr="00B20C8E" w:rsidRDefault="00B20C8E">
            <w:pPr>
              <w:jc w:val="both"/>
              <w:rPr>
                <w:bCs/>
                <w:lang w:val="ro-MD"/>
              </w:rPr>
            </w:pPr>
            <w:r w:rsidRPr="00B20C8E">
              <w:rPr>
                <w:bCs/>
                <w:lang w:val="ro-MD"/>
              </w:rPr>
              <w:t>P</w:t>
            </w:r>
            <w:r w:rsidR="001456C9">
              <w:rPr>
                <w:bCs/>
                <w:lang w:val="ro-MD"/>
              </w:rPr>
              <w:t>rin p</w:t>
            </w:r>
            <w:r w:rsidRPr="00B20C8E">
              <w:rPr>
                <w:bCs/>
                <w:lang w:val="ro-MD"/>
              </w:rPr>
              <w:t xml:space="preserve">roiectul de modificare </w:t>
            </w:r>
            <w:r w:rsidR="001456C9">
              <w:rPr>
                <w:bCs/>
                <w:lang w:val="ro-MD"/>
              </w:rPr>
              <w:t xml:space="preserve">se </w:t>
            </w:r>
            <w:r w:rsidR="001456C9" w:rsidRPr="00B20C8E">
              <w:rPr>
                <w:bCs/>
                <w:lang w:val="ro-MD"/>
              </w:rPr>
              <w:t>propu</w:t>
            </w:r>
            <w:r w:rsidR="001456C9">
              <w:rPr>
                <w:bCs/>
                <w:lang w:val="ro-MD"/>
              </w:rPr>
              <w:t>ne</w:t>
            </w:r>
            <w:r w:rsidR="001456C9" w:rsidRPr="00B20C8E">
              <w:rPr>
                <w:bCs/>
                <w:lang w:val="ro-MD"/>
              </w:rPr>
              <w:t xml:space="preserve"> </w:t>
            </w:r>
            <w:r>
              <w:rPr>
                <w:bCs/>
                <w:lang w:val="ro-MD"/>
              </w:rPr>
              <w:t>abrogarea</w:t>
            </w:r>
            <w:r w:rsidRPr="00B20C8E">
              <w:rPr>
                <w:bCs/>
                <w:lang w:val="ro-MD"/>
              </w:rPr>
              <w:t xml:space="preserve"> Capitolului II, ce presupune pct. 4 și 5.</w:t>
            </w:r>
          </w:p>
        </w:tc>
      </w:tr>
    </w:tbl>
    <w:p w14:paraId="2D72F762" w14:textId="6657817D" w:rsidR="00AA125A" w:rsidRPr="009D73ED" w:rsidRDefault="00AA125A" w:rsidP="008C10FE">
      <w:pPr>
        <w:rPr>
          <w:b/>
          <w:lang w:val="ro-MD"/>
        </w:rPr>
      </w:pPr>
    </w:p>
    <w:p w14:paraId="45184C19" w14:textId="77777777" w:rsidR="008064E7" w:rsidRPr="00C3379A" w:rsidRDefault="008064E7" w:rsidP="00FB1574">
      <w:pPr>
        <w:jc w:val="center"/>
        <w:rPr>
          <w:b/>
          <w:sz w:val="22"/>
          <w:szCs w:val="22"/>
          <w:lang w:val="ro-MD"/>
        </w:rPr>
      </w:pPr>
    </w:p>
    <w:p w14:paraId="4A86F873" w14:textId="77777777" w:rsidR="008064E7" w:rsidRPr="00C3379A" w:rsidRDefault="008064E7" w:rsidP="00FB1574">
      <w:pPr>
        <w:jc w:val="center"/>
        <w:rPr>
          <w:b/>
          <w:sz w:val="22"/>
          <w:szCs w:val="22"/>
          <w:lang w:val="ro-MD"/>
        </w:rPr>
      </w:pPr>
    </w:p>
    <w:p w14:paraId="49913BFF" w14:textId="3DAA33F8" w:rsidR="008064E7" w:rsidRPr="00276517" w:rsidRDefault="008E6672" w:rsidP="00276517">
      <w:pPr>
        <w:jc w:val="center"/>
        <w:rPr>
          <w:bCs/>
          <w:lang w:val="ro-MD"/>
        </w:rPr>
      </w:pPr>
      <w:r w:rsidRPr="00276517">
        <w:rPr>
          <w:b/>
          <w:lang w:val="ro-MD"/>
        </w:rPr>
        <w:t>Director general                                                                                                                                     Dragoș GUȚU</w:t>
      </w:r>
    </w:p>
    <w:p w14:paraId="141AA08B" w14:textId="77777777" w:rsidR="008064E7" w:rsidRPr="00276517" w:rsidRDefault="008064E7" w:rsidP="00276517">
      <w:pPr>
        <w:jc w:val="center"/>
        <w:rPr>
          <w:bCs/>
          <w:lang w:val="ro-MD"/>
        </w:rPr>
      </w:pPr>
    </w:p>
    <w:p w14:paraId="437CF597" w14:textId="77777777" w:rsidR="008064E7" w:rsidRPr="00276517" w:rsidRDefault="008064E7" w:rsidP="00276517">
      <w:pPr>
        <w:jc w:val="center"/>
        <w:rPr>
          <w:bCs/>
          <w:lang w:val="ro-MD"/>
        </w:rPr>
      </w:pPr>
    </w:p>
    <w:p w14:paraId="6309BBE9" w14:textId="77777777" w:rsidR="008064E7" w:rsidRPr="00276517" w:rsidRDefault="008064E7" w:rsidP="00276517">
      <w:pPr>
        <w:jc w:val="center"/>
        <w:rPr>
          <w:bCs/>
          <w:lang w:val="ro-MD"/>
        </w:rPr>
      </w:pPr>
    </w:p>
    <w:p w14:paraId="7E5BF434" w14:textId="77777777" w:rsidR="008064E7" w:rsidRPr="00276517" w:rsidRDefault="008064E7" w:rsidP="00276517">
      <w:pPr>
        <w:jc w:val="center"/>
        <w:rPr>
          <w:bCs/>
          <w:lang w:val="ro-MD"/>
        </w:rPr>
      </w:pPr>
    </w:p>
    <w:p w14:paraId="607B7298" w14:textId="650FB949" w:rsidR="00C27839" w:rsidRPr="00C3379A" w:rsidRDefault="00C27839" w:rsidP="00AE22E6">
      <w:pPr>
        <w:rPr>
          <w:bCs/>
          <w:color w:val="FF0000"/>
          <w:sz w:val="18"/>
          <w:szCs w:val="18"/>
          <w:lang w:val="ro-MD"/>
        </w:rPr>
      </w:pPr>
    </w:p>
    <w:sectPr w:rsidR="00C27839" w:rsidRPr="00C3379A" w:rsidSect="00C7765E">
      <w:pgSz w:w="16838" w:h="11906" w:orient="landscape"/>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97CA" w14:textId="77777777" w:rsidR="002B040C" w:rsidRDefault="002B040C" w:rsidP="00073960">
      <w:r>
        <w:separator/>
      </w:r>
    </w:p>
  </w:endnote>
  <w:endnote w:type="continuationSeparator" w:id="0">
    <w:p w14:paraId="0A81B845" w14:textId="77777777" w:rsidR="002B040C" w:rsidRDefault="002B040C" w:rsidP="0007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A1EB" w14:textId="77777777" w:rsidR="002B040C" w:rsidRDefault="002B040C" w:rsidP="00073960">
      <w:r>
        <w:separator/>
      </w:r>
    </w:p>
  </w:footnote>
  <w:footnote w:type="continuationSeparator" w:id="0">
    <w:p w14:paraId="41C6052B" w14:textId="77777777" w:rsidR="002B040C" w:rsidRDefault="002B040C" w:rsidP="0007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35888"/>
    <w:multiLevelType w:val="hybridMultilevel"/>
    <w:tmpl w:val="2D24437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753C3E49"/>
    <w:multiLevelType w:val="hybridMultilevel"/>
    <w:tmpl w:val="8368A6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08792464">
    <w:abstractNumId w:val="0"/>
  </w:num>
  <w:num w:numId="2" w16cid:durableId="90204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0395"/>
    <w:rsid w:val="00007DD5"/>
    <w:rsid w:val="00012052"/>
    <w:rsid w:val="0001243D"/>
    <w:rsid w:val="0001378D"/>
    <w:rsid w:val="00015FBF"/>
    <w:rsid w:val="00017998"/>
    <w:rsid w:val="000214D7"/>
    <w:rsid w:val="00026389"/>
    <w:rsid w:val="00027CCE"/>
    <w:rsid w:val="00033C35"/>
    <w:rsid w:val="0003608E"/>
    <w:rsid w:val="00042E9B"/>
    <w:rsid w:val="000434E5"/>
    <w:rsid w:val="00043977"/>
    <w:rsid w:val="00045843"/>
    <w:rsid w:val="00045F43"/>
    <w:rsid w:val="00050B05"/>
    <w:rsid w:val="00050F56"/>
    <w:rsid w:val="00053CEE"/>
    <w:rsid w:val="000543E8"/>
    <w:rsid w:val="00054819"/>
    <w:rsid w:val="00055D76"/>
    <w:rsid w:val="0005729B"/>
    <w:rsid w:val="0005759B"/>
    <w:rsid w:val="0005789B"/>
    <w:rsid w:val="000615C0"/>
    <w:rsid w:val="00063974"/>
    <w:rsid w:val="00063DA6"/>
    <w:rsid w:val="00064199"/>
    <w:rsid w:val="00066CB9"/>
    <w:rsid w:val="00067B1F"/>
    <w:rsid w:val="000726AC"/>
    <w:rsid w:val="00073960"/>
    <w:rsid w:val="00076395"/>
    <w:rsid w:val="000801BD"/>
    <w:rsid w:val="00080F1D"/>
    <w:rsid w:val="00085574"/>
    <w:rsid w:val="00085D21"/>
    <w:rsid w:val="00086C34"/>
    <w:rsid w:val="00086E00"/>
    <w:rsid w:val="00087A56"/>
    <w:rsid w:val="000A04DD"/>
    <w:rsid w:val="000A0642"/>
    <w:rsid w:val="000A3048"/>
    <w:rsid w:val="000A6AA5"/>
    <w:rsid w:val="000B1500"/>
    <w:rsid w:val="000B24C6"/>
    <w:rsid w:val="000B286C"/>
    <w:rsid w:val="000B2FF1"/>
    <w:rsid w:val="000B3204"/>
    <w:rsid w:val="000B34F9"/>
    <w:rsid w:val="000C17D4"/>
    <w:rsid w:val="000C30CD"/>
    <w:rsid w:val="000C3503"/>
    <w:rsid w:val="000D0262"/>
    <w:rsid w:val="000D0A67"/>
    <w:rsid w:val="000D5B73"/>
    <w:rsid w:val="000E12A2"/>
    <w:rsid w:val="000E3483"/>
    <w:rsid w:val="000E39C5"/>
    <w:rsid w:val="000E5AE0"/>
    <w:rsid w:val="000F5180"/>
    <w:rsid w:val="000F5254"/>
    <w:rsid w:val="000F5320"/>
    <w:rsid w:val="000F625E"/>
    <w:rsid w:val="001005EE"/>
    <w:rsid w:val="00103082"/>
    <w:rsid w:val="00104958"/>
    <w:rsid w:val="0011283D"/>
    <w:rsid w:val="00112F13"/>
    <w:rsid w:val="00113EAD"/>
    <w:rsid w:val="00115D9F"/>
    <w:rsid w:val="00116331"/>
    <w:rsid w:val="00116A94"/>
    <w:rsid w:val="00117FC4"/>
    <w:rsid w:val="00126309"/>
    <w:rsid w:val="001327F7"/>
    <w:rsid w:val="00134CD8"/>
    <w:rsid w:val="00136A88"/>
    <w:rsid w:val="00140929"/>
    <w:rsid w:val="001430F8"/>
    <w:rsid w:val="001456C9"/>
    <w:rsid w:val="00152758"/>
    <w:rsid w:val="00155254"/>
    <w:rsid w:val="00157910"/>
    <w:rsid w:val="00157F60"/>
    <w:rsid w:val="00164CFF"/>
    <w:rsid w:val="00170EA1"/>
    <w:rsid w:val="00172C09"/>
    <w:rsid w:val="00172ECB"/>
    <w:rsid w:val="00180253"/>
    <w:rsid w:val="00181DA8"/>
    <w:rsid w:val="001842B3"/>
    <w:rsid w:val="0018699F"/>
    <w:rsid w:val="001918BE"/>
    <w:rsid w:val="00195E78"/>
    <w:rsid w:val="001A04C4"/>
    <w:rsid w:val="001A395D"/>
    <w:rsid w:val="001A49F7"/>
    <w:rsid w:val="001A5608"/>
    <w:rsid w:val="001A79D6"/>
    <w:rsid w:val="001A7FDE"/>
    <w:rsid w:val="001B0F57"/>
    <w:rsid w:val="001B2B99"/>
    <w:rsid w:val="001B2C21"/>
    <w:rsid w:val="001B3B42"/>
    <w:rsid w:val="001B4861"/>
    <w:rsid w:val="001B5C25"/>
    <w:rsid w:val="001B6FFE"/>
    <w:rsid w:val="001C708E"/>
    <w:rsid w:val="001C79AA"/>
    <w:rsid w:val="001C7E32"/>
    <w:rsid w:val="001D6B02"/>
    <w:rsid w:val="001E0139"/>
    <w:rsid w:val="001E6BCD"/>
    <w:rsid w:val="001F0087"/>
    <w:rsid w:val="001F4837"/>
    <w:rsid w:val="001F6D3D"/>
    <w:rsid w:val="001F7E78"/>
    <w:rsid w:val="0021430F"/>
    <w:rsid w:val="002166D8"/>
    <w:rsid w:val="00220C04"/>
    <w:rsid w:val="00221ECD"/>
    <w:rsid w:val="00222EF2"/>
    <w:rsid w:val="00226CF6"/>
    <w:rsid w:val="0022766F"/>
    <w:rsid w:val="00227751"/>
    <w:rsid w:val="002320AB"/>
    <w:rsid w:val="00233A3C"/>
    <w:rsid w:val="00234B1B"/>
    <w:rsid w:val="00240395"/>
    <w:rsid w:val="00245385"/>
    <w:rsid w:val="002472F6"/>
    <w:rsid w:val="00247DB0"/>
    <w:rsid w:val="00251B7E"/>
    <w:rsid w:val="0025272E"/>
    <w:rsid w:val="00257DA8"/>
    <w:rsid w:val="00260271"/>
    <w:rsid w:val="00260C8A"/>
    <w:rsid w:val="0026356C"/>
    <w:rsid w:val="00265B85"/>
    <w:rsid w:val="0026609C"/>
    <w:rsid w:val="002678C6"/>
    <w:rsid w:val="00270116"/>
    <w:rsid w:val="00274201"/>
    <w:rsid w:val="00276517"/>
    <w:rsid w:val="00277B5B"/>
    <w:rsid w:val="0028544B"/>
    <w:rsid w:val="00285FC1"/>
    <w:rsid w:val="002871DE"/>
    <w:rsid w:val="00290DF9"/>
    <w:rsid w:val="0029431A"/>
    <w:rsid w:val="00295569"/>
    <w:rsid w:val="002A242E"/>
    <w:rsid w:val="002A3ADA"/>
    <w:rsid w:val="002A3DDD"/>
    <w:rsid w:val="002A5417"/>
    <w:rsid w:val="002A65DC"/>
    <w:rsid w:val="002B040C"/>
    <w:rsid w:val="002B070F"/>
    <w:rsid w:val="002B3123"/>
    <w:rsid w:val="002B70A7"/>
    <w:rsid w:val="002C5F45"/>
    <w:rsid w:val="002C6F3E"/>
    <w:rsid w:val="002C6FE6"/>
    <w:rsid w:val="002C7AB6"/>
    <w:rsid w:val="002D0EB0"/>
    <w:rsid w:val="002D1834"/>
    <w:rsid w:val="002D3508"/>
    <w:rsid w:val="002D3585"/>
    <w:rsid w:val="002D56B6"/>
    <w:rsid w:val="002D6C74"/>
    <w:rsid w:val="002D763B"/>
    <w:rsid w:val="002D7AC8"/>
    <w:rsid w:val="002E048E"/>
    <w:rsid w:val="002F0C2B"/>
    <w:rsid w:val="002F28B7"/>
    <w:rsid w:val="00301D57"/>
    <w:rsid w:val="00307280"/>
    <w:rsid w:val="00313D8A"/>
    <w:rsid w:val="0031406C"/>
    <w:rsid w:val="003144AD"/>
    <w:rsid w:val="00317CB8"/>
    <w:rsid w:val="003203EB"/>
    <w:rsid w:val="00320ACF"/>
    <w:rsid w:val="003217EF"/>
    <w:rsid w:val="00322A0B"/>
    <w:rsid w:val="00323C4F"/>
    <w:rsid w:val="003277C5"/>
    <w:rsid w:val="003279A9"/>
    <w:rsid w:val="00327FF5"/>
    <w:rsid w:val="00331DB0"/>
    <w:rsid w:val="0033412E"/>
    <w:rsid w:val="003343A6"/>
    <w:rsid w:val="003376EE"/>
    <w:rsid w:val="00337970"/>
    <w:rsid w:val="00342803"/>
    <w:rsid w:val="00345114"/>
    <w:rsid w:val="00346D42"/>
    <w:rsid w:val="0035100C"/>
    <w:rsid w:val="00351213"/>
    <w:rsid w:val="0035179A"/>
    <w:rsid w:val="00351A72"/>
    <w:rsid w:val="00351D1D"/>
    <w:rsid w:val="0035381C"/>
    <w:rsid w:val="00356721"/>
    <w:rsid w:val="00362609"/>
    <w:rsid w:val="0036659F"/>
    <w:rsid w:val="003667AC"/>
    <w:rsid w:val="00370817"/>
    <w:rsid w:val="00372E72"/>
    <w:rsid w:val="00373EA6"/>
    <w:rsid w:val="00374A96"/>
    <w:rsid w:val="00380BF2"/>
    <w:rsid w:val="00383CBE"/>
    <w:rsid w:val="00386187"/>
    <w:rsid w:val="00386DCE"/>
    <w:rsid w:val="00391A87"/>
    <w:rsid w:val="00393501"/>
    <w:rsid w:val="003A475E"/>
    <w:rsid w:val="003A5389"/>
    <w:rsid w:val="003A7BFD"/>
    <w:rsid w:val="003B0FA2"/>
    <w:rsid w:val="003B49F1"/>
    <w:rsid w:val="003B70C0"/>
    <w:rsid w:val="003B73DC"/>
    <w:rsid w:val="003C1923"/>
    <w:rsid w:val="003C352C"/>
    <w:rsid w:val="003C494D"/>
    <w:rsid w:val="003C79BA"/>
    <w:rsid w:val="003D4596"/>
    <w:rsid w:val="003D58C0"/>
    <w:rsid w:val="003E086F"/>
    <w:rsid w:val="003E15A1"/>
    <w:rsid w:val="003E3C74"/>
    <w:rsid w:val="003E579E"/>
    <w:rsid w:val="003E60E7"/>
    <w:rsid w:val="003E6B39"/>
    <w:rsid w:val="003F3477"/>
    <w:rsid w:val="004000BC"/>
    <w:rsid w:val="004040DB"/>
    <w:rsid w:val="00404646"/>
    <w:rsid w:val="004052C1"/>
    <w:rsid w:val="004064BC"/>
    <w:rsid w:val="0041196F"/>
    <w:rsid w:val="00412E37"/>
    <w:rsid w:val="00414553"/>
    <w:rsid w:val="00414A47"/>
    <w:rsid w:val="00416CE4"/>
    <w:rsid w:val="0042579B"/>
    <w:rsid w:val="00427923"/>
    <w:rsid w:val="00427C76"/>
    <w:rsid w:val="0043225F"/>
    <w:rsid w:val="00433E2C"/>
    <w:rsid w:val="0043450B"/>
    <w:rsid w:val="004357DF"/>
    <w:rsid w:val="004402DC"/>
    <w:rsid w:val="004458DB"/>
    <w:rsid w:val="00446A60"/>
    <w:rsid w:val="00450A70"/>
    <w:rsid w:val="0045406A"/>
    <w:rsid w:val="00461629"/>
    <w:rsid w:val="004635FD"/>
    <w:rsid w:val="00463C21"/>
    <w:rsid w:val="00465093"/>
    <w:rsid w:val="0046524D"/>
    <w:rsid w:val="0047050A"/>
    <w:rsid w:val="0047058E"/>
    <w:rsid w:val="00473485"/>
    <w:rsid w:val="00474AB6"/>
    <w:rsid w:val="0047758F"/>
    <w:rsid w:val="004776DF"/>
    <w:rsid w:val="004809AF"/>
    <w:rsid w:val="00481127"/>
    <w:rsid w:val="00485794"/>
    <w:rsid w:val="0048787C"/>
    <w:rsid w:val="0049016E"/>
    <w:rsid w:val="004918B3"/>
    <w:rsid w:val="00493059"/>
    <w:rsid w:val="0049328D"/>
    <w:rsid w:val="00493CB0"/>
    <w:rsid w:val="00494FCE"/>
    <w:rsid w:val="004965CB"/>
    <w:rsid w:val="0049730D"/>
    <w:rsid w:val="004A02EB"/>
    <w:rsid w:val="004A10E8"/>
    <w:rsid w:val="004A161E"/>
    <w:rsid w:val="004A66CE"/>
    <w:rsid w:val="004B4863"/>
    <w:rsid w:val="004C0E85"/>
    <w:rsid w:val="004D1F19"/>
    <w:rsid w:val="004D24F6"/>
    <w:rsid w:val="004D2DEE"/>
    <w:rsid w:val="004D3AF5"/>
    <w:rsid w:val="004D6F20"/>
    <w:rsid w:val="004E07C9"/>
    <w:rsid w:val="004E14CC"/>
    <w:rsid w:val="004E3354"/>
    <w:rsid w:val="004E72E3"/>
    <w:rsid w:val="004F2E04"/>
    <w:rsid w:val="004F3714"/>
    <w:rsid w:val="004F6746"/>
    <w:rsid w:val="005031D9"/>
    <w:rsid w:val="00503C22"/>
    <w:rsid w:val="00505355"/>
    <w:rsid w:val="00505DBB"/>
    <w:rsid w:val="005129D0"/>
    <w:rsid w:val="00512C56"/>
    <w:rsid w:val="0051405A"/>
    <w:rsid w:val="00514ED8"/>
    <w:rsid w:val="00517731"/>
    <w:rsid w:val="00517BE0"/>
    <w:rsid w:val="00520114"/>
    <w:rsid w:val="0052142B"/>
    <w:rsid w:val="0052435A"/>
    <w:rsid w:val="005308B7"/>
    <w:rsid w:val="005328D7"/>
    <w:rsid w:val="00534A76"/>
    <w:rsid w:val="00536ADB"/>
    <w:rsid w:val="00542AF1"/>
    <w:rsid w:val="00542F1F"/>
    <w:rsid w:val="00544011"/>
    <w:rsid w:val="00544DD8"/>
    <w:rsid w:val="00544EEE"/>
    <w:rsid w:val="00545C4D"/>
    <w:rsid w:val="00553F1B"/>
    <w:rsid w:val="00556620"/>
    <w:rsid w:val="005625FF"/>
    <w:rsid w:val="005672B0"/>
    <w:rsid w:val="0057192A"/>
    <w:rsid w:val="00572AE0"/>
    <w:rsid w:val="005742E1"/>
    <w:rsid w:val="0057517D"/>
    <w:rsid w:val="00575E7A"/>
    <w:rsid w:val="00586810"/>
    <w:rsid w:val="0058692F"/>
    <w:rsid w:val="00590567"/>
    <w:rsid w:val="00591619"/>
    <w:rsid w:val="005950C8"/>
    <w:rsid w:val="005A2881"/>
    <w:rsid w:val="005A558D"/>
    <w:rsid w:val="005A61CF"/>
    <w:rsid w:val="005A77BF"/>
    <w:rsid w:val="005B0C47"/>
    <w:rsid w:val="005B12E2"/>
    <w:rsid w:val="005B5E08"/>
    <w:rsid w:val="005C136D"/>
    <w:rsid w:val="005C3B4E"/>
    <w:rsid w:val="005C59EC"/>
    <w:rsid w:val="005C5BCE"/>
    <w:rsid w:val="005C5E2A"/>
    <w:rsid w:val="005C7106"/>
    <w:rsid w:val="005D3237"/>
    <w:rsid w:val="005D3781"/>
    <w:rsid w:val="005D4C14"/>
    <w:rsid w:val="005D6FA6"/>
    <w:rsid w:val="005E092C"/>
    <w:rsid w:val="005E09E8"/>
    <w:rsid w:val="005E1FDD"/>
    <w:rsid w:val="005E5CE3"/>
    <w:rsid w:val="005F01FE"/>
    <w:rsid w:val="005F41AC"/>
    <w:rsid w:val="005F4B1A"/>
    <w:rsid w:val="005F6000"/>
    <w:rsid w:val="005F65D1"/>
    <w:rsid w:val="006042D7"/>
    <w:rsid w:val="00606EE6"/>
    <w:rsid w:val="00606FD8"/>
    <w:rsid w:val="006109BA"/>
    <w:rsid w:val="00614311"/>
    <w:rsid w:val="006169B3"/>
    <w:rsid w:val="0062127E"/>
    <w:rsid w:val="00623245"/>
    <w:rsid w:val="0062374E"/>
    <w:rsid w:val="00626703"/>
    <w:rsid w:val="0063277E"/>
    <w:rsid w:val="00633CFD"/>
    <w:rsid w:val="00634683"/>
    <w:rsid w:val="00634934"/>
    <w:rsid w:val="00635F84"/>
    <w:rsid w:val="006375F9"/>
    <w:rsid w:val="0064309F"/>
    <w:rsid w:val="00645C70"/>
    <w:rsid w:val="00650D4F"/>
    <w:rsid w:val="00651AAC"/>
    <w:rsid w:val="00653055"/>
    <w:rsid w:val="006535E3"/>
    <w:rsid w:val="00653B9E"/>
    <w:rsid w:val="006577C7"/>
    <w:rsid w:val="00657F9A"/>
    <w:rsid w:val="0066162E"/>
    <w:rsid w:val="00663D87"/>
    <w:rsid w:val="00664507"/>
    <w:rsid w:val="00675B33"/>
    <w:rsid w:val="00676FC2"/>
    <w:rsid w:val="00683DF6"/>
    <w:rsid w:val="00684357"/>
    <w:rsid w:val="0069239B"/>
    <w:rsid w:val="00692889"/>
    <w:rsid w:val="0069419F"/>
    <w:rsid w:val="006946E4"/>
    <w:rsid w:val="00697480"/>
    <w:rsid w:val="006978AC"/>
    <w:rsid w:val="006A6C61"/>
    <w:rsid w:val="006B0034"/>
    <w:rsid w:val="006B1343"/>
    <w:rsid w:val="006B17AB"/>
    <w:rsid w:val="006B5C65"/>
    <w:rsid w:val="006B5E9D"/>
    <w:rsid w:val="006B6633"/>
    <w:rsid w:val="006B6A8B"/>
    <w:rsid w:val="006C0077"/>
    <w:rsid w:val="006C105A"/>
    <w:rsid w:val="006C54B3"/>
    <w:rsid w:val="006C5CA3"/>
    <w:rsid w:val="006D3C46"/>
    <w:rsid w:val="006D5862"/>
    <w:rsid w:val="006D6175"/>
    <w:rsid w:val="006E2860"/>
    <w:rsid w:val="006E2F03"/>
    <w:rsid w:val="006F0547"/>
    <w:rsid w:val="006F2376"/>
    <w:rsid w:val="006F29A4"/>
    <w:rsid w:val="006F4419"/>
    <w:rsid w:val="006F6603"/>
    <w:rsid w:val="006F79D5"/>
    <w:rsid w:val="0070396C"/>
    <w:rsid w:val="007055C5"/>
    <w:rsid w:val="007055D3"/>
    <w:rsid w:val="007065AB"/>
    <w:rsid w:val="007071C6"/>
    <w:rsid w:val="00711F24"/>
    <w:rsid w:val="00715DB7"/>
    <w:rsid w:val="0071633F"/>
    <w:rsid w:val="00716890"/>
    <w:rsid w:val="00716C09"/>
    <w:rsid w:val="0071796D"/>
    <w:rsid w:val="007217DE"/>
    <w:rsid w:val="007272FE"/>
    <w:rsid w:val="007303C7"/>
    <w:rsid w:val="00734D92"/>
    <w:rsid w:val="0073543A"/>
    <w:rsid w:val="007366A3"/>
    <w:rsid w:val="00741F6B"/>
    <w:rsid w:val="00742E3C"/>
    <w:rsid w:val="007451DF"/>
    <w:rsid w:val="007500FF"/>
    <w:rsid w:val="00750EA0"/>
    <w:rsid w:val="00751372"/>
    <w:rsid w:val="00751F11"/>
    <w:rsid w:val="00753536"/>
    <w:rsid w:val="007561FD"/>
    <w:rsid w:val="00756AB7"/>
    <w:rsid w:val="007657B9"/>
    <w:rsid w:val="00772364"/>
    <w:rsid w:val="00772679"/>
    <w:rsid w:val="00775952"/>
    <w:rsid w:val="00780D50"/>
    <w:rsid w:val="00781C7B"/>
    <w:rsid w:val="007844CF"/>
    <w:rsid w:val="00784790"/>
    <w:rsid w:val="00784C9B"/>
    <w:rsid w:val="00791140"/>
    <w:rsid w:val="0079417E"/>
    <w:rsid w:val="00794D3E"/>
    <w:rsid w:val="007A0185"/>
    <w:rsid w:val="007A43D5"/>
    <w:rsid w:val="007A4B47"/>
    <w:rsid w:val="007B344D"/>
    <w:rsid w:val="007B35BD"/>
    <w:rsid w:val="007B3E24"/>
    <w:rsid w:val="007B545B"/>
    <w:rsid w:val="007C306F"/>
    <w:rsid w:val="007C5286"/>
    <w:rsid w:val="007C5A91"/>
    <w:rsid w:val="007D2CBC"/>
    <w:rsid w:val="007D452D"/>
    <w:rsid w:val="007D4ECD"/>
    <w:rsid w:val="007D565A"/>
    <w:rsid w:val="007E0865"/>
    <w:rsid w:val="007E2870"/>
    <w:rsid w:val="007E43D6"/>
    <w:rsid w:val="007E6AA9"/>
    <w:rsid w:val="007F08CD"/>
    <w:rsid w:val="007F3E3D"/>
    <w:rsid w:val="007F4B10"/>
    <w:rsid w:val="007F4D61"/>
    <w:rsid w:val="00800176"/>
    <w:rsid w:val="008018DA"/>
    <w:rsid w:val="0080318B"/>
    <w:rsid w:val="00803CA8"/>
    <w:rsid w:val="00804BC0"/>
    <w:rsid w:val="00805600"/>
    <w:rsid w:val="00805F25"/>
    <w:rsid w:val="008064E7"/>
    <w:rsid w:val="00811BB6"/>
    <w:rsid w:val="00811CFB"/>
    <w:rsid w:val="0081250F"/>
    <w:rsid w:val="008126E2"/>
    <w:rsid w:val="00821F4A"/>
    <w:rsid w:val="00824382"/>
    <w:rsid w:val="00830B4C"/>
    <w:rsid w:val="008355B8"/>
    <w:rsid w:val="008356CC"/>
    <w:rsid w:val="00836AC3"/>
    <w:rsid w:val="00836CA5"/>
    <w:rsid w:val="0084287B"/>
    <w:rsid w:val="00847AFD"/>
    <w:rsid w:val="00861E2B"/>
    <w:rsid w:val="00862D79"/>
    <w:rsid w:val="00865360"/>
    <w:rsid w:val="00866F71"/>
    <w:rsid w:val="00867C02"/>
    <w:rsid w:val="00867EF1"/>
    <w:rsid w:val="00871407"/>
    <w:rsid w:val="0087261F"/>
    <w:rsid w:val="00875C04"/>
    <w:rsid w:val="00881308"/>
    <w:rsid w:val="008822D4"/>
    <w:rsid w:val="00883038"/>
    <w:rsid w:val="00890054"/>
    <w:rsid w:val="008902AF"/>
    <w:rsid w:val="0089238C"/>
    <w:rsid w:val="00892787"/>
    <w:rsid w:val="00894773"/>
    <w:rsid w:val="00895EFF"/>
    <w:rsid w:val="008A4E5E"/>
    <w:rsid w:val="008B04A1"/>
    <w:rsid w:val="008B33F3"/>
    <w:rsid w:val="008B3BB3"/>
    <w:rsid w:val="008B4EDB"/>
    <w:rsid w:val="008B6148"/>
    <w:rsid w:val="008B7E7C"/>
    <w:rsid w:val="008C09B1"/>
    <w:rsid w:val="008C0CEF"/>
    <w:rsid w:val="008C10FE"/>
    <w:rsid w:val="008C6D0B"/>
    <w:rsid w:val="008D2596"/>
    <w:rsid w:val="008D3532"/>
    <w:rsid w:val="008D4FCF"/>
    <w:rsid w:val="008D7D3E"/>
    <w:rsid w:val="008E2671"/>
    <w:rsid w:val="008E2E05"/>
    <w:rsid w:val="008E46A0"/>
    <w:rsid w:val="008E5E02"/>
    <w:rsid w:val="008E6672"/>
    <w:rsid w:val="008E6C06"/>
    <w:rsid w:val="00900755"/>
    <w:rsid w:val="00900D73"/>
    <w:rsid w:val="009065CC"/>
    <w:rsid w:val="0091300A"/>
    <w:rsid w:val="00915CD9"/>
    <w:rsid w:val="00921E58"/>
    <w:rsid w:val="00931493"/>
    <w:rsid w:val="00931E8C"/>
    <w:rsid w:val="009332A3"/>
    <w:rsid w:val="00933B92"/>
    <w:rsid w:val="00934516"/>
    <w:rsid w:val="00937F56"/>
    <w:rsid w:val="00946476"/>
    <w:rsid w:val="00950211"/>
    <w:rsid w:val="009548F2"/>
    <w:rsid w:val="00956DBF"/>
    <w:rsid w:val="009574CB"/>
    <w:rsid w:val="009619B1"/>
    <w:rsid w:val="00961FF8"/>
    <w:rsid w:val="00962A6F"/>
    <w:rsid w:val="009674B7"/>
    <w:rsid w:val="00970FA9"/>
    <w:rsid w:val="00972C10"/>
    <w:rsid w:val="00973852"/>
    <w:rsid w:val="00977DEF"/>
    <w:rsid w:val="00980ECF"/>
    <w:rsid w:val="00982555"/>
    <w:rsid w:val="00982DFF"/>
    <w:rsid w:val="00984627"/>
    <w:rsid w:val="00994844"/>
    <w:rsid w:val="00996D7B"/>
    <w:rsid w:val="009A1406"/>
    <w:rsid w:val="009A2823"/>
    <w:rsid w:val="009A5171"/>
    <w:rsid w:val="009A54B9"/>
    <w:rsid w:val="009A6CE7"/>
    <w:rsid w:val="009B0A53"/>
    <w:rsid w:val="009B0A6E"/>
    <w:rsid w:val="009B13C4"/>
    <w:rsid w:val="009B1B60"/>
    <w:rsid w:val="009B2859"/>
    <w:rsid w:val="009B4BB6"/>
    <w:rsid w:val="009B5C5E"/>
    <w:rsid w:val="009C55FB"/>
    <w:rsid w:val="009D1192"/>
    <w:rsid w:val="009D1987"/>
    <w:rsid w:val="009D1D0E"/>
    <w:rsid w:val="009D4C15"/>
    <w:rsid w:val="009D62CE"/>
    <w:rsid w:val="009D672A"/>
    <w:rsid w:val="009D6F2D"/>
    <w:rsid w:val="009D73ED"/>
    <w:rsid w:val="009E3E77"/>
    <w:rsid w:val="009E498B"/>
    <w:rsid w:val="009E4FBF"/>
    <w:rsid w:val="009E52B0"/>
    <w:rsid w:val="009E77B8"/>
    <w:rsid w:val="009F0691"/>
    <w:rsid w:val="009F0D57"/>
    <w:rsid w:val="009F4749"/>
    <w:rsid w:val="009F741A"/>
    <w:rsid w:val="00A01484"/>
    <w:rsid w:val="00A023CE"/>
    <w:rsid w:val="00A02432"/>
    <w:rsid w:val="00A03343"/>
    <w:rsid w:val="00A04C5F"/>
    <w:rsid w:val="00A07884"/>
    <w:rsid w:val="00A11B23"/>
    <w:rsid w:val="00A12D7F"/>
    <w:rsid w:val="00A12E75"/>
    <w:rsid w:val="00A14D83"/>
    <w:rsid w:val="00A15F3B"/>
    <w:rsid w:val="00A17DD0"/>
    <w:rsid w:val="00A2040E"/>
    <w:rsid w:val="00A22004"/>
    <w:rsid w:val="00A23869"/>
    <w:rsid w:val="00A24DE2"/>
    <w:rsid w:val="00A3195B"/>
    <w:rsid w:val="00A3491B"/>
    <w:rsid w:val="00A37DE0"/>
    <w:rsid w:val="00A42AC3"/>
    <w:rsid w:val="00A43BF0"/>
    <w:rsid w:val="00A43F9C"/>
    <w:rsid w:val="00A4762A"/>
    <w:rsid w:val="00A502E1"/>
    <w:rsid w:val="00A506F0"/>
    <w:rsid w:val="00A5366C"/>
    <w:rsid w:val="00A57D7E"/>
    <w:rsid w:val="00A60133"/>
    <w:rsid w:val="00A601BC"/>
    <w:rsid w:val="00A604F2"/>
    <w:rsid w:val="00A60975"/>
    <w:rsid w:val="00A609B0"/>
    <w:rsid w:val="00A62F52"/>
    <w:rsid w:val="00A67BF9"/>
    <w:rsid w:val="00A7021C"/>
    <w:rsid w:val="00A711B3"/>
    <w:rsid w:val="00A72719"/>
    <w:rsid w:val="00A82C08"/>
    <w:rsid w:val="00A83173"/>
    <w:rsid w:val="00A83CFA"/>
    <w:rsid w:val="00A84427"/>
    <w:rsid w:val="00A91FEE"/>
    <w:rsid w:val="00A95628"/>
    <w:rsid w:val="00A95AE4"/>
    <w:rsid w:val="00A96144"/>
    <w:rsid w:val="00A97249"/>
    <w:rsid w:val="00AA09DB"/>
    <w:rsid w:val="00AA125A"/>
    <w:rsid w:val="00AA1A50"/>
    <w:rsid w:val="00AA2E59"/>
    <w:rsid w:val="00AA5BD1"/>
    <w:rsid w:val="00AA5CA2"/>
    <w:rsid w:val="00AB45E9"/>
    <w:rsid w:val="00AB7B96"/>
    <w:rsid w:val="00AC30EE"/>
    <w:rsid w:val="00AC3B20"/>
    <w:rsid w:val="00AC45E7"/>
    <w:rsid w:val="00AC4920"/>
    <w:rsid w:val="00AC6374"/>
    <w:rsid w:val="00AC6518"/>
    <w:rsid w:val="00AC78B8"/>
    <w:rsid w:val="00AD1D93"/>
    <w:rsid w:val="00AD60AE"/>
    <w:rsid w:val="00AE22E6"/>
    <w:rsid w:val="00AE7888"/>
    <w:rsid w:val="00AF12FB"/>
    <w:rsid w:val="00AF4398"/>
    <w:rsid w:val="00B03CC6"/>
    <w:rsid w:val="00B04DBB"/>
    <w:rsid w:val="00B0669A"/>
    <w:rsid w:val="00B1184F"/>
    <w:rsid w:val="00B20C8E"/>
    <w:rsid w:val="00B24CE5"/>
    <w:rsid w:val="00B25FBC"/>
    <w:rsid w:val="00B3083C"/>
    <w:rsid w:val="00B309D6"/>
    <w:rsid w:val="00B338CC"/>
    <w:rsid w:val="00B3419F"/>
    <w:rsid w:val="00B35EE3"/>
    <w:rsid w:val="00B3782B"/>
    <w:rsid w:val="00B41F80"/>
    <w:rsid w:val="00B43CA3"/>
    <w:rsid w:val="00B446F3"/>
    <w:rsid w:val="00B53DA9"/>
    <w:rsid w:val="00B54CC3"/>
    <w:rsid w:val="00B5631C"/>
    <w:rsid w:val="00B5692C"/>
    <w:rsid w:val="00B608DD"/>
    <w:rsid w:val="00B60CCF"/>
    <w:rsid w:val="00B64081"/>
    <w:rsid w:val="00B64B6C"/>
    <w:rsid w:val="00B678E0"/>
    <w:rsid w:val="00B711F2"/>
    <w:rsid w:val="00B72A15"/>
    <w:rsid w:val="00B76AC3"/>
    <w:rsid w:val="00B84889"/>
    <w:rsid w:val="00B8757A"/>
    <w:rsid w:val="00B95207"/>
    <w:rsid w:val="00BA12EA"/>
    <w:rsid w:val="00BA1C87"/>
    <w:rsid w:val="00BA41E4"/>
    <w:rsid w:val="00BA5CFF"/>
    <w:rsid w:val="00BA6A74"/>
    <w:rsid w:val="00BA76CC"/>
    <w:rsid w:val="00BB046B"/>
    <w:rsid w:val="00BB0F28"/>
    <w:rsid w:val="00BB3DAA"/>
    <w:rsid w:val="00BC199C"/>
    <w:rsid w:val="00BC309F"/>
    <w:rsid w:val="00BC30BB"/>
    <w:rsid w:val="00BC388C"/>
    <w:rsid w:val="00BC6823"/>
    <w:rsid w:val="00BC782A"/>
    <w:rsid w:val="00BD051C"/>
    <w:rsid w:val="00BD12A3"/>
    <w:rsid w:val="00BE60AE"/>
    <w:rsid w:val="00BF4A0D"/>
    <w:rsid w:val="00C004FA"/>
    <w:rsid w:val="00C10204"/>
    <w:rsid w:val="00C1303A"/>
    <w:rsid w:val="00C16550"/>
    <w:rsid w:val="00C17690"/>
    <w:rsid w:val="00C202BE"/>
    <w:rsid w:val="00C23DA4"/>
    <w:rsid w:val="00C24A09"/>
    <w:rsid w:val="00C27660"/>
    <w:rsid w:val="00C27839"/>
    <w:rsid w:val="00C27F0C"/>
    <w:rsid w:val="00C31119"/>
    <w:rsid w:val="00C314A7"/>
    <w:rsid w:val="00C3342A"/>
    <w:rsid w:val="00C336A6"/>
    <w:rsid w:val="00C3379A"/>
    <w:rsid w:val="00C342A5"/>
    <w:rsid w:val="00C34300"/>
    <w:rsid w:val="00C41475"/>
    <w:rsid w:val="00C42292"/>
    <w:rsid w:val="00C4645D"/>
    <w:rsid w:val="00C47136"/>
    <w:rsid w:val="00C509BE"/>
    <w:rsid w:val="00C51D62"/>
    <w:rsid w:val="00C57552"/>
    <w:rsid w:val="00C61363"/>
    <w:rsid w:val="00C621E7"/>
    <w:rsid w:val="00C66D17"/>
    <w:rsid w:val="00C67F26"/>
    <w:rsid w:val="00C73BFF"/>
    <w:rsid w:val="00C7765E"/>
    <w:rsid w:val="00C83AA7"/>
    <w:rsid w:val="00C85A7D"/>
    <w:rsid w:val="00C867B4"/>
    <w:rsid w:val="00C87F87"/>
    <w:rsid w:val="00C92087"/>
    <w:rsid w:val="00C92C17"/>
    <w:rsid w:val="00C959D3"/>
    <w:rsid w:val="00CA4226"/>
    <w:rsid w:val="00CB0933"/>
    <w:rsid w:val="00CB1FC6"/>
    <w:rsid w:val="00CB4A67"/>
    <w:rsid w:val="00CB4DE2"/>
    <w:rsid w:val="00CC281F"/>
    <w:rsid w:val="00CC2F31"/>
    <w:rsid w:val="00CC75F7"/>
    <w:rsid w:val="00CC7A42"/>
    <w:rsid w:val="00CE0404"/>
    <w:rsid w:val="00CE336A"/>
    <w:rsid w:val="00CE3400"/>
    <w:rsid w:val="00CE5602"/>
    <w:rsid w:val="00CF694D"/>
    <w:rsid w:val="00CF6AB0"/>
    <w:rsid w:val="00CF7BCE"/>
    <w:rsid w:val="00D024FA"/>
    <w:rsid w:val="00D077ED"/>
    <w:rsid w:val="00D1099D"/>
    <w:rsid w:val="00D121DA"/>
    <w:rsid w:val="00D131CA"/>
    <w:rsid w:val="00D25393"/>
    <w:rsid w:val="00D30FC8"/>
    <w:rsid w:val="00D37B89"/>
    <w:rsid w:val="00D37BC7"/>
    <w:rsid w:val="00D50180"/>
    <w:rsid w:val="00D570D5"/>
    <w:rsid w:val="00D65711"/>
    <w:rsid w:val="00D720D9"/>
    <w:rsid w:val="00D72936"/>
    <w:rsid w:val="00D73713"/>
    <w:rsid w:val="00D77CFE"/>
    <w:rsid w:val="00D82225"/>
    <w:rsid w:val="00D825FB"/>
    <w:rsid w:val="00D827C4"/>
    <w:rsid w:val="00D83A65"/>
    <w:rsid w:val="00D840EE"/>
    <w:rsid w:val="00D8423A"/>
    <w:rsid w:val="00D84C23"/>
    <w:rsid w:val="00D86872"/>
    <w:rsid w:val="00D87C39"/>
    <w:rsid w:val="00D9334C"/>
    <w:rsid w:val="00D93FC6"/>
    <w:rsid w:val="00DA0472"/>
    <w:rsid w:val="00DA58D4"/>
    <w:rsid w:val="00DA7193"/>
    <w:rsid w:val="00DB546B"/>
    <w:rsid w:val="00DB55CF"/>
    <w:rsid w:val="00DB5AAD"/>
    <w:rsid w:val="00DC119C"/>
    <w:rsid w:val="00DC4741"/>
    <w:rsid w:val="00DD1769"/>
    <w:rsid w:val="00DD2489"/>
    <w:rsid w:val="00DD5CDD"/>
    <w:rsid w:val="00DF137A"/>
    <w:rsid w:val="00DF165F"/>
    <w:rsid w:val="00DF5A65"/>
    <w:rsid w:val="00DF5A71"/>
    <w:rsid w:val="00E01904"/>
    <w:rsid w:val="00E0215A"/>
    <w:rsid w:val="00E07279"/>
    <w:rsid w:val="00E11B02"/>
    <w:rsid w:val="00E12EB3"/>
    <w:rsid w:val="00E1458A"/>
    <w:rsid w:val="00E15D9F"/>
    <w:rsid w:val="00E16D4C"/>
    <w:rsid w:val="00E170CB"/>
    <w:rsid w:val="00E21F49"/>
    <w:rsid w:val="00E233BB"/>
    <w:rsid w:val="00E2731C"/>
    <w:rsid w:val="00E305AD"/>
    <w:rsid w:val="00E311BE"/>
    <w:rsid w:val="00E33E00"/>
    <w:rsid w:val="00E35918"/>
    <w:rsid w:val="00E37F38"/>
    <w:rsid w:val="00E45A4B"/>
    <w:rsid w:val="00E54792"/>
    <w:rsid w:val="00E547CD"/>
    <w:rsid w:val="00E54A18"/>
    <w:rsid w:val="00E56BFF"/>
    <w:rsid w:val="00E57CE9"/>
    <w:rsid w:val="00E60E8C"/>
    <w:rsid w:val="00E64527"/>
    <w:rsid w:val="00E64D60"/>
    <w:rsid w:val="00E66470"/>
    <w:rsid w:val="00E67128"/>
    <w:rsid w:val="00E67888"/>
    <w:rsid w:val="00E72683"/>
    <w:rsid w:val="00E740A3"/>
    <w:rsid w:val="00E7419C"/>
    <w:rsid w:val="00E74FB4"/>
    <w:rsid w:val="00E804DC"/>
    <w:rsid w:val="00E812D2"/>
    <w:rsid w:val="00E8132D"/>
    <w:rsid w:val="00E84DFC"/>
    <w:rsid w:val="00E85185"/>
    <w:rsid w:val="00E851B4"/>
    <w:rsid w:val="00E87CC5"/>
    <w:rsid w:val="00E9144A"/>
    <w:rsid w:val="00E92974"/>
    <w:rsid w:val="00E92B54"/>
    <w:rsid w:val="00E9300C"/>
    <w:rsid w:val="00E95EF6"/>
    <w:rsid w:val="00E96570"/>
    <w:rsid w:val="00EA07A3"/>
    <w:rsid w:val="00EA0975"/>
    <w:rsid w:val="00EA1579"/>
    <w:rsid w:val="00EA2131"/>
    <w:rsid w:val="00EA30DC"/>
    <w:rsid w:val="00EA326C"/>
    <w:rsid w:val="00EA3B54"/>
    <w:rsid w:val="00EA53CC"/>
    <w:rsid w:val="00EA7328"/>
    <w:rsid w:val="00EB0603"/>
    <w:rsid w:val="00EB35ED"/>
    <w:rsid w:val="00EB7ADF"/>
    <w:rsid w:val="00EC0880"/>
    <w:rsid w:val="00EC12A0"/>
    <w:rsid w:val="00EC2605"/>
    <w:rsid w:val="00EC2EBB"/>
    <w:rsid w:val="00EC321B"/>
    <w:rsid w:val="00EC50DF"/>
    <w:rsid w:val="00EC6217"/>
    <w:rsid w:val="00EC64E4"/>
    <w:rsid w:val="00ED03F5"/>
    <w:rsid w:val="00ED1BD1"/>
    <w:rsid w:val="00ED39CF"/>
    <w:rsid w:val="00ED3DA9"/>
    <w:rsid w:val="00ED4367"/>
    <w:rsid w:val="00ED51FC"/>
    <w:rsid w:val="00ED6AB8"/>
    <w:rsid w:val="00ED73A5"/>
    <w:rsid w:val="00EE19A7"/>
    <w:rsid w:val="00EE2CA4"/>
    <w:rsid w:val="00EE6C5E"/>
    <w:rsid w:val="00EE6E77"/>
    <w:rsid w:val="00EF21AE"/>
    <w:rsid w:val="00EF3605"/>
    <w:rsid w:val="00EF3E02"/>
    <w:rsid w:val="00EF3F9C"/>
    <w:rsid w:val="00EF5E93"/>
    <w:rsid w:val="00EF63D9"/>
    <w:rsid w:val="00F0030E"/>
    <w:rsid w:val="00F00A11"/>
    <w:rsid w:val="00F012BD"/>
    <w:rsid w:val="00F0219D"/>
    <w:rsid w:val="00F023E1"/>
    <w:rsid w:val="00F06720"/>
    <w:rsid w:val="00F10DB7"/>
    <w:rsid w:val="00F136C1"/>
    <w:rsid w:val="00F153BF"/>
    <w:rsid w:val="00F1649E"/>
    <w:rsid w:val="00F17C16"/>
    <w:rsid w:val="00F207F2"/>
    <w:rsid w:val="00F21422"/>
    <w:rsid w:val="00F21F70"/>
    <w:rsid w:val="00F23704"/>
    <w:rsid w:val="00F3086C"/>
    <w:rsid w:val="00F31640"/>
    <w:rsid w:val="00F35D9C"/>
    <w:rsid w:val="00F44F1F"/>
    <w:rsid w:val="00F458A6"/>
    <w:rsid w:val="00F50C50"/>
    <w:rsid w:val="00F51D95"/>
    <w:rsid w:val="00F53885"/>
    <w:rsid w:val="00F55A8F"/>
    <w:rsid w:val="00F6388F"/>
    <w:rsid w:val="00F761E0"/>
    <w:rsid w:val="00F76298"/>
    <w:rsid w:val="00F76B13"/>
    <w:rsid w:val="00F8084F"/>
    <w:rsid w:val="00F81AAF"/>
    <w:rsid w:val="00F82648"/>
    <w:rsid w:val="00F871A1"/>
    <w:rsid w:val="00F8737D"/>
    <w:rsid w:val="00F877A2"/>
    <w:rsid w:val="00F90BD9"/>
    <w:rsid w:val="00F93E5C"/>
    <w:rsid w:val="00F9455D"/>
    <w:rsid w:val="00F96841"/>
    <w:rsid w:val="00F97F45"/>
    <w:rsid w:val="00FA0A2D"/>
    <w:rsid w:val="00FA5218"/>
    <w:rsid w:val="00FA5AFA"/>
    <w:rsid w:val="00FA73B7"/>
    <w:rsid w:val="00FA7728"/>
    <w:rsid w:val="00FB1574"/>
    <w:rsid w:val="00FB265D"/>
    <w:rsid w:val="00FB55F1"/>
    <w:rsid w:val="00FB5AC4"/>
    <w:rsid w:val="00FB5E32"/>
    <w:rsid w:val="00FB7F95"/>
    <w:rsid w:val="00FC1EDC"/>
    <w:rsid w:val="00FC2050"/>
    <w:rsid w:val="00FC30D1"/>
    <w:rsid w:val="00FC34E1"/>
    <w:rsid w:val="00FC781A"/>
    <w:rsid w:val="00FD3256"/>
    <w:rsid w:val="00FE1330"/>
    <w:rsid w:val="00FE1828"/>
    <w:rsid w:val="00FE4B29"/>
    <w:rsid w:val="00FE65B7"/>
    <w:rsid w:val="00FE6992"/>
    <w:rsid w:val="00FF0125"/>
    <w:rsid w:val="00FF2FDE"/>
    <w:rsid w:val="00FF3886"/>
    <w:rsid w:val="00FF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D555A"/>
  <w15:docId w15:val="{E9D3C955-54BC-45B7-A401-36E83937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E66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F021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240395"/>
    <w:pPr>
      <w:keepNext/>
      <w:jc w:val="center"/>
      <w:outlineLvl w:val="5"/>
    </w:pPr>
    <w:rPr>
      <w:b/>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0395"/>
    <w:rPr>
      <w:rFonts w:ascii="Times New Roman" w:eastAsia="Times New Roman" w:hAnsi="Times New Roman" w:cs="Times New Roman"/>
      <w:b/>
      <w:iCs/>
      <w:sz w:val="24"/>
      <w:szCs w:val="24"/>
      <w:lang w:val="ro-RO"/>
    </w:rPr>
  </w:style>
  <w:style w:type="paragraph" w:styleId="Title">
    <w:name w:val="Title"/>
    <w:basedOn w:val="Normal"/>
    <w:link w:val="TitleChar"/>
    <w:qFormat/>
    <w:rsid w:val="00240395"/>
    <w:pPr>
      <w:jc w:val="center"/>
    </w:pPr>
    <w:rPr>
      <w:b/>
      <w:sz w:val="22"/>
      <w:lang w:val="ro-RO"/>
    </w:rPr>
  </w:style>
  <w:style w:type="character" w:customStyle="1" w:styleId="TitleChar">
    <w:name w:val="Title Char"/>
    <w:basedOn w:val="DefaultParagraphFont"/>
    <w:link w:val="Title"/>
    <w:rsid w:val="00240395"/>
    <w:rPr>
      <w:rFonts w:ascii="Times New Roman" w:eastAsia="Times New Roman" w:hAnsi="Times New Roman" w:cs="Times New Roman"/>
      <w:b/>
      <w:szCs w:val="24"/>
      <w:lang w:val="ro-RO"/>
    </w:rPr>
  </w:style>
  <w:style w:type="character" w:customStyle="1" w:styleId="docheader">
    <w:name w:val="doc_header"/>
    <w:basedOn w:val="DefaultParagraphFont"/>
    <w:rsid w:val="00240395"/>
    <w:rPr>
      <w:rFonts w:cs="Times New Roman"/>
    </w:rPr>
  </w:style>
  <w:style w:type="paragraph" w:styleId="ListParagraph">
    <w:name w:val="List Paragraph"/>
    <w:basedOn w:val="Normal"/>
    <w:uiPriority w:val="1"/>
    <w:qFormat/>
    <w:rsid w:val="00240395"/>
    <w:pPr>
      <w:ind w:left="720"/>
      <w:contextualSpacing/>
    </w:pPr>
  </w:style>
  <w:style w:type="paragraph" w:styleId="BodyText">
    <w:name w:val="Body Text"/>
    <w:basedOn w:val="Normal"/>
    <w:link w:val="BodyTextChar"/>
    <w:rsid w:val="0001243D"/>
    <w:pPr>
      <w:spacing w:after="120"/>
    </w:pPr>
    <w:rPr>
      <w:lang w:val="ru-RU" w:eastAsia="ru-RU"/>
    </w:rPr>
  </w:style>
  <w:style w:type="character" w:customStyle="1" w:styleId="BodyTextChar">
    <w:name w:val="Body Text Char"/>
    <w:basedOn w:val="DefaultParagraphFont"/>
    <w:link w:val="BodyText"/>
    <w:rsid w:val="0001243D"/>
    <w:rPr>
      <w:rFonts w:ascii="Times New Roman" w:eastAsia="Times New Roman" w:hAnsi="Times New Roman" w:cs="Times New Roman"/>
      <w:sz w:val="24"/>
      <w:szCs w:val="24"/>
      <w:lang w:eastAsia="ru-RU"/>
    </w:rPr>
  </w:style>
  <w:style w:type="character" w:customStyle="1" w:styleId="BodytextBold">
    <w:name w:val="Body text + Bold"/>
    <w:aliases w:val="Italic,Spacing 0 pt,Body text + 13 pt"/>
    <w:rsid w:val="0001243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pple-converted-space">
    <w:name w:val="apple-converted-space"/>
    <w:basedOn w:val="DefaultParagraphFont"/>
    <w:rsid w:val="004E07C9"/>
  </w:style>
  <w:style w:type="paragraph" w:styleId="NormalWeb">
    <w:name w:val="Normal (Web)"/>
    <w:aliases w:val="Знак"/>
    <w:basedOn w:val="Normal"/>
    <w:link w:val="NormalWebChar"/>
    <w:uiPriority w:val="99"/>
    <w:unhideWhenUsed/>
    <w:qFormat/>
    <w:rsid w:val="008902AF"/>
    <w:pPr>
      <w:ind w:firstLine="567"/>
      <w:jc w:val="both"/>
    </w:pPr>
    <w:rPr>
      <w:lang w:val="ru-RU" w:eastAsia="ru-RU"/>
    </w:rPr>
  </w:style>
  <w:style w:type="character" w:customStyle="1" w:styleId="NormalWebChar">
    <w:name w:val="Normal (Web) Char"/>
    <w:aliases w:val="Знак Char"/>
    <w:link w:val="NormalWeb"/>
    <w:locked/>
    <w:rsid w:val="008902AF"/>
    <w:rPr>
      <w:rFonts w:ascii="Times New Roman" w:eastAsia="Times New Roman" w:hAnsi="Times New Roman" w:cs="Times New Roman"/>
      <w:sz w:val="24"/>
      <w:szCs w:val="24"/>
      <w:lang w:eastAsia="ru-RU"/>
    </w:rPr>
  </w:style>
  <w:style w:type="character" w:styleId="Hyperlink">
    <w:name w:val="Hyperlink"/>
    <w:basedOn w:val="DefaultParagraphFont"/>
    <w:rsid w:val="008902AF"/>
    <w:rPr>
      <w:rFonts w:ascii="Verdana" w:hAnsi="Verdana" w:hint="default"/>
      <w:color w:val="000000"/>
      <w:sz w:val="17"/>
      <w:szCs w:val="17"/>
      <w:u w:val="single"/>
    </w:rPr>
  </w:style>
  <w:style w:type="character" w:customStyle="1" w:styleId="docblue">
    <w:name w:val="doc_blue"/>
    <w:basedOn w:val="DefaultParagraphFont"/>
    <w:rsid w:val="00716890"/>
  </w:style>
  <w:style w:type="character" w:styleId="CommentReference">
    <w:name w:val="annotation reference"/>
    <w:basedOn w:val="DefaultParagraphFont"/>
    <w:uiPriority w:val="99"/>
    <w:semiHidden/>
    <w:unhideWhenUsed/>
    <w:rsid w:val="003C79BA"/>
    <w:rPr>
      <w:sz w:val="16"/>
      <w:szCs w:val="16"/>
    </w:rPr>
  </w:style>
  <w:style w:type="paragraph" w:styleId="CommentText">
    <w:name w:val="annotation text"/>
    <w:basedOn w:val="Normal"/>
    <w:link w:val="CommentTextChar"/>
    <w:uiPriority w:val="99"/>
    <w:semiHidden/>
    <w:unhideWhenUsed/>
    <w:rsid w:val="003C79BA"/>
    <w:rPr>
      <w:sz w:val="20"/>
      <w:szCs w:val="20"/>
      <w:lang w:val="ru-RU" w:eastAsia="ru-RU"/>
    </w:rPr>
  </w:style>
  <w:style w:type="character" w:customStyle="1" w:styleId="CommentTextChar">
    <w:name w:val="Comment Text Char"/>
    <w:basedOn w:val="DefaultParagraphFont"/>
    <w:link w:val="CommentText"/>
    <w:uiPriority w:val="99"/>
    <w:semiHidden/>
    <w:rsid w:val="003C79BA"/>
    <w:rPr>
      <w:rFonts w:ascii="Times New Roman" w:eastAsia="Times New Roman" w:hAnsi="Times New Roman" w:cs="Times New Roman"/>
      <w:sz w:val="20"/>
      <w:szCs w:val="20"/>
      <w:lang w:eastAsia="ru-RU"/>
    </w:rPr>
  </w:style>
  <w:style w:type="paragraph" w:styleId="BalloonText">
    <w:name w:val="Balloon Text"/>
    <w:basedOn w:val="Normal"/>
    <w:link w:val="BalloonTextChar"/>
    <w:unhideWhenUsed/>
    <w:rsid w:val="003C79BA"/>
    <w:rPr>
      <w:rFonts w:ascii="Tahoma" w:hAnsi="Tahoma" w:cs="Tahoma"/>
      <w:sz w:val="16"/>
      <w:szCs w:val="16"/>
    </w:rPr>
  </w:style>
  <w:style w:type="character" w:customStyle="1" w:styleId="BalloonTextChar">
    <w:name w:val="Balloon Text Char"/>
    <w:basedOn w:val="DefaultParagraphFont"/>
    <w:link w:val="BalloonText"/>
    <w:rsid w:val="003C79BA"/>
    <w:rPr>
      <w:rFonts w:ascii="Tahoma" w:eastAsia="Times New Roman" w:hAnsi="Tahoma" w:cs="Tahoma"/>
      <w:sz w:val="16"/>
      <w:szCs w:val="16"/>
      <w:lang w:val="en-US"/>
    </w:rPr>
  </w:style>
  <w:style w:type="character" w:customStyle="1" w:styleId="2">
    <w:name w:val="Заголовок №2_"/>
    <w:basedOn w:val="DefaultParagraphFont"/>
    <w:rsid w:val="000A6AA5"/>
    <w:rPr>
      <w:rFonts w:ascii="Arial" w:eastAsia="Arial" w:hAnsi="Arial" w:cs="Arial"/>
      <w:b/>
      <w:bCs/>
      <w:i/>
      <w:iCs/>
      <w:smallCaps w:val="0"/>
      <w:strike w:val="0"/>
      <w:sz w:val="22"/>
      <w:szCs w:val="22"/>
      <w:u w:val="none"/>
    </w:rPr>
  </w:style>
  <w:style w:type="character" w:customStyle="1" w:styleId="20">
    <w:name w:val="Заголовок №2"/>
    <w:basedOn w:val="2"/>
    <w:rsid w:val="000A6AA5"/>
    <w:rPr>
      <w:rFonts w:ascii="Arial" w:eastAsia="Arial" w:hAnsi="Arial" w:cs="Arial"/>
      <w:b/>
      <w:bCs/>
      <w:i/>
      <w:iCs/>
      <w:smallCaps w:val="0"/>
      <w:strike w:val="0"/>
      <w:color w:val="0033CC"/>
      <w:spacing w:val="0"/>
      <w:w w:val="100"/>
      <w:position w:val="0"/>
      <w:sz w:val="22"/>
      <w:szCs w:val="22"/>
      <w:u w:val="none"/>
      <w:lang w:val="ro-RO" w:eastAsia="ro-RO" w:bidi="ro-RO"/>
    </w:rPr>
  </w:style>
  <w:style w:type="character" w:customStyle="1" w:styleId="21">
    <w:name w:val="Основной текст (2)_"/>
    <w:basedOn w:val="DefaultParagraphFont"/>
    <w:link w:val="22"/>
    <w:rsid w:val="000A6AA5"/>
    <w:rPr>
      <w:rFonts w:ascii="Arial" w:eastAsia="Arial" w:hAnsi="Arial" w:cs="Arial"/>
      <w:shd w:val="clear" w:color="auto" w:fill="FFFFFF"/>
    </w:rPr>
  </w:style>
  <w:style w:type="character" w:customStyle="1" w:styleId="2115pt">
    <w:name w:val="Основной текст (2) + 11;5 pt;Полужирный"/>
    <w:basedOn w:val="21"/>
    <w:rsid w:val="000A6AA5"/>
    <w:rPr>
      <w:rFonts w:ascii="Arial" w:eastAsia="Arial" w:hAnsi="Arial" w:cs="Arial"/>
      <w:b/>
      <w:bCs/>
      <w:color w:val="000000"/>
      <w:spacing w:val="0"/>
      <w:w w:val="100"/>
      <w:position w:val="0"/>
      <w:sz w:val="23"/>
      <w:szCs w:val="23"/>
      <w:shd w:val="clear" w:color="auto" w:fill="FFFFFF"/>
      <w:lang w:val="ro-RO" w:eastAsia="ro-RO" w:bidi="ro-RO"/>
    </w:rPr>
  </w:style>
  <w:style w:type="character" w:customStyle="1" w:styleId="1">
    <w:name w:val="Заголовок №1_"/>
    <w:basedOn w:val="DefaultParagraphFont"/>
    <w:rsid w:val="000A6AA5"/>
    <w:rPr>
      <w:rFonts w:ascii="Arial" w:eastAsia="Arial" w:hAnsi="Arial" w:cs="Arial"/>
      <w:b/>
      <w:bCs/>
      <w:i w:val="0"/>
      <w:iCs w:val="0"/>
      <w:smallCaps w:val="0"/>
      <w:strike w:val="0"/>
      <w:sz w:val="32"/>
      <w:szCs w:val="32"/>
      <w:u w:val="none"/>
    </w:rPr>
  </w:style>
  <w:style w:type="character" w:customStyle="1" w:styleId="10">
    <w:name w:val="Заголовок №1"/>
    <w:basedOn w:val="1"/>
    <w:rsid w:val="000A6AA5"/>
    <w:rPr>
      <w:rFonts w:ascii="Arial" w:eastAsia="Arial" w:hAnsi="Arial" w:cs="Arial"/>
      <w:b/>
      <w:bCs/>
      <w:i w:val="0"/>
      <w:iCs w:val="0"/>
      <w:smallCaps w:val="0"/>
      <w:strike w:val="0"/>
      <w:color w:val="0033CC"/>
      <w:spacing w:val="0"/>
      <w:w w:val="100"/>
      <w:position w:val="0"/>
      <w:sz w:val="32"/>
      <w:szCs w:val="32"/>
      <w:u w:val="none"/>
      <w:lang w:val="ro-RO" w:eastAsia="ro-RO" w:bidi="ro-RO"/>
    </w:rPr>
  </w:style>
  <w:style w:type="paragraph" w:customStyle="1" w:styleId="22">
    <w:name w:val="Основной текст (2)"/>
    <w:basedOn w:val="Normal"/>
    <w:link w:val="21"/>
    <w:rsid w:val="000A6AA5"/>
    <w:pPr>
      <w:widowControl w:val="0"/>
      <w:shd w:val="clear" w:color="auto" w:fill="FFFFFF"/>
      <w:spacing w:before="380" w:after="260" w:line="264" w:lineRule="exact"/>
      <w:jc w:val="both"/>
    </w:pPr>
    <w:rPr>
      <w:rFonts w:ascii="Arial" w:eastAsia="Arial" w:hAnsi="Arial" w:cs="Arial"/>
      <w:sz w:val="22"/>
      <w:szCs w:val="22"/>
      <w:lang w:val="ru-RU"/>
    </w:rPr>
  </w:style>
  <w:style w:type="character" w:customStyle="1" w:styleId="6">
    <w:name w:val="Основной текст (6)_"/>
    <w:basedOn w:val="DefaultParagraphFont"/>
    <w:link w:val="60"/>
    <w:rsid w:val="000A6AA5"/>
    <w:rPr>
      <w:rFonts w:ascii="Arial" w:eastAsia="Arial" w:hAnsi="Arial" w:cs="Arial"/>
      <w:b/>
      <w:bCs/>
      <w:sz w:val="23"/>
      <w:szCs w:val="23"/>
      <w:shd w:val="clear" w:color="auto" w:fill="FFFFFF"/>
    </w:rPr>
  </w:style>
  <w:style w:type="character" w:customStyle="1" w:styleId="7">
    <w:name w:val="Основной текст (7)_"/>
    <w:basedOn w:val="DefaultParagraphFont"/>
    <w:link w:val="70"/>
    <w:rsid w:val="000A6AA5"/>
    <w:rPr>
      <w:rFonts w:ascii="Arial" w:eastAsia="Arial" w:hAnsi="Arial" w:cs="Arial"/>
      <w:b/>
      <w:bCs/>
      <w:i/>
      <w:iCs/>
      <w:shd w:val="clear" w:color="auto" w:fill="FFFFFF"/>
    </w:rPr>
  </w:style>
  <w:style w:type="paragraph" w:customStyle="1" w:styleId="60">
    <w:name w:val="Основной текст (6)"/>
    <w:basedOn w:val="Normal"/>
    <w:link w:val="6"/>
    <w:rsid w:val="000A6AA5"/>
    <w:pPr>
      <w:widowControl w:val="0"/>
      <w:shd w:val="clear" w:color="auto" w:fill="FFFFFF"/>
      <w:spacing w:after="260" w:line="256" w:lineRule="exact"/>
      <w:jc w:val="both"/>
    </w:pPr>
    <w:rPr>
      <w:rFonts w:ascii="Arial" w:eastAsia="Arial" w:hAnsi="Arial" w:cs="Arial"/>
      <w:b/>
      <w:bCs/>
      <w:sz w:val="23"/>
      <w:szCs w:val="23"/>
      <w:lang w:val="ru-RU"/>
    </w:rPr>
  </w:style>
  <w:style w:type="paragraph" w:customStyle="1" w:styleId="70">
    <w:name w:val="Основной текст (7)"/>
    <w:basedOn w:val="Normal"/>
    <w:link w:val="7"/>
    <w:rsid w:val="000A6AA5"/>
    <w:pPr>
      <w:widowControl w:val="0"/>
      <w:shd w:val="clear" w:color="auto" w:fill="FFFFFF"/>
      <w:spacing w:before="260" w:after="260" w:line="264" w:lineRule="exact"/>
      <w:jc w:val="both"/>
    </w:pPr>
    <w:rPr>
      <w:rFonts w:ascii="Arial" w:eastAsia="Arial" w:hAnsi="Arial" w:cs="Arial"/>
      <w:b/>
      <w:bCs/>
      <w:i/>
      <w:iCs/>
      <w:sz w:val="22"/>
      <w:szCs w:val="22"/>
      <w:lang w:val="ru-RU"/>
    </w:rPr>
  </w:style>
  <w:style w:type="character" w:customStyle="1" w:styleId="a">
    <w:name w:val="Колонтитул_"/>
    <w:basedOn w:val="DefaultParagraphFont"/>
    <w:rsid w:val="000A6AA5"/>
    <w:rPr>
      <w:rFonts w:ascii="Arial" w:eastAsia="Arial" w:hAnsi="Arial" w:cs="Arial"/>
      <w:b/>
      <w:bCs/>
      <w:i/>
      <w:iCs/>
      <w:smallCaps w:val="0"/>
      <w:strike w:val="0"/>
      <w:u w:val="none"/>
    </w:rPr>
  </w:style>
  <w:style w:type="character" w:customStyle="1" w:styleId="a0">
    <w:name w:val="Колонтитул"/>
    <w:basedOn w:val="a"/>
    <w:rsid w:val="000A6AA5"/>
    <w:rPr>
      <w:rFonts w:ascii="Arial" w:eastAsia="Arial" w:hAnsi="Arial" w:cs="Arial"/>
      <w:b/>
      <w:bCs/>
      <w:i/>
      <w:iCs/>
      <w:smallCaps w:val="0"/>
      <w:strike w:val="0"/>
      <w:color w:val="000000"/>
      <w:spacing w:val="0"/>
      <w:w w:val="100"/>
      <w:position w:val="0"/>
      <w:sz w:val="24"/>
      <w:szCs w:val="24"/>
      <w:u w:val="none"/>
      <w:lang w:val="ro-RO" w:eastAsia="ro-RO" w:bidi="ro-RO"/>
    </w:rPr>
  </w:style>
  <w:style w:type="character" w:customStyle="1" w:styleId="212pt">
    <w:name w:val="Основной текст (2) + 12 pt;Курсив"/>
    <w:basedOn w:val="21"/>
    <w:rsid w:val="00DC474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8">
    <w:name w:val="Основной текст (8)_"/>
    <w:basedOn w:val="DefaultParagraphFont"/>
    <w:link w:val="80"/>
    <w:rsid w:val="00DC4741"/>
    <w:rPr>
      <w:rFonts w:ascii="Times New Roman" w:eastAsia="Times New Roman" w:hAnsi="Times New Roman" w:cs="Times New Roman"/>
      <w:b/>
      <w:bCs/>
      <w:i/>
      <w:iCs/>
      <w:shd w:val="clear" w:color="auto" w:fill="FFFFFF"/>
    </w:rPr>
  </w:style>
  <w:style w:type="character" w:customStyle="1" w:styleId="21pt">
    <w:name w:val="Основной текст (2) + Интервал 1 pt"/>
    <w:basedOn w:val="21"/>
    <w:rsid w:val="00DC4741"/>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o-RO" w:eastAsia="ro-RO" w:bidi="ro-RO"/>
    </w:rPr>
  </w:style>
  <w:style w:type="paragraph" w:customStyle="1" w:styleId="80">
    <w:name w:val="Основной текст (8)"/>
    <w:basedOn w:val="Normal"/>
    <w:link w:val="8"/>
    <w:rsid w:val="00DC4741"/>
    <w:pPr>
      <w:widowControl w:val="0"/>
      <w:shd w:val="clear" w:color="auto" w:fill="FFFFFF"/>
      <w:spacing w:before="280" w:after="280" w:line="266" w:lineRule="exact"/>
      <w:jc w:val="both"/>
    </w:pPr>
    <w:rPr>
      <w:b/>
      <w:bCs/>
      <w:i/>
      <w:iCs/>
      <w:sz w:val="22"/>
      <w:szCs w:val="22"/>
      <w:lang w:val="ru-RU"/>
    </w:rPr>
  </w:style>
  <w:style w:type="character" w:customStyle="1" w:styleId="apple-style-span">
    <w:name w:val="apple-style-span"/>
    <w:uiPriority w:val="99"/>
    <w:rsid w:val="00E84DFC"/>
  </w:style>
  <w:style w:type="paragraph" w:customStyle="1" w:styleId="tt">
    <w:name w:val="tt"/>
    <w:basedOn w:val="Normal"/>
    <w:rsid w:val="00446A60"/>
    <w:pPr>
      <w:jc w:val="center"/>
    </w:pPr>
    <w:rPr>
      <w:b/>
      <w:bCs/>
      <w:lang w:val="ru-RU" w:eastAsia="ru-RU"/>
    </w:rPr>
  </w:style>
  <w:style w:type="paragraph" w:customStyle="1" w:styleId="cn">
    <w:name w:val="cn"/>
    <w:basedOn w:val="Normal"/>
    <w:rsid w:val="00446A60"/>
    <w:pPr>
      <w:jc w:val="center"/>
    </w:pPr>
    <w:rPr>
      <w:lang w:val="ru-RU" w:eastAsia="ru-RU"/>
    </w:rPr>
  </w:style>
  <w:style w:type="character" w:customStyle="1" w:styleId="do1">
    <w:name w:val="do1"/>
    <w:basedOn w:val="DefaultParagraphFont"/>
    <w:rsid w:val="00017998"/>
    <w:rPr>
      <w:b/>
      <w:bCs/>
      <w:sz w:val="26"/>
      <w:szCs w:val="26"/>
    </w:rPr>
  </w:style>
  <w:style w:type="character" w:customStyle="1" w:styleId="st">
    <w:name w:val="st"/>
    <w:basedOn w:val="DefaultParagraphFont"/>
    <w:rsid w:val="00C34300"/>
  </w:style>
  <w:style w:type="character" w:styleId="Emphasis">
    <w:name w:val="Emphasis"/>
    <w:basedOn w:val="DefaultParagraphFont"/>
    <w:uiPriority w:val="20"/>
    <w:qFormat/>
    <w:rsid w:val="00C34300"/>
    <w:rPr>
      <w:i/>
      <w:iCs/>
    </w:rPr>
  </w:style>
  <w:style w:type="character" w:customStyle="1" w:styleId="docbody">
    <w:name w:val="doc_body"/>
    <w:basedOn w:val="DefaultParagraphFont"/>
    <w:rsid w:val="00711F24"/>
  </w:style>
  <w:style w:type="character" w:customStyle="1" w:styleId="23">
    <w:name w:val="Основной текст (2) + Полужирный"/>
    <w:basedOn w:val="21"/>
    <w:rsid w:val="00D827C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24">
    <w:name w:val="Основной текст (2) + Не курсив"/>
    <w:basedOn w:val="21"/>
    <w:rsid w:val="001842B3"/>
    <w:rPr>
      <w:rFonts w:ascii="Verdana" w:eastAsia="Verdana" w:hAnsi="Verdana" w:cs="Verdana"/>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3">
    <w:name w:val="Основной текст (3) + Курсив"/>
    <w:basedOn w:val="DefaultParagraphFont"/>
    <w:rsid w:val="001842B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 w:type="character" w:customStyle="1" w:styleId="30">
    <w:name w:val="Основной текст (3)_"/>
    <w:basedOn w:val="DefaultParagraphFont"/>
    <w:link w:val="31"/>
    <w:rsid w:val="003E60E7"/>
    <w:rPr>
      <w:rFonts w:ascii="Verdana" w:eastAsia="Verdana" w:hAnsi="Verdana" w:cs="Verdana"/>
      <w:shd w:val="clear" w:color="auto" w:fill="FFFFFF"/>
    </w:rPr>
  </w:style>
  <w:style w:type="paragraph" w:customStyle="1" w:styleId="31">
    <w:name w:val="Основной текст (3)"/>
    <w:basedOn w:val="Normal"/>
    <w:link w:val="30"/>
    <w:rsid w:val="003E60E7"/>
    <w:pPr>
      <w:widowControl w:val="0"/>
      <w:shd w:val="clear" w:color="auto" w:fill="FFFFFF"/>
      <w:spacing w:line="268" w:lineRule="exact"/>
      <w:jc w:val="both"/>
    </w:pPr>
    <w:rPr>
      <w:rFonts w:ascii="Verdana" w:eastAsia="Verdana" w:hAnsi="Verdana" w:cs="Verdana"/>
      <w:sz w:val="22"/>
      <w:szCs w:val="22"/>
      <w:lang w:val="ru-RU"/>
    </w:rPr>
  </w:style>
  <w:style w:type="paragraph" w:customStyle="1" w:styleId="CharChar">
    <w:name w:val="Знак Знак Char Char"/>
    <w:basedOn w:val="Normal"/>
    <w:rsid w:val="00EF3F9C"/>
    <w:pPr>
      <w:spacing w:after="160" w:line="240" w:lineRule="exact"/>
    </w:pPr>
    <w:rPr>
      <w:rFonts w:ascii="Arial" w:eastAsia="Batang" w:hAnsi="Arial" w:cs="Arial"/>
      <w:sz w:val="20"/>
      <w:szCs w:val="20"/>
    </w:rPr>
  </w:style>
  <w:style w:type="character" w:customStyle="1" w:styleId="25">
    <w:name w:val="Основной текст (2) + Курсив"/>
    <w:basedOn w:val="21"/>
    <w:rsid w:val="008E5E02"/>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9">
    <w:name w:val="Основной текст (9)_"/>
    <w:basedOn w:val="DefaultParagraphFont"/>
    <w:link w:val="90"/>
    <w:rsid w:val="00650D4F"/>
    <w:rPr>
      <w:rFonts w:ascii="Times New Roman" w:eastAsia="Times New Roman" w:hAnsi="Times New Roman" w:cs="Times New Roman"/>
      <w:sz w:val="8"/>
      <w:szCs w:val="8"/>
      <w:shd w:val="clear" w:color="auto" w:fill="FFFFFF"/>
    </w:rPr>
  </w:style>
  <w:style w:type="paragraph" w:customStyle="1" w:styleId="90">
    <w:name w:val="Основной текст (9)"/>
    <w:basedOn w:val="Normal"/>
    <w:link w:val="9"/>
    <w:rsid w:val="00650D4F"/>
    <w:pPr>
      <w:widowControl w:val="0"/>
      <w:shd w:val="clear" w:color="auto" w:fill="FFFFFF"/>
      <w:spacing w:after="120" w:line="88" w:lineRule="exact"/>
    </w:pPr>
    <w:rPr>
      <w:sz w:val="8"/>
      <w:szCs w:val="8"/>
      <w:lang w:val="ru-RU"/>
    </w:rPr>
  </w:style>
  <w:style w:type="character" w:customStyle="1" w:styleId="32">
    <w:name w:val="Основной текст (3) + Не полужирный;Не курсив"/>
    <w:basedOn w:val="30"/>
    <w:rsid w:val="00C509BE"/>
    <w:rPr>
      <w:rFonts w:ascii="Verdana" w:eastAsia="Verdana" w:hAnsi="Verdana" w:cs="Verdana"/>
      <w:b/>
      <w:bCs/>
      <w:i/>
      <w:iCs/>
      <w:smallCaps w:val="0"/>
      <w:strike w:val="0"/>
      <w:color w:val="000000"/>
      <w:spacing w:val="0"/>
      <w:w w:val="100"/>
      <w:position w:val="0"/>
      <w:sz w:val="17"/>
      <w:szCs w:val="17"/>
      <w:u w:val="none"/>
      <w:shd w:val="clear" w:color="auto" w:fill="FFFFFF"/>
      <w:lang w:val="ro-RO" w:eastAsia="ro-RO" w:bidi="ro-RO"/>
    </w:rPr>
  </w:style>
  <w:style w:type="character" w:customStyle="1" w:styleId="4">
    <w:name w:val="Основной текст (4)_"/>
    <w:basedOn w:val="DefaultParagraphFont"/>
    <w:link w:val="40"/>
    <w:rsid w:val="00C509BE"/>
    <w:rPr>
      <w:rFonts w:ascii="Verdana" w:eastAsia="Verdana" w:hAnsi="Verdana" w:cs="Verdana"/>
      <w:i/>
      <w:iCs/>
      <w:sz w:val="17"/>
      <w:szCs w:val="17"/>
      <w:shd w:val="clear" w:color="auto" w:fill="FFFFFF"/>
    </w:rPr>
  </w:style>
  <w:style w:type="character" w:customStyle="1" w:styleId="41">
    <w:name w:val="Основной текст (4) + Не курсив"/>
    <w:basedOn w:val="4"/>
    <w:rsid w:val="00C509BE"/>
    <w:rPr>
      <w:rFonts w:ascii="Verdana" w:eastAsia="Verdana" w:hAnsi="Verdana" w:cs="Verdana"/>
      <w:i/>
      <w:iCs/>
      <w:color w:val="000000"/>
      <w:spacing w:val="0"/>
      <w:w w:val="100"/>
      <w:position w:val="0"/>
      <w:sz w:val="17"/>
      <w:szCs w:val="17"/>
      <w:shd w:val="clear" w:color="auto" w:fill="FFFFFF"/>
      <w:lang w:val="ro-RO" w:eastAsia="ro-RO" w:bidi="ro-RO"/>
    </w:rPr>
  </w:style>
  <w:style w:type="character" w:customStyle="1" w:styleId="495pt">
    <w:name w:val="Основной текст (4) + 9;5 pt"/>
    <w:basedOn w:val="4"/>
    <w:rsid w:val="00C509BE"/>
    <w:rPr>
      <w:rFonts w:ascii="Verdana" w:eastAsia="Verdana" w:hAnsi="Verdana" w:cs="Verdana"/>
      <w:b/>
      <w:bCs/>
      <w:i/>
      <w:iCs/>
      <w:color w:val="000000"/>
      <w:spacing w:val="0"/>
      <w:w w:val="100"/>
      <w:position w:val="0"/>
      <w:sz w:val="19"/>
      <w:szCs w:val="19"/>
      <w:shd w:val="clear" w:color="auto" w:fill="FFFFFF"/>
      <w:lang w:val="ro-RO" w:eastAsia="ro-RO" w:bidi="ro-RO"/>
    </w:rPr>
  </w:style>
  <w:style w:type="character" w:customStyle="1" w:styleId="42">
    <w:name w:val="Основной текст (4) + Полужирный"/>
    <w:basedOn w:val="4"/>
    <w:rsid w:val="00C509BE"/>
    <w:rPr>
      <w:rFonts w:ascii="Verdana" w:eastAsia="Verdana" w:hAnsi="Verdana" w:cs="Verdana"/>
      <w:b/>
      <w:bCs/>
      <w:i/>
      <w:iCs/>
      <w:color w:val="000000"/>
      <w:spacing w:val="0"/>
      <w:w w:val="100"/>
      <w:position w:val="0"/>
      <w:sz w:val="17"/>
      <w:szCs w:val="17"/>
      <w:shd w:val="clear" w:color="auto" w:fill="FFFFFF"/>
      <w:lang w:val="ro-RO" w:eastAsia="ro-RO" w:bidi="ro-RO"/>
    </w:rPr>
  </w:style>
  <w:style w:type="paragraph" w:customStyle="1" w:styleId="40">
    <w:name w:val="Основной текст (4)"/>
    <w:basedOn w:val="Normal"/>
    <w:link w:val="4"/>
    <w:rsid w:val="00C509BE"/>
    <w:pPr>
      <w:widowControl w:val="0"/>
      <w:shd w:val="clear" w:color="auto" w:fill="FFFFFF"/>
      <w:spacing w:line="278" w:lineRule="exact"/>
      <w:jc w:val="both"/>
    </w:pPr>
    <w:rPr>
      <w:rFonts w:ascii="Verdana" w:eastAsia="Verdana" w:hAnsi="Verdana" w:cs="Verdana"/>
      <w:i/>
      <w:iCs/>
      <w:sz w:val="17"/>
      <w:szCs w:val="17"/>
      <w:lang w:val="ru-RU"/>
    </w:rPr>
  </w:style>
  <w:style w:type="character" w:customStyle="1" w:styleId="295pt">
    <w:name w:val="Основной текст (2) + 9;5 pt;Курсив"/>
    <w:basedOn w:val="21"/>
    <w:rsid w:val="00C509BE"/>
    <w:rPr>
      <w:rFonts w:ascii="Verdana" w:eastAsia="Verdana" w:hAnsi="Verdana" w:cs="Verdana"/>
      <w:b/>
      <w:bCs/>
      <w:i/>
      <w:iCs/>
      <w:smallCaps w:val="0"/>
      <w:strike w:val="0"/>
      <w:color w:val="000000"/>
      <w:spacing w:val="0"/>
      <w:w w:val="100"/>
      <w:position w:val="0"/>
      <w:sz w:val="19"/>
      <w:szCs w:val="19"/>
      <w:u w:val="none"/>
      <w:shd w:val="clear" w:color="auto" w:fill="FFFFFF"/>
      <w:lang w:val="ro-RO" w:eastAsia="ro-RO" w:bidi="ro-RO"/>
    </w:rPr>
  </w:style>
  <w:style w:type="character" w:customStyle="1" w:styleId="26">
    <w:name w:val="Основной текст (2) + Полужирный;Курсив"/>
    <w:basedOn w:val="21"/>
    <w:rsid w:val="00C509B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o-RO" w:eastAsia="ro-RO" w:bidi="ro-RO"/>
    </w:rPr>
  </w:style>
  <w:style w:type="character" w:customStyle="1" w:styleId="865pt">
    <w:name w:val="Основной текст (8) + 6;5 pt;Курсив"/>
    <w:basedOn w:val="8"/>
    <w:rsid w:val="00C509BE"/>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o-RO" w:eastAsia="ro-RO" w:bidi="ro-RO"/>
    </w:rPr>
  </w:style>
  <w:style w:type="character" w:customStyle="1" w:styleId="810pt">
    <w:name w:val="Основной текст (8) + 10 pt"/>
    <w:basedOn w:val="8"/>
    <w:rsid w:val="00C509B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o-RO" w:eastAsia="ro-RO" w:bidi="ro-RO"/>
    </w:rPr>
  </w:style>
  <w:style w:type="paragraph" w:styleId="Header">
    <w:name w:val="header"/>
    <w:basedOn w:val="Normal"/>
    <w:link w:val="HeaderChar"/>
    <w:uiPriority w:val="99"/>
    <w:unhideWhenUsed/>
    <w:rsid w:val="00BB0F28"/>
    <w:pPr>
      <w:tabs>
        <w:tab w:val="center" w:pos="4677"/>
        <w:tab w:val="right" w:pos="9355"/>
      </w:tabs>
    </w:pPr>
    <w:rPr>
      <w:rFonts w:ascii="Calibri" w:eastAsia="Calibri" w:hAnsi="Calibri"/>
      <w:sz w:val="22"/>
      <w:szCs w:val="22"/>
      <w:lang w:val="ro-RO"/>
    </w:rPr>
  </w:style>
  <w:style w:type="character" w:customStyle="1" w:styleId="HeaderChar">
    <w:name w:val="Header Char"/>
    <w:basedOn w:val="DefaultParagraphFont"/>
    <w:link w:val="Header"/>
    <w:uiPriority w:val="99"/>
    <w:rsid w:val="00BB0F28"/>
    <w:rPr>
      <w:rFonts w:ascii="Calibri" w:eastAsia="Calibri" w:hAnsi="Calibri" w:cs="Times New Roman"/>
      <w:lang w:val="ro-RO"/>
    </w:rPr>
  </w:style>
  <w:style w:type="character" w:customStyle="1" w:styleId="11Exact">
    <w:name w:val="Основной текст (11) Exact"/>
    <w:basedOn w:val="DefaultParagraphFont"/>
    <w:link w:val="11"/>
    <w:rsid w:val="00520114"/>
    <w:rPr>
      <w:rFonts w:ascii="Calibri" w:eastAsia="Calibri" w:hAnsi="Calibri" w:cs="Calibri"/>
      <w:b/>
      <w:bCs/>
      <w:shd w:val="clear" w:color="auto" w:fill="FFFFFF"/>
    </w:rPr>
  </w:style>
  <w:style w:type="character" w:customStyle="1" w:styleId="2Exact">
    <w:name w:val="Основной текст (2) Exact"/>
    <w:basedOn w:val="DefaultParagraphFont"/>
    <w:rsid w:val="00520114"/>
    <w:rPr>
      <w:rFonts w:ascii="Calibri" w:eastAsia="Calibri" w:hAnsi="Calibri" w:cs="Calibri"/>
      <w:b w:val="0"/>
      <w:bCs w:val="0"/>
      <w:i w:val="0"/>
      <w:iCs w:val="0"/>
      <w:smallCaps w:val="0"/>
      <w:strike w:val="0"/>
      <w:sz w:val="21"/>
      <w:szCs w:val="21"/>
      <w:u w:val="none"/>
    </w:rPr>
  </w:style>
  <w:style w:type="character" w:customStyle="1" w:styleId="3Exact">
    <w:name w:val="Заголовок №3 Exact"/>
    <w:basedOn w:val="DefaultParagraphFont"/>
    <w:rsid w:val="00520114"/>
    <w:rPr>
      <w:rFonts w:ascii="Calibri" w:eastAsia="Calibri" w:hAnsi="Calibri" w:cs="Calibri"/>
      <w:b/>
      <w:bCs/>
      <w:i w:val="0"/>
      <w:iCs w:val="0"/>
      <w:smallCaps w:val="0"/>
      <w:strike w:val="0"/>
      <w:sz w:val="22"/>
      <w:szCs w:val="22"/>
      <w:u w:val="none"/>
    </w:rPr>
  </w:style>
  <w:style w:type="character" w:customStyle="1" w:styleId="33">
    <w:name w:val="Заголовок №3_"/>
    <w:basedOn w:val="DefaultParagraphFont"/>
    <w:link w:val="34"/>
    <w:rsid w:val="00520114"/>
    <w:rPr>
      <w:rFonts w:ascii="Calibri" w:eastAsia="Calibri" w:hAnsi="Calibri" w:cs="Calibri"/>
      <w:b/>
      <w:bCs/>
      <w:shd w:val="clear" w:color="auto" w:fill="FFFFFF"/>
    </w:rPr>
  </w:style>
  <w:style w:type="paragraph" w:customStyle="1" w:styleId="11">
    <w:name w:val="Основной текст (11)"/>
    <w:basedOn w:val="Normal"/>
    <w:link w:val="11Exact"/>
    <w:rsid w:val="00520114"/>
    <w:pPr>
      <w:widowControl w:val="0"/>
      <w:shd w:val="clear" w:color="auto" w:fill="FFFFFF"/>
      <w:spacing w:before="300" w:line="278" w:lineRule="exact"/>
      <w:jc w:val="both"/>
    </w:pPr>
    <w:rPr>
      <w:rFonts w:ascii="Calibri" w:eastAsia="Calibri" w:hAnsi="Calibri" w:cs="Calibri"/>
      <w:b/>
      <w:bCs/>
      <w:sz w:val="22"/>
      <w:szCs w:val="22"/>
      <w:lang w:val="ru-RU"/>
    </w:rPr>
  </w:style>
  <w:style w:type="paragraph" w:customStyle="1" w:styleId="34">
    <w:name w:val="Заголовок №3"/>
    <w:basedOn w:val="Normal"/>
    <w:link w:val="33"/>
    <w:rsid w:val="00520114"/>
    <w:pPr>
      <w:widowControl w:val="0"/>
      <w:shd w:val="clear" w:color="auto" w:fill="FFFFFF"/>
      <w:spacing w:before="140" w:line="268" w:lineRule="exact"/>
      <w:jc w:val="both"/>
      <w:outlineLvl w:val="2"/>
    </w:pPr>
    <w:rPr>
      <w:rFonts w:ascii="Calibri" w:eastAsia="Calibri" w:hAnsi="Calibri" w:cs="Calibri"/>
      <w:b/>
      <w:bCs/>
      <w:sz w:val="22"/>
      <w:szCs w:val="22"/>
      <w:lang w:val="ru-RU"/>
    </w:rPr>
  </w:style>
  <w:style w:type="character" w:customStyle="1" w:styleId="Exact">
    <w:name w:val="Подпись к таблице Exact"/>
    <w:basedOn w:val="DefaultParagraphFont"/>
    <w:rsid w:val="00520114"/>
    <w:rPr>
      <w:rFonts w:ascii="Calibri" w:eastAsia="Calibri" w:hAnsi="Calibri" w:cs="Calibri"/>
      <w:b w:val="0"/>
      <w:bCs w:val="0"/>
      <w:i w:val="0"/>
      <w:iCs w:val="0"/>
      <w:smallCaps w:val="0"/>
      <w:strike w:val="0"/>
      <w:sz w:val="21"/>
      <w:szCs w:val="21"/>
      <w:u w:val="none"/>
    </w:rPr>
  </w:style>
  <w:style w:type="character" w:customStyle="1" w:styleId="71">
    <w:name w:val="Основной текст (7) + Не курсив"/>
    <w:basedOn w:val="7"/>
    <w:rsid w:val="0036659F"/>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1Exact">
    <w:name w:val="Заголовок №1 Exact"/>
    <w:basedOn w:val="DefaultParagraphFont"/>
    <w:rsid w:val="0036659F"/>
    <w:rPr>
      <w:rFonts w:ascii="Calibri" w:eastAsia="Calibri" w:hAnsi="Calibri" w:cs="Calibri"/>
      <w:b/>
      <w:bCs/>
      <w:i w:val="0"/>
      <w:iCs w:val="0"/>
      <w:smallCaps w:val="0"/>
      <w:strike w:val="0"/>
      <w:sz w:val="30"/>
      <w:szCs w:val="30"/>
      <w:u w:val="none"/>
    </w:rPr>
  </w:style>
  <w:style w:type="character" w:customStyle="1" w:styleId="211pt">
    <w:name w:val="Основной текст (2) + 11 pt;Полужирный"/>
    <w:basedOn w:val="21"/>
    <w:rsid w:val="007055C5"/>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295pt0">
    <w:name w:val="Основной текст (2) + 9;5 pt"/>
    <w:basedOn w:val="21"/>
    <w:rsid w:val="007A0185"/>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ro-RO" w:eastAsia="ro-RO" w:bidi="ro-RO"/>
    </w:rPr>
  </w:style>
  <w:style w:type="paragraph" w:styleId="Footer">
    <w:name w:val="footer"/>
    <w:basedOn w:val="Normal"/>
    <w:link w:val="FooterChar"/>
    <w:uiPriority w:val="99"/>
    <w:unhideWhenUsed/>
    <w:rsid w:val="00073960"/>
    <w:pPr>
      <w:tabs>
        <w:tab w:val="center" w:pos="4677"/>
        <w:tab w:val="right" w:pos="9355"/>
      </w:tabs>
    </w:pPr>
  </w:style>
  <w:style w:type="character" w:customStyle="1" w:styleId="FooterChar">
    <w:name w:val="Footer Char"/>
    <w:basedOn w:val="DefaultParagraphFont"/>
    <w:link w:val="Footer"/>
    <w:uiPriority w:val="99"/>
    <w:rsid w:val="00073960"/>
    <w:rPr>
      <w:rFonts w:ascii="Times New Roman" w:eastAsia="Times New Roman" w:hAnsi="Times New Roman" w:cs="Times New Roman"/>
      <w:sz w:val="24"/>
      <w:szCs w:val="24"/>
      <w:lang w:val="en-US"/>
    </w:rPr>
  </w:style>
  <w:style w:type="paragraph" w:styleId="NoSpacing">
    <w:name w:val="No Spacing"/>
    <w:uiPriority w:val="1"/>
    <w:qFormat/>
    <w:rsid w:val="009D6F2D"/>
    <w:pPr>
      <w:spacing w:after="0" w:line="240" w:lineRule="auto"/>
    </w:pPr>
    <w:rPr>
      <w:lang w:val="en-US"/>
    </w:rPr>
  </w:style>
  <w:style w:type="paragraph" w:styleId="Revision">
    <w:name w:val="Revision"/>
    <w:hidden/>
    <w:uiPriority w:val="99"/>
    <w:semiHidden/>
    <w:rsid w:val="00962A6F"/>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E6672"/>
    <w:rPr>
      <w:rFonts w:asciiTheme="majorHAnsi" w:eastAsiaTheme="majorEastAsia" w:hAnsiTheme="majorHAnsi" w:cstheme="majorBidi"/>
      <w:color w:val="365F91" w:themeColor="accent1" w:themeShade="BF"/>
      <w:sz w:val="32"/>
      <w:szCs w:val="32"/>
      <w:lang w:val="en-US"/>
    </w:rPr>
  </w:style>
  <w:style w:type="character" w:styleId="Strong">
    <w:name w:val="Strong"/>
    <w:basedOn w:val="DefaultParagraphFont"/>
    <w:uiPriority w:val="22"/>
    <w:qFormat/>
    <w:rsid w:val="00F44F1F"/>
    <w:rPr>
      <w:b/>
      <w:bCs/>
    </w:rPr>
  </w:style>
  <w:style w:type="character" w:customStyle="1" w:styleId="Heading4Char">
    <w:name w:val="Heading 4 Char"/>
    <w:basedOn w:val="DefaultParagraphFont"/>
    <w:link w:val="Heading4"/>
    <w:uiPriority w:val="9"/>
    <w:semiHidden/>
    <w:rsid w:val="00F0219D"/>
    <w:rPr>
      <w:rFonts w:asciiTheme="majorHAnsi" w:eastAsiaTheme="majorEastAsia" w:hAnsiTheme="majorHAnsi" w:cstheme="majorBidi"/>
      <w:i/>
      <w:iCs/>
      <w:color w:val="365F91" w:themeColor="accent1" w:themeShade="BF"/>
      <w:sz w:val="24"/>
      <w:szCs w:val="24"/>
      <w:lang w:val="en-US"/>
    </w:rPr>
  </w:style>
  <w:style w:type="paragraph" w:styleId="CommentSubject">
    <w:name w:val="annotation subject"/>
    <w:basedOn w:val="CommentText"/>
    <w:next w:val="CommentText"/>
    <w:link w:val="CommentSubjectChar"/>
    <w:uiPriority w:val="99"/>
    <w:semiHidden/>
    <w:unhideWhenUsed/>
    <w:rsid w:val="0026609C"/>
    <w:rPr>
      <w:b/>
      <w:bCs/>
      <w:lang w:val="en-US" w:eastAsia="en-US"/>
    </w:rPr>
  </w:style>
  <w:style w:type="character" w:customStyle="1" w:styleId="CommentSubjectChar">
    <w:name w:val="Comment Subject Char"/>
    <w:basedOn w:val="CommentTextChar"/>
    <w:link w:val="CommentSubject"/>
    <w:uiPriority w:val="99"/>
    <w:semiHidden/>
    <w:rsid w:val="0026609C"/>
    <w:rPr>
      <w:rFonts w:ascii="Times New Roman" w:eastAsia="Times New Roman" w:hAnsi="Times New Roman" w:cs="Times New Roman"/>
      <w:b/>
      <w:bCs/>
      <w:sz w:val="20"/>
      <w:szCs w:val="20"/>
      <w:lang w:val="en-US" w:eastAsia="ru-RU"/>
    </w:rPr>
  </w:style>
  <w:style w:type="character" w:styleId="UnresolvedMention">
    <w:name w:val="Unresolved Mention"/>
    <w:basedOn w:val="DefaultParagraphFont"/>
    <w:uiPriority w:val="99"/>
    <w:semiHidden/>
    <w:unhideWhenUsed/>
    <w:rsid w:val="00E7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0927">
      <w:bodyDiv w:val="1"/>
      <w:marLeft w:val="0"/>
      <w:marRight w:val="0"/>
      <w:marTop w:val="0"/>
      <w:marBottom w:val="0"/>
      <w:divBdr>
        <w:top w:val="none" w:sz="0" w:space="0" w:color="auto"/>
        <w:left w:val="none" w:sz="0" w:space="0" w:color="auto"/>
        <w:bottom w:val="none" w:sz="0" w:space="0" w:color="auto"/>
        <w:right w:val="none" w:sz="0" w:space="0" w:color="auto"/>
      </w:divBdr>
    </w:div>
    <w:div w:id="393281964">
      <w:bodyDiv w:val="1"/>
      <w:marLeft w:val="0"/>
      <w:marRight w:val="0"/>
      <w:marTop w:val="0"/>
      <w:marBottom w:val="0"/>
      <w:divBdr>
        <w:top w:val="none" w:sz="0" w:space="0" w:color="auto"/>
        <w:left w:val="none" w:sz="0" w:space="0" w:color="auto"/>
        <w:bottom w:val="none" w:sz="0" w:space="0" w:color="auto"/>
        <w:right w:val="none" w:sz="0" w:space="0" w:color="auto"/>
      </w:divBdr>
    </w:div>
    <w:div w:id="401565852">
      <w:bodyDiv w:val="1"/>
      <w:marLeft w:val="0"/>
      <w:marRight w:val="0"/>
      <w:marTop w:val="0"/>
      <w:marBottom w:val="0"/>
      <w:divBdr>
        <w:top w:val="none" w:sz="0" w:space="0" w:color="auto"/>
        <w:left w:val="none" w:sz="0" w:space="0" w:color="auto"/>
        <w:bottom w:val="none" w:sz="0" w:space="0" w:color="auto"/>
        <w:right w:val="none" w:sz="0" w:space="0" w:color="auto"/>
      </w:divBdr>
    </w:div>
    <w:div w:id="1090538656">
      <w:bodyDiv w:val="1"/>
      <w:marLeft w:val="0"/>
      <w:marRight w:val="0"/>
      <w:marTop w:val="0"/>
      <w:marBottom w:val="0"/>
      <w:divBdr>
        <w:top w:val="none" w:sz="0" w:space="0" w:color="auto"/>
        <w:left w:val="none" w:sz="0" w:space="0" w:color="auto"/>
        <w:bottom w:val="none" w:sz="0" w:space="0" w:color="auto"/>
        <w:right w:val="none" w:sz="0" w:space="0" w:color="auto"/>
      </w:divBdr>
    </w:div>
    <w:div w:id="1292514653">
      <w:bodyDiv w:val="1"/>
      <w:marLeft w:val="0"/>
      <w:marRight w:val="0"/>
      <w:marTop w:val="0"/>
      <w:marBottom w:val="0"/>
      <w:divBdr>
        <w:top w:val="none" w:sz="0" w:space="0" w:color="auto"/>
        <w:left w:val="none" w:sz="0" w:space="0" w:color="auto"/>
        <w:bottom w:val="none" w:sz="0" w:space="0" w:color="auto"/>
        <w:right w:val="none" w:sz="0" w:space="0" w:color="auto"/>
      </w:divBdr>
    </w:div>
    <w:div w:id="1314484171">
      <w:bodyDiv w:val="1"/>
      <w:marLeft w:val="0"/>
      <w:marRight w:val="0"/>
      <w:marTop w:val="0"/>
      <w:marBottom w:val="0"/>
      <w:divBdr>
        <w:top w:val="none" w:sz="0" w:space="0" w:color="auto"/>
        <w:left w:val="none" w:sz="0" w:space="0" w:color="auto"/>
        <w:bottom w:val="none" w:sz="0" w:space="0" w:color="auto"/>
        <w:right w:val="none" w:sz="0" w:space="0" w:color="auto"/>
      </w:divBdr>
    </w:div>
    <w:div w:id="1361903894">
      <w:bodyDiv w:val="1"/>
      <w:marLeft w:val="0"/>
      <w:marRight w:val="0"/>
      <w:marTop w:val="0"/>
      <w:marBottom w:val="0"/>
      <w:divBdr>
        <w:top w:val="none" w:sz="0" w:space="0" w:color="auto"/>
        <w:left w:val="none" w:sz="0" w:space="0" w:color="auto"/>
        <w:bottom w:val="none" w:sz="0" w:space="0" w:color="auto"/>
        <w:right w:val="none" w:sz="0" w:space="0" w:color="auto"/>
      </w:divBdr>
    </w:div>
    <w:div w:id="1391616223">
      <w:bodyDiv w:val="1"/>
      <w:marLeft w:val="0"/>
      <w:marRight w:val="0"/>
      <w:marTop w:val="0"/>
      <w:marBottom w:val="0"/>
      <w:divBdr>
        <w:top w:val="none" w:sz="0" w:space="0" w:color="auto"/>
        <w:left w:val="none" w:sz="0" w:space="0" w:color="auto"/>
        <w:bottom w:val="none" w:sz="0" w:space="0" w:color="auto"/>
        <w:right w:val="none" w:sz="0" w:space="0" w:color="auto"/>
      </w:divBdr>
    </w:div>
    <w:div w:id="1493184592">
      <w:bodyDiv w:val="1"/>
      <w:marLeft w:val="0"/>
      <w:marRight w:val="0"/>
      <w:marTop w:val="0"/>
      <w:marBottom w:val="0"/>
      <w:divBdr>
        <w:top w:val="none" w:sz="0" w:space="0" w:color="auto"/>
        <w:left w:val="none" w:sz="0" w:space="0" w:color="auto"/>
        <w:bottom w:val="none" w:sz="0" w:space="0" w:color="auto"/>
        <w:right w:val="none" w:sz="0" w:space="0" w:color="auto"/>
      </w:divBdr>
    </w:div>
    <w:div w:id="1498959157">
      <w:bodyDiv w:val="1"/>
      <w:marLeft w:val="0"/>
      <w:marRight w:val="0"/>
      <w:marTop w:val="0"/>
      <w:marBottom w:val="0"/>
      <w:divBdr>
        <w:top w:val="none" w:sz="0" w:space="0" w:color="auto"/>
        <w:left w:val="none" w:sz="0" w:space="0" w:color="auto"/>
        <w:bottom w:val="none" w:sz="0" w:space="0" w:color="auto"/>
        <w:right w:val="none" w:sz="0" w:space="0" w:color="auto"/>
      </w:divBdr>
    </w:div>
    <w:div w:id="1558274899">
      <w:bodyDiv w:val="1"/>
      <w:marLeft w:val="0"/>
      <w:marRight w:val="0"/>
      <w:marTop w:val="0"/>
      <w:marBottom w:val="0"/>
      <w:divBdr>
        <w:top w:val="none" w:sz="0" w:space="0" w:color="auto"/>
        <w:left w:val="none" w:sz="0" w:space="0" w:color="auto"/>
        <w:bottom w:val="none" w:sz="0" w:space="0" w:color="auto"/>
        <w:right w:val="none" w:sz="0" w:space="0" w:color="auto"/>
      </w:divBdr>
    </w:div>
    <w:div w:id="1660886220">
      <w:bodyDiv w:val="1"/>
      <w:marLeft w:val="0"/>
      <w:marRight w:val="0"/>
      <w:marTop w:val="0"/>
      <w:marBottom w:val="0"/>
      <w:divBdr>
        <w:top w:val="none" w:sz="0" w:space="0" w:color="auto"/>
        <w:left w:val="none" w:sz="0" w:space="0" w:color="auto"/>
        <w:bottom w:val="none" w:sz="0" w:space="0" w:color="auto"/>
        <w:right w:val="none" w:sz="0" w:space="0" w:color="auto"/>
      </w:divBdr>
    </w:div>
    <w:div w:id="1828395687">
      <w:bodyDiv w:val="1"/>
      <w:marLeft w:val="0"/>
      <w:marRight w:val="0"/>
      <w:marTop w:val="0"/>
      <w:marBottom w:val="0"/>
      <w:divBdr>
        <w:top w:val="none" w:sz="0" w:space="0" w:color="auto"/>
        <w:left w:val="none" w:sz="0" w:space="0" w:color="auto"/>
        <w:bottom w:val="none" w:sz="0" w:space="0" w:color="auto"/>
        <w:right w:val="none" w:sz="0" w:space="0" w:color="auto"/>
      </w:divBdr>
    </w:div>
    <w:div w:id="1842550767">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7821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87059-1334-4AF0-9153-B60CEACD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2300</Words>
  <Characters>13686</Characters>
  <Application>Microsoft Office Word</Application>
  <DocSecurity>0</DocSecurity>
  <Lines>456</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MSRM</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vturcanu</dc:creator>
  <cp:keywords/>
  <dc:description/>
  <cp:lastModifiedBy>Lina Gudima</cp:lastModifiedBy>
  <cp:revision>7</cp:revision>
  <cp:lastPrinted>2023-07-25T14:57:00Z</cp:lastPrinted>
  <dcterms:created xsi:type="dcterms:W3CDTF">2023-12-07T14:19:00Z</dcterms:created>
  <dcterms:modified xsi:type="dcterms:W3CDTF">2023-12-14T08:23:00Z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fcf96c903e42c6faad0153fd8027559f06c8e8bf9d1493c2a0ebcda19858fe77</vt:lpwstr>
  </property>
</Properties>
</file>