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2ED04" w14:textId="69D7E348" w:rsidR="00346CC8" w:rsidRPr="00230088" w:rsidRDefault="00A21EFF" w:rsidP="00346C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</w:t>
      </w:r>
      <w:r w:rsidR="00346CC8" w:rsidRPr="00230088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Notă informativă</w:t>
      </w:r>
    </w:p>
    <w:p w14:paraId="5B4AB067" w14:textId="72952B28" w:rsidR="00230088" w:rsidRPr="00230088" w:rsidRDefault="00230088" w:rsidP="0023008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MD" w:eastAsia="ru-RU"/>
        </w:rPr>
      </w:pPr>
      <w:r w:rsidRPr="00230088">
        <w:rPr>
          <w:rFonts w:ascii="Times New Roman" w:eastAsia="Times New Roman" w:hAnsi="Times New Roman" w:cs="Times New Roman"/>
          <w:b/>
          <w:sz w:val="28"/>
          <w:szCs w:val="28"/>
          <w:lang w:val="ro-MD" w:eastAsia="ru-RU"/>
        </w:rPr>
        <w:t xml:space="preserve">la proiectul hotărârii Guvernului pentru aprobarea </w:t>
      </w:r>
      <w:r w:rsidR="0097042A">
        <w:rPr>
          <w:rFonts w:ascii="Times New Roman" w:eastAsia="Times New Roman" w:hAnsi="Times New Roman" w:cs="Times New Roman"/>
          <w:b/>
          <w:sz w:val="28"/>
          <w:szCs w:val="28"/>
          <w:lang w:val="ro-MD" w:eastAsia="ru-RU"/>
        </w:rPr>
        <w:t>Graficului</w:t>
      </w:r>
      <w:r w:rsidRPr="00230088">
        <w:rPr>
          <w:rFonts w:ascii="Times New Roman" w:eastAsia="Times New Roman" w:hAnsi="Times New Roman" w:cs="Times New Roman"/>
          <w:b/>
          <w:sz w:val="28"/>
          <w:szCs w:val="28"/>
          <w:lang w:val="ro-MD" w:eastAsia="ru-RU"/>
        </w:rPr>
        <w:t xml:space="preserve"> controalelor planificate asupra activității rezidenților </w:t>
      </w:r>
      <w:r>
        <w:rPr>
          <w:rFonts w:ascii="Times New Roman" w:eastAsia="Times New Roman" w:hAnsi="Times New Roman" w:cs="Times New Roman"/>
          <w:b/>
          <w:sz w:val="28"/>
          <w:szCs w:val="28"/>
          <w:lang w:val="ro-MD" w:eastAsia="ru-RU"/>
        </w:rPr>
        <w:t>parcurilor industriale</w:t>
      </w:r>
      <w:r w:rsidRPr="00230088">
        <w:rPr>
          <w:rFonts w:ascii="Times New Roman" w:eastAsia="Times New Roman" w:hAnsi="Times New Roman" w:cs="Times New Roman"/>
          <w:b/>
          <w:sz w:val="28"/>
          <w:szCs w:val="28"/>
          <w:lang w:val="ro-MD" w:eastAsia="ru-RU"/>
        </w:rPr>
        <w:t xml:space="preserve"> pentru anul 2024</w:t>
      </w:r>
    </w:p>
    <w:p w14:paraId="3F8D320B" w14:textId="77777777" w:rsidR="00346CC8" w:rsidRPr="00035A3E" w:rsidRDefault="00346CC8" w:rsidP="00AE14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tbl>
      <w:tblPr>
        <w:tblStyle w:val="TableGrid"/>
        <w:tblW w:w="10164" w:type="dxa"/>
        <w:tblInd w:w="-289" w:type="dxa"/>
        <w:tblLook w:val="04A0" w:firstRow="1" w:lastRow="0" w:firstColumn="1" w:lastColumn="0" w:noHBand="0" w:noVBand="1"/>
      </w:tblPr>
      <w:tblGrid>
        <w:gridCol w:w="541"/>
        <w:gridCol w:w="9623"/>
      </w:tblGrid>
      <w:tr w:rsidR="00346CC8" w:rsidRPr="00035A3E" w14:paraId="0E8B6E69" w14:textId="77777777" w:rsidTr="00BB0934">
        <w:trPr>
          <w:trHeight w:val="535"/>
        </w:trPr>
        <w:tc>
          <w:tcPr>
            <w:tcW w:w="541" w:type="dxa"/>
            <w:shd w:val="clear" w:color="auto" w:fill="BFBFBF" w:themeFill="background1" w:themeFillShade="BF"/>
          </w:tcPr>
          <w:p w14:paraId="26C59E86" w14:textId="77777777" w:rsidR="00346CC8" w:rsidRPr="00035A3E" w:rsidRDefault="00346CC8" w:rsidP="00BB093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ru-RU"/>
              </w:rPr>
            </w:pPr>
            <w:r w:rsidRPr="00035A3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ru-RU"/>
              </w:rPr>
              <w:t>1.</w:t>
            </w:r>
          </w:p>
        </w:tc>
        <w:tc>
          <w:tcPr>
            <w:tcW w:w="9623" w:type="dxa"/>
            <w:shd w:val="clear" w:color="auto" w:fill="BFBFBF" w:themeFill="background1" w:themeFillShade="BF"/>
          </w:tcPr>
          <w:p w14:paraId="065F3BF2" w14:textId="77777777" w:rsidR="00346CC8" w:rsidRPr="00035A3E" w:rsidRDefault="00346CC8" w:rsidP="00BB093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ru-RU"/>
              </w:rPr>
            </w:pPr>
            <w:r w:rsidRPr="00035A3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ru-RU"/>
              </w:rPr>
              <w:t>Denumirea autorului şi, după caz, a participanților la elaborarea proiectului</w:t>
            </w:r>
          </w:p>
        </w:tc>
      </w:tr>
      <w:tr w:rsidR="00346CC8" w:rsidRPr="00035A3E" w14:paraId="7C35E13F" w14:textId="77777777" w:rsidTr="00BB0934">
        <w:trPr>
          <w:trHeight w:val="535"/>
        </w:trPr>
        <w:tc>
          <w:tcPr>
            <w:tcW w:w="541" w:type="dxa"/>
            <w:shd w:val="clear" w:color="auto" w:fill="FFFFFF" w:themeFill="background1"/>
          </w:tcPr>
          <w:p w14:paraId="16176E2A" w14:textId="77777777" w:rsidR="00346CC8" w:rsidRPr="00035A3E" w:rsidRDefault="00346CC8" w:rsidP="00BB093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</w:p>
        </w:tc>
        <w:tc>
          <w:tcPr>
            <w:tcW w:w="9623" w:type="dxa"/>
            <w:shd w:val="clear" w:color="auto" w:fill="FFFFFF" w:themeFill="background1"/>
          </w:tcPr>
          <w:p w14:paraId="1BEA07B1" w14:textId="0BACB776" w:rsidR="00346CC8" w:rsidRPr="00035A3E" w:rsidRDefault="00346CC8" w:rsidP="00BB093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035A3E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 xml:space="preserve">Proiectul a fost elaborat de către Ministerul </w:t>
            </w:r>
            <w:r w:rsidR="009339FF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 xml:space="preserve">Dezvoltării </w:t>
            </w:r>
            <w:r w:rsidRPr="00035A3E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Economi</w:t>
            </w:r>
            <w:r w:rsidR="009339FF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ce și Digitalizării</w:t>
            </w:r>
          </w:p>
        </w:tc>
      </w:tr>
      <w:tr w:rsidR="00346CC8" w:rsidRPr="00035A3E" w14:paraId="2E475848" w14:textId="77777777" w:rsidTr="00BB0934">
        <w:trPr>
          <w:trHeight w:val="535"/>
        </w:trPr>
        <w:tc>
          <w:tcPr>
            <w:tcW w:w="541" w:type="dxa"/>
            <w:shd w:val="clear" w:color="auto" w:fill="BFBFBF" w:themeFill="background1" w:themeFillShade="BF"/>
          </w:tcPr>
          <w:p w14:paraId="3A0F26D2" w14:textId="77777777" w:rsidR="00346CC8" w:rsidRPr="00035A3E" w:rsidRDefault="00346CC8" w:rsidP="00BB093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ru-RU"/>
              </w:rPr>
            </w:pPr>
            <w:r w:rsidRPr="00035A3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ru-RU"/>
              </w:rPr>
              <w:t>2.</w:t>
            </w:r>
          </w:p>
        </w:tc>
        <w:tc>
          <w:tcPr>
            <w:tcW w:w="9623" w:type="dxa"/>
            <w:shd w:val="clear" w:color="auto" w:fill="BFBFBF" w:themeFill="background1" w:themeFillShade="BF"/>
          </w:tcPr>
          <w:p w14:paraId="725126B8" w14:textId="77777777" w:rsidR="00346CC8" w:rsidRPr="00035A3E" w:rsidRDefault="00346CC8" w:rsidP="00BB093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ru-RU"/>
              </w:rPr>
            </w:pPr>
            <w:r w:rsidRPr="00035A3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ru-RU"/>
              </w:rPr>
              <w:t xml:space="preserve">Condițiile ce au impus elaborarea proiectului de act normativ şi finalitățile urmărite </w:t>
            </w:r>
          </w:p>
        </w:tc>
      </w:tr>
      <w:tr w:rsidR="00346CC8" w:rsidRPr="00035A3E" w14:paraId="68F3ACE4" w14:textId="77777777" w:rsidTr="00BB0934">
        <w:tc>
          <w:tcPr>
            <w:tcW w:w="541" w:type="dxa"/>
          </w:tcPr>
          <w:p w14:paraId="02128A51" w14:textId="77777777" w:rsidR="00346CC8" w:rsidRPr="00035A3E" w:rsidRDefault="00346CC8" w:rsidP="00BB0934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</w:p>
        </w:tc>
        <w:tc>
          <w:tcPr>
            <w:tcW w:w="9623" w:type="dxa"/>
          </w:tcPr>
          <w:p w14:paraId="1C50F5D5" w14:textId="41CC5334" w:rsidR="00346CC8" w:rsidRPr="00035A3E" w:rsidRDefault="00346CC8" w:rsidP="00BB093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035A3E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 xml:space="preserve">Drept temei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pentru</w:t>
            </w:r>
            <w:r w:rsidRPr="00035A3E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 xml:space="preserve"> elaborarea acestui proiect a servit lit. f), alin. (1), art. 12 din Legea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 xml:space="preserve"> nr.182/2010</w:t>
            </w:r>
            <w:r w:rsidRPr="00035A3E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 xml:space="preserve"> cu privire la parcurile industriale, care prevede că în vederea optimizării controalelor de stat asupra activității rezidenților parcurilor industriale, anual la propunerea organelor de control  se aprobă graficul controalelor</w:t>
            </w:r>
            <w:r w:rsidR="00FE51ED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 xml:space="preserve"> </w:t>
            </w:r>
            <w:r w:rsidRPr="00035A3E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de stat</w:t>
            </w:r>
            <w:r w:rsidR="00FE51ED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 xml:space="preserve"> anuale</w:t>
            </w:r>
            <w:r w:rsidRPr="00035A3E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 xml:space="preserve"> planificate prin hotărâre de Guvern.</w:t>
            </w:r>
          </w:p>
        </w:tc>
      </w:tr>
      <w:tr w:rsidR="00346CC8" w:rsidRPr="00035A3E" w14:paraId="39A2F298" w14:textId="77777777" w:rsidTr="00BB0934">
        <w:tc>
          <w:tcPr>
            <w:tcW w:w="541" w:type="dxa"/>
            <w:shd w:val="clear" w:color="auto" w:fill="BFBFBF" w:themeFill="background1" w:themeFillShade="BF"/>
          </w:tcPr>
          <w:p w14:paraId="673CA6BB" w14:textId="77777777" w:rsidR="00346CC8" w:rsidRPr="00035A3E" w:rsidRDefault="00346CC8" w:rsidP="00BB093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ru-RU"/>
              </w:rPr>
            </w:pPr>
            <w:r w:rsidRPr="00035A3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ru-RU"/>
              </w:rPr>
              <w:t>3.</w:t>
            </w:r>
          </w:p>
        </w:tc>
        <w:tc>
          <w:tcPr>
            <w:tcW w:w="9623" w:type="dxa"/>
            <w:shd w:val="clear" w:color="auto" w:fill="BFBFBF" w:themeFill="background1" w:themeFillShade="BF"/>
          </w:tcPr>
          <w:p w14:paraId="1CD53019" w14:textId="77777777" w:rsidR="00346CC8" w:rsidRPr="00035A3E" w:rsidRDefault="00346CC8" w:rsidP="00BB093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ru-RU"/>
              </w:rPr>
            </w:pPr>
            <w:r w:rsidRPr="00035A3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ru-RU"/>
              </w:rPr>
              <w:t>Descrierea gradului de compatibilitate a prevederilor proiectului cu legislația Uniunii Europene</w:t>
            </w:r>
          </w:p>
        </w:tc>
      </w:tr>
      <w:tr w:rsidR="00346CC8" w:rsidRPr="00035A3E" w14:paraId="69036BC8" w14:textId="77777777" w:rsidTr="00BB0934">
        <w:tc>
          <w:tcPr>
            <w:tcW w:w="541" w:type="dxa"/>
          </w:tcPr>
          <w:p w14:paraId="3B417DF2" w14:textId="77777777" w:rsidR="00346CC8" w:rsidRPr="00035A3E" w:rsidRDefault="00346CC8" w:rsidP="00BB093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</w:p>
        </w:tc>
        <w:tc>
          <w:tcPr>
            <w:tcW w:w="9623" w:type="dxa"/>
          </w:tcPr>
          <w:p w14:paraId="5A8986C0" w14:textId="77777777" w:rsidR="00346CC8" w:rsidRPr="00035A3E" w:rsidRDefault="00346CC8" w:rsidP="00BB093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035A3E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Prezentul proiect de act normativ nu contravine legislației Uniunii Europene</w:t>
            </w:r>
          </w:p>
        </w:tc>
      </w:tr>
      <w:tr w:rsidR="00346CC8" w:rsidRPr="00035A3E" w14:paraId="3072F944" w14:textId="77777777" w:rsidTr="00BB0934">
        <w:tc>
          <w:tcPr>
            <w:tcW w:w="541" w:type="dxa"/>
            <w:shd w:val="clear" w:color="auto" w:fill="D9D9D9" w:themeFill="background1" w:themeFillShade="D9"/>
          </w:tcPr>
          <w:p w14:paraId="434AD769" w14:textId="77777777" w:rsidR="00346CC8" w:rsidRPr="00035A3E" w:rsidRDefault="00346CC8" w:rsidP="00BB093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ru-RU"/>
              </w:rPr>
            </w:pPr>
            <w:r w:rsidRPr="00035A3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ru-RU"/>
              </w:rPr>
              <w:t>4.</w:t>
            </w:r>
          </w:p>
        </w:tc>
        <w:tc>
          <w:tcPr>
            <w:tcW w:w="9623" w:type="dxa"/>
            <w:shd w:val="clear" w:color="auto" w:fill="D9D9D9" w:themeFill="background1" w:themeFillShade="D9"/>
          </w:tcPr>
          <w:p w14:paraId="2936A55F" w14:textId="77777777" w:rsidR="00346CC8" w:rsidRPr="00035A3E" w:rsidRDefault="00346CC8" w:rsidP="00BB093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035A3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ru-RU"/>
              </w:rPr>
              <w:t>Principalele prevederi ale proiectului şi evidențierea elementelor noi</w:t>
            </w:r>
          </w:p>
        </w:tc>
      </w:tr>
      <w:tr w:rsidR="00346CC8" w:rsidRPr="00035A3E" w14:paraId="20545BCE" w14:textId="77777777" w:rsidTr="00BB0934">
        <w:tc>
          <w:tcPr>
            <w:tcW w:w="541" w:type="dxa"/>
          </w:tcPr>
          <w:p w14:paraId="45D171AE" w14:textId="77777777" w:rsidR="00346CC8" w:rsidRPr="00035A3E" w:rsidRDefault="00346CC8" w:rsidP="00BB0934">
            <w:pPr>
              <w:ind w:left="29"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</w:p>
        </w:tc>
        <w:tc>
          <w:tcPr>
            <w:tcW w:w="9623" w:type="dxa"/>
          </w:tcPr>
          <w:p w14:paraId="26A06C19" w14:textId="5A7292B6" w:rsidR="00230088" w:rsidRPr="00230088" w:rsidRDefault="00230088" w:rsidP="00230088">
            <w:pPr>
              <w:spacing w:before="120" w:after="120"/>
              <w:ind w:left="2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230088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 xml:space="preserve">Proiectul hotărârii nominalizat prevede </w:t>
            </w:r>
            <w:r w:rsidR="0097042A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Graficul</w:t>
            </w:r>
            <w:r w:rsidRPr="00230088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 xml:space="preserve"> controalelor planificate asupra activității rezidenților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parcurilor industriale</w:t>
            </w:r>
            <w:r w:rsidRPr="00230088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 xml:space="preserve"> pentru anul 2024, elaborat în baza propunerilor autorităților cu funcții de control, care au prezentat până la data de 1 noiembrie propuneri cu privire la rezidenții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parcurilor industriale</w:t>
            </w:r>
            <w:r w:rsidRPr="00230088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 xml:space="preserve"> ce urmează a fi supuși controlului în anul următor (</w:t>
            </w:r>
            <w:r w:rsidRPr="00035A3E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lit. f), alin. (1), art. 12 din Legea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 xml:space="preserve"> nr.182/2010</w:t>
            </w:r>
            <w:r w:rsidRPr="00230088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 xml:space="preserve">). </w:t>
            </w:r>
            <w:r w:rsidR="0097042A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Graficul</w:t>
            </w:r>
            <w:r w:rsidRPr="00230088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 xml:space="preserve"> cuprinde în sine lista rezidenților și organelor de control cu specificarea perioadei supunerii controlului și a gradului de risc stabilit conform Metodologiei controlului de stat asupra activității de întreprinzător în baza analizei riscurilor aferent domeniilor de competență a organului cu funcții de control.</w:t>
            </w:r>
          </w:p>
          <w:p w14:paraId="735FBDB1" w14:textId="6EED7BF5" w:rsidR="00230088" w:rsidRPr="00230088" w:rsidRDefault="00230088" w:rsidP="00230088">
            <w:pPr>
              <w:spacing w:before="120" w:after="120"/>
              <w:ind w:left="2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230088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În conformitate cu art. 11</w:t>
            </w:r>
            <w:r w:rsidRPr="00885E25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val="ro-RO" w:eastAsia="ru-RU"/>
              </w:rPr>
              <w:t>1</w:t>
            </w:r>
            <w:r w:rsidRPr="00230088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 xml:space="preserve"> al Legii nr. 160/2011 privind reglementarea prin autorizare a activității de întreprinzător, organul de control este obligat să efectueze controalele în corespundere cu prevederile Leg</w:t>
            </w:r>
            <w:r w:rsidR="006D66DA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ii</w:t>
            </w:r>
            <w:r w:rsidRPr="00230088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 xml:space="preserve"> nr. 131/2012 privind controlul de stat asupra activității de întreprinzător și să includă controlul în planul</w:t>
            </w:r>
            <w:r w:rsidR="00DD6076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 xml:space="preserve"> comun</w:t>
            </w:r>
            <w:r w:rsidRPr="00230088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 xml:space="preserve"> de control</w:t>
            </w:r>
            <w:r w:rsidR="00DD6076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 xml:space="preserve"> </w:t>
            </w:r>
            <w:r w:rsidRPr="00230088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 xml:space="preserve">pentru perioada următoare cu luarea în considerare a gradului de risc stabilit în dependență de particularitățile obiectului controlului, persoanelor supuse controlului și ale raporturilor anterioare cu organul de control (data efectuării ultimului control, încălcări anterioare). </w:t>
            </w:r>
          </w:p>
          <w:p w14:paraId="1B14BC11" w14:textId="564C42F6" w:rsidR="00230088" w:rsidRPr="00230088" w:rsidRDefault="00230088" w:rsidP="00230088">
            <w:pPr>
              <w:spacing w:before="120" w:after="120"/>
              <w:ind w:left="2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230088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 xml:space="preserve">În această ordine de idei, de către organele de control au fost identificate riscurile la rezidenții </w:t>
            </w:r>
            <w:r w:rsidR="00F4670E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parcurilor industriale</w:t>
            </w:r>
            <w:r w:rsidRPr="00230088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 xml:space="preserve"> în privința aspectelor ce țin de competența sa în corespundere cu Metodologia privind controlul de stat asupra activității de întreprinzător, elaborată și aprobată de Guvern pentru fiecare domeniu de control.</w:t>
            </w:r>
          </w:p>
          <w:p w14:paraId="014DCA3E" w14:textId="26E50B85" w:rsidR="00346CC8" w:rsidRPr="00035A3E" w:rsidRDefault="00230088" w:rsidP="00F4670E">
            <w:pPr>
              <w:spacing w:before="120" w:after="120"/>
              <w:ind w:left="2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230088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lastRenderedPageBreak/>
              <w:t xml:space="preserve">Respectiv, urmare evaluării riscurilor celor </w:t>
            </w:r>
            <w:r w:rsidR="00F4670E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cca. 120</w:t>
            </w:r>
            <w:r w:rsidRPr="00230088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 xml:space="preserve"> agenți economici, rezidenți ai </w:t>
            </w:r>
            <w:r w:rsidR="00F4670E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parcurilor industriale</w:t>
            </w:r>
            <w:r w:rsidRPr="00230088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 xml:space="preserve">, 2 Organe de control (Inspectoratul pentru Protecția Mediului, Agenția Națională pentru Siguranța Alimentelor) au solicitat supunerea controlului pe parcursul anului 2024 a </w:t>
            </w:r>
            <w:r w:rsidR="00F4670E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8</w:t>
            </w:r>
            <w:r w:rsidRPr="00230088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 xml:space="preserve"> agenți economici</w:t>
            </w:r>
            <w:r w:rsidR="00F4670E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 xml:space="preserve"> </w:t>
            </w:r>
            <w:r w:rsidRPr="00230088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 xml:space="preserve"> </w:t>
            </w:r>
            <w:r w:rsidR="00F4670E" w:rsidRPr="00F4670E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din cadrul Parcurilor Industriale „Edineț”, „Cimișlia” și „Răut”</w:t>
            </w:r>
            <w:r w:rsidR="00F4670E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.</w:t>
            </w:r>
          </w:p>
        </w:tc>
      </w:tr>
      <w:tr w:rsidR="00346CC8" w:rsidRPr="00035A3E" w14:paraId="4BDACC6E" w14:textId="77777777" w:rsidTr="00BB0934">
        <w:tc>
          <w:tcPr>
            <w:tcW w:w="541" w:type="dxa"/>
            <w:shd w:val="clear" w:color="auto" w:fill="BFBFBF" w:themeFill="background1" w:themeFillShade="BF"/>
          </w:tcPr>
          <w:p w14:paraId="5F52B8EA" w14:textId="77777777" w:rsidR="00346CC8" w:rsidRPr="00035A3E" w:rsidRDefault="00346CC8" w:rsidP="00BB093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ru-RU"/>
              </w:rPr>
            </w:pPr>
            <w:r w:rsidRPr="00035A3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ru-RU"/>
              </w:rPr>
              <w:lastRenderedPageBreak/>
              <w:t>5.</w:t>
            </w:r>
          </w:p>
        </w:tc>
        <w:tc>
          <w:tcPr>
            <w:tcW w:w="9623" w:type="dxa"/>
            <w:shd w:val="clear" w:color="auto" w:fill="BFBFBF" w:themeFill="background1" w:themeFillShade="BF"/>
          </w:tcPr>
          <w:p w14:paraId="038CCE81" w14:textId="77777777" w:rsidR="00346CC8" w:rsidRPr="00035A3E" w:rsidRDefault="00346CC8" w:rsidP="00BB093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ru-RU"/>
              </w:rPr>
            </w:pPr>
            <w:r w:rsidRPr="00035A3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ru-RU"/>
              </w:rPr>
              <w:t>Fundamentarea economico-financiară</w:t>
            </w:r>
          </w:p>
        </w:tc>
      </w:tr>
      <w:tr w:rsidR="00346CC8" w:rsidRPr="00035A3E" w14:paraId="109DAAD7" w14:textId="77777777" w:rsidTr="00BB0934">
        <w:tc>
          <w:tcPr>
            <w:tcW w:w="541" w:type="dxa"/>
            <w:shd w:val="clear" w:color="auto" w:fill="FFFFFF" w:themeFill="background1"/>
          </w:tcPr>
          <w:p w14:paraId="23E18030" w14:textId="77777777" w:rsidR="00346CC8" w:rsidRPr="00035A3E" w:rsidRDefault="00346CC8" w:rsidP="00BB0934">
            <w:pPr>
              <w:spacing w:line="276" w:lineRule="auto"/>
              <w:ind w:firstLine="73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</w:p>
        </w:tc>
        <w:tc>
          <w:tcPr>
            <w:tcW w:w="9623" w:type="dxa"/>
            <w:shd w:val="clear" w:color="auto" w:fill="FFFFFF" w:themeFill="background1"/>
          </w:tcPr>
          <w:p w14:paraId="1CFF7E51" w14:textId="77777777" w:rsidR="00346CC8" w:rsidRPr="00035A3E" w:rsidRDefault="00346CC8" w:rsidP="00BB093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035A3E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Realizarea proiectului dat nu implică cheltuieli bugetare și nebugetare</w:t>
            </w:r>
          </w:p>
        </w:tc>
      </w:tr>
      <w:tr w:rsidR="00346CC8" w:rsidRPr="00035A3E" w14:paraId="57AD09D3" w14:textId="77777777" w:rsidTr="00BB0934">
        <w:tc>
          <w:tcPr>
            <w:tcW w:w="541" w:type="dxa"/>
            <w:shd w:val="clear" w:color="auto" w:fill="D9D9D9" w:themeFill="background1" w:themeFillShade="D9"/>
          </w:tcPr>
          <w:p w14:paraId="0BAFC38A" w14:textId="77777777" w:rsidR="00346CC8" w:rsidRPr="00035A3E" w:rsidRDefault="00346CC8" w:rsidP="00BB0934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ru-RU"/>
              </w:rPr>
            </w:pPr>
            <w:r w:rsidRPr="00035A3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ru-RU"/>
              </w:rPr>
              <w:t>6.</w:t>
            </w:r>
          </w:p>
        </w:tc>
        <w:tc>
          <w:tcPr>
            <w:tcW w:w="9623" w:type="dxa"/>
            <w:shd w:val="clear" w:color="auto" w:fill="D9D9D9" w:themeFill="background1" w:themeFillShade="D9"/>
          </w:tcPr>
          <w:p w14:paraId="70ED38E8" w14:textId="77777777" w:rsidR="00346CC8" w:rsidRPr="00035A3E" w:rsidRDefault="00346CC8" w:rsidP="00BB0934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ru-RU"/>
              </w:rPr>
            </w:pPr>
            <w:r w:rsidRPr="00035A3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ru-RU"/>
              </w:rPr>
              <w:t>Modul de încorporare a actului în cadrul normativ în vigoare</w:t>
            </w:r>
          </w:p>
        </w:tc>
      </w:tr>
      <w:tr w:rsidR="00346CC8" w:rsidRPr="00035A3E" w14:paraId="3C567B51" w14:textId="77777777" w:rsidTr="00BB0934">
        <w:tc>
          <w:tcPr>
            <w:tcW w:w="541" w:type="dxa"/>
            <w:shd w:val="clear" w:color="auto" w:fill="FFFFFF" w:themeFill="background1"/>
          </w:tcPr>
          <w:p w14:paraId="245ED313" w14:textId="77777777" w:rsidR="00346CC8" w:rsidRPr="00035A3E" w:rsidRDefault="00346CC8" w:rsidP="00BB093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</w:p>
        </w:tc>
        <w:tc>
          <w:tcPr>
            <w:tcW w:w="9623" w:type="dxa"/>
            <w:shd w:val="clear" w:color="auto" w:fill="FFFFFF" w:themeFill="background1"/>
          </w:tcPr>
          <w:p w14:paraId="64D43733" w14:textId="77777777" w:rsidR="00346CC8" w:rsidRPr="00035A3E" w:rsidRDefault="00346CC8" w:rsidP="00BB093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035A3E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Punerea în aplicare a prevederilor proiectului în cauză nu necesită modificarea sau abrogarea altor acte normative</w:t>
            </w:r>
          </w:p>
        </w:tc>
      </w:tr>
      <w:tr w:rsidR="00346CC8" w:rsidRPr="00035A3E" w14:paraId="58E92FB5" w14:textId="77777777" w:rsidTr="00BB0934">
        <w:tc>
          <w:tcPr>
            <w:tcW w:w="541" w:type="dxa"/>
            <w:shd w:val="clear" w:color="auto" w:fill="D9D9D9" w:themeFill="background1" w:themeFillShade="D9"/>
          </w:tcPr>
          <w:p w14:paraId="5CC59975" w14:textId="77777777" w:rsidR="00346CC8" w:rsidRPr="00035A3E" w:rsidRDefault="00346CC8" w:rsidP="00BB093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ru-RU"/>
              </w:rPr>
            </w:pPr>
            <w:r w:rsidRPr="00035A3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ru-RU"/>
              </w:rPr>
              <w:t>7.</w:t>
            </w:r>
          </w:p>
        </w:tc>
        <w:tc>
          <w:tcPr>
            <w:tcW w:w="9623" w:type="dxa"/>
            <w:shd w:val="clear" w:color="auto" w:fill="D9D9D9" w:themeFill="background1" w:themeFillShade="D9"/>
          </w:tcPr>
          <w:p w14:paraId="239CFED6" w14:textId="77777777" w:rsidR="00346CC8" w:rsidRPr="00035A3E" w:rsidRDefault="00346CC8" w:rsidP="00BB093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035A3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ru-RU"/>
              </w:rPr>
              <w:t>Avizarea şi consultarea publică a proiectului</w:t>
            </w:r>
          </w:p>
        </w:tc>
      </w:tr>
      <w:tr w:rsidR="00346CC8" w:rsidRPr="00035A3E" w14:paraId="48D2C671" w14:textId="77777777" w:rsidTr="00BB0934">
        <w:tc>
          <w:tcPr>
            <w:tcW w:w="541" w:type="dxa"/>
            <w:shd w:val="clear" w:color="auto" w:fill="FFFFFF" w:themeFill="background1"/>
          </w:tcPr>
          <w:p w14:paraId="04D8160A" w14:textId="77777777" w:rsidR="00346CC8" w:rsidRPr="00035A3E" w:rsidRDefault="00346CC8" w:rsidP="00BB093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</w:p>
        </w:tc>
        <w:tc>
          <w:tcPr>
            <w:tcW w:w="9623" w:type="dxa"/>
            <w:shd w:val="clear" w:color="auto" w:fill="FFFFFF" w:themeFill="background1"/>
          </w:tcPr>
          <w:p w14:paraId="2A8FB6C1" w14:textId="77777777" w:rsidR="00885E25" w:rsidRDefault="00A926F7" w:rsidP="00885E2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A926F7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 xml:space="preserve">Întru respectarea prevederilor Legii nr. 239/2008 privind transparența în procesul decizional, proiectul </w:t>
            </w:r>
            <w:r w:rsidR="00864951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a fost</w:t>
            </w:r>
            <w:r w:rsidRPr="00A926F7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 xml:space="preserve"> plasat pe pagina web oficială a Ministerului</w:t>
            </w:r>
            <w:r w:rsidR="009339FF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 xml:space="preserve"> Dezvoltării</w:t>
            </w:r>
            <w:r w:rsidRPr="00A926F7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 xml:space="preserve"> Econom</w:t>
            </w:r>
            <w:r w:rsidR="009339FF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ice și Digitalizării</w:t>
            </w:r>
            <w:r w:rsidRPr="00A926F7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 xml:space="preserve"> la compartimentul /transparența decizională/ și </w:t>
            </w:r>
            <w:hyperlink r:id="rId4" w:history="1">
              <w:r w:rsidR="006D66DA" w:rsidRPr="007F30BE">
                <w:rPr>
                  <w:rStyle w:val="Hyperlink"/>
                  <w:rFonts w:ascii="Times New Roman" w:eastAsia="Times New Roman" w:hAnsi="Times New Roman" w:cs="Times New Roman"/>
                  <w:sz w:val="26"/>
                  <w:szCs w:val="26"/>
                  <w:lang w:val="ro-RO" w:eastAsia="ru-RU"/>
                </w:rPr>
                <w:t>http://particip.gov.md/</w:t>
              </w:r>
            </w:hyperlink>
            <w:r w:rsidR="00AE1494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 xml:space="preserve"> </w:t>
            </w:r>
          </w:p>
          <w:p w14:paraId="754D08A7" w14:textId="64326110" w:rsidR="00AE1494" w:rsidRDefault="006D66DA" w:rsidP="00885E2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pe</w:t>
            </w:r>
            <w:r w:rsidR="00AE1494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 xml:space="preserve">data de </w:t>
            </w:r>
            <w:r w:rsidR="00AE1494" w:rsidRPr="00AE1494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29.11.2023</w:t>
            </w:r>
            <w:r w:rsidR="00AE1494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 xml:space="preserve"> </w:t>
            </w:r>
            <w:hyperlink r:id="rId5" w:history="1">
              <w:r w:rsidR="00AE1494" w:rsidRPr="00AE1494">
                <w:rPr>
                  <w:rStyle w:val="Hyperlink"/>
                  <w:rFonts w:ascii="Times New Roman" w:eastAsia="Times New Roman" w:hAnsi="Times New Roman" w:cs="Times New Roman"/>
                  <w:sz w:val="26"/>
                  <w:szCs w:val="26"/>
                  <w:lang w:val="ro-MD" w:eastAsia="ru-RU"/>
                </w:rPr>
                <w:t>https://particip.gov.md/ro/document/stages/*/11568</w:t>
              </w:r>
            </w:hyperlink>
          </w:p>
          <w:p w14:paraId="70D22498" w14:textId="6D190E78" w:rsidR="00346CC8" w:rsidRPr="00035A3E" w:rsidRDefault="00AE1494" w:rsidP="00885E2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AE1494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După înregistrarea la Cancelaria de Stat proiectul va fi plasat spre consultări publice pe pagina web oficială a ministerului și http://particip.gov.md/.</w:t>
            </w:r>
          </w:p>
        </w:tc>
      </w:tr>
      <w:tr w:rsidR="00346CC8" w:rsidRPr="00035A3E" w14:paraId="3A8A95D4" w14:textId="77777777" w:rsidTr="00BB0934">
        <w:tc>
          <w:tcPr>
            <w:tcW w:w="541" w:type="dxa"/>
            <w:shd w:val="clear" w:color="auto" w:fill="D9D9D9" w:themeFill="background1" w:themeFillShade="D9"/>
          </w:tcPr>
          <w:p w14:paraId="5913B431" w14:textId="77777777" w:rsidR="00346CC8" w:rsidRPr="00035A3E" w:rsidRDefault="00346CC8" w:rsidP="00BB093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ru-RU"/>
              </w:rPr>
            </w:pPr>
            <w:r w:rsidRPr="00035A3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ru-RU"/>
              </w:rPr>
              <w:t>8.</w:t>
            </w:r>
          </w:p>
        </w:tc>
        <w:tc>
          <w:tcPr>
            <w:tcW w:w="9623" w:type="dxa"/>
            <w:shd w:val="clear" w:color="auto" w:fill="D9D9D9" w:themeFill="background1" w:themeFillShade="D9"/>
          </w:tcPr>
          <w:p w14:paraId="63F49F27" w14:textId="77777777" w:rsidR="00346CC8" w:rsidRPr="00055379" w:rsidRDefault="00346CC8" w:rsidP="00BB093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ru-RU"/>
              </w:rPr>
            </w:pPr>
            <w:r w:rsidRPr="00035A3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ru-RU"/>
              </w:rPr>
              <w:t>Constatările expertizei anticorupție</w:t>
            </w:r>
          </w:p>
        </w:tc>
      </w:tr>
      <w:tr w:rsidR="00346CC8" w:rsidRPr="00035A3E" w14:paraId="53824D86" w14:textId="77777777" w:rsidTr="00BB0934">
        <w:tc>
          <w:tcPr>
            <w:tcW w:w="541" w:type="dxa"/>
            <w:shd w:val="clear" w:color="auto" w:fill="FFFFFF" w:themeFill="background1"/>
          </w:tcPr>
          <w:p w14:paraId="71A2A6C0" w14:textId="77777777" w:rsidR="00346CC8" w:rsidRPr="00035A3E" w:rsidRDefault="00346CC8" w:rsidP="00BB093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</w:p>
        </w:tc>
        <w:tc>
          <w:tcPr>
            <w:tcW w:w="9623" w:type="dxa"/>
            <w:shd w:val="clear" w:color="auto" w:fill="FFFFFF" w:themeFill="background1"/>
          </w:tcPr>
          <w:p w14:paraId="07E4118F" w14:textId="33D85721" w:rsidR="00346CC8" w:rsidRPr="00035A3E" w:rsidRDefault="00AE1494" w:rsidP="0068405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AE1494"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  <w:t>Prezentul proiect va fi supus expertizei anticorupție conform art. 36 din Legea nr.100/2017 cu privire la actele normative.</w:t>
            </w:r>
          </w:p>
        </w:tc>
      </w:tr>
      <w:tr w:rsidR="00346CC8" w:rsidRPr="00035A3E" w14:paraId="5D41294B" w14:textId="77777777" w:rsidTr="00BB0934">
        <w:tc>
          <w:tcPr>
            <w:tcW w:w="541" w:type="dxa"/>
            <w:shd w:val="clear" w:color="auto" w:fill="D9D9D9" w:themeFill="background1" w:themeFillShade="D9"/>
          </w:tcPr>
          <w:p w14:paraId="48E4FED2" w14:textId="77777777" w:rsidR="00346CC8" w:rsidRPr="00035A3E" w:rsidRDefault="00346CC8" w:rsidP="00BB093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ru-RU"/>
              </w:rPr>
            </w:pPr>
            <w:r w:rsidRPr="00035A3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ru-RU"/>
              </w:rPr>
              <w:t>9.</w:t>
            </w:r>
          </w:p>
        </w:tc>
        <w:tc>
          <w:tcPr>
            <w:tcW w:w="9623" w:type="dxa"/>
            <w:shd w:val="clear" w:color="auto" w:fill="D9D9D9" w:themeFill="background1" w:themeFillShade="D9"/>
          </w:tcPr>
          <w:p w14:paraId="1410A2C5" w14:textId="77777777" w:rsidR="00346CC8" w:rsidRPr="00035A3E" w:rsidRDefault="00346CC8" w:rsidP="00BB093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035A3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ru-RU"/>
              </w:rPr>
              <w:t>Constatările expertizei de compatibilitate</w:t>
            </w:r>
          </w:p>
        </w:tc>
      </w:tr>
      <w:tr w:rsidR="00346CC8" w:rsidRPr="00035A3E" w14:paraId="08ED3F0A" w14:textId="77777777" w:rsidTr="00BB0934">
        <w:tc>
          <w:tcPr>
            <w:tcW w:w="541" w:type="dxa"/>
            <w:shd w:val="clear" w:color="auto" w:fill="FFFFFF" w:themeFill="background1"/>
          </w:tcPr>
          <w:p w14:paraId="27DA1843" w14:textId="77777777" w:rsidR="00346CC8" w:rsidRPr="00035A3E" w:rsidRDefault="00346CC8" w:rsidP="00BB093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</w:p>
        </w:tc>
        <w:tc>
          <w:tcPr>
            <w:tcW w:w="9623" w:type="dxa"/>
            <w:shd w:val="clear" w:color="auto" w:fill="FFFFFF" w:themeFill="background1"/>
          </w:tcPr>
          <w:p w14:paraId="74E17909" w14:textId="78563B90" w:rsidR="00346CC8" w:rsidRPr="00FA06E1" w:rsidRDefault="000304EA" w:rsidP="00BB093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ro-RO" w:eastAsia="ru-RU"/>
              </w:rPr>
            </w:pPr>
            <w:r w:rsidRPr="00FA06E1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ro-RO" w:eastAsia="ru-RU"/>
              </w:rPr>
              <w:t>Nu este necesar</w:t>
            </w:r>
          </w:p>
        </w:tc>
      </w:tr>
      <w:tr w:rsidR="00346CC8" w:rsidRPr="00035A3E" w14:paraId="08B72C17" w14:textId="77777777" w:rsidTr="00BB0934">
        <w:tc>
          <w:tcPr>
            <w:tcW w:w="541" w:type="dxa"/>
            <w:shd w:val="clear" w:color="auto" w:fill="D9D9D9" w:themeFill="background1" w:themeFillShade="D9"/>
          </w:tcPr>
          <w:p w14:paraId="10982459" w14:textId="77777777" w:rsidR="00346CC8" w:rsidRPr="00035A3E" w:rsidRDefault="00346CC8" w:rsidP="00BB093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ru-RU"/>
              </w:rPr>
            </w:pPr>
            <w:r w:rsidRPr="00035A3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ru-RU"/>
              </w:rPr>
              <w:t>10.</w:t>
            </w:r>
          </w:p>
        </w:tc>
        <w:tc>
          <w:tcPr>
            <w:tcW w:w="9623" w:type="dxa"/>
            <w:shd w:val="clear" w:color="auto" w:fill="D9D9D9" w:themeFill="background1" w:themeFillShade="D9"/>
          </w:tcPr>
          <w:p w14:paraId="37B72946" w14:textId="77777777" w:rsidR="00346CC8" w:rsidRPr="00035A3E" w:rsidRDefault="00346CC8" w:rsidP="00BB093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035A3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ru-RU"/>
              </w:rPr>
              <w:t>Constatările expertizei juridice</w:t>
            </w:r>
          </w:p>
        </w:tc>
      </w:tr>
      <w:tr w:rsidR="00346CC8" w:rsidRPr="00035A3E" w14:paraId="4952A53A" w14:textId="77777777" w:rsidTr="00BB0934">
        <w:tc>
          <w:tcPr>
            <w:tcW w:w="541" w:type="dxa"/>
            <w:shd w:val="clear" w:color="auto" w:fill="FFFFFF" w:themeFill="background1"/>
          </w:tcPr>
          <w:p w14:paraId="762310AB" w14:textId="77777777" w:rsidR="00346CC8" w:rsidRPr="00035A3E" w:rsidRDefault="00346CC8" w:rsidP="00BB093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</w:p>
        </w:tc>
        <w:tc>
          <w:tcPr>
            <w:tcW w:w="9623" w:type="dxa"/>
            <w:shd w:val="clear" w:color="auto" w:fill="FFFFFF" w:themeFill="background1"/>
          </w:tcPr>
          <w:p w14:paraId="3A4377AB" w14:textId="6B87E36D" w:rsidR="00A24FDB" w:rsidRPr="00035A3E" w:rsidRDefault="00AE1494" w:rsidP="00BB093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AE1494"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  <w:t>Proiectul va fi supus expertizei juridice de către Ministerul Justiției conform art. 37 din Legea nr.100/2017 cu privire la actele normative</w:t>
            </w:r>
          </w:p>
        </w:tc>
      </w:tr>
      <w:tr w:rsidR="00346CC8" w:rsidRPr="00035A3E" w14:paraId="5C5329D3" w14:textId="77777777" w:rsidTr="00BB0934">
        <w:tc>
          <w:tcPr>
            <w:tcW w:w="541" w:type="dxa"/>
            <w:shd w:val="clear" w:color="auto" w:fill="D9D9D9" w:themeFill="background1" w:themeFillShade="D9"/>
          </w:tcPr>
          <w:p w14:paraId="02996E34" w14:textId="77777777" w:rsidR="00346CC8" w:rsidRPr="00035A3E" w:rsidRDefault="00346CC8" w:rsidP="00BB093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ru-RU"/>
              </w:rPr>
            </w:pPr>
            <w:r w:rsidRPr="00035A3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ru-RU"/>
              </w:rPr>
              <w:t>11.</w:t>
            </w:r>
          </w:p>
        </w:tc>
        <w:tc>
          <w:tcPr>
            <w:tcW w:w="9623" w:type="dxa"/>
            <w:shd w:val="clear" w:color="auto" w:fill="D9D9D9" w:themeFill="background1" w:themeFillShade="D9"/>
          </w:tcPr>
          <w:p w14:paraId="532562FB" w14:textId="77777777" w:rsidR="00346CC8" w:rsidRPr="00035A3E" w:rsidRDefault="00346CC8" w:rsidP="00BB093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ru-RU"/>
              </w:rPr>
            </w:pPr>
            <w:r w:rsidRPr="00035A3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ru-RU"/>
              </w:rPr>
              <w:t>Constatările altor expertize</w:t>
            </w:r>
          </w:p>
        </w:tc>
      </w:tr>
      <w:tr w:rsidR="00346CC8" w:rsidRPr="00035A3E" w14:paraId="5B27F057" w14:textId="77777777" w:rsidTr="00BB0934">
        <w:tc>
          <w:tcPr>
            <w:tcW w:w="541" w:type="dxa"/>
            <w:shd w:val="clear" w:color="auto" w:fill="FFFFFF" w:themeFill="background1"/>
          </w:tcPr>
          <w:p w14:paraId="7D78710B" w14:textId="77777777" w:rsidR="00346CC8" w:rsidRPr="00035A3E" w:rsidRDefault="00346CC8" w:rsidP="00BB093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</w:p>
        </w:tc>
        <w:tc>
          <w:tcPr>
            <w:tcW w:w="9623" w:type="dxa"/>
            <w:shd w:val="clear" w:color="auto" w:fill="FFFFFF" w:themeFill="background1"/>
          </w:tcPr>
          <w:p w14:paraId="1095BAB2" w14:textId="77777777" w:rsidR="00346CC8" w:rsidRPr="00035A3E" w:rsidRDefault="00346CC8" w:rsidP="00BB093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035A3E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 xml:space="preserve">Nu este necesar </w:t>
            </w:r>
          </w:p>
        </w:tc>
      </w:tr>
    </w:tbl>
    <w:p w14:paraId="263C23DB" w14:textId="77777777" w:rsidR="00346CC8" w:rsidRPr="00035A3E" w:rsidRDefault="00346CC8" w:rsidP="00346CC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</w:pPr>
    </w:p>
    <w:p w14:paraId="6C3851C3" w14:textId="77777777" w:rsidR="00346CC8" w:rsidRDefault="00346CC8" w:rsidP="00346C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lang w:val="ro-RO" w:eastAsia="ru-RU"/>
        </w:rPr>
      </w:pPr>
    </w:p>
    <w:p w14:paraId="47A59170" w14:textId="77777777" w:rsidR="00346CC8" w:rsidRDefault="00346CC8" w:rsidP="00346C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lang w:val="ro-RO" w:eastAsia="ru-RU"/>
        </w:rPr>
      </w:pPr>
    </w:p>
    <w:p w14:paraId="35C9493C" w14:textId="77777777" w:rsidR="00346CC8" w:rsidRDefault="00346CC8" w:rsidP="00346C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lang w:val="ro-RO" w:eastAsia="ru-RU"/>
        </w:rPr>
      </w:pPr>
    </w:p>
    <w:p w14:paraId="67F1EF56" w14:textId="77777777" w:rsidR="000304EA" w:rsidRDefault="000304EA" w:rsidP="00346C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lang w:val="ro-RO" w:eastAsia="ru-RU"/>
        </w:rPr>
      </w:pPr>
    </w:p>
    <w:p w14:paraId="47779759" w14:textId="77777777" w:rsidR="000304EA" w:rsidRDefault="000304EA" w:rsidP="00346C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lang w:val="ro-RO" w:eastAsia="ru-RU"/>
        </w:rPr>
      </w:pPr>
    </w:p>
    <w:p w14:paraId="51F61AC1" w14:textId="77777777" w:rsidR="000304EA" w:rsidRDefault="000304EA" w:rsidP="00346C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lang w:val="ro-RO" w:eastAsia="ru-RU"/>
        </w:rPr>
      </w:pPr>
    </w:p>
    <w:p w14:paraId="7A38EA0D" w14:textId="7AF04CAF" w:rsidR="00F53E6D" w:rsidRPr="00AE1494" w:rsidRDefault="00AE1494" w:rsidP="00AE1494">
      <w:pPr>
        <w:ind w:firstLine="720"/>
        <w:rPr>
          <w:rFonts w:ascii="Times New Roman" w:eastAsia="Times New Roman" w:hAnsi="Times New Roman" w:cs="Times New Roman"/>
          <w:b/>
          <w:sz w:val="28"/>
          <w:szCs w:val="28"/>
          <w:lang w:val="ro-MD" w:eastAsia="ru-RU"/>
        </w:rPr>
      </w:pPr>
      <w:r w:rsidRPr="00AE1494">
        <w:rPr>
          <w:rFonts w:ascii="Times New Roman" w:eastAsia="Times New Roman" w:hAnsi="Times New Roman" w:cs="Times New Roman"/>
          <w:b/>
          <w:sz w:val="28"/>
          <w:szCs w:val="28"/>
          <w:lang w:val="ro-MD" w:eastAsia="ru-RU"/>
        </w:rPr>
        <w:t>Secretar de stat</w:t>
      </w:r>
      <w:r w:rsidRPr="00AE1494">
        <w:rPr>
          <w:rFonts w:ascii="Times New Roman" w:eastAsia="Times New Roman" w:hAnsi="Times New Roman" w:cs="Times New Roman"/>
          <w:b/>
          <w:sz w:val="28"/>
          <w:szCs w:val="28"/>
          <w:lang w:val="ro-MD" w:eastAsia="ru-RU"/>
        </w:rPr>
        <w:tab/>
      </w:r>
      <w:r w:rsidRPr="00AE1494">
        <w:rPr>
          <w:rFonts w:ascii="Times New Roman" w:eastAsia="Times New Roman" w:hAnsi="Times New Roman" w:cs="Times New Roman"/>
          <w:b/>
          <w:sz w:val="28"/>
          <w:szCs w:val="28"/>
          <w:lang w:val="ro-MD" w:eastAsia="ru-RU"/>
        </w:rPr>
        <w:tab/>
      </w:r>
      <w:r w:rsidRPr="00AE1494">
        <w:rPr>
          <w:rFonts w:ascii="Times New Roman" w:eastAsia="Times New Roman" w:hAnsi="Times New Roman" w:cs="Times New Roman"/>
          <w:b/>
          <w:sz w:val="28"/>
          <w:szCs w:val="28"/>
          <w:lang w:val="ro-MD" w:eastAsia="ru-RU"/>
        </w:rPr>
        <w:tab/>
      </w:r>
      <w:r w:rsidRPr="00AE1494">
        <w:rPr>
          <w:rFonts w:ascii="Times New Roman" w:eastAsia="Times New Roman" w:hAnsi="Times New Roman" w:cs="Times New Roman"/>
          <w:b/>
          <w:sz w:val="28"/>
          <w:szCs w:val="28"/>
          <w:lang w:val="ro-MD" w:eastAsia="ru-RU"/>
        </w:rPr>
        <w:tab/>
      </w:r>
      <w:r w:rsidRPr="00AE1494">
        <w:rPr>
          <w:rFonts w:ascii="Times New Roman" w:eastAsia="Times New Roman" w:hAnsi="Times New Roman" w:cs="Times New Roman"/>
          <w:b/>
          <w:sz w:val="28"/>
          <w:szCs w:val="28"/>
          <w:lang w:val="ro-MD" w:eastAsia="ru-RU"/>
        </w:rPr>
        <w:tab/>
      </w:r>
      <w:r w:rsidRPr="00AE1494">
        <w:rPr>
          <w:rFonts w:ascii="Times New Roman" w:eastAsia="Times New Roman" w:hAnsi="Times New Roman" w:cs="Times New Roman"/>
          <w:b/>
          <w:sz w:val="28"/>
          <w:szCs w:val="28"/>
          <w:lang w:val="ro-MD" w:eastAsia="ru-RU"/>
        </w:rPr>
        <w:tab/>
        <w:t xml:space="preserve">Viorel GARAZ </w:t>
      </w:r>
    </w:p>
    <w:sectPr w:rsidR="00F53E6D" w:rsidRPr="00AE1494" w:rsidSect="009E61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CC8"/>
    <w:rsid w:val="00022EE7"/>
    <w:rsid w:val="000304EA"/>
    <w:rsid w:val="0003416F"/>
    <w:rsid w:val="00230088"/>
    <w:rsid w:val="00247D62"/>
    <w:rsid w:val="002624C3"/>
    <w:rsid w:val="00346CC8"/>
    <w:rsid w:val="005F566D"/>
    <w:rsid w:val="0062519A"/>
    <w:rsid w:val="00661502"/>
    <w:rsid w:val="00684053"/>
    <w:rsid w:val="006A452D"/>
    <w:rsid w:val="006C016E"/>
    <w:rsid w:val="006D66DA"/>
    <w:rsid w:val="00715AAC"/>
    <w:rsid w:val="00777FEE"/>
    <w:rsid w:val="00864951"/>
    <w:rsid w:val="00885E25"/>
    <w:rsid w:val="009339FF"/>
    <w:rsid w:val="0097042A"/>
    <w:rsid w:val="009C2872"/>
    <w:rsid w:val="009E619C"/>
    <w:rsid w:val="00A01B1A"/>
    <w:rsid w:val="00A21EFF"/>
    <w:rsid w:val="00A24FDB"/>
    <w:rsid w:val="00A926F7"/>
    <w:rsid w:val="00AE1494"/>
    <w:rsid w:val="00DD6076"/>
    <w:rsid w:val="00E04D77"/>
    <w:rsid w:val="00E75027"/>
    <w:rsid w:val="00F4670E"/>
    <w:rsid w:val="00F53E6D"/>
    <w:rsid w:val="00FA06E1"/>
    <w:rsid w:val="00FE5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E1EB"/>
  <w15:chartTrackingRefBased/>
  <w15:docId w15:val="{8D38FCA2-2A98-478A-923A-81C83E2C2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6CC8"/>
  </w:style>
  <w:style w:type="paragraph" w:styleId="Heading1">
    <w:name w:val="heading 1"/>
    <w:basedOn w:val="Normal"/>
    <w:next w:val="Normal"/>
    <w:link w:val="Heading1Char"/>
    <w:uiPriority w:val="9"/>
    <w:qFormat/>
    <w:rsid w:val="00E04D77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4D7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4D77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4D77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4D77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4D77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4D77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4D77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4D77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4D77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4D77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4D77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4D77"/>
    <w:rPr>
      <w:rFonts w:asciiTheme="majorHAnsi" w:eastAsiaTheme="majorEastAsia" w:hAnsiTheme="majorHAnsi" w:cstheme="majorBid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4D77"/>
    <w:rPr>
      <w:rFonts w:asciiTheme="majorHAnsi" w:eastAsiaTheme="majorEastAsia" w:hAnsiTheme="majorHAnsi" w:cstheme="majorBidi"/>
      <w:i/>
      <w:iCs/>
      <w:cap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4D77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4D77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4D77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4D77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04D77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E04D77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E04D77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4D77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4D77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Strong">
    <w:name w:val="Strong"/>
    <w:basedOn w:val="DefaultParagraphFont"/>
    <w:uiPriority w:val="22"/>
    <w:qFormat/>
    <w:rsid w:val="00E04D77"/>
    <w:rPr>
      <w:b/>
      <w:bCs/>
    </w:rPr>
  </w:style>
  <w:style w:type="character" w:styleId="Emphasis">
    <w:name w:val="Emphasis"/>
    <w:basedOn w:val="DefaultParagraphFont"/>
    <w:uiPriority w:val="20"/>
    <w:qFormat/>
    <w:rsid w:val="00E04D77"/>
    <w:rPr>
      <w:i/>
      <w:iCs/>
    </w:rPr>
  </w:style>
  <w:style w:type="paragraph" w:styleId="NoSpacing">
    <w:name w:val="No Spacing"/>
    <w:uiPriority w:val="1"/>
    <w:qFormat/>
    <w:rsid w:val="00E04D7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04D7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04D77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QuoteChar">
    <w:name w:val="Quote Char"/>
    <w:basedOn w:val="DefaultParagraphFont"/>
    <w:link w:val="Quote"/>
    <w:uiPriority w:val="29"/>
    <w:rsid w:val="00E04D77"/>
    <w:rPr>
      <w:rFonts w:asciiTheme="majorHAnsi" w:eastAsiaTheme="majorEastAsia" w:hAnsiTheme="majorHAnsi" w:cstheme="majorBidi"/>
      <w:sz w:val="25"/>
      <w:szCs w:val="2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4D77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4D77"/>
    <w:rPr>
      <w:color w:val="404040" w:themeColor="text1" w:themeTint="BF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E04D7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E04D77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E04D77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E04D77"/>
    <w:rPr>
      <w:b/>
      <w:bCs/>
      <w:caps w:val="0"/>
      <w:smallCaps/>
      <w:color w:val="auto"/>
      <w:spacing w:val="3"/>
      <w:u w:val="single"/>
    </w:rPr>
  </w:style>
  <w:style w:type="character" w:styleId="BookTitle">
    <w:name w:val="Book Title"/>
    <w:basedOn w:val="DefaultParagraphFont"/>
    <w:uiPriority w:val="33"/>
    <w:qFormat/>
    <w:rsid w:val="00E04D77"/>
    <w:rPr>
      <w:b/>
      <w:bCs/>
      <w:smallCaps/>
      <w:spacing w:val="7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04D77"/>
    <w:pPr>
      <w:outlineLvl w:val="9"/>
    </w:pPr>
  </w:style>
  <w:style w:type="table" w:styleId="TableGrid">
    <w:name w:val="Table Grid"/>
    <w:basedOn w:val="TableNormal"/>
    <w:uiPriority w:val="39"/>
    <w:rsid w:val="00346CC8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D66D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66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articip.gov.md/ro/document/stages/*/11568" TargetMode="External"/><Relationship Id="rId4" Type="http://schemas.openxmlformats.org/officeDocument/2006/relationships/hyperlink" Target="http://particip.gov.md/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2</Pages>
  <Words>687</Words>
  <Characters>3922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 Raulet</dc:creator>
  <cp:keywords/>
  <dc:description/>
  <cp:lastModifiedBy>Victoria Turcan</cp:lastModifiedBy>
  <cp:revision>22</cp:revision>
  <dcterms:created xsi:type="dcterms:W3CDTF">2022-02-04T05:42:00Z</dcterms:created>
  <dcterms:modified xsi:type="dcterms:W3CDTF">2023-12-12T13:34:00Z</dcterms:modified>
</cp:coreProperties>
</file>