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4A086" w14:textId="77777777" w:rsidR="006F2C09" w:rsidRPr="00365949" w:rsidRDefault="00485E9B">
      <w:pPr>
        <w:spacing w:after="0" w:line="276" w:lineRule="auto"/>
        <w:ind w:left="7788"/>
        <w:jc w:val="both"/>
        <w:rPr>
          <w:rFonts w:ascii="Times New Roman Regular" w:eastAsia="Times New Roman" w:hAnsi="Times New Roman Regular" w:cs="Times New Roman Regular"/>
          <w:kern w:val="0"/>
          <w:sz w:val="24"/>
          <w:szCs w:val="24"/>
          <w:lang w:eastAsia="ru-RU"/>
          <w14:ligatures w14:val="none"/>
        </w:rPr>
      </w:pPr>
      <w:r w:rsidRPr="00365949">
        <w:rPr>
          <w:rFonts w:ascii="Times New Roman Regular" w:eastAsia="Times New Roman" w:hAnsi="Times New Roman Regular" w:cs="Times New Roman Regular"/>
          <w:kern w:val="0"/>
          <w:sz w:val="24"/>
          <w:szCs w:val="24"/>
          <w:lang w:eastAsia="ru-RU"/>
          <w14:ligatures w14:val="none"/>
        </w:rPr>
        <w:t xml:space="preserve">Proiect </w:t>
      </w:r>
    </w:p>
    <w:p w14:paraId="3684A087" w14:textId="77777777" w:rsidR="006F2C09" w:rsidRPr="00365949" w:rsidRDefault="006F2C09">
      <w:pPr>
        <w:spacing w:after="0" w:line="276" w:lineRule="auto"/>
        <w:jc w:val="both"/>
        <w:rPr>
          <w:rFonts w:ascii="Times New Roman Regular" w:eastAsia="Times New Roman" w:hAnsi="Times New Roman Regular" w:cs="Times New Roman Regular"/>
          <w:kern w:val="0"/>
          <w:sz w:val="24"/>
          <w:szCs w:val="24"/>
          <w:lang w:eastAsia="ru-RU"/>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F2C09" w:rsidRPr="00365949" w14:paraId="3684A08D" w14:textId="77777777">
        <w:tc>
          <w:tcPr>
            <w:tcW w:w="5000" w:type="pct"/>
          </w:tcPr>
          <w:p w14:paraId="3684A088" w14:textId="77777777" w:rsidR="006F2C09" w:rsidRPr="00365949" w:rsidRDefault="00485E9B">
            <w:pPr>
              <w:spacing w:after="0" w:line="240" w:lineRule="auto"/>
              <w:ind w:firstLine="0"/>
              <w:rPr>
                <w:rFonts w:ascii="Times New Roman Regular" w:hAnsi="Times New Roman Regular" w:cs="Times New Roman Regular"/>
                <w:kern w:val="0"/>
                <w:sz w:val="24"/>
                <w:szCs w:val="24"/>
                <w14:ligatures w14:val="none"/>
              </w:rPr>
            </w:pPr>
            <w:r w:rsidRPr="00365949">
              <w:rPr>
                <w:rFonts w:ascii="Times New Roman Regular" w:hAnsi="Times New Roman Regular" w:cs="Times New Roman Regular"/>
                <w:noProof/>
                <w:kern w:val="0"/>
                <w:sz w:val="24"/>
                <w:szCs w:val="24"/>
                <w:lang w:val="en-GB" w:eastAsia="en-GB"/>
                <w14:ligatures w14:val="none"/>
              </w:rPr>
              <w:drawing>
                <wp:anchor distT="0" distB="0" distL="114300" distR="114300" simplePos="0" relativeHeight="251659264" behindDoc="0" locked="0" layoutInCell="0" allowOverlap="1" wp14:anchorId="3684A178" wp14:editId="3684A179">
                  <wp:simplePos x="0" y="0"/>
                  <wp:positionH relativeFrom="column">
                    <wp:align>center</wp:align>
                  </wp:positionH>
                  <wp:positionV relativeFrom="line">
                    <wp:align>top</wp:align>
                  </wp:positionV>
                  <wp:extent cx="752475" cy="860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13762" t="5073" r="11009"/>
                          <a:stretch>
                            <a:fillRect/>
                          </a:stretch>
                        </pic:blipFill>
                        <pic:spPr>
                          <a:xfrm>
                            <a:off x="0" y="0"/>
                            <a:ext cx="752400" cy="860400"/>
                          </a:xfrm>
                          <a:prstGeom prst="rect">
                            <a:avLst/>
                          </a:prstGeom>
                          <a:noFill/>
                          <a:ln>
                            <a:noFill/>
                          </a:ln>
                        </pic:spPr>
                      </pic:pic>
                    </a:graphicData>
                  </a:graphic>
                </wp:anchor>
              </w:drawing>
            </w:r>
          </w:p>
          <w:p w14:paraId="3684A089" w14:textId="77777777" w:rsidR="006F2C09" w:rsidRPr="00365949" w:rsidRDefault="006F2C09">
            <w:pPr>
              <w:spacing w:after="0" w:line="240" w:lineRule="auto"/>
              <w:ind w:firstLine="0"/>
              <w:rPr>
                <w:rFonts w:ascii="Times New Roman Regular" w:hAnsi="Times New Roman Regular" w:cs="Times New Roman Regular"/>
                <w:kern w:val="0"/>
                <w:sz w:val="24"/>
                <w:szCs w:val="24"/>
                <w14:ligatures w14:val="none"/>
              </w:rPr>
            </w:pPr>
          </w:p>
          <w:p w14:paraId="3684A08A" w14:textId="77777777" w:rsidR="006F2C09" w:rsidRPr="00365949" w:rsidRDefault="006F2C09">
            <w:pPr>
              <w:spacing w:after="0" w:line="240" w:lineRule="auto"/>
              <w:ind w:firstLine="0"/>
              <w:rPr>
                <w:rFonts w:ascii="Times New Roman Regular" w:hAnsi="Times New Roman Regular" w:cs="Times New Roman Regular"/>
                <w:kern w:val="0"/>
                <w:sz w:val="24"/>
                <w:szCs w:val="24"/>
                <w14:ligatures w14:val="none"/>
              </w:rPr>
            </w:pPr>
          </w:p>
          <w:p w14:paraId="3684A08B" w14:textId="77777777" w:rsidR="006F2C09" w:rsidRPr="00365949" w:rsidRDefault="006F2C09">
            <w:pPr>
              <w:spacing w:after="0" w:line="240" w:lineRule="auto"/>
              <w:ind w:firstLine="0"/>
              <w:rPr>
                <w:rFonts w:ascii="Times New Roman Regular" w:hAnsi="Times New Roman Regular" w:cs="Times New Roman Regular"/>
                <w:kern w:val="0"/>
                <w:sz w:val="24"/>
                <w:szCs w:val="24"/>
                <w14:ligatures w14:val="none"/>
              </w:rPr>
            </w:pPr>
          </w:p>
          <w:p w14:paraId="3684A08C" w14:textId="77777777" w:rsidR="006F2C09" w:rsidRPr="00365949" w:rsidRDefault="006F2C09">
            <w:pPr>
              <w:spacing w:after="0" w:line="240" w:lineRule="auto"/>
              <w:ind w:firstLine="0"/>
              <w:rPr>
                <w:rFonts w:ascii="Times New Roman Regular" w:hAnsi="Times New Roman Regular" w:cs="Times New Roman Regular"/>
                <w:kern w:val="0"/>
                <w:sz w:val="24"/>
                <w:szCs w:val="24"/>
                <w14:ligatures w14:val="none"/>
              </w:rPr>
            </w:pPr>
          </w:p>
        </w:tc>
      </w:tr>
      <w:tr w:rsidR="006F2C09" w:rsidRPr="00365949" w14:paraId="3684A096" w14:textId="77777777">
        <w:tc>
          <w:tcPr>
            <w:tcW w:w="5000" w:type="pct"/>
          </w:tcPr>
          <w:p w14:paraId="3684A08E" w14:textId="77777777" w:rsidR="006F2C09" w:rsidRPr="00365949" w:rsidRDefault="006F2C09">
            <w:pPr>
              <w:pStyle w:val="Heading8"/>
              <w:jc w:val="both"/>
              <w:outlineLvl w:val="7"/>
              <w:rPr>
                <w:rFonts w:ascii="Times New Roman Regular" w:hAnsi="Times New Roman Regular" w:cs="Times New Roman Regular"/>
                <w:color w:val="000080"/>
                <w:szCs w:val="24"/>
                <w:lang w:val="ro-RO"/>
              </w:rPr>
            </w:pPr>
          </w:p>
          <w:p w14:paraId="3684A08F" w14:textId="77777777" w:rsidR="006F2C09" w:rsidRPr="00365949" w:rsidRDefault="00485E9B">
            <w:pPr>
              <w:pStyle w:val="Heading8"/>
              <w:ind w:firstLine="0"/>
              <w:outlineLvl w:val="7"/>
              <w:rPr>
                <w:rFonts w:ascii="Times New Roman Regular" w:hAnsi="Times New Roman Regular" w:cs="Times New Roman Regular"/>
                <w:spacing w:val="20"/>
                <w:szCs w:val="24"/>
                <w:lang w:val="ro-RO"/>
              </w:rPr>
            </w:pPr>
            <w:r w:rsidRPr="00365949">
              <w:rPr>
                <w:rFonts w:ascii="Times New Roman Regular" w:hAnsi="Times New Roman Regular" w:cs="Times New Roman Regular"/>
                <w:spacing w:val="20"/>
                <w:szCs w:val="24"/>
                <w:lang w:val="ro-RO"/>
              </w:rPr>
              <w:t>GUVERNUL  REPUBLICII  MOLDOVA</w:t>
            </w:r>
          </w:p>
          <w:p w14:paraId="3684A090" w14:textId="77777777" w:rsidR="006F2C09" w:rsidRPr="00365949" w:rsidRDefault="006F2C09">
            <w:pPr>
              <w:spacing w:after="0" w:line="240" w:lineRule="auto"/>
              <w:ind w:firstLine="0"/>
              <w:jc w:val="center"/>
              <w:rPr>
                <w:rFonts w:ascii="Times New Roman Regular" w:hAnsi="Times New Roman Regular" w:cs="Times New Roman Regular"/>
                <w:kern w:val="0"/>
                <w:sz w:val="24"/>
                <w:szCs w:val="24"/>
                <w14:ligatures w14:val="none"/>
              </w:rPr>
            </w:pPr>
          </w:p>
          <w:p w14:paraId="3684A091" w14:textId="77777777" w:rsidR="006F2C09" w:rsidRPr="00365949" w:rsidRDefault="00485E9B">
            <w:pPr>
              <w:pStyle w:val="Heading8"/>
              <w:ind w:firstLine="0"/>
              <w:outlineLvl w:val="7"/>
              <w:rPr>
                <w:rFonts w:ascii="Times New Roman Regular" w:hAnsi="Times New Roman Regular" w:cs="Times New Roman Regular"/>
                <w:szCs w:val="24"/>
                <w:lang w:val="ro-RO"/>
              </w:rPr>
            </w:pPr>
            <w:r w:rsidRPr="00365949">
              <w:rPr>
                <w:rFonts w:ascii="Times New Roman Regular" w:hAnsi="Times New Roman Regular" w:cs="Times New Roman Regular"/>
                <w:spacing w:val="40"/>
                <w:szCs w:val="24"/>
                <w:lang w:val="ro-RO"/>
              </w:rPr>
              <w:t>HOTĂRÂRE</w:t>
            </w:r>
            <w:r w:rsidRPr="00365949">
              <w:rPr>
                <w:rFonts w:ascii="Times New Roman Regular" w:hAnsi="Times New Roman Regular" w:cs="Times New Roman Regular"/>
                <w:szCs w:val="24"/>
                <w:lang w:val="ro-RO"/>
              </w:rPr>
              <w:t xml:space="preserve"> nr. ____</w:t>
            </w:r>
          </w:p>
          <w:p w14:paraId="3684A092" w14:textId="77777777" w:rsidR="006F2C09" w:rsidRPr="00365949" w:rsidRDefault="006F2C09">
            <w:pPr>
              <w:spacing w:after="0" w:line="240" w:lineRule="auto"/>
              <w:ind w:firstLine="0"/>
              <w:jc w:val="center"/>
              <w:rPr>
                <w:rFonts w:ascii="Times New Roman Regular" w:hAnsi="Times New Roman Regular" w:cs="Times New Roman Regular"/>
                <w:kern w:val="0"/>
                <w:sz w:val="24"/>
                <w:szCs w:val="24"/>
                <w14:ligatures w14:val="none"/>
              </w:rPr>
            </w:pPr>
          </w:p>
          <w:p w14:paraId="3684A093" w14:textId="77777777" w:rsidR="006F2C09" w:rsidRPr="00365949" w:rsidRDefault="00485E9B">
            <w:pPr>
              <w:spacing w:after="0" w:line="240" w:lineRule="auto"/>
              <w:ind w:firstLine="0"/>
              <w:jc w:val="center"/>
              <w:rPr>
                <w:rFonts w:ascii="Times New Roman Regular" w:hAnsi="Times New Roman Regular" w:cs="Times New Roman Regular"/>
                <w:b/>
                <w:kern w:val="0"/>
                <w:sz w:val="24"/>
                <w:szCs w:val="24"/>
                <w14:ligatures w14:val="none"/>
              </w:rPr>
            </w:pPr>
            <w:r w:rsidRPr="00365949">
              <w:rPr>
                <w:rFonts w:ascii="Times New Roman Regular" w:hAnsi="Times New Roman Regular" w:cs="Times New Roman Regular"/>
                <w:b/>
                <w:kern w:val="0"/>
                <w:sz w:val="24"/>
                <w:szCs w:val="24"/>
                <w:u w:val="single"/>
                <w14:ligatures w14:val="none"/>
              </w:rPr>
              <w:t>din                                        2024</w:t>
            </w:r>
          </w:p>
          <w:p w14:paraId="3684A094" w14:textId="77777777" w:rsidR="006F2C09" w:rsidRPr="00365949" w:rsidRDefault="00485E9B">
            <w:pPr>
              <w:spacing w:before="120" w:after="0" w:line="240" w:lineRule="auto"/>
              <w:ind w:firstLine="0"/>
              <w:jc w:val="center"/>
              <w:rPr>
                <w:rFonts w:ascii="Times New Roman Regular" w:hAnsi="Times New Roman Regular" w:cs="Times New Roman Regular"/>
                <w:b/>
                <w:kern w:val="0"/>
                <w:sz w:val="24"/>
                <w:szCs w:val="24"/>
                <w14:ligatures w14:val="none"/>
              </w:rPr>
            </w:pPr>
            <w:r w:rsidRPr="00365949">
              <w:rPr>
                <w:rFonts w:ascii="Times New Roman Regular" w:hAnsi="Times New Roman Regular" w:cs="Times New Roman Regular"/>
                <w:b/>
                <w:kern w:val="0"/>
                <w:sz w:val="24"/>
                <w:szCs w:val="24"/>
                <w14:ligatures w14:val="none"/>
              </w:rPr>
              <w:t>Chișinău</w:t>
            </w:r>
          </w:p>
          <w:p w14:paraId="3684A095" w14:textId="77777777" w:rsidR="006F2C09" w:rsidRPr="00365949" w:rsidRDefault="006F2C09">
            <w:pPr>
              <w:spacing w:after="0" w:line="240" w:lineRule="auto"/>
              <w:ind w:firstLine="0"/>
              <w:rPr>
                <w:rFonts w:ascii="Times New Roman Regular" w:hAnsi="Times New Roman Regular" w:cs="Times New Roman Regular"/>
                <w:kern w:val="0"/>
                <w:sz w:val="24"/>
                <w:szCs w:val="24"/>
                <w:lang w:eastAsia="ro-RO"/>
                <w14:ligatures w14:val="none"/>
              </w:rPr>
            </w:pPr>
          </w:p>
        </w:tc>
      </w:tr>
    </w:tbl>
    <w:p w14:paraId="3684A097" w14:textId="77777777" w:rsidR="006F2C09" w:rsidRPr="00365949" w:rsidRDefault="006F2C09">
      <w:pPr>
        <w:spacing w:after="0" w:line="276" w:lineRule="auto"/>
        <w:jc w:val="both"/>
        <w:rPr>
          <w:rFonts w:ascii="Times New Roman Regular" w:eastAsia="Times New Roman" w:hAnsi="Times New Roman Regular" w:cs="Times New Roman Regular"/>
          <w:kern w:val="0"/>
          <w:sz w:val="24"/>
          <w:szCs w:val="24"/>
          <w:lang w:eastAsia="ru-RU"/>
          <w14:ligatures w14:val="none"/>
        </w:rPr>
      </w:pPr>
    </w:p>
    <w:p w14:paraId="3684A098" w14:textId="77777777" w:rsidR="006F2C09" w:rsidRPr="00365949" w:rsidRDefault="00485E9B">
      <w:pPr>
        <w:spacing w:after="0" w:line="276" w:lineRule="auto"/>
        <w:jc w:val="both"/>
        <w:rPr>
          <w:rFonts w:ascii="Times New Roman Regular" w:eastAsia="Times New Roman" w:hAnsi="Times New Roman Regular" w:cs="Times New Roman Regular"/>
          <w:b/>
          <w:kern w:val="0"/>
          <w:sz w:val="24"/>
          <w:szCs w:val="24"/>
          <w:lang w:eastAsia="ru-RU"/>
          <w14:ligatures w14:val="none"/>
        </w:rPr>
      </w:pPr>
      <w:r w:rsidRPr="00365949">
        <w:rPr>
          <w:rFonts w:ascii="Times New Roman Regular" w:eastAsia="Times New Roman" w:hAnsi="Times New Roman Regular" w:cs="Times New Roman Regular"/>
          <w:b/>
          <w:kern w:val="0"/>
          <w:sz w:val="24"/>
          <w:szCs w:val="24"/>
          <w:lang w:eastAsia="ru-RU"/>
          <w14:ligatures w14:val="none"/>
        </w:rPr>
        <w:t>pentru modificarea Hotărârii Guvernului nr. 690/2018 pentru aprobarea Regulamentului privind desfășurarea licitațiilor în vederea oferirii statutului de producător eligibil</w:t>
      </w:r>
    </w:p>
    <w:p w14:paraId="3684A099" w14:textId="77777777" w:rsidR="006F2C09" w:rsidRPr="00365949" w:rsidRDefault="006F2C09">
      <w:pPr>
        <w:spacing w:after="0" w:line="276" w:lineRule="auto"/>
        <w:jc w:val="both"/>
        <w:rPr>
          <w:rFonts w:ascii="Times New Roman Regular" w:eastAsia="Times New Roman" w:hAnsi="Times New Roman Regular" w:cs="Times New Roman Regular"/>
          <w:b/>
          <w:kern w:val="0"/>
          <w:sz w:val="24"/>
          <w:szCs w:val="24"/>
          <w:lang w:eastAsia="ru-RU"/>
          <w14:ligatures w14:val="none"/>
        </w:rPr>
      </w:pPr>
    </w:p>
    <w:p w14:paraId="3684A09A" w14:textId="77777777" w:rsidR="006F2C09" w:rsidRPr="00365949" w:rsidRDefault="00485E9B">
      <w:pPr>
        <w:spacing w:after="0" w:line="276" w:lineRule="auto"/>
        <w:jc w:val="both"/>
        <w:rPr>
          <w:rFonts w:ascii="Times New Roman Regular" w:eastAsia="Times New Roman" w:hAnsi="Times New Roman Regular" w:cs="Times New Roman Regular"/>
          <w:bCs/>
          <w:kern w:val="0"/>
          <w:sz w:val="24"/>
          <w:szCs w:val="24"/>
          <w:lang w:eastAsia="ru-RU"/>
          <w14:ligatures w14:val="none"/>
        </w:rPr>
      </w:pPr>
      <w:r w:rsidRPr="00365949">
        <w:rPr>
          <w:rFonts w:ascii="Times New Roman Regular" w:eastAsia="Times New Roman" w:hAnsi="Times New Roman Regular" w:cs="Times New Roman Regular"/>
          <w:bCs/>
          <w:kern w:val="0"/>
          <w:sz w:val="24"/>
          <w:szCs w:val="24"/>
          <w:lang w:eastAsia="ru-RU"/>
          <w14:ligatures w14:val="none"/>
        </w:rPr>
        <w:t xml:space="preserve">În temeiul articolului 10 litera k) din Legea nr. 10/ 2016 privind promovarea utilizării energiei din surse regenerabile (Monitorul Oficial al Republicii Moldova, 2016, nr. 69-77, art. 117), cu modificările ulterioare, </w:t>
      </w:r>
    </w:p>
    <w:p w14:paraId="3684A09B" w14:textId="77777777" w:rsidR="006F2C09" w:rsidRPr="00365949" w:rsidRDefault="006F2C09">
      <w:pPr>
        <w:spacing w:after="0" w:line="276" w:lineRule="auto"/>
        <w:jc w:val="both"/>
        <w:rPr>
          <w:rFonts w:ascii="Times New Roman Regular" w:eastAsia="Times New Roman" w:hAnsi="Times New Roman Regular" w:cs="Times New Roman Regular"/>
          <w:bCs/>
          <w:kern w:val="0"/>
          <w:sz w:val="24"/>
          <w:szCs w:val="24"/>
          <w:lang w:eastAsia="ru-RU"/>
          <w14:ligatures w14:val="none"/>
        </w:rPr>
      </w:pPr>
    </w:p>
    <w:p w14:paraId="3684A09C" w14:textId="77777777" w:rsidR="006F2C09" w:rsidRPr="00365949" w:rsidRDefault="00485E9B">
      <w:pPr>
        <w:spacing w:after="0" w:line="276" w:lineRule="auto"/>
        <w:jc w:val="both"/>
        <w:rPr>
          <w:rFonts w:ascii="Times New Roman Regular" w:eastAsia="Times New Roman" w:hAnsi="Times New Roman Regular" w:cs="Times New Roman Regular"/>
          <w:bCs/>
          <w:kern w:val="0"/>
          <w:sz w:val="24"/>
          <w:szCs w:val="24"/>
          <w:lang w:eastAsia="ru-RU"/>
          <w14:ligatures w14:val="none"/>
        </w:rPr>
      </w:pPr>
      <w:r w:rsidRPr="00365949">
        <w:rPr>
          <w:rFonts w:ascii="Times New Roman Regular" w:eastAsia="Times New Roman" w:hAnsi="Times New Roman Regular" w:cs="Times New Roman Regular"/>
          <w:bCs/>
          <w:kern w:val="0"/>
          <w:sz w:val="24"/>
          <w:szCs w:val="24"/>
          <w:lang w:eastAsia="ru-RU"/>
          <w14:ligatures w14:val="none"/>
        </w:rPr>
        <w:t>Guvernul HOTĂRĂȘTE:</w:t>
      </w:r>
    </w:p>
    <w:p w14:paraId="3684A09D" w14:textId="77777777" w:rsidR="006F2C09" w:rsidRPr="00365949" w:rsidRDefault="006F2C09">
      <w:pPr>
        <w:jc w:val="both"/>
        <w:rPr>
          <w:rFonts w:ascii="Times New Roman Regular" w:hAnsi="Times New Roman Regular" w:cs="Times New Roman Regular"/>
          <w:sz w:val="24"/>
          <w:szCs w:val="24"/>
        </w:rPr>
      </w:pPr>
    </w:p>
    <w:p w14:paraId="3684A09E" w14:textId="77777777" w:rsidR="006F2C09" w:rsidRPr="00365949" w:rsidRDefault="00485E9B">
      <w:pPr>
        <w:pStyle w:val="ListParagraph"/>
        <w:numPr>
          <w:ilvl w:val="0"/>
          <w:numId w:val="1"/>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Hotărârea Guvernului nr. 690/2018 pentru aprobarea Regulamentului privind desfășurarea licitațiilor pentru oferirea statutului de producător eligibil (M.O. nr. 267-275, art. 745), cu modificările ulterioare, se modifică după cum urmează:</w:t>
      </w:r>
    </w:p>
    <w:p w14:paraId="3684A09F" w14:textId="77777777" w:rsidR="006F2C09" w:rsidRPr="00365949" w:rsidRDefault="006F2C09">
      <w:pPr>
        <w:pStyle w:val="ListParagraph"/>
        <w:jc w:val="both"/>
        <w:rPr>
          <w:rFonts w:ascii="Times New Roman Regular" w:hAnsi="Times New Roman Regular" w:cs="Times New Roman Regular"/>
          <w:sz w:val="24"/>
          <w:szCs w:val="24"/>
        </w:rPr>
      </w:pPr>
    </w:p>
    <w:p w14:paraId="3684A0A0" w14:textId="77777777" w:rsidR="006F2C09" w:rsidRPr="00365949" w:rsidRDefault="00485E9B">
      <w:pPr>
        <w:pStyle w:val="ListParagraph"/>
        <w:numPr>
          <w:ilvl w:val="0"/>
          <w:numId w:val="2"/>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În denumirea și în tot textul Hotărârii și al Regulamentului, sintagma „producător eligibil“, în orice formă gramaticală, se substituie cu sintagma „producător eligibil mare”, în forma gramaticală corespunzătoare.</w:t>
      </w:r>
    </w:p>
    <w:p w14:paraId="3684A0A1" w14:textId="77777777" w:rsidR="006F2C09" w:rsidRPr="00365949" w:rsidRDefault="006F2C09">
      <w:pPr>
        <w:pStyle w:val="ListParagraph"/>
        <w:jc w:val="both"/>
        <w:rPr>
          <w:rFonts w:ascii="Times New Roman Regular" w:hAnsi="Times New Roman Regular" w:cs="Times New Roman Regular"/>
          <w:sz w:val="24"/>
          <w:szCs w:val="24"/>
        </w:rPr>
      </w:pPr>
    </w:p>
    <w:p w14:paraId="3684A0A2" w14:textId="77777777" w:rsidR="006F2C09" w:rsidRPr="00365949" w:rsidRDefault="00485E9B">
      <w:pPr>
        <w:pStyle w:val="ListParagraph"/>
        <w:numPr>
          <w:ilvl w:val="0"/>
          <w:numId w:val="2"/>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În Regulament:</w:t>
      </w:r>
    </w:p>
    <w:p w14:paraId="3684A0A3"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În tot textul Regulamentului, sintagmele „</w:t>
      </w:r>
      <w:r w:rsidRPr="00365949">
        <w:rPr>
          <w:rFonts w:ascii="Times New Roman Regular" w:hAnsi="Times New Roman Regular" w:cs="Times New Roman Regular"/>
          <w:i/>
          <w:iCs/>
          <w:sz w:val="24"/>
          <w:szCs w:val="24"/>
        </w:rPr>
        <w:t>forță majoră</w:t>
      </w:r>
      <w:r w:rsidRPr="00365949">
        <w:rPr>
          <w:rFonts w:ascii="Times New Roman Regular" w:hAnsi="Times New Roman Regular" w:cs="Times New Roman Regular"/>
          <w:sz w:val="24"/>
          <w:szCs w:val="24"/>
        </w:rPr>
        <w:t>”, „</w:t>
      </w:r>
      <w:r w:rsidRPr="00365949">
        <w:rPr>
          <w:rFonts w:ascii="Times New Roman Regular" w:hAnsi="Times New Roman Regular" w:cs="Times New Roman Regular"/>
          <w:i/>
          <w:sz w:val="24"/>
          <w:szCs w:val="24"/>
        </w:rPr>
        <w:t>oferta de preț</w:t>
      </w:r>
      <w:r w:rsidRPr="00365949">
        <w:rPr>
          <w:rFonts w:ascii="Times New Roman Regular" w:hAnsi="Times New Roman Regular" w:cs="Times New Roman Regular"/>
          <w:sz w:val="24"/>
          <w:szCs w:val="24"/>
        </w:rPr>
        <w:t>”, „</w:t>
      </w:r>
      <w:r w:rsidRPr="00365949">
        <w:rPr>
          <w:rFonts w:ascii="Times New Roman Regular" w:hAnsi="Times New Roman Regular" w:cs="Times New Roman Regular"/>
          <w:i/>
          <w:sz w:val="24"/>
          <w:szCs w:val="24"/>
        </w:rPr>
        <w:t>care utilizează SRE</w:t>
      </w:r>
      <w:r w:rsidRPr="00365949">
        <w:rPr>
          <w:rFonts w:ascii="Times New Roman Regular" w:hAnsi="Times New Roman Regular" w:cs="Times New Roman Regular"/>
          <w:sz w:val="24"/>
          <w:szCs w:val="24"/>
        </w:rPr>
        <w:t xml:space="preserve">” în orice formă gramaticală, se substituie cu sintagmele „impediment care </w:t>
      </w:r>
      <w:r w:rsidRPr="00365949">
        <w:rPr>
          <w:rFonts w:ascii="Times New Roman Regular" w:hAnsi="Times New Roman Regular" w:cs="Times New Roman Regular"/>
          <w:bCs/>
          <w:sz w:val="24"/>
          <w:szCs w:val="24"/>
        </w:rPr>
        <w:t>justifică neexecutarea obligației</w:t>
      </w:r>
      <w:r w:rsidRPr="00365949">
        <w:rPr>
          <w:rFonts w:ascii="Times New Roman Regular" w:hAnsi="Times New Roman Regular" w:cs="Times New Roman Regular"/>
          <w:sz w:val="24"/>
          <w:szCs w:val="24"/>
        </w:rPr>
        <w:t>”, „ofertă financiară” și respectiv „pentru producerea de energie electrică din SRE” la forma gramaticală corespunzătoare.</w:t>
      </w:r>
    </w:p>
    <w:p w14:paraId="3684A0A4"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În tot textul Regulamentului, cuvântul „deschisă” din sintagmele „licitație publică deschisă” și „licitație deschisă” în orice formă gramaticală, se exclude.</w:t>
      </w:r>
    </w:p>
    <w:p w14:paraId="3684A0A5"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La pct. 3:</w:t>
      </w:r>
    </w:p>
    <w:p w14:paraId="3684A0A6" w14:textId="77777777" w:rsidR="006F2C09" w:rsidRPr="00365949" w:rsidRDefault="006F2C09">
      <w:pPr>
        <w:pStyle w:val="ListParagraph"/>
        <w:jc w:val="both"/>
        <w:rPr>
          <w:rFonts w:ascii="Times New Roman Regular" w:hAnsi="Times New Roman Regular" w:cs="Times New Roman Regular"/>
          <w:sz w:val="24"/>
          <w:szCs w:val="24"/>
        </w:rPr>
      </w:pPr>
    </w:p>
    <w:p w14:paraId="3684A0A7"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lastRenderedPageBreak/>
        <w:t>Noțiunea „</w:t>
      </w:r>
      <w:r w:rsidRPr="00365949">
        <w:rPr>
          <w:rFonts w:ascii="Times New Roman Regular" w:hAnsi="Times New Roman Regular" w:cs="Times New Roman Regular"/>
          <w:i/>
          <w:iCs/>
          <w:sz w:val="24"/>
          <w:szCs w:val="24"/>
        </w:rPr>
        <w:t xml:space="preserve">investitor“ </w:t>
      </w:r>
      <w:r w:rsidRPr="00365949">
        <w:rPr>
          <w:rFonts w:ascii="Times New Roman Regular" w:hAnsi="Times New Roman Regular" w:cs="Times New Roman Regular"/>
          <w:iCs/>
          <w:sz w:val="24"/>
          <w:szCs w:val="24"/>
        </w:rPr>
        <w:t>va avea următorul cuprins:</w:t>
      </w:r>
      <w:r w:rsidRPr="00365949">
        <w:rPr>
          <w:rFonts w:ascii="Times New Roman Regular" w:hAnsi="Times New Roman Regular" w:cs="Times New Roman Regular"/>
          <w:sz w:val="24"/>
          <w:szCs w:val="24"/>
        </w:rPr>
        <w:t xml:space="preserve"> „persoană fizică sau juridică, înregistrată în modul stabilit în Republica Moldova, care solicită să i se ofere statutul de producător eligibil mare în procesul de licitație și care finanțează, construiește și exploatează una sau mai multe centrale electrice care utilizează surse de energie regenerabilă cu o capacitate instalată mai mare decât limita de capacitate stabilită de Guvern în conformitate cu Legea nr. 10/ 2016 privind promovarea utilizării energiei din surse regenerabile”;</w:t>
      </w:r>
    </w:p>
    <w:p w14:paraId="3684A0A8" w14:textId="77777777" w:rsidR="006F2C09" w:rsidRPr="00365949" w:rsidRDefault="006F2C09">
      <w:pPr>
        <w:pStyle w:val="ListParagraph"/>
        <w:jc w:val="both"/>
        <w:rPr>
          <w:rFonts w:ascii="Times New Roman Regular" w:hAnsi="Times New Roman Regular" w:cs="Times New Roman Regular"/>
          <w:sz w:val="24"/>
          <w:szCs w:val="24"/>
        </w:rPr>
      </w:pPr>
    </w:p>
    <w:p w14:paraId="3684A0A9"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Noțiunea </w:t>
      </w:r>
      <w:r w:rsidRPr="00365949">
        <w:rPr>
          <w:rFonts w:ascii="Times New Roman Regular" w:hAnsi="Times New Roman Regular" w:cs="Times New Roman Regular"/>
          <w:i/>
          <w:iCs/>
          <w:sz w:val="24"/>
          <w:szCs w:val="24"/>
        </w:rPr>
        <w:t>„ofertă”</w:t>
      </w:r>
      <w:r w:rsidRPr="00365949">
        <w:rPr>
          <w:rFonts w:ascii="Times New Roman Regular" w:hAnsi="Times New Roman Regular" w:cs="Times New Roman Regular"/>
          <w:sz w:val="24"/>
          <w:szCs w:val="24"/>
        </w:rPr>
        <w:t xml:space="preserve"> va avea următorul cuprins: „document elaborat în conformitate cu cerințele prezentului Regulament și a documentației de licitație, prin care investitorul prezintă, în cadrul licitației, o ofertă referitor la construcția centralei electrice care utilizează SRE pentru obținerea statutului de producător eligibil;</w:t>
      </w:r>
    </w:p>
    <w:p w14:paraId="3684A0AA" w14:textId="77777777" w:rsidR="006F2C09" w:rsidRPr="00365949" w:rsidRDefault="006F2C09">
      <w:pPr>
        <w:pStyle w:val="ListParagraph"/>
        <w:jc w:val="both"/>
        <w:rPr>
          <w:rFonts w:ascii="Times New Roman Regular" w:hAnsi="Times New Roman Regular" w:cs="Times New Roman Regular"/>
          <w:sz w:val="24"/>
          <w:szCs w:val="24"/>
        </w:rPr>
      </w:pPr>
    </w:p>
    <w:p w14:paraId="3684A0AB"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Noțiunea </w:t>
      </w:r>
      <w:r w:rsidRPr="00365949">
        <w:rPr>
          <w:rFonts w:ascii="Times New Roman Regular" w:hAnsi="Times New Roman Regular" w:cs="Times New Roman Regular"/>
          <w:i/>
          <w:iCs/>
          <w:sz w:val="24"/>
          <w:szCs w:val="24"/>
        </w:rPr>
        <w:t xml:space="preserve">„ofertă financiară” </w:t>
      </w:r>
      <w:r w:rsidRPr="00365949">
        <w:rPr>
          <w:rFonts w:ascii="Times New Roman Regular" w:hAnsi="Times New Roman Regular" w:cs="Times New Roman Regular"/>
          <w:iCs/>
          <w:sz w:val="24"/>
          <w:szCs w:val="24"/>
        </w:rPr>
        <w:t>va avea următorul cuprins</w:t>
      </w:r>
      <w:r w:rsidRPr="00365949">
        <w:rPr>
          <w:rFonts w:ascii="Times New Roman Regular" w:hAnsi="Times New Roman Regular" w:cs="Times New Roman Regular"/>
          <w:sz w:val="24"/>
          <w:szCs w:val="24"/>
        </w:rPr>
        <w:t>: „un document care stabilește prețul pentru energia electrică produsă, care urmează să fie primit pentru energia electrică produsă din surse regenerabile, întocmit în conformitate cu cerințele prezentului regulament și cu documentația de licitație, și prezentat de investitor la licitație în conformitate cu cerințele stabilite în documentația de licitație”;</w:t>
      </w:r>
    </w:p>
    <w:p w14:paraId="3684A0AC" w14:textId="77777777" w:rsidR="006F2C09" w:rsidRPr="00365949" w:rsidRDefault="006F2C09" w:rsidP="00365949">
      <w:pPr>
        <w:pStyle w:val="ListParagraph"/>
        <w:spacing w:after="120"/>
        <w:jc w:val="both"/>
        <w:rPr>
          <w:rFonts w:ascii="Times New Roman Regular" w:hAnsi="Times New Roman Regular" w:cs="Times New Roman Regular"/>
          <w:sz w:val="24"/>
          <w:szCs w:val="24"/>
        </w:rPr>
      </w:pPr>
    </w:p>
    <w:p w14:paraId="3684A0AD" w14:textId="77777777" w:rsidR="006F2C09" w:rsidRPr="00365949" w:rsidRDefault="00485E9B" w:rsidP="00365949">
      <w:pPr>
        <w:spacing w:after="120"/>
        <w:ind w:left="709"/>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Noțiunea „</w:t>
      </w:r>
      <w:r w:rsidRPr="00365949">
        <w:rPr>
          <w:rFonts w:ascii="Times New Roman Regular" w:hAnsi="Times New Roman Regular" w:cs="Times New Roman Regular"/>
          <w:i/>
          <w:iCs/>
          <w:sz w:val="24"/>
          <w:szCs w:val="24"/>
        </w:rPr>
        <w:t xml:space="preserve">ofertă incorectă“ </w:t>
      </w:r>
      <w:r w:rsidRPr="00365949">
        <w:rPr>
          <w:rFonts w:ascii="Times New Roman Regular" w:hAnsi="Times New Roman Regular" w:cs="Times New Roman Regular"/>
          <w:iCs/>
          <w:sz w:val="24"/>
          <w:szCs w:val="24"/>
        </w:rPr>
        <w:t>va avea următorul cuprins</w:t>
      </w:r>
      <w:r w:rsidRPr="00365949">
        <w:rPr>
          <w:rFonts w:ascii="Times New Roman Regular" w:hAnsi="Times New Roman Regular" w:cs="Times New Roman Regular"/>
          <w:sz w:val="24"/>
          <w:szCs w:val="24"/>
        </w:rPr>
        <w:t>:  „ofertă care nu îndeplinește sau se abate de la cerințele stabilite în documentația de licitație.”;</w:t>
      </w:r>
    </w:p>
    <w:p w14:paraId="3684A0AE" w14:textId="77777777" w:rsidR="006F2C09" w:rsidRPr="00365949" w:rsidRDefault="006F2C09" w:rsidP="00365949">
      <w:pPr>
        <w:pStyle w:val="ListParagraph"/>
        <w:spacing w:after="120"/>
        <w:jc w:val="both"/>
        <w:rPr>
          <w:rFonts w:ascii="Times New Roman Regular" w:hAnsi="Times New Roman Regular" w:cs="Times New Roman Regular"/>
          <w:sz w:val="24"/>
          <w:szCs w:val="24"/>
        </w:rPr>
      </w:pPr>
    </w:p>
    <w:p w14:paraId="3684A0AF" w14:textId="77777777" w:rsidR="006F2C09" w:rsidRPr="00365949" w:rsidRDefault="00485E9B" w:rsidP="00365949">
      <w:pPr>
        <w:pStyle w:val="ListParagraph"/>
        <w:spacing w:after="120"/>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Noțiunea   „energie din surse regenerabile” se exclude.</w:t>
      </w:r>
    </w:p>
    <w:p w14:paraId="3684A0B0" w14:textId="77777777" w:rsidR="006F2C09" w:rsidRPr="00365949" w:rsidRDefault="006F2C09" w:rsidP="00365949">
      <w:pPr>
        <w:pStyle w:val="ListParagraph"/>
        <w:spacing w:after="120"/>
        <w:jc w:val="both"/>
        <w:rPr>
          <w:rFonts w:ascii="Times New Roman Regular" w:hAnsi="Times New Roman Regular" w:cs="Times New Roman Regular"/>
          <w:sz w:val="24"/>
          <w:szCs w:val="24"/>
        </w:rPr>
      </w:pPr>
    </w:p>
    <w:p w14:paraId="3684A0B1"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După noțiunea „ofertă incorectă“ se introduc următoarele noțiuni: </w:t>
      </w:r>
    </w:p>
    <w:p w14:paraId="3684A0B2" w14:textId="77777777" w:rsidR="006F2C09" w:rsidRPr="00365949" w:rsidRDefault="006F2C09" w:rsidP="00365949">
      <w:pPr>
        <w:pStyle w:val="ListParagraph"/>
        <w:spacing w:after="120"/>
        <w:jc w:val="both"/>
        <w:rPr>
          <w:rFonts w:ascii="Times New Roman Regular" w:hAnsi="Times New Roman Regular" w:cs="Times New Roman Regular"/>
          <w:sz w:val="24"/>
          <w:szCs w:val="24"/>
        </w:rPr>
      </w:pPr>
    </w:p>
    <w:p w14:paraId="3684A0B3" w14:textId="77777777" w:rsidR="006F2C09" w:rsidRPr="00365949" w:rsidRDefault="00485E9B">
      <w:pPr>
        <w:ind w:left="709"/>
        <w:jc w:val="both"/>
        <w:rPr>
          <w:rFonts w:ascii="Times New Roman Regular" w:hAnsi="Times New Roman Regular" w:cs="Times New Roman Regular"/>
          <w:sz w:val="24"/>
          <w:szCs w:val="24"/>
        </w:rPr>
      </w:pPr>
      <w:r w:rsidRPr="00365949">
        <w:rPr>
          <w:rFonts w:ascii="Times New Roman Regular" w:hAnsi="Times New Roman Regular" w:cs="Times New Roman Regular"/>
          <w:i/>
          <w:iCs/>
          <w:sz w:val="24"/>
          <w:szCs w:val="24"/>
        </w:rPr>
        <w:t>„</w:t>
      </w:r>
      <w:r w:rsidRPr="00365949">
        <w:rPr>
          <w:rFonts w:ascii="Times New Roman Regular" w:hAnsi="Times New Roman Regular" w:cs="Times New Roman Regular"/>
          <w:i/>
          <w:sz w:val="24"/>
          <w:szCs w:val="24"/>
        </w:rPr>
        <w:t>Abateri nemateriale</w:t>
      </w:r>
      <w:r w:rsidRPr="00365949">
        <w:rPr>
          <w:rFonts w:ascii="Times New Roman Regular" w:hAnsi="Times New Roman Regular" w:cs="Times New Roman Regular"/>
          <w:sz w:val="24"/>
          <w:szCs w:val="24"/>
        </w:rPr>
        <w:t>”</w:t>
      </w:r>
      <w:r w:rsidRPr="00365949">
        <w:rPr>
          <w:rFonts w:ascii="Times New Roman Regular" w:hAnsi="Times New Roman Regular" w:cs="Times New Roman Regular"/>
          <w:i/>
          <w:sz w:val="24"/>
          <w:szCs w:val="24"/>
        </w:rPr>
        <w:t xml:space="preserve"> -</w:t>
      </w:r>
      <w:r w:rsidRPr="00365949">
        <w:rPr>
          <w:rFonts w:ascii="Times New Roman Regular" w:hAnsi="Times New Roman Regular" w:cs="Times New Roman Regular"/>
          <w:sz w:val="24"/>
          <w:szCs w:val="24"/>
        </w:rPr>
        <w:t xml:space="preserve"> se referă la devieri care pot fi acceptate fără a schimba esența ofertei sau fără a face oferta una nouă în mod semnificativ. Abateri non-materiale pot fi, dar nu se rezumă la: erori tipografice sau calcule eronate, care nu schimbă natura ofertei, documente lipsă, dovezi de conformitate, etc.)</w:t>
      </w:r>
    </w:p>
    <w:p w14:paraId="3684A0B4"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i/>
          <w:iCs/>
          <w:sz w:val="24"/>
          <w:szCs w:val="24"/>
        </w:rPr>
        <w:t>„</w:t>
      </w:r>
      <w:r w:rsidRPr="00365949">
        <w:rPr>
          <w:rFonts w:ascii="Times New Roman Regular" w:hAnsi="Times New Roman Regular" w:cs="Times New Roman Regular"/>
          <w:bCs/>
          <w:i/>
          <w:iCs/>
          <w:sz w:val="24"/>
          <w:szCs w:val="24"/>
        </w:rPr>
        <w:t>impediment care justifică neexecutarea obligației</w:t>
      </w:r>
      <w:r w:rsidRPr="00365949">
        <w:rPr>
          <w:rFonts w:ascii="Times New Roman Regular" w:hAnsi="Times New Roman Regular" w:cs="Times New Roman Regular"/>
          <w:i/>
          <w:iCs/>
          <w:sz w:val="24"/>
          <w:szCs w:val="24"/>
        </w:rPr>
        <w:t>”</w:t>
      </w:r>
      <w:r w:rsidRPr="00365949">
        <w:rPr>
          <w:rFonts w:ascii="Times New Roman Regular" w:hAnsi="Times New Roman Regular" w:cs="Times New Roman Regular"/>
          <w:sz w:val="24"/>
          <w:szCs w:val="24"/>
        </w:rPr>
        <w:t xml:space="preserve"> - un eveniment care nu poate fi controlat în mod rezonabil de către parte, pe care aceasta nu l-ar fi putut evita sau depăși în mod rezonabil și care face imposibilă executarea obligațiilor de livrare sau de acceptare. evenimente și consecințele acestora în documentele de licitație. Circumstanțele care constituie un impediment care justifică neexecutarea obligației debitorului se evaluează și se certifică printr-un aviz emis de autoritatea competentă în conformitate cu Legea nr. 393/1999 și cu Regulamentul privind emiterea avizului care certifică impedimentul care justifică neexecutarea obligației, aprobat prin Hotărârea Camerei de Comerț și Industrie nr. 35/1 din 25 septembrie 2020”. “</w:t>
      </w:r>
    </w:p>
    <w:p w14:paraId="3684A0B8" w14:textId="5A15971C" w:rsidR="006F2C09" w:rsidRPr="0036716E" w:rsidRDefault="00485E9B" w:rsidP="0036716E">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w:t>
      </w:r>
      <w:r w:rsidRPr="00365949">
        <w:rPr>
          <w:rFonts w:ascii="Times New Roman Regular" w:hAnsi="Times New Roman Regular" w:cs="Times New Roman Regular"/>
          <w:bCs/>
          <w:i/>
          <w:iCs/>
          <w:sz w:val="24"/>
          <w:szCs w:val="24"/>
        </w:rPr>
        <w:t>cerințe de certificare”</w:t>
      </w:r>
      <w:r w:rsidRPr="00365949">
        <w:rPr>
          <w:rFonts w:ascii="Times New Roman Regular" w:hAnsi="Times New Roman Regular" w:cs="Times New Roman Regular"/>
          <w:sz w:val="24"/>
          <w:szCs w:val="24"/>
        </w:rPr>
        <w:t xml:space="preserve"> - standarde tehnologice și certificare aplicate de instituții standardizate recunoscute la nivelul Uniunii Europene pentru sursele de energie regenerabilă.</w:t>
      </w:r>
    </w:p>
    <w:p w14:paraId="3684A0B9"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i/>
          <w:iCs/>
          <w:sz w:val="24"/>
          <w:szCs w:val="24"/>
        </w:rPr>
        <w:lastRenderedPageBreak/>
        <w:t xml:space="preserve">„criterii de admisibilitate” </w:t>
      </w:r>
      <w:r w:rsidRPr="00365949">
        <w:rPr>
          <w:rFonts w:ascii="Times New Roman Regular" w:hAnsi="Times New Roman Regular" w:cs="Times New Roman Regular"/>
          <w:sz w:val="24"/>
          <w:szCs w:val="24"/>
        </w:rPr>
        <w:t>- cerințe referitoare la statutul juridic, la cerințele anticorupție și la cerințele de combatere a spălării banilor ale investitorului, care trebuie îndeplinite de acesta pentru a fi admis la licitație, astfel cum sunt stabilite de către Comisia de licitații în documentația de licitație;</w:t>
      </w:r>
    </w:p>
    <w:p w14:paraId="3684A0BA" w14:textId="77777777" w:rsidR="006F2C09" w:rsidRPr="00365949" w:rsidRDefault="006F2C09">
      <w:pPr>
        <w:pStyle w:val="ListParagraph"/>
        <w:jc w:val="both"/>
        <w:rPr>
          <w:rFonts w:ascii="Times New Roman Regular" w:hAnsi="Times New Roman Regular" w:cs="Times New Roman Regular"/>
          <w:sz w:val="24"/>
          <w:szCs w:val="24"/>
        </w:rPr>
      </w:pPr>
    </w:p>
    <w:p w14:paraId="3684A0BB"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i/>
          <w:iCs/>
          <w:sz w:val="24"/>
          <w:szCs w:val="24"/>
        </w:rPr>
        <w:t>„criterii de calificare” -</w:t>
      </w:r>
      <w:r w:rsidRPr="00365949">
        <w:rPr>
          <w:rFonts w:ascii="Times New Roman Regular" w:hAnsi="Times New Roman Regular" w:cs="Times New Roman Regular"/>
          <w:sz w:val="24"/>
          <w:szCs w:val="24"/>
        </w:rPr>
        <w:t xml:space="preserve"> criterii referitoare la capacitățile financiare și experiența tehnică anterioară a investitorului, precum și criterii referitoare la selecția amplasamentului pentru un anumit proiect, decizia privind evaluarea prealabilă a impactului  asupra mediului, pentru a fi autorizat să participe la o licitație, astfel cum sunt stabilite de către Comisia de </w:t>
      </w:r>
      <w:proofErr w:type="spellStart"/>
      <w:r w:rsidRPr="00365949">
        <w:rPr>
          <w:rFonts w:ascii="Times New Roman Regular" w:hAnsi="Times New Roman Regular" w:cs="Times New Roman Regular"/>
          <w:sz w:val="24"/>
          <w:szCs w:val="24"/>
        </w:rPr>
        <w:t>licitațiiîn</w:t>
      </w:r>
      <w:proofErr w:type="spellEnd"/>
      <w:r w:rsidRPr="00365949">
        <w:rPr>
          <w:rFonts w:ascii="Times New Roman Regular" w:hAnsi="Times New Roman Regular" w:cs="Times New Roman Regular"/>
          <w:sz w:val="24"/>
          <w:szCs w:val="24"/>
        </w:rPr>
        <w:t xml:space="preserve"> documentația de licitație;</w:t>
      </w:r>
    </w:p>
    <w:p w14:paraId="3684A0BC" w14:textId="77777777" w:rsidR="006F2C09" w:rsidRPr="00365949" w:rsidRDefault="006F2C09">
      <w:pPr>
        <w:pStyle w:val="ListParagraph"/>
        <w:jc w:val="both"/>
        <w:rPr>
          <w:rFonts w:ascii="Times New Roman Regular" w:hAnsi="Times New Roman Regular" w:cs="Times New Roman Regular"/>
          <w:sz w:val="24"/>
          <w:szCs w:val="24"/>
        </w:rPr>
      </w:pPr>
    </w:p>
    <w:p w14:paraId="3684A0BD" w14:textId="77777777" w:rsidR="006F2C09" w:rsidRPr="00365949" w:rsidRDefault="00485E9B">
      <w:pPr>
        <w:pStyle w:val="ListParagraph"/>
        <w:jc w:val="both"/>
        <w:rPr>
          <w:rFonts w:ascii="Times New Roman Regular" w:hAnsi="Times New Roman Regular" w:cs="Times New Roman Regular"/>
          <w:iCs/>
          <w:sz w:val="24"/>
          <w:szCs w:val="24"/>
        </w:rPr>
      </w:pPr>
      <w:r w:rsidRPr="00365949">
        <w:rPr>
          <w:rFonts w:ascii="Times New Roman Regular" w:hAnsi="Times New Roman Regular" w:cs="Times New Roman Regular"/>
          <w:iCs/>
          <w:sz w:val="24"/>
          <w:szCs w:val="24"/>
        </w:rPr>
        <w:t>Noțiunea</w:t>
      </w:r>
      <w:r w:rsidRPr="00365949">
        <w:rPr>
          <w:rFonts w:ascii="Times New Roman Regular" w:hAnsi="Times New Roman Regular" w:cs="Times New Roman Regular"/>
          <w:i/>
          <w:iCs/>
          <w:sz w:val="24"/>
          <w:szCs w:val="24"/>
        </w:rPr>
        <w:t xml:space="preserve"> „criterii de eligibilitate” - </w:t>
      </w:r>
      <w:r w:rsidRPr="00365949">
        <w:rPr>
          <w:rFonts w:ascii="Times New Roman Regular" w:hAnsi="Times New Roman Regular" w:cs="Times New Roman Regular"/>
          <w:iCs/>
          <w:sz w:val="24"/>
          <w:szCs w:val="24"/>
        </w:rPr>
        <w:t>cuprinde atât criteriile de admisibilitate, cât și cele de calificare.</w:t>
      </w:r>
    </w:p>
    <w:p w14:paraId="3684A0BE" w14:textId="77777777" w:rsidR="006F2C09" w:rsidRPr="00365949" w:rsidRDefault="006F2C09">
      <w:pPr>
        <w:pStyle w:val="ListParagraph"/>
        <w:jc w:val="both"/>
        <w:rPr>
          <w:rFonts w:ascii="Times New Roman Regular" w:hAnsi="Times New Roman Regular" w:cs="Times New Roman Regular"/>
          <w:iCs/>
          <w:sz w:val="24"/>
          <w:szCs w:val="24"/>
        </w:rPr>
      </w:pPr>
    </w:p>
    <w:p w14:paraId="3684A0BF"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i/>
          <w:iCs/>
          <w:sz w:val="24"/>
          <w:szCs w:val="24"/>
        </w:rPr>
        <w:t>„criterii de evaluare”-</w:t>
      </w:r>
      <w:r w:rsidRPr="00365949">
        <w:rPr>
          <w:rFonts w:ascii="Times New Roman Regular" w:hAnsi="Times New Roman Regular" w:cs="Times New Roman Regular"/>
          <w:sz w:val="24"/>
          <w:szCs w:val="24"/>
        </w:rPr>
        <w:t xml:space="preserve"> criteriile bazate pe ofertele financiare utilizate pentru a evalua și clasifica ofertele depuse de investitorii calificați în urma etapelor de calificare, astfel cum au fost stabilite de Comisia de licitație în documentația de licitație;</w:t>
      </w:r>
    </w:p>
    <w:p w14:paraId="3684A0C0" w14:textId="77777777" w:rsidR="006F2C09" w:rsidRPr="00365949" w:rsidRDefault="006F2C09">
      <w:pPr>
        <w:jc w:val="both"/>
        <w:rPr>
          <w:rFonts w:ascii="Times New Roman Regular" w:hAnsi="Times New Roman Regular" w:cs="Times New Roman Regular"/>
          <w:sz w:val="24"/>
          <w:szCs w:val="24"/>
        </w:rPr>
      </w:pPr>
    </w:p>
    <w:p w14:paraId="3684A0C1"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La punctul 4,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3) va avea următorul conținut: „3)promovarea construcției centralelor electrice care utilizează SRE prin asigurarea implementării schemei de sprijin privind oferirea, prin intermediul licitațiilor, a statutului de producător eligibil </w:t>
      </w:r>
      <w:proofErr w:type="spellStart"/>
      <w:r w:rsidRPr="00365949">
        <w:rPr>
          <w:rFonts w:ascii="Times New Roman Regular" w:hAnsi="Times New Roman Regular" w:cs="Times New Roman Regular"/>
          <w:sz w:val="24"/>
          <w:szCs w:val="24"/>
        </w:rPr>
        <w:t>şi</w:t>
      </w:r>
      <w:proofErr w:type="spellEnd"/>
      <w:r w:rsidRPr="00365949">
        <w:rPr>
          <w:rFonts w:ascii="Times New Roman Regular" w:hAnsi="Times New Roman Regular" w:cs="Times New Roman Regular"/>
          <w:sz w:val="24"/>
          <w:szCs w:val="24"/>
        </w:rPr>
        <w:t xml:space="preserve">, respectiv, prin asigurarea respectării dreptului producătorilor eligibili de a li se procura, pentru o perioadă de 15 ani, întreaga cantitate de energie electrică produsă din surse regenerabile </w:t>
      </w:r>
      <w:proofErr w:type="spellStart"/>
      <w:r w:rsidRPr="00365949">
        <w:rPr>
          <w:rFonts w:ascii="Times New Roman Regular" w:hAnsi="Times New Roman Regular" w:cs="Times New Roman Regular"/>
          <w:sz w:val="24"/>
          <w:szCs w:val="24"/>
        </w:rPr>
        <w:t>şi</w:t>
      </w:r>
      <w:proofErr w:type="spellEnd"/>
      <w:r w:rsidRPr="00365949">
        <w:rPr>
          <w:rFonts w:ascii="Times New Roman Regular" w:hAnsi="Times New Roman Regular" w:cs="Times New Roman Regular"/>
          <w:sz w:val="24"/>
          <w:szCs w:val="24"/>
        </w:rPr>
        <w:t xml:space="preserve"> livrată în </w:t>
      </w:r>
      <w:proofErr w:type="spellStart"/>
      <w:r w:rsidRPr="00365949">
        <w:rPr>
          <w:rFonts w:ascii="Times New Roman Regular" w:hAnsi="Times New Roman Regular" w:cs="Times New Roman Regular"/>
          <w:sz w:val="24"/>
          <w:szCs w:val="24"/>
        </w:rPr>
        <w:t>reţelele</w:t>
      </w:r>
      <w:proofErr w:type="spellEnd"/>
      <w:r w:rsidRPr="00365949">
        <w:rPr>
          <w:rFonts w:ascii="Times New Roman Regular" w:hAnsi="Times New Roman Regular" w:cs="Times New Roman Regular"/>
          <w:sz w:val="24"/>
          <w:szCs w:val="24"/>
        </w:rPr>
        <w:t xml:space="preserve"> electrice, în conformitate cu Regulile pieței de energie electrică aprobate prin Decizia Agenției Naționale de Reglementare în Domeniul Energiei nr. 283/2020, la </w:t>
      </w:r>
      <w:proofErr w:type="spellStart"/>
      <w:r w:rsidRPr="00365949">
        <w:rPr>
          <w:rFonts w:ascii="Times New Roman Regular" w:hAnsi="Times New Roman Regular" w:cs="Times New Roman Regular"/>
          <w:sz w:val="24"/>
          <w:szCs w:val="24"/>
        </w:rPr>
        <w:t>preţuri</w:t>
      </w:r>
      <w:proofErr w:type="spellEnd"/>
      <w:r w:rsidRPr="00365949">
        <w:rPr>
          <w:rFonts w:ascii="Times New Roman Regular" w:hAnsi="Times New Roman Regular" w:cs="Times New Roman Regular"/>
          <w:sz w:val="24"/>
          <w:szCs w:val="24"/>
        </w:rPr>
        <w:t xml:space="preserve"> fixe, stabilite în cadrul licitațiilor;</w:t>
      </w:r>
    </w:p>
    <w:p w14:paraId="3684A0C2"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La pct. 6: </w:t>
      </w:r>
    </w:p>
    <w:p w14:paraId="3684A0C3" w14:textId="77777777" w:rsidR="006F2C09" w:rsidRPr="00365949" w:rsidRDefault="00485E9B">
      <w:pPr>
        <w:pStyle w:val="ListParagraph"/>
        <w:numPr>
          <w:ilvl w:val="2"/>
          <w:numId w:val="3"/>
        </w:numPr>
        <w:ind w:left="993" w:hanging="284"/>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1 se abrogă.</w:t>
      </w:r>
    </w:p>
    <w:p w14:paraId="3684A0C4" w14:textId="77777777" w:rsidR="006F2C09" w:rsidRPr="00365949" w:rsidRDefault="00485E9B">
      <w:pPr>
        <w:pStyle w:val="ListParagraph"/>
        <w:numPr>
          <w:ilvl w:val="2"/>
          <w:numId w:val="3"/>
        </w:numPr>
        <w:ind w:left="993" w:hanging="284"/>
        <w:jc w:val="both"/>
        <w:rPr>
          <w:rFonts w:ascii="Times New Roman Regular" w:hAnsi="Times New Roman Regular" w:cs="Times New Roman Regular"/>
          <w:sz w:val="24"/>
          <w:szCs w:val="24"/>
        </w:rPr>
      </w:pP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4), după textul „procedurilor deschise” se completează cu textul „ ,</w:t>
      </w:r>
      <w:bookmarkStart w:id="0" w:name="_Hlk150792750"/>
      <w:r w:rsidRPr="00365949">
        <w:rPr>
          <w:rFonts w:ascii="Times New Roman Regular" w:hAnsi="Times New Roman Regular" w:cs="Times New Roman Regular"/>
          <w:sz w:val="24"/>
          <w:szCs w:val="24"/>
        </w:rPr>
        <w:t>în una sau mai multe faze, cu sau fără o etapă de negociere,</w:t>
      </w:r>
      <w:bookmarkEnd w:id="0"/>
      <w:r w:rsidRPr="00365949">
        <w:rPr>
          <w:rFonts w:ascii="Times New Roman Regular" w:hAnsi="Times New Roman Regular" w:cs="Times New Roman Regular"/>
          <w:sz w:val="24"/>
          <w:szCs w:val="24"/>
        </w:rPr>
        <w:t xml:space="preserve">”. </w:t>
      </w:r>
    </w:p>
    <w:p w14:paraId="3684A0C5" w14:textId="77777777" w:rsidR="006F2C09" w:rsidRPr="00365949" w:rsidRDefault="006F2C09">
      <w:pPr>
        <w:pStyle w:val="ListParagraph"/>
        <w:jc w:val="both"/>
        <w:rPr>
          <w:rFonts w:ascii="Times New Roman Regular" w:hAnsi="Times New Roman Regular" w:cs="Times New Roman Regular"/>
          <w:sz w:val="24"/>
          <w:szCs w:val="24"/>
        </w:rPr>
      </w:pPr>
    </w:p>
    <w:p w14:paraId="3684A0C6"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Pct. 9, 10 și 11, vor avea următorul cuprins: </w:t>
      </w:r>
    </w:p>
    <w:p w14:paraId="3684A0C7" w14:textId="6318D2CF" w:rsidR="006F2C09" w:rsidRPr="00365949" w:rsidRDefault="00485E9B">
      <w:pPr>
        <w:pStyle w:val="ListParagraph"/>
        <w:numPr>
          <w:ilvl w:val="2"/>
          <w:numId w:val="3"/>
        </w:numPr>
        <w:ind w:left="1134"/>
        <w:jc w:val="both"/>
        <w:rPr>
          <w:rFonts w:ascii="Times New Roman Regular" w:hAnsi="Times New Roman Regular" w:cs="Times New Roman Regular"/>
          <w:color w:val="000000" w:themeColor="text1"/>
          <w:sz w:val="24"/>
          <w:szCs w:val="24"/>
        </w:rPr>
      </w:pPr>
      <w:r w:rsidRPr="00365949">
        <w:rPr>
          <w:rFonts w:ascii="Times New Roman Regular" w:hAnsi="Times New Roman Regular" w:cs="Times New Roman Regular"/>
          <w:color w:val="000000" w:themeColor="text1"/>
          <w:sz w:val="24"/>
          <w:szCs w:val="24"/>
        </w:rPr>
        <w:t>„9. 1) Comisia de licitații este formată din 6 membri - după cum urmează:</w:t>
      </w:r>
    </w:p>
    <w:p w14:paraId="3684A0C8" w14:textId="77777777" w:rsidR="006F2C09" w:rsidRPr="00365949" w:rsidRDefault="00485E9B">
      <w:pPr>
        <w:pStyle w:val="ListParagraph"/>
        <w:numPr>
          <w:ilvl w:val="0"/>
          <w:numId w:val="4"/>
        </w:numPr>
        <w:spacing w:after="0" w:line="276" w:lineRule="auto"/>
        <w:jc w:val="both"/>
        <w:rPr>
          <w:rFonts w:ascii="Times New Roman Regular" w:hAnsi="Times New Roman Regular" w:cs="Times New Roman Regular"/>
          <w:color w:val="000000" w:themeColor="text1"/>
          <w:sz w:val="24"/>
          <w:szCs w:val="24"/>
        </w:rPr>
      </w:pPr>
      <w:r w:rsidRPr="00365949">
        <w:rPr>
          <w:rFonts w:ascii="Times New Roman Regular" w:hAnsi="Times New Roman Regular" w:cs="Times New Roman Regular"/>
          <w:color w:val="000000" w:themeColor="text1"/>
          <w:sz w:val="24"/>
          <w:szCs w:val="24"/>
        </w:rPr>
        <w:t>2 reprezentanți al Ministerului Energiei;</w:t>
      </w:r>
    </w:p>
    <w:p w14:paraId="3684A0C9" w14:textId="77777777" w:rsidR="006F2C09" w:rsidRPr="00365949" w:rsidRDefault="00485E9B">
      <w:pPr>
        <w:pStyle w:val="ListParagraph"/>
        <w:numPr>
          <w:ilvl w:val="0"/>
          <w:numId w:val="4"/>
        </w:numPr>
        <w:spacing w:after="0" w:line="276" w:lineRule="auto"/>
        <w:jc w:val="both"/>
        <w:rPr>
          <w:rFonts w:ascii="Times New Roman Regular" w:hAnsi="Times New Roman Regular" w:cs="Times New Roman Regular"/>
          <w:color w:val="000000" w:themeColor="text1"/>
          <w:sz w:val="24"/>
          <w:szCs w:val="24"/>
        </w:rPr>
      </w:pPr>
      <w:r w:rsidRPr="00365949">
        <w:rPr>
          <w:rFonts w:ascii="Times New Roman Regular" w:hAnsi="Times New Roman Regular" w:cs="Times New Roman Regular"/>
          <w:color w:val="000000" w:themeColor="text1"/>
          <w:sz w:val="24"/>
          <w:szCs w:val="24"/>
        </w:rPr>
        <w:t>un reprezentant al Ministerului Mediului;</w:t>
      </w:r>
    </w:p>
    <w:p w14:paraId="3684A0CA" w14:textId="77777777" w:rsidR="006F2C09" w:rsidRPr="00365949" w:rsidRDefault="00485E9B">
      <w:pPr>
        <w:pStyle w:val="ListParagraph"/>
        <w:numPr>
          <w:ilvl w:val="0"/>
          <w:numId w:val="4"/>
        </w:numPr>
        <w:spacing w:after="0" w:line="276" w:lineRule="auto"/>
        <w:jc w:val="both"/>
        <w:rPr>
          <w:rFonts w:ascii="Times New Roman Regular" w:hAnsi="Times New Roman Regular" w:cs="Times New Roman Regular"/>
          <w:color w:val="000000" w:themeColor="text1"/>
          <w:sz w:val="24"/>
          <w:szCs w:val="24"/>
        </w:rPr>
      </w:pPr>
      <w:r w:rsidRPr="00365949">
        <w:rPr>
          <w:rFonts w:ascii="Times New Roman Regular" w:hAnsi="Times New Roman Regular" w:cs="Times New Roman Regular"/>
          <w:color w:val="000000" w:themeColor="text1"/>
          <w:sz w:val="24"/>
          <w:szCs w:val="24"/>
        </w:rPr>
        <w:t>un reprezentant al Agenției Naționale pentru Reglementare în Domeniul Energeticii;</w:t>
      </w:r>
    </w:p>
    <w:p w14:paraId="3684A0CB" w14:textId="51A05D3C" w:rsidR="006F2C09" w:rsidRPr="00365949" w:rsidRDefault="00485E9B">
      <w:pPr>
        <w:pStyle w:val="ListParagraph"/>
        <w:numPr>
          <w:ilvl w:val="0"/>
          <w:numId w:val="4"/>
        </w:numPr>
        <w:spacing w:after="0" w:line="276" w:lineRule="auto"/>
        <w:jc w:val="both"/>
        <w:rPr>
          <w:rFonts w:ascii="Times New Roman Regular" w:hAnsi="Times New Roman Regular" w:cs="Times New Roman Regular"/>
          <w:color w:val="000000" w:themeColor="text1"/>
          <w:sz w:val="24"/>
          <w:szCs w:val="24"/>
        </w:rPr>
      </w:pPr>
      <w:r w:rsidRPr="00365949">
        <w:rPr>
          <w:rFonts w:ascii="Times New Roman Regular" w:hAnsi="Times New Roman Regular" w:cs="Times New Roman Regular"/>
          <w:color w:val="000000" w:themeColor="text1"/>
          <w:sz w:val="24"/>
          <w:szCs w:val="24"/>
        </w:rPr>
        <w:t>un reprezentant  al Agenției de Investiții</w:t>
      </w:r>
      <w:r w:rsidR="00C001C7" w:rsidRPr="00365949">
        <w:rPr>
          <w:rFonts w:ascii="Times New Roman Regular" w:hAnsi="Times New Roman Regular" w:cs="Times New Roman Regular"/>
          <w:color w:val="000000" w:themeColor="text1"/>
          <w:sz w:val="24"/>
          <w:szCs w:val="24"/>
        </w:rPr>
        <w:t>;</w:t>
      </w:r>
    </w:p>
    <w:p w14:paraId="3684A0CC" w14:textId="2A7E0C08" w:rsidR="006F2C09" w:rsidRPr="00365949" w:rsidRDefault="00485E9B">
      <w:pPr>
        <w:pStyle w:val="ListParagraph"/>
        <w:numPr>
          <w:ilvl w:val="0"/>
          <w:numId w:val="4"/>
        </w:numPr>
        <w:spacing w:after="0" w:line="276" w:lineRule="auto"/>
        <w:jc w:val="both"/>
        <w:rPr>
          <w:rFonts w:ascii="Times New Roman Regular" w:hAnsi="Times New Roman Regular" w:cs="Times New Roman Regular"/>
          <w:color w:val="000000" w:themeColor="text1"/>
          <w:sz w:val="24"/>
          <w:szCs w:val="24"/>
        </w:rPr>
      </w:pPr>
      <w:r w:rsidRPr="00365949">
        <w:rPr>
          <w:rFonts w:ascii="Times New Roman Regular" w:hAnsi="Times New Roman Regular" w:cs="Times New Roman Regular"/>
          <w:color w:val="000000" w:themeColor="text1"/>
          <w:sz w:val="24"/>
          <w:szCs w:val="24"/>
        </w:rPr>
        <w:t>un reprezentant al societății civile</w:t>
      </w:r>
      <w:r w:rsidR="00C001C7" w:rsidRPr="00365949">
        <w:rPr>
          <w:rFonts w:ascii="Times New Roman Regular" w:hAnsi="Times New Roman Regular" w:cs="Times New Roman Regular"/>
          <w:color w:val="000000" w:themeColor="text1"/>
          <w:sz w:val="24"/>
          <w:szCs w:val="24"/>
        </w:rPr>
        <w:t>.</w:t>
      </w:r>
    </w:p>
    <w:p w14:paraId="3684A0CD" w14:textId="11E3389C"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2) Reprezentantul Ministerului Energiei</w:t>
      </w:r>
      <w:r w:rsidR="00C001C7" w:rsidRPr="00365949">
        <w:rPr>
          <w:rFonts w:ascii="Times New Roman Regular" w:hAnsi="Times New Roman Regular" w:cs="Times New Roman Regular"/>
          <w:sz w:val="24"/>
          <w:szCs w:val="24"/>
        </w:rPr>
        <w:t xml:space="preserve"> </w:t>
      </w:r>
      <w:r w:rsidRPr="00365949">
        <w:rPr>
          <w:rFonts w:ascii="Times New Roman Regular" w:hAnsi="Times New Roman Regular" w:cs="Times New Roman Regular"/>
          <w:sz w:val="24"/>
          <w:szCs w:val="24"/>
        </w:rPr>
        <w:t xml:space="preserve">exercită funcția de președinte al </w:t>
      </w:r>
      <w:r w:rsidR="00C001C7" w:rsidRPr="00365949">
        <w:rPr>
          <w:rFonts w:ascii="Times New Roman Regular" w:hAnsi="Times New Roman Regular" w:cs="Times New Roman Regular"/>
          <w:sz w:val="24"/>
          <w:szCs w:val="24"/>
        </w:rPr>
        <w:t>Comisiei de licitații</w:t>
      </w:r>
      <w:r w:rsidRPr="00365949">
        <w:rPr>
          <w:rFonts w:ascii="Times New Roman Regular" w:hAnsi="Times New Roman Regular" w:cs="Times New Roman Regular"/>
          <w:sz w:val="24"/>
          <w:szCs w:val="24"/>
        </w:rPr>
        <w:t>.</w:t>
      </w:r>
    </w:p>
    <w:p w14:paraId="3684A0CE" w14:textId="54FF737D"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lastRenderedPageBreak/>
        <w:t xml:space="preserve">3) În calitate de membri ai </w:t>
      </w:r>
      <w:r w:rsidR="00D158A7" w:rsidRPr="00365949">
        <w:rPr>
          <w:rFonts w:ascii="Times New Roman Regular" w:hAnsi="Times New Roman Regular" w:cs="Times New Roman Regular"/>
          <w:sz w:val="24"/>
          <w:szCs w:val="24"/>
        </w:rPr>
        <w:t>C</w:t>
      </w:r>
      <w:r w:rsidRPr="00365949">
        <w:rPr>
          <w:rFonts w:ascii="Times New Roman Regular" w:hAnsi="Times New Roman Regular" w:cs="Times New Roman Regular"/>
          <w:sz w:val="24"/>
          <w:szCs w:val="24"/>
        </w:rPr>
        <w:t>omisiei</w:t>
      </w:r>
      <w:r w:rsidR="00D158A7" w:rsidRPr="00365949">
        <w:rPr>
          <w:rFonts w:ascii="Times New Roman Regular" w:hAnsi="Times New Roman Regular" w:cs="Times New Roman Regular"/>
          <w:sz w:val="24"/>
          <w:szCs w:val="24"/>
        </w:rPr>
        <w:t xml:space="preserve"> de licitații</w:t>
      </w:r>
      <w:r w:rsidRPr="00365949">
        <w:rPr>
          <w:rFonts w:ascii="Times New Roman Regular" w:hAnsi="Times New Roman Regular" w:cs="Times New Roman Regular"/>
          <w:sz w:val="24"/>
          <w:szCs w:val="24"/>
        </w:rPr>
        <w:t xml:space="preserve">, pot fi desemnate persoane cu funcții de conducere, funcționari publici de nivel superior sau cu funcții de demnitate publică. </w:t>
      </w:r>
    </w:p>
    <w:p w14:paraId="3684A0CF" w14:textId="0C6B18F2" w:rsidR="006F2C0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4) Reprezentantul societății civile în Comisia de licitații este selectat, în mod transparent de către Ministerul Energiei.</w:t>
      </w:r>
    </w:p>
    <w:p w14:paraId="0424B0C6" w14:textId="5DF3B638" w:rsidR="00D92AB5" w:rsidRDefault="00D92AB5">
      <w:pPr>
        <w:pStyle w:val="ListParagraph"/>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5) Ministerul Energiei  prelungește anunțul de selectare a neprezentului societății civile, în cazul în care :</w:t>
      </w:r>
    </w:p>
    <w:p w14:paraId="56F64891" w14:textId="2B12BCEA" w:rsidR="00D92AB5" w:rsidRDefault="00D92AB5">
      <w:pPr>
        <w:pStyle w:val="ListParagraph"/>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a) nu a fost depus nici un dosar în termenul stabilit;</w:t>
      </w:r>
    </w:p>
    <w:p w14:paraId="08E62817" w14:textId="5BFFFFAB" w:rsidR="00D92AB5" w:rsidRDefault="00D92AB5">
      <w:pPr>
        <w:pStyle w:val="ListParagraph"/>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b) nici un candidat nu a fost selectat.</w:t>
      </w:r>
    </w:p>
    <w:p w14:paraId="07002428" w14:textId="09CDE0E0" w:rsidR="00D92AB5" w:rsidRPr="00365949" w:rsidRDefault="00D92AB5">
      <w:pPr>
        <w:pStyle w:val="ListParagraph"/>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6) Dacă după prelungirea anunțului, nu a fost selectat nici un candidat, Comisia de licitații va desfășura procedura de licitații, în lipsa reprezentantului societății civile. </w:t>
      </w:r>
    </w:p>
    <w:p w14:paraId="734905C0" w14:textId="5F1AF1A4" w:rsidR="00D92AB5" w:rsidRPr="00D92AB5" w:rsidRDefault="00D92AB5" w:rsidP="00D92AB5">
      <w:pPr>
        <w:pStyle w:val="ListParagraph"/>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7</w:t>
      </w:r>
      <w:r w:rsidR="00B81C9D" w:rsidRPr="00365949">
        <w:rPr>
          <w:rFonts w:ascii="Times New Roman Regular" w:hAnsi="Times New Roman Regular" w:cs="Times New Roman Regular"/>
          <w:sz w:val="24"/>
          <w:szCs w:val="24"/>
        </w:rPr>
        <w:t xml:space="preserve">) </w:t>
      </w:r>
      <w:r w:rsidR="00517C62" w:rsidRPr="00365949">
        <w:rPr>
          <w:rFonts w:ascii="Times New Roman Regular" w:hAnsi="Times New Roman Regular" w:cs="Times New Roman Regular"/>
          <w:sz w:val="24"/>
          <w:szCs w:val="24"/>
        </w:rPr>
        <w:t xml:space="preserve">În cazul </w:t>
      </w:r>
      <w:r w:rsidR="00F93177" w:rsidRPr="00365949">
        <w:rPr>
          <w:rFonts w:ascii="Times New Roman Regular" w:hAnsi="Times New Roman Regular" w:cs="Times New Roman Regular"/>
          <w:sz w:val="24"/>
          <w:szCs w:val="24"/>
        </w:rPr>
        <w:t>lipsei nemotivate de la 3 ședințe consecutive</w:t>
      </w:r>
      <w:r w:rsidR="007356BF" w:rsidRPr="00365949">
        <w:rPr>
          <w:rFonts w:ascii="Times New Roman Regular" w:hAnsi="Times New Roman Regular" w:cs="Times New Roman Regular"/>
          <w:sz w:val="24"/>
          <w:szCs w:val="24"/>
        </w:rPr>
        <w:t xml:space="preserve"> a Comisiei de licitați</w:t>
      </w:r>
      <w:r w:rsidR="00941FEA" w:rsidRPr="00365949">
        <w:rPr>
          <w:rFonts w:ascii="Times New Roman Regular" w:hAnsi="Times New Roman Regular" w:cs="Times New Roman Regular"/>
          <w:sz w:val="24"/>
          <w:szCs w:val="24"/>
        </w:rPr>
        <w:t>i</w:t>
      </w:r>
      <w:r w:rsidR="00F93177" w:rsidRPr="00365949">
        <w:rPr>
          <w:rFonts w:ascii="Times New Roman Regular" w:hAnsi="Times New Roman Regular" w:cs="Times New Roman Regular"/>
          <w:sz w:val="24"/>
          <w:szCs w:val="24"/>
        </w:rPr>
        <w:t xml:space="preserve"> sau a refuzului </w:t>
      </w:r>
      <w:r w:rsidR="007356BF" w:rsidRPr="00365949">
        <w:rPr>
          <w:rFonts w:ascii="Times New Roman Regular" w:hAnsi="Times New Roman Regular" w:cs="Times New Roman Regular"/>
          <w:sz w:val="24"/>
          <w:szCs w:val="24"/>
        </w:rPr>
        <w:t>de a participa la ședințele Comisiei de licitații, prezentat în scris Comisiei de licitați</w:t>
      </w:r>
      <w:r w:rsidR="00941FEA" w:rsidRPr="00365949">
        <w:rPr>
          <w:rFonts w:ascii="Times New Roman Regular" w:hAnsi="Times New Roman Regular" w:cs="Times New Roman Regular"/>
          <w:sz w:val="24"/>
          <w:szCs w:val="24"/>
        </w:rPr>
        <w:t>i</w:t>
      </w:r>
      <w:r w:rsidR="007356BF" w:rsidRPr="00365949">
        <w:rPr>
          <w:rFonts w:ascii="Times New Roman Regular" w:hAnsi="Times New Roman Regular" w:cs="Times New Roman Regular"/>
          <w:sz w:val="24"/>
          <w:szCs w:val="24"/>
        </w:rPr>
        <w:t xml:space="preserve">, </w:t>
      </w:r>
      <w:r w:rsidR="0010366E" w:rsidRPr="00365949">
        <w:rPr>
          <w:rFonts w:ascii="Times New Roman Regular" w:hAnsi="Times New Roman Regular" w:cs="Times New Roman Regular"/>
          <w:sz w:val="24"/>
          <w:szCs w:val="24"/>
        </w:rPr>
        <w:t xml:space="preserve">reprezentantul societății civile </w:t>
      </w:r>
      <w:r w:rsidR="00C30E61" w:rsidRPr="00365949">
        <w:rPr>
          <w:rFonts w:ascii="Times New Roman Regular" w:hAnsi="Times New Roman Regular" w:cs="Times New Roman Regular"/>
          <w:sz w:val="24"/>
          <w:szCs w:val="24"/>
        </w:rPr>
        <w:t xml:space="preserve">urmează a fi </w:t>
      </w:r>
      <w:proofErr w:type="spellStart"/>
      <w:r w:rsidR="00C30E61" w:rsidRPr="00365949">
        <w:rPr>
          <w:rFonts w:ascii="Times New Roman Regular" w:hAnsi="Times New Roman Regular" w:cs="Times New Roman Regular"/>
          <w:sz w:val="24"/>
          <w:szCs w:val="24"/>
        </w:rPr>
        <w:t>reselectat</w:t>
      </w:r>
      <w:proofErr w:type="spellEnd"/>
      <w:r w:rsidR="00C30E61" w:rsidRPr="00365949">
        <w:rPr>
          <w:rFonts w:ascii="Times New Roman Regular" w:hAnsi="Times New Roman Regular" w:cs="Times New Roman Regular"/>
          <w:sz w:val="24"/>
          <w:szCs w:val="24"/>
        </w:rPr>
        <w:t xml:space="preserve"> pentru următoarea rundă de licitație.</w:t>
      </w:r>
      <w:r w:rsidR="007356BF" w:rsidRPr="00365949">
        <w:rPr>
          <w:rFonts w:ascii="Times New Roman Regular" w:hAnsi="Times New Roman Regular" w:cs="Times New Roman Regular"/>
          <w:sz w:val="24"/>
          <w:szCs w:val="24"/>
        </w:rPr>
        <w:t xml:space="preserve"> </w:t>
      </w:r>
      <w:r w:rsidRPr="00D92AB5">
        <w:rPr>
          <w:rFonts w:ascii="Times New Roman Regular" w:hAnsi="Times New Roman Regular" w:cs="Times New Roman Regular"/>
          <w:sz w:val="24"/>
          <w:szCs w:val="24"/>
        </w:rPr>
        <w:t xml:space="preserve"> </w:t>
      </w:r>
      <w:bookmarkStart w:id="1" w:name="_GoBack"/>
      <w:bookmarkEnd w:id="1"/>
    </w:p>
    <w:p w14:paraId="3684A0D0" w14:textId="7AB155E1" w:rsidR="006F2C09" w:rsidRPr="00365949" w:rsidRDefault="00B81C9D">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6</w:t>
      </w:r>
      <w:r w:rsidR="00485E9B" w:rsidRPr="00365949">
        <w:rPr>
          <w:rFonts w:ascii="Times New Roman Regular" w:hAnsi="Times New Roman Regular" w:cs="Times New Roman Regular"/>
          <w:sz w:val="24"/>
          <w:szCs w:val="24"/>
        </w:rPr>
        <w:t xml:space="preserve">) Doritorii, alții decât reprezentatul societății civile - membru a Comisiei de licitații, pot participa la ședințele </w:t>
      </w:r>
      <w:r w:rsidR="00D158A7" w:rsidRPr="00365949">
        <w:rPr>
          <w:rFonts w:ascii="Times New Roman Regular" w:hAnsi="Times New Roman Regular" w:cs="Times New Roman Regular"/>
          <w:sz w:val="24"/>
          <w:szCs w:val="24"/>
        </w:rPr>
        <w:t>C</w:t>
      </w:r>
      <w:r w:rsidR="00485E9B" w:rsidRPr="00365949">
        <w:rPr>
          <w:rFonts w:ascii="Times New Roman Regular" w:hAnsi="Times New Roman Regular" w:cs="Times New Roman Regular"/>
          <w:sz w:val="24"/>
          <w:szCs w:val="24"/>
        </w:rPr>
        <w:t xml:space="preserve">omisiei de licitații, fără drept de vot, cu condiția depunerii unei cereri scrise în acest sens cu cel puțin cinci zile înainte de data-limită de depunere a ofertelor. </w:t>
      </w:r>
    </w:p>
    <w:p w14:paraId="3684A0D1" w14:textId="00389905"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2) </w:t>
      </w:r>
      <w:r w:rsidRPr="00365949">
        <w:rPr>
          <w:rStyle w:val="Strong"/>
          <w:rFonts w:ascii="Times New Roman Regular" w:hAnsi="Times New Roman Regular" w:cs="Times New Roman Regular"/>
          <w:b w:val="0"/>
          <w:color w:val="333333"/>
          <w:sz w:val="24"/>
          <w:szCs w:val="24"/>
          <w:shd w:val="clear" w:color="auto" w:fill="FFFFFF"/>
        </w:rPr>
        <w:t>„10.</w:t>
      </w:r>
      <w:r w:rsidRPr="00365949">
        <w:rPr>
          <w:rStyle w:val="Strong"/>
          <w:rFonts w:ascii="Times New Roman Regular" w:hAnsi="Times New Roman Regular" w:cs="Times New Roman Regular"/>
          <w:color w:val="333333"/>
          <w:sz w:val="24"/>
          <w:szCs w:val="24"/>
          <w:shd w:val="clear" w:color="auto" w:fill="FFFFFF"/>
        </w:rPr>
        <w:t xml:space="preserve"> </w:t>
      </w:r>
      <w:r w:rsidRPr="00365949">
        <w:rPr>
          <w:rFonts w:ascii="Times New Roman Regular" w:hAnsi="Times New Roman Regular" w:cs="Times New Roman Regular"/>
          <w:color w:val="333333"/>
          <w:sz w:val="24"/>
          <w:szCs w:val="24"/>
          <w:shd w:val="clear" w:color="auto" w:fill="FFFFFF"/>
        </w:rPr>
        <w:t xml:space="preserve">Pentru a asigura continuitatea activității Comisiei de licitații, instituțiile desemnează membri supleanți care vor prelua funcțiile automat în cazul în care un membru al </w:t>
      </w:r>
      <w:r w:rsidR="00D158A7" w:rsidRPr="00365949">
        <w:rPr>
          <w:rFonts w:ascii="Times New Roman Regular" w:hAnsi="Times New Roman Regular" w:cs="Times New Roman Regular"/>
          <w:color w:val="333333"/>
          <w:sz w:val="24"/>
          <w:szCs w:val="24"/>
          <w:shd w:val="clear" w:color="auto" w:fill="FFFFFF"/>
        </w:rPr>
        <w:t>C</w:t>
      </w:r>
      <w:r w:rsidRPr="00365949">
        <w:rPr>
          <w:rFonts w:ascii="Times New Roman Regular" w:hAnsi="Times New Roman Regular" w:cs="Times New Roman Regular"/>
          <w:color w:val="333333"/>
          <w:sz w:val="24"/>
          <w:szCs w:val="24"/>
          <w:shd w:val="clear" w:color="auto" w:fill="FFFFFF"/>
        </w:rPr>
        <w:t>omisiei de licitații lipsește nemotivat de la 3 ședințe consecutive sau nu își poate exercita obligațiile de serviciu în conformitate cu prevederile prezentului Regulament.”</w:t>
      </w:r>
    </w:p>
    <w:p w14:paraId="3684A0D2" w14:textId="613FE326"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3) „11. </w:t>
      </w:r>
      <w:bookmarkStart w:id="2" w:name="_Hlk150792821"/>
      <w:r w:rsidRPr="00365949">
        <w:rPr>
          <w:rFonts w:ascii="Times New Roman Regular" w:hAnsi="Times New Roman Regular" w:cs="Times New Roman Regular"/>
          <w:sz w:val="24"/>
          <w:szCs w:val="24"/>
        </w:rPr>
        <w:t xml:space="preserve">Comisia de licitații are dreptul de a atrage, prin ordinul </w:t>
      </w:r>
      <w:r w:rsidR="00202A58" w:rsidRPr="00365949">
        <w:rPr>
          <w:rFonts w:ascii="Times New Roman Regular" w:hAnsi="Times New Roman Regular" w:cs="Times New Roman Regular"/>
          <w:sz w:val="24"/>
          <w:szCs w:val="24"/>
        </w:rPr>
        <w:t>Ministerului Energiei</w:t>
      </w:r>
      <w:r w:rsidRPr="00365949">
        <w:rPr>
          <w:rFonts w:ascii="Times New Roman Regular" w:hAnsi="Times New Roman Regular" w:cs="Times New Roman Regular"/>
          <w:sz w:val="24"/>
          <w:szCs w:val="24"/>
        </w:rPr>
        <w:t xml:space="preserve">, în calitate de consultanți externi, locali sau internaționali, cu expertiză în domeniul în care se desfășoară licitația, inclusiv, dar fără a se limita la expertiză tehnică, financiară sau juridică, după cum este necesar pe parcursul procesului de licitație. Consultanții externi pot asista Comisia de licitații în conceperea, organizarea, desfășurarea și punerea în aplicare a licitațiilor în conformitate cu prezentul regulament. Consultanții externi nu sunt membri ai </w:t>
      </w:r>
      <w:r w:rsidR="00BA264A" w:rsidRPr="00365949">
        <w:rPr>
          <w:rFonts w:ascii="Times New Roman Regular" w:hAnsi="Times New Roman Regular" w:cs="Times New Roman Regular"/>
          <w:sz w:val="24"/>
          <w:szCs w:val="24"/>
        </w:rPr>
        <w:t>C</w:t>
      </w:r>
      <w:r w:rsidRPr="00365949">
        <w:rPr>
          <w:rFonts w:ascii="Times New Roman Regular" w:hAnsi="Times New Roman Regular" w:cs="Times New Roman Regular"/>
          <w:sz w:val="24"/>
          <w:szCs w:val="24"/>
        </w:rPr>
        <w:t>omisiei de licitație și nu au drept de vot</w:t>
      </w:r>
      <w:bookmarkEnd w:id="2"/>
      <w:r w:rsidRPr="00365949">
        <w:rPr>
          <w:rFonts w:ascii="Times New Roman Regular" w:hAnsi="Times New Roman Regular" w:cs="Times New Roman Regular"/>
          <w:sz w:val="24"/>
          <w:szCs w:val="24"/>
        </w:rPr>
        <w:t>.“.</w:t>
      </w:r>
    </w:p>
    <w:p w14:paraId="3684A0D3" w14:textId="6AFA214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Se completează cu pct. 11</w:t>
      </w:r>
      <w:r w:rsidRPr="00365949">
        <w:rPr>
          <w:rFonts w:ascii="Times New Roman Regular" w:hAnsi="Times New Roman Regular" w:cs="Times New Roman Regular"/>
          <w:sz w:val="24"/>
          <w:szCs w:val="24"/>
          <w:vertAlign w:val="superscript"/>
        </w:rPr>
        <w:t>1</w:t>
      </w:r>
      <w:r w:rsidRPr="00365949">
        <w:rPr>
          <w:rFonts w:ascii="Times New Roman Regular" w:hAnsi="Times New Roman Regular" w:cs="Times New Roman Regular"/>
          <w:sz w:val="24"/>
          <w:szCs w:val="24"/>
        </w:rPr>
        <w:t>, cu următorul cuprins:</w:t>
      </w:r>
    </w:p>
    <w:p w14:paraId="3684A0D4" w14:textId="49B30BBE"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„11</w:t>
      </w:r>
      <w:r w:rsidR="00202A58" w:rsidRPr="00365949">
        <w:rPr>
          <w:rFonts w:ascii="Times New Roman Regular" w:hAnsi="Times New Roman Regular" w:cs="Times New Roman Regular"/>
          <w:sz w:val="24"/>
          <w:szCs w:val="24"/>
          <w:vertAlign w:val="superscript"/>
        </w:rPr>
        <w:t>1</w:t>
      </w:r>
      <w:r w:rsidRPr="00365949">
        <w:rPr>
          <w:rFonts w:ascii="Times New Roman Regular" w:hAnsi="Times New Roman Regular" w:cs="Times New Roman Regular"/>
          <w:sz w:val="24"/>
          <w:szCs w:val="24"/>
        </w:rPr>
        <w:t>. consultanții externi pot fi:</w:t>
      </w:r>
    </w:p>
    <w:p w14:paraId="3684A0D5" w14:textId="3AE4BD98"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a) angajați ai instituțiilor publice al căror fondator este </w:t>
      </w:r>
      <w:r w:rsidR="00202A58" w:rsidRPr="00365949">
        <w:rPr>
          <w:rFonts w:ascii="Times New Roman Regular" w:hAnsi="Times New Roman Regular" w:cs="Times New Roman Regular"/>
          <w:sz w:val="24"/>
          <w:szCs w:val="24"/>
        </w:rPr>
        <w:t>Ministerul Energiei</w:t>
      </w:r>
      <w:r w:rsidRPr="00365949">
        <w:rPr>
          <w:rFonts w:ascii="Times New Roman Regular" w:hAnsi="Times New Roman Regular" w:cs="Times New Roman Regular"/>
          <w:sz w:val="24"/>
          <w:szCs w:val="24"/>
        </w:rPr>
        <w:t xml:space="preserve">, </w:t>
      </w:r>
    </w:p>
    <w:p w14:paraId="3684A0D6" w14:textId="744A41E3"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b) contractori externi puși la dispoziție de instituțiile internaționale, în conformitate cu politicile interne de achiziții publice ale acestora, în cadrul asistenței oferite pentru </w:t>
      </w:r>
      <w:r w:rsidR="00202A58" w:rsidRPr="00365949">
        <w:rPr>
          <w:rFonts w:ascii="Times New Roman Regular" w:hAnsi="Times New Roman Regular" w:cs="Times New Roman Regular"/>
          <w:sz w:val="24"/>
          <w:szCs w:val="24"/>
        </w:rPr>
        <w:t>Ministerul Energiei</w:t>
      </w:r>
      <w:r w:rsidRPr="00365949">
        <w:rPr>
          <w:rFonts w:ascii="Times New Roman Regular" w:hAnsi="Times New Roman Regular" w:cs="Times New Roman Regular"/>
          <w:sz w:val="24"/>
          <w:szCs w:val="24"/>
        </w:rPr>
        <w:t xml:space="preserve">, </w:t>
      </w:r>
    </w:p>
    <w:p w14:paraId="3684A0D7"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c) selectați, după caz, printr-o procedură competitivă organizată în conformitate cu normele și condițiile Legii privind achizițiile publice din Republica Moldova. În cazul în care consultanții externi urmează să fie finanțați de la bugetul de stat, cheltuielile aferente vor fi planificate, în conformitate cu Legea finanțelor publice și responsabilității financiar -fiscale  nr. </w:t>
      </w:r>
      <w:r w:rsidRPr="00365949">
        <w:rPr>
          <w:rFonts w:ascii="Times New Roman Regular" w:hAnsi="Times New Roman Regular" w:cs="Times New Roman Regular"/>
          <w:bCs/>
          <w:sz w:val="24"/>
          <w:szCs w:val="24"/>
        </w:rPr>
        <w:t>181/2014.</w:t>
      </w:r>
      <w:r w:rsidRPr="00365949">
        <w:rPr>
          <w:rFonts w:ascii="Times New Roman Regular" w:hAnsi="Times New Roman Regular" w:cs="Times New Roman Regular"/>
          <w:sz w:val="24"/>
          <w:szCs w:val="24"/>
        </w:rPr>
        <w:t xml:space="preserve"> ”</w:t>
      </w:r>
    </w:p>
    <w:p w14:paraId="3684A0D8" w14:textId="77777777" w:rsidR="006F2C09" w:rsidRPr="00365949" w:rsidRDefault="006F2C09">
      <w:pPr>
        <w:pStyle w:val="ListParagraph"/>
        <w:jc w:val="both"/>
        <w:rPr>
          <w:rFonts w:ascii="Times New Roman Regular" w:hAnsi="Times New Roman Regular" w:cs="Times New Roman Regular"/>
          <w:sz w:val="24"/>
          <w:szCs w:val="24"/>
        </w:rPr>
      </w:pPr>
    </w:p>
    <w:p w14:paraId="3684A0D9"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La punctul 15,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2), după sintagma „procedurii de licitație” se completează cu textul „ </w:t>
      </w:r>
      <w:bookmarkStart w:id="3" w:name="_Hlk150792870"/>
      <w:r w:rsidRPr="00365949">
        <w:rPr>
          <w:rFonts w:ascii="Times New Roman Regular" w:hAnsi="Times New Roman Regular" w:cs="Times New Roman Regular"/>
          <w:sz w:val="24"/>
          <w:szCs w:val="24"/>
        </w:rPr>
        <w:t xml:space="preserve"> ,în cadrul unui proces într-o singură sau în mai multe </w:t>
      </w:r>
      <w:bookmarkEnd w:id="3"/>
      <w:r w:rsidRPr="00365949">
        <w:rPr>
          <w:rFonts w:ascii="Times New Roman Regular" w:hAnsi="Times New Roman Regular" w:cs="Times New Roman Regular"/>
          <w:sz w:val="24"/>
          <w:szCs w:val="24"/>
        </w:rPr>
        <w:t>faze,”.</w:t>
      </w:r>
    </w:p>
    <w:p w14:paraId="3684A0DA" w14:textId="77777777" w:rsidR="006F2C09" w:rsidRPr="00365949" w:rsidRDefault="006F2C09">
      <w:pPr>
        <w:pStyle w:val="ListParagraph"/>
        <w:jc w:val="both"/>
        <w:rPr>
          <w:rFonts w:ascii="Times New Roman Regular" w:hAnsi="Times New Roman Regular" w:cs="Times New Roman Regular"/>
          <w:sz w:val="24"/>
          <w:szCs w:val="24"/>
        </w:rPr>
      </w:pPr>
    </w:p>
    <w:p w14:paraId="3684A0DB"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Pct. 18, 19 vor avea următorul cuprins: </w:t>
      </w:r>
    </w:p>
    <w:p w14:paraId="3684A0DC" w14:textId="77777777" w:rsidR="006F2C09" w:rsidRPr="00365949" w:rsidRDefault="00485E9B">
      <w:pPr>
        <w:pStyle w:val="ListParagraph"/>
        <w:spacing w:after="0" w:line="276" w:lineRule="auto"/>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1) „18. 1) Ședințele Comisiei de licitație sunt convocate de președintele acesteia și sunt deliberative în cazul în care la ședință sunt prezenți 50%+1 dintre membrii numiți sau membrii supleanți numiți în conformitate cu pct. 10;</w:t>
      </w:r>
    </w:p>
    <w:p w14:paraId="3684A0DD" w14:textId="77777777" w:rsidR="006F2C09" w:rsidRPr="00365949" w:rsidRDefault="00485E9B">
      <w:pPr>
        <w:pStyle w:val="ListParagraph"/>
        <w:spacing w:after="0" w:line="276" w:lineRule="auto"/>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          2) deciziile cu privire la aspectele materiale ale procedurii de licitație, referitoare la evaluarea ofertelor și adjudecare se adoptă cu majoritatea absolută membrilor săi desemnați sau a membrilor supleanți desemnați în conformitate cu pct. 10.</w:t>
      </w:r>
    </w:p>
    <w:p w14:paraId="3684A0DE" w14:textId="150BAFA6" w:rsidR="006F2C09" w:rsidRPr="00365949" w:rsidRDefault="00485E9B">
      <w:pPr>
        <w:spacing w:after="0" w:line="276" w:lineRule="auto"/>
        <w:ind w:left="720"/>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         3) deciziile cu privire la aspectele procedurii de licitație, altele decât cele  invocate la </w:t>
      </w:r>
      <w:proofErr w:type="spellStart"/>
      <w:r w:rsidR="00202A58"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w:t>
      </w:r>
      <w:r w:rsidR="00202A58" w:rsidRPr="00365949">
        <w:rPr>
          <w:rFonts w:ascii="Times New Roman Regular" w:hAnsi="Times New Roman Regular" w:cs="Times New Roman Regular"/>
          <w:sz w:val="24"/>
          <w:szCs w:val="24"/>
        </w:rPr>
        <w:t xml:space="preserve"> </w:t>
      </w:r>
      <w:r w:rsidRPr="00365949">
        <w:rPr>
          <w:rFonts w:ascii="Times New Roman Regular" w:hAnsi="Times New Roman Regular" w:cs="Times New Roman Regular"/>
          <w:sz w:val="24"/>
          <w:szCs w:val="24"/>
        </w:rPr>
        <w:t>2) se adoptă cu majoritatea simplă a membrilor numiți sau a membrilor supleanți, prezenți la reuniune.</w:t>
      </w:r>
    </w:p>
    <w:p w14:paraId="3684A0DF" w14:textId="77777777" w:rsidR="006F2C09" w:rsidRPr="00365949" w:rsidRDefault="006F2C09">
      <w:pPr>
        <w:pStyle w:val="ListParagraph"/>
        <w:jc w:val="both"/>
        <w:rPr>
          <w:rFonts w:ascii="Times New Roman Regular" w:hAnsi="Times New Roman Regular" w:cs="Times New Roman Regular"/>
          <w:sz w:val="24"/>
          <w:szCs w:val="24"/>
        </w:rPr>
      </w:pPr>
    </w:p>
    <w:p w14:paraId="3684A0E0" w14:textId="69795C5D"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2) 19. </w:t>
      </w:r>
      <w:bookmarkStart w:id="4" w:name="_Hlk150792999"/>
      <w:r w:rsidRPr="00365949">
        <w:rPr>
          <w:rFonts w:ascii="Times New Roman Regular" w:hAnsi="Times New Roman Regular" w:cs="Times New Roman Regular"/>
          <w:sz w:val="24"/>
          <w:szCs w:val="24"/>
        </w:rPr>
        <w:t xml:space="preserve">Secretariatul </w:t>
      </w:r>
      <w:r w:rsidR="00D158A7" w:rsidRPr="00365949">
        <w:rPr>
          <w:rFonts w:ascii="Times New Roman Regular" w:hAnsi="Times New Roman Regular" w:cs="Times New Roman Regular"/>
          <w:sz w:val="24"/>
          <w:szCs w:val="24"/>
        </w:rPr>
        <w:t xml:space="preserve">Comisiei </w:t>
      </w:r>
      <w:r w:rsidRPr="00365949">
        <w:rPr>
          <w:rFonts w:ascii="Times New Roman Regular" w:hAnsi="Times New Roman Regular" w:cs="Times New Roman Regular"/>
          <w:sz w:val="24"/>
          <w:szCs w:val="24"/>
        </w:rPr>
        <w:t xml:space="preserve">de licitație este asigurat de un reprezentant fără drept de vot </w:t>
      </w:r>
      <w:r w:rsidR="00D158A7" w:rsidRPr="00365949">
        <w:rPr>
          <w:rFonts w:ascii="Times New Roman Regular" w:hAnsi="Times New Roman Regular" w:cs="Times New Roman Regular"/>
          <w:sz w:val="24"/>
          <w:szCs w:val="24"/>
        </w:rPr>
        <w:t>al Ministerului Energiei</w:t>
      </w:r>
      <w:r w:rsidRPr="00365949">
        <w:rPr>
          <w:rFonts w:ascii="Times New Roman Regular" w:hAnsi="Times New Roman Regular" w:cs="Times New Roman Regular"/>
          <w:sz w:val="24"/>
          <w:szCs w:val="24"/>
        </w:rPr>
        <w:t>, iar corespondența acesteia este semnată de președintele comisiei de licitații.”</w:t>
      </w:r>
    </w:p>
    <w:bookmarkEnd w:id="4"/>
    <w:p w14:paraId="3684A0E1" w14:textId="77777777" w:rsidR="006F2C09" w:rsidRPr="00365949" w:rsidRDefault="006F2C09">
      <w:pPr>
        <w:pStyle w:val="ListParagraph"/>
        <w:jc w:val="both"/>
        <w:rPr>
          <w:rFonts w:ascii="Times New Roman Regular" w:hAnsi="Times New Roman Regular" w:cs="Times New Roman Regular"/>
          <w:sz w:val="24"/>
          <w:szCs w:val="24"/>
        </w:rPr>
      </w:pPr>
    </w:p>
    <w:p w14:paraId="3684A0E2"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Pct. 22 va avea următorul cuprins:„ Investitorii pot încheia un acord de consorțiu sau se pot asocia pentru a participa la licitație și pentru a-și depune ofertele. În acest caz, investitorii asociați vor fi considerați ca un singur ofertant, iar în ofertă se va indica investitorul principal cu care se va comunica în cadrul procesului de licitație și, în cazul câștigării licitației, i se va oferi statutul de producător eligibil mare cu dreptul de a încheia ulterior contractul reglementat de achiziție de energie electrică produsă din surse regenerabile.” . </w:t>
      </w:r>
    </w:p>
    <w:p w14:paraId="3684A0E3" w14:textId="77777777" w:rsidR="006F2C09" w:rsidRPr="00365949" w:rsidRDefault="006F2C09">
      <w:pPr>
        <w:pStyle w:val="ListParagraph"/>
        <w:ind w:left="786"/>
        <w:jc w:val="both"/>
        <w:rPr>
          <w:rFonts w:ascii="Times New Roman Regular" w:hAnsi="Times New Roman Regular" w:cs="Times New Roman Regular"/>
          <w:sz w:val="24"/>
          <w:szCs w:val="24"/>
        </w:rPr>
      </w:pPr>
    </w:p>
    <w:p w14:paraId="3684A0E4"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La pct. 23, după cuvântul „admisibilitate” se completează cu textul „</w:t>
      </w:r>
      <w:bookmarkStart w:id="5" w:name="_Hlk150793118"/>
      <w:r w:rsidRPr="00365949">
        <w:rPr>
          <w:rFonts w:ascii="Times New Roman Regular" w:hAnsi="Times New Roman Regular" w:cs="Times New Roman Regular"/>
          <w:sz w:val="24"/>
          <w:szCs w:val="24"/>
        </w:rPr>
        <w:t>și eligibilitate</w:t>
      </w:r>
      <w:bookmarkEnd w:id="5"/>
      <w:r w:rsidRPr="00365949">
        <w:rPr>
          <w:rFonts w:ascii="Times New Roman Regular" w:hAnsi="Times New Roman Regular" w:cs="Times New Roman Regular"/>
          <w:sz w:val="24"/>
          <w:szCs w:val="24"/>
        </w:rPr>
        <w:t>”</w:t>
      </w:r>
    </w:p>
    <w:p w14:paraId="3684A0E5"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La pct. 28, textul „unul și același tip de tehnologie de producere, iar ofertele cu diferite tipuri de tehnologie de producere nu trebuie să fie evaluate și comparate între ele” se substituie cu textul </w:t>
      </w:r>
      <w:bookmarkStart w:id="6" w:name="_Hlk150793310"/>
      <w:r w:rsidRPr="00365949">
        <w:rPr>
          <w:rFonts w:ascii="Times New Roman Regular" w:hAnsi="Times New Roman Regular" w:cs="Times New Roman Regular"/>
          <w:sz w:val="24"/>
          <w:szCs w:val="24"/>
        </w:rPr>
        <w:t xml:space="preserve"> „tipul de tehnologie sau tehnologia de producere pentru care se desfășoară licitația</w:t>
      </w:r>
      <w:bookmarkEnd w:id="6"/>
      <w:r w:rsidRPr="00365949">
        <w:rPr>
          <w:rFonts w:ascii="Times New Roman Regular" w:hAnsi="Times New Roman Regular" w:cs="Times New Roman Regular"/>
          <w:sz w:val="24"/>
          <w:szCs w:val="24"/>
        </w:rPr>
        <w:t xml:space="preserve"> ”.</w:t>
      </w:r>
    </w:p>
    <w:p w14:paraId="3684A0E6" w14:textId="77777777" w:rsidR="006F2C09" w:rsidRPr="00365949" w:rsidRDefault="00485E9B">
      <w:pPr>
        <w:pStyle w:val="ListParagraph"/>
        <w:numPr>
          <w:ilvl w:val="0"/>
          <w:numId w:val="3"/>
        </w:numPr>
        <w:jc w:val="both"/>
        <w:rPr>
          <w:rFonts w:ascii="Times New Roman Regular" w:hAnsi="Times New Roman Regular" w:cs="Times New Roman Regular"/>
          <w:color w:val="333333"/>
          <w:sz w:val="24"/>
          <w:szCs w:val="24"/>
        </w:rPr>
      </w:pPr>
      <w:r w:rsidRPr="00365949">
        <w:rPr>
          <w:rFonts w:ascii="Times New Roman Regular" w:hAnsi="Times New Roman Regular" w:cs="Times New Roman Regular"/>
          <w:sz w:val="24"/>
          <w:szCs w:val="24"/>
        </w:rPr>
        <w:t>Pct. 29 va avea următorul cuprins: „29.</w:t>
      </w:r>
      <w:r w:rsidRPr="00365949">
        <w:rPr>
          <w:rFonts w:ascii="Times New Roman Regular" w:hAnsi="Times New Roman Regular" w:cs="Times New Roman Regular"/>
          <w:color w:val="333333"/>
          <w:sz w:val="24"/>
          <w:szCs w:val="24"/>
        </w:rPr>
        <w:t xml:space="preserve"> Licitațiile pentru oferirea statutului de producător eligibil mare, într-o singură fază, se organizează cu respectarea următoarelor etape:</w:t>
      </w:r>
    </w:p>
    <w:p w14:paraId="3684A0E7" w14:textId="77777777" w:rsidR="006F2C09" w:rsidRPr="00365949" w:rsidRDefault="00485E9B">
      <w:pPr>
        <w:pStyle w:val="NormalWeb"/>
        <w:numPr>
          <w:ilvl w:val="0"/>
          <w:numId w:val="5"/>
        </w:numPr>
        <w:shd w:val="clear" w:color="auto" w:fill="FFFFFF"/>
        <w:spacing w:before="0" w:beforeAutospacing="0" w:after="0" w:afterAutospacing="0"/>
        <w:jc w:val="both"/>
        <w:rPr>
          <w:rFonts w:ascii="Times New Roman Regular" w:hAnsi="Times New Roman Regular" w:cs="Times New Roman Regular"/>
          <w:color w:val="333333"/>
          <w:lang w:val="ro-RO"/>
        </w:rPr>
      </w:pPr>
      <w:r w:rsidRPr="00365949">
        <w:rPr>
          <w:rFonts w:ascii="Times New Roman Regular" w:hAnsi="Times New Roman Regular" w:cs="Times New Roman Regular"/>
          <w:color w:val="333333"/>
          <w:lang w:val="ro-RO"/>
        </w:rPr>
        <w:t>elaborarea documentației de licitație;</w:t>
      </w:r>
    </w:p>
    <w:p w14:paraId="3684A0E8" w14:textId="77777777" w:rsidR="006F2C09" w:rsidRPr="00365949" w:rsidRDefault="00485E9B">
      <w:pPr>
        <w:pStyle w:val="NormalWeb"/>
        <w:numPr>
          <w:ilvl w:val="0"/>
          <w:numId w:val="5"/>
        </w:numPr>
        <w:shd w:val="clear" w:color="auto" w:fill="FFFFFF"/>
        <w:spacing w:before="0" w:beforeAutospacing="0" w:after="0" w:afterAutospacing="0"/>
        <w:jc w:val="both"/>
        <w:rPr>
          <w:rFonts w:ascii="Times New Roman Regular" w:hAnsi="Times New Roman Regular" w:cs="Times New Roman Regular"/>
          <w:color w:val="333333"/>
          <w:lang w:val="ro-RO"/>
        </w:rPr>
      </w:pPr>
      <w:r w:rsidRPr="00365949">
        <w:rPr>
          <w:rFonts w:ascii="Times New Roman Regular" w:hAnsi="Times New Roman Regular" w:cs="Times New Roman Regular"/>
          <w:color w:val="333333"/>
          <w:lang w:val="ro-RO"/>
        </w:rPr>
        <w:t>inițierea procedurii de licitație;</w:t>
      </w:r>
    </w:p>
    <w:p w14:paraId="3684A0E9" w14:textId="77777777" w:rsidR="006F2C09" w:rsidRPr="00365949" w:rsidRDefault="00485E9B">
      <w:pPr>
        <w:pStyle w:val="NormalWeb"/>
        <w:numPr>
          <w:ilvl w:val="0"/>
          <w:numId w:val="5"/>
        </w:numPr>
        <w:shd w:val="clear" w:color="auto" w:fill="FFFFFF"/>
        <w:spacing w:before="0" w:beforeAutospacing="0" w:after="0" w:afterAutospacing="0"/>
        <w:jc w:val="both"/>
        <w:rPr>
          <w:rFonts w:ascii="Times New Roman Regular" w:hAnsi="Times New Roman Regular" w:cs="Times New Roman Regular"/>
          <w:color w:val="333333"/>
          <w:lang w:val="ro-RO"/>
        </w:rPr>
      </w:pPr>
      <w:r w:rsidRPr="00365949">
        <w:rPr>
          <w:rFonts w:ascii="Times New Roman Regular" w:hAnsi="Times New Roman Regular" w:cs="Times New Roman Regular"/>
          <w:color w:val="333333"/>
          <w:lang w:val="ro-RO"/>
        </w:rPr>
        <w:t xml:space="preserve">depunerea </w:t>
      </w:r>
      <w:proofErr w:type="spellStart"/>
      <w:r w:rsidRPr="00365949">
        <w:rPr>
          <w:rFonts w:ascii="Times New Roman Regular" w:hAnsi="Times New Roman Regular" w:cs="Times New Roman Regular"/>
          <w:color w:val="333333"/>
          <w:lang w:val="ro-RO"/>
        </w:rPr>
        <w:t>şi</w:t>
      </w:r>
      <w:proofErr w:type="spellEnd"/>
      <w:r w:rsidRPr="00365949">
        <w:rPr>
          <w:rFonts w:ascii="Times New Roman Regular" w:hAnsi="Times New Roman Regular" w:cs="Times New Roman Regular"/>
          <w:color w:val="333333"/>
          <w:lang w:val="ro-RO"/>
        </w:rPr>
        <w:t xml:space="preserve"> primirea ofertelor;</w:t>
      </w:r>
    </w:p>
    <w:p w14:paraId="3684A0EA" w14:textId="77777777" w:rsidR="006F2C09" w:rsidRPr="00365949" w:rsidRDefault="00485E9B">
      <w:pPr>
        <w:pStyle w:val="NormalWeb"/>
        <w:numPr>
          <w:ilvl w:val="0"/>
          <w:numId w:val="5"/>
        </w:numPr>
        <w:shd w:val="clear" w:color="auto" w:fill="FFFFFF"/>
        <w:spacing w:before="0" w:beforeAutospacing="0" w:after="0" w:afterAutospacing="0"/>
        <w:jc w:val="both"/>
        <w:rPr>
          <w:rFonts w:ascii="Times New Roman Regular" w:hAnsi="Times New Roman Regular" w:cs="Times New Roman Regular"/>
          <w:color w:val="333333"/>
          <w:lang w:val="ro-RO"/>
        </w:rPr>
      </w:pPr>
      <w:r w:rsidRPr="00365949">
        <w:rPr>
          <w:rFonts w:ascii="Times New Roman Regular" w:hAnsi="Times New Roman Regular" w:cs="Times New Roman Regular"/>
          <w:color w:val="333333"/>
          <w:lang w:val="ro-RO"/>
        </w:rPr>
        <w:t>deschiderea ofertelor;</w:t>
      </w:r>
    </w:p>
    <w:p w14:paraId="3684A0EB" w14:textId="77777777" w:rsidR="006F2C09" w:rsidRPr="00365949" w:rsidRDefault="00485E9B">
      <w:pPr>
        <w:pStyle w:val="NormalWeb"/>
        <w:numPr>
          <w:ilvl w:val="0"/>
          <w:numId w:val="5"/>
        </w:numPr>
        <w:shd w:val="clear" w:color="auto" w:fill="FFFFFF"/>
        <w:spacing w:before="0" w:beforeAutospacing="0" w:after="0" w:afterAutospacing="0"/>
        <w:jc w:val="both"/>
        <w:rPr>
          <w:rFonts w:ascii="Times New Roman Regular" w:hAnsi="Times New Roman Regular" w:cs="Times New Roman Regular"/>
          <w:color w:val="333333"/>
          <w:lang w:val="ro-RO"/>
        </w:rPr>
      </w:pPr>
      <w:r w:rsidRPr="00365949">
        <w:rPr>
          <w:rFonts w:ascii="Times New Roman Regular" w:hAnsi="Times New Roman Regular" w:cs="Times New Roman Regular"/>
          <w:color w:val="333333"/>
          <w:lang w:val="ro-RO"/>
        </w:rPr>
        <w:t>examinarea admisibilității și calificarea ofertelor;</w:t>
      </w:r>
    </w:p>
    <w:p w14:paraId="3684A0EC" w14:textId="77777777" w:rsidR="006F2C09" w:rsidRPr="00365949" w:rsidRDefault="00485E9B">
      <w:pPr>
        <w:pStyle w:val="NormalWeb"/>
        <w:numPr>
          <w:ilvl w:val="0"/>
          <w:numId w:val="5"/>
        </w:numPr>
        <w:shd w:val="clear" w:color="auto" w:fill="FFFFFF"/>
        <w:spacing w:before="0" w:beforeAutospacing="0" w:after="0" w:afterAutospacing="0"/>
        <w:jc w:val="both"/>
        <w:rPr>
          <w:rFonts w:ascii="Times New Roman Regular" w:hAnsi="Times New Roman Regular" w:cs="Times New Roman Regular"/>
          <w:color w:val="333333"/>
          <w:lang w:val="ro-RO"/>
        </w:rPr>
      </w:pPr>
      <w:r w:rsidRPr="00365949">
        <w:rPr>
          <w:rFonts w:ascii="Times New Roman Regular" w:hAnsi="Times New Roman Regular" w:cs="Times New Roman Regular"/>
          <w:color w:val="333333"/>
          <w:lang w:val="ro-RO"/>
        </w:rPr>
        <w:t xml:space="preserve">evaluarea ofertelor financiare în baza criteriului celui mai mic </w:t>
      </w:r>
      <w:proofErr w:type="spellStart"/>
      <w:r w:rsidRPr="00365949">
        <w:rPr>
          <w:rFonts w:ascii="Times New Roman Regular" w:hAnsi="Times New Roman Regular" w:cs="Times New Roman Regular"/>
          <w:color w:val="333333"/>
          <w:lang w:val="ro-RO"/>
        </w:rPr>
        <w:t>preţ</w:t>
      </w:r>
      <w:proofErr w:type="spellEnd"/>
      <w:r w:rsidRPr="00365949">
        <w:rPr>
          <w:rFonts w:ascii="Times New Roman Regular" w:hAnsi="Times New Roman Regular" w:cs="Times New Roman Regular"/>
          <w:color w:val="333333"/>
          <w:lang w:val="ro-RO"/>
        </w:rPr>
        <w:t>;</w:t>
      </w:r>
    </w:p>
    <w:p w14:paraId="3684A0ED" w14:textId="77777777" w:rsidR="006F2C09" w:rsidRPr="00365949" w:rsidRDefault="00485E9B">
      <w:pPr>
        <w:pStyle w:val="NormalWeb"/>
        <w:numPr>
          <w:ilvl w:val="0"/>
          <w:numId w:val="5"/>
        </w:numPr>
        <w:shd w:val="clear" w:color="auto" w:fill="FFFFFF"/>
        <w:spacing w:before="0" w:beforeAutospacing="0" w:after="0" w:afterAutospacing="0"/>
        <w:jc w:val="both"/>
        <w:rPr>
          <w:rFonts w:ascii="Times New Roman Regular" w:hAnsi="Times New Roman Regular" w:cs="Times New Roman Regular"/>
          <w:color w:val="333333"/>
          <w:lang w:val="ro-RO"/>
        </w:rPr>
      </w:pPr>
      <w:r w:rsidRPr="00365949">
        <w:rPr>
          <w:rFonts w:ascii="Times New Roman Regular" w:hAnsi="Times New Roman Regular" w:cs="Times New Roman Regular"/>
          <w:color w:val="333333"/>
          <w:lang w:val="ro-RO"/>
        </w:rPr>
        <w:t xml:space="preserve">negocierea ofertelor prezentate în </w:t>
      </w:r>
      <w:proofErr w:type="spellStart"/>
      <w:r w:rsidRPr="00365949">
        <w:rPr>
          <w:rFonts w:ascii="Times New Roman Regular" w:hAnsi="Times New Roman Regular" w:cs="Times New Roman Regular"/>
          <w:color w:val="333333"/>
          <w:lang w:val="ro-RO"/>
        </w:rPr>
        <w:t>sbp</w:t>
      </w:r>
      <w:proofErr w:type="spellEnd"/>
      <w:r w:rsidRPr="00365949">
        <w:rPr>
          <w:rFonts w:ascii="Times New Roman Regular" w:hAnsi="Times New Roman Regular" w:cs="Times New Roman Regular"/>
          <w:color w:val="333333"/>
          <w:lang w:val="ro-RO"/>
        </w:rPr>
        <w:t>. 6), după caz;</w:t>
      </w:r>
    </w:p>
    <w:p w14:paraId="3684A0EE" w14:textId="77777777" w:rsidR="006F2C09" w:rsidRPr="00365949" w:rsidRDefault="00485E9B">
      <w:pPr>
        <w:pStyle w:val="NormalWeb"/>
        <w:numPr>
          <w:ilvl w:val="0"/>
          <w:numId w:val="5"/>
        </w:numPr>
        <w:shd w:val="clear" w:color="auto" w:fill="FFFFFF"/>
        <w:spacing w:before="0" w:beforeAutospacing="0" w:after="0" w:afterAutospacing="0"/>
        <w:jc w:val="both"/>
        <w:rPr>
          <w:rFonts w:ascii="Times New Roman Regular" w:hAnsi="Times New Roman Regular" w:cs="Times New Roman Regular"/>
          <w:color w:val="333333"/>
          <w:lang w:val="ro-RO"/>
        </w:rPr>
      </w:pPr>
      <w:r w:rsidRPr="00365949">
        <w:rPr>
          <w:rFonts w:ascii="Times New Roman Regular" w:hAnsi="Times New Roman Regular" w:cs="Times New Roman Regular"/>
          <w:color w:val="333333"/>
          <w:lang w:val="ro-RO"/>
        </w:rPr>
        <w:t>acordarea statutului de producător eligibil mare, ofertanților câștigători;</w:t>
      </w:r>
    </w:p>
    <w:p w14:paraId="3684A0EF" w14:textId="77777777" w:rsidR="006F2C09" w:rsidRPr="00365949" w:rsidRDefault="00485E9B">
      <w:pPr>
        <w:pStyle w:val="NormalWeb"/>
        <w:numPr>
          <w:ilvl w:val="0"/>
          <w:numId w:val="5"/>
        </w:numPr>
        <w:shd w:val="clear" w:color="auto" w:fill="FFFFFF"/>
        <w:spacing w:before="0" w:beforeAutospacing="0" w:after="0" w:afterAutospacing="0"/>
        <w:jc w:val="both"/>
        <w:rPr>
          <w:rFonts w:ascii="Times New Roman Regular" w:hAnsi="Times New Roman Regular" w:cs="Times New Roman Regular"/>
          <w:color w:val="333333"/>
          <w:lang w:val="ro-RO"/>
        </w:rPr>
      </w:pPr>
      <w:r w:rsidRPr="00365949">
        <w:rPr>
          <w:rFonts w:ascii="Times New Roman Regular" w:hAnsi="Times New Roman Regular" w:cs="Times New Roman Regular"/>
          <w:color w:val="333333"/>
          <w:lang w:val="ro-RO"/>
        </w:rPr>
        <w:t>semnarea contractului pentru achiziționarea energiei electrice produse din surse regenerabile cu furnizorul central de energie electrică;</w:t>
      </w:r>
    </w:p>
    <w:p w14:paraId="3684A0F0" w14:textId="6D4D08E9" w:rsidR="006F2C09" w:rsidRPr="00365949" w:rsidRDefault="00485E9B">
      <w:pPr>
        <w:pStyle w:val="NormalWeb"/>
        <w:numPr>
          <w:ilvl w:val="0"/>
          <w:numId w:val="5"/>
        </w:numPr>
        <w:shd w:val="clear" w:color="auto" w:fill="FFFFFF"/>
        <w:spacing w:before="0" w:beforeAutospacing="0" w:after="0" w:afterAutospacing="0"/>
        <w:jc w:val="both"/>
        <w:rPr>
          <w:rFonts w:ascii="Times New Roman Regular" w:hAnsi="Times New Roman Regular" w:cs="Times New Roman Regular"/>
          <w:color w:val="333333"/>
          <w:lang w:val="ro-RO"/>
        </w:rPr>
      </w:pPr>
      <w:r w:rsidRPr="00365949">
        <w:rPr>
          <w:rFonts w:ascii="Times New Roman Regular" w:hAnsi="Times New Roman Regular" w:cs="Times New Roman Regular"/>
          <w:color w:val="333333"/>
          <w:lang w:val="ro-RO"/>
        </w:rPr>
        <w:t>monitorizarea respectării de către producătorii eligibili a obligațiilor asumate în legătură cu construcția centralelor electrice care utilizează SRE.</w:t>
      </w:r>
    </w:p>
    <w:p w14:paraId="3684A0F1" w14:textId="77777777" w:rsidR="006F2C09" w:rsidRPr="00365949" w:rsidRDefault="006F2C09">
      <w:pPr>
        <w:pStyle w:val="ListParagraph"/>
        <w:jc w:val="both"/>
        <w:rPr>
          <w:rFonts w:ascii="Times New Roman Regular" w:hAnsi="Times New Roman Regular" w:cs="Times New Roman Regular"/>
          <w:sz w:val="24"/>
          <w:szCs w:val="24"/>
        </w:rPr>
      </w:pPr>
    </w:p>
    <w:p w14:paraId="3684A0F2" w14:textId="77777777" w:rsidR="006F2C09" w:rsidRPr="00365949" w:rsidRDefault="00485E9B">
      <w:pPr>
        <w:pStyle w:val="ListParagraph"/>
        <w:numPr>
          <w:ilvl w:val="0"/>
          <w:numId w:val="3"/>
        </w:numPr>
        <w:jc w:val="both"/>
        <w:rPr>
          <w:rFonts w:ascii="Times New Roman Regular" w:hAnsi="Times New Roman Regular" w:cs="Times New Roman Regular"/>
          <w:color w:val="000000" w:themeColor="text1"/>
          <w:sz w:val="24"/>
          <w:szCs w:val="24"/>
        </w:rPr>
      </w:pPr>
      <w:r w:rsidRPr="00365949">
        <w:rPr>
          <w:rFonts w:ascii="Times New Roman Regular" w:hAnsi="Times New Roman Regular" w:cs="Times New Roman Regular"/>
          <w:sz w:val="24"/>
          <w:szCs w:val="24"/>
        </w:rPr>
        <w:t>Se completează cu pct. 29</w:t>
      </w:r>
      <w:r w:rsidRPr="00365949">
        <w:rPr>
          <w:rFonts w:ascii="Times New Roman Regular" w:hAnsi="Times New Roman Regular" w:cs="Times New Roman Regular"/>
          <w:sz w:val="24"/>
          <w:szCs w:val="24"/>
          <w:vertAlign w:val="superscript"/>
        </w:rPr>
        <w:t xml:space="preserve">1 </w:t>
      </w:r>
      <w:r w:rsidRPr="00365949">
        <w:rPr>
          <w:rFonts w:ascii="Times New Roman Regular" w:hAnsi="Times New Roman Regular" w:cs="Times New Roman Regular"/>
          <w:color w:val="000000" w:themeColor="text1"/>
          <w:sz w:val="24"/>
          <w:szCs w:val="24"/>
        </w:rPr>
        <w:t>cu următorul conținut:</w:t>
      </w:r>
    </w:p>
    <w:p w14:paraId="3684A0F3" w14:textId="77777777" w:rsidR="006F2C09" w:rsidRPr="00365949" w:rsidRDefault="00485E9B">
      <w:pPr>
        <w:pStyle w:val="ListParagraph"/>
        <w:ind w:left="786"/>
        <w:jc w:val="both"/>
        <w:rPr>
          <w:rFonts w:ascii="Times New Roman Regular" w:hAnsi="Times New Roman Regular" w:cs="Times New Roman Regular"/>
          <w:color w:val="333333"/>
          <w:sz w:val="24"/>
          <w:szCs w:val="24"/>
        </w:rPr>
      </w:pPr>
      <w:r w:rsidRPr="00365949">
        <w:rPr>
          <w:rFonts w:ascii="Times New Roman Regular" w:hAnsi="Times New Roman Regular" w:cs="Times New Roman Regular"/>
          <w:color w:val="000000" w:themeColor="text1"/>
          <w:sz w:val="24"/>
          <w:szCs w:val="24"/>
        </w:rPr>
        <w:t>29</w:t>
      </w:r>
      <w:r w:rsidRPr="00365949">
        <w:rPr>
          <w:rFonts w:ascii="Times New Roman Regular" w:hAnsi="Times New Roman Regular" w:cs="Times New Roman Regular"/>
          <w:color w:val="000000" w:themeColor="text1"/>
          <w:sz w:val="24"/>
          <w:szCs w:val="24"/>
          <w:vertAlign w:val="superscript"/>
        </w:rPr>
        <w:t xml:space="preserve">1 </w:t>
      </w:r>
      <w:r w:rsidRPr="00365949">
        <w:rPr>
          <w:rFonts w:ascii="Times New Roman Regular" w:hAnsi="Times New Roman Regular" w:cs="Times New Roman Regular"/>
          <w:color w:val="000000" w:themeColor="text1"/>
          <w:sz w:val="24"/>
          <w:szCs w:val="24"/>
        </w:rPr>
        <w:t xml:space="preserve">În cazul unei proceduri de licitație în mai multe faze, aceasta se </w:t>
      </w:r>
      <w:r w:rsidRPr="00365949">
        <w:rPr>
          <w:rFonts w:ascii="Times New Roman Regular" w:hAnsi="Times New Roman Regular" w:cs="Times New Roman Regular"/>
          <w:color w:val="333333"/>
          <w:sz w:val="24"/>
          <w:szCs w:val="24"/>
        </w:rPr>
        <w:t>organizează cu respectarea următoarelor etape:</w:t>
      </w:r>
    </w:p>
    <w:p w14:paraId="3684A0F4" w14:textId="77777777" w:rsidR="006F2C09" w:rsidRPr="00365949" w:rsidRDefault="00485E9B">
      <w:pPr>
        <w:pStyle w:val="ListParagraph"/>
        <w:numPr>
          <w:ilvl w:val="0"/>
          <w:numId w:val="6"/>
        </w:numPr>
        <w:jc w:val="both"/>
        <w:rPr>
          <w:rFonts w:ascii="Times New Roman Regular" w:eastAsia="Times New Roman" w:hAnsi="Times New Roman Regular" w:cs="Times New Roman Regular"/>
          <w:color w:val="333333"/>
          <w:kern w:val="0"/>
          <w:sz w:val="24"/>
          <w:szCs w:val="24"/>
          <w:lang w:eastAsia="en-GB"/>
          <w14:ligatures w14:val="none"/>
        </w:rPr>
      </w:pPr>
      <w:r w:rsidRPr="00365949">
        <w:rPr>
          <w:rFonts w:ascii="Times New Roman Regular" w:eastAsia="Times New Roman" w:hAnsi="Times New Roman Regular" w:cs="Times New Roman Regular"/>
          <w:color w:val="333333"/>
          <w:kern w:val="0"/>
          <w:sz w:val="24"/>
          <w:szCs w:val="24"/>
          <w:lang w:eastAsia="en-GB"/>
          <w14:ligatures w14:val="none"/>
        </w:rPr>
        <w:t>elaborarea documentației de licitație;</w:t>
      </w:r>
    </w:p>
    <w:p w14:paraId="3684A0F5" w14:textId="77777777" w:rsidR="006F2C09" w:rsidRPr="00365949" w:rsidRDefault="00485E9B">
      <w:pPr>
        <w:pStyle w:val="ListParagraph"/>
        <w:numPr>
          <w:ilvl w:val="0"/>
          <w:numId w:val="6"/>
        </w:numPr>
        <w:jc w:val="both"/>
        <w:rPr>
          <w:rFonts w:ascii="Times New Roman Regular" w:eastAsia="Times New Roman" w:hAnsi="Times New Roman Regular" w:cs="Times New Roman Regular"/>
          <w:color w:val="333333"/>
          <w:kern w:val="0"/>
          <w:sz w:val="24"/>
          <w:szCs w:val="24"/>
          <w:lang w:eastAsia="en-GB"/>
          <w14:ligatures w14:val="none"/>
        </w:rPr>
      </w:pPr>
      <w:r w:rsidRPr="00365949">
        <w:rPr>
          <w:rFonts w:ascii="Times New Roman Regular" w:eastAsia="Times New Roman" w:hAnsi="Times New Roman Regular" w:cs="Times New Roman Regular"/>
          <w:color w:val="333333"/>
          <w:kern w:val="0"/>
          <w:sz w:val="24"/>
          <w:szCs w:val="24"/>
          <w:lang w:eastAsia="en-GB"/>
          <w14:ligatures w14:val="none"/>
        </w:rPr>
        <w:t>inițierea procedurii de licitație;</w:t>
      </w:r>
    </w:p>
    <w:p w14:paraId="3684A0F6" w14:textId="77777777" w:rsidR="006F2C09" w:rsidRPr="00365949" w:rsidRDefault="00485E9B">
      <w:pPr>
        <w:pStyle w:val="ListParagraph"/>
        <w:numPr>
          <w:ilvl w:val="0"/>
          <w:numId w:val="6"/>
        </w:numPr>
        <w:jc w:val="both"/>
        <w:rPr>
          <w:rFonts w:ascii="Times New Roman Regular" w:eastAsia="Times New Roman" w:hAnsi="Times New Roman Regular" w:cs="Times New Roman Regular"/>
          <w:color w:val="333333"/>
          <w:kern w:val="0"/>
          <w:sz w:val="24"/>
          <w:szCs w:val="24"/>
          <w:lang w:eastAsia="en-GB"/>
          <w14:ligatures w14:val="none"/>
        </w:rPr>
      </w:pPr>
      <w:r w:rsidRPr="00365949">
        <w:rPr>
          <w:rFonts w:ascii="Times New Roman Regular" w:eastAsia="Times New Roman" w:hAnsi="Times New Roman Regular" w:cs="Times New Roman Regular"/>
          <w:color w:val="333333"/>
          <w:kern w:val="0"/>
          <w:sz w:val="24"/>
          <w:szCs w:val="24"/>
          <w:lang w:eastAsia="en-GB"/>
          <w14:ligatures w14:val="none"/>
        </w:rPr>
        <w:t xml:space="preserve">depunerea </w:t>
      </w:r>
      <w:proofErr w:type="spellStart"/>
      <w:r w:rsidRPr="00365949">
        <w:rPr>
          <w:rFonts w:ascii="Times New Roman Regular" w:eastAsia="Times New Roman" w:hAnsi="Times New Roman Regular" w:cs="Times New Roman Regular"/>
          <w:color w:val="333333"/>
          <w:kern w:val="0"/>
          <w:sz w:val="24"/>
          <w:szCs w:val="24"/>
          <w:lang w:eastAsia="en-GB"/>
          <w14:ligatures w14:val="none"/>
        </w:rPr>
        <w:t>şi</w:t>
      </w:r>
      <w:proofErr w:type="spellEnd"/>
      <w:r w:rsidRPr="00365949">
        <w:rPr>
          <w:rFonts w:ascii="Times New Roman Regular" w:eastAsia="Times New Roman" w:hAnsi="Times New Roman Regular" w:cs="Times New Roman Regular"/>
          <w:color w:val="333333"/>
          <w:kern w:val="0"/>
          <w:sz w:val="24"/>
          <w:szCs w:val="24"/>
          <w:lang w:eastAsia="en-GB"/>
          <w14:ligatures w14:val="none"/>
        </w:rPr>
        <w:t xml:space="preserve"> primirea cererilor de calificare;</w:t>
      </w:r>
    </w:p>
    <w:p w14:paraId="3684A0F7" w14:textId="77777777" w:rsidR="006F2C09" w:rsidRPr="00365949" w:rsidRDefault="00485E9B">
      <w:pPr>
        <w:pStyle w:val="ListParagraph"/>
        <w:numPr>
          <w:ilvl w:val="0"/>
          <w:numId w:val="6"/>
        </w:numPr>
        <w:jc w:val="both"/>
        <w:rPr>
          <w:rFonts w:ascii="Times New Roman Regular" w:eastAsia="Times New Roman" w:hAnsi="Times New Roman Regular" w:cs="Times New Roman Regular"/>
          <w:color w:val="333333"/>
          <w:kern w:val="0"/>
          <w:sz w:val="24"/>
          <w:szCs w:val="24"/>
          <w:lang w:eastAsia="en-GB"/>
          <w14:ligatures w14:val="none"/>
        </w:rPr>
      </w:pPr>
      <w:r w:rsidRPr="00365949">
        <w:rPr>
          <w:rFonts w:ascii="Times New Roman Regular" w:eastAsia="Times New Roman" w:hAnsi="Times New Roman Regular" w:cs="Times New Roman Regular"/>
          <w:color w:val="333333"/>
          <w:kern w:val="0"/>
          <w:sz w:val="24"/>
          <w:szCs w:val="24"/>
          <w:lang w:eastAsia="en-GB"/>
          <w14:ligatures w14:val="none"/>
        </w:rPr>
        <w:t>examinarea cererilor prin prisma criteriilor de admisibilitate;</w:t>
      </w:r>
    </w:p>
    <w:p w14:paraId="3684A0F8" w14:textId="77777777" w:rsidR="006F2C09" w:rsidRPr="00365949" w:rsidRDefault="00485E9B">
      <w:pPr>
        <w:pStyle w:val="ListParagraph"/>
        <w:numPr>
          <w:ilvl w:val="0"/>
          <w:numId w:val="6"/>
        </w:numPr>
        <w:jc w:val="both"/>
        <w:rPr>
          <w:rFonts w:ascii="Times New Roman Regular" w:eastAsia="Times New Roman" w:hAnsi="Times New Roman Regular" w:cs="Times New Roman Regular"/>
          <w:color w:val="333333"/>
          <w:kern w:val="0"/>
          <w:sz w:val="24"/>
          <w:szCs w:val="24"/>
          <w:lang w:eastAsia="en-GB"/>
          <w14:ligatures w14:val="none"/>
        </w:rPr>
      </w:pPr>
      <w:r w:rsidRPr="00365949">
        <w:rPr>
          <w:rFonts w:ascii="Times New Roman Regular" w:eastAsia="Times New Roman" w:hAnsi="Times New Roman Regular" w:cs="Times New Roman Regular"/>
          <w:color w:val="333333"/>
          <w:kern w:val="0"/>
          <w:sz w:val="24"/>
          <w:szCs w:val="24"/>
          <w:lang w:eastAsia="en-GB"/>
          <w14:ligatures w14:val="none"/>
        </w:rPr>
        <w:t>depunerea și primirea ofertelor;</w:t>
      </w:r>
    </w:p>
    <w:p w14:paraId="3684A0F9" w14:textId="77777777" w:rsidR="006F2C09" w:rsidRPr="00365949" w:rsidRDefault="00485E9B">
      <w:pPr>
        <w:pStyle w:val="ListParagraph"/>
        <w:numPr>
          <w:ilvl w:val="0"/>
          <w:numId w:val="6"/>
        </w:numPr>
        <w:jc w:val="both"/>
        <w:rPr>
          <w:rFonts w:ascii="Times New Roman Regular" w:eastAsia="Times New Roman" w:hAnsi="Times New Roman Regular" w:cs="Times New Roman Regular"/>
          <w:color w:val="333333"/>
          <w:kern w:val="0"/>
          <w:sz w:val="24"/>
          <w:szCs w:val="24"/>
          <w:lang w:eastAsia="en-GB"/>
          <w14:ligatures w14:val="none"/>
        </w:rPr>
      </w:pPr>
      <w:r w:rsidRPr="00365949">
        <w:rPr>
          <w:rFonts w:ascii="Times New Roman Regular" w:eastAsia="Times New Roman" w:hAnsi="Times New Roman Regular" w:cs="Times New Roman Regular"/>
          <w:color w:val="333333"/>
          <w:kern w:val="0"/>
          <w:sz w:val="24"/>
          <w:szCs w:val="24"/>
          <w:lang w:eastAsia="en-GB"/>
          <w14:ligatures w14:val="none"/>
        </w:rPr>
        <w:t>examinarea ofertelor prin prisma criteriilor de calificare;</w:t>
      </w:r>
    </w:p>
    <w:p w14:paraId="3684A0FA" w14:textId="77777777" w:rsidR="006F2C09" w:rsidRPr="00365949" w:rsidRDefault="00485E9B">
      <w:pPr>
        <w:pStyle w:val="ListParagraph"/>
        <w:numPr>
          <w:ilvl w:val="0"/>
          <w:numId w:val="6"/>
        </w:numPr>
        <w:jc w:val="both"/>
        <w:rPr>
          <w:rFonts w:ascii="Times New Roman Regular" w:eastAsia="Times New Roman" w:hAnsi="Times New Roman Regular" w:cs="Times New Roman Regular"/>
          <w:color w:val="333333"/>
          <w:kern w:val="0"/>
          <w:sz w:val="24"/>
          <w:szCs w:val="24"/>
          <w:lang w:eastAsia="en-GB"/>
          <w14:ligatures w14:val="none"/>
        </w:rPr>
      </w:pPr>
      <w:r w:rsidRPr="00365949">
        <w:rPr>
          <w:rFonts w:ascii="Times New Roman Regular" w:eastAsia="Times New Roman" w:hAnsi="Times New Roman Regular" w:cs="Times New Roman Regular"/>
          <w:color w:val="333333"/>
          <w:kern w:val="0"/>
          <w:sz w:val="24"/>
          <w:szCs w:val="24"/>
          <w:lang w:eastAsia="en-GB"/>
          <w14:ligatures w14:val="none"/>
        </w:rPr>
        <w:t xml:space="preserve">evaluarea ofertelor financiare în baza criteriului celui mai mic </w:t>
      </w:r>
      <w:proofErr w:type="spellStart"/>
      <w:r w:rsidRPr="00365949">
        <w:rPr>
          <w:rFonts w:ascii="Times New Roman Regular" w:eastAsia="Times New Roman" w:hAnsi="Times New Roman Regular" w:cs="Times New Roman Regular"/>
          <w:color w:val="333333"/>
          <w:kern w:val="0"/>
          <w:sz w:val="24"/>
          <w:szCs w:val="24"/>
          <w:lang w:eastAsia="en-GB"/>
          <w14:ligatures w14:val="none"/>
        </w:rPr>
        <w:t>preţ</w:t>
      </w:r>
      <w:proofErr w:type="spellEnd"/>
      <w:r w:rsidRPr="00365949">
        <w:rPr>
          <w:rFonts w:ascii="Times New Roman Regular" w:eastAsia="Times New Roman" w:hAnsi="Times New Roman Regular" w:cs="Times New Roman Regular"/>
          <w:color w:val="333333"/>
          <w:kern w:val="0"/>
          <w:sz w:val="24"/>
          <w:szCs w:val="24"/>
          <w:lang w:eastAsia="en-GB"/>
          <w14:ligatures w14:val="none"/>
        </w:rPr>
        <w:t>;</w:t>
      </w:r>
    </w:p>
    <w:p w14:paraId="3684A0FB" w14:textId="77777777" w:rsidR="006F2C09" w:rsidRPr="00365949" w:rsidRDefault="00485E9B">
      <w:pPr>
        <w:pStyle w:val="ListParagraph"/>
        <w:numPr>
          <w:ilvl w:val="0"/>
          <w:numId w:val="6"/>
        </w:numPr>
        <w:jc w:val="both"/>
        <w:rPr>
          <w:rFonts w:ascii="Times New Roman Regular" w:eastAsia="Times New Roman" w:hAnsi="Times New Roman Regular" w:cs="Times New Roman Regular"/>
          <w:color w:val="333333"/>
          <w:kern w:val="0"/>
          <w:sz w:val="24"/>
          <w:szCs w:val="24"/>
          <w:lang w:eastAsia="en-GB"/>
          <w14:ligatures w14:val="none"/>
        </w:rPr>
      </w:pPr>
      <w:r w:rsidRPr="00365949">
        <w:rPr>
          <w:rFonts w:ascii="Times New Roman Regular" w:eastAsia="Times New Roman" w:hAnsi="Times New Roman Regular" w:cs="Times New Roman Regular"/>
          <w:color w:val="333333"/>
          <w:kern w:val="0"/>
          <w:sz w:val="24"/>
          <w:szCs w:val="24"/>
          <w:lang w:eastAsia="en-GB"/>
          <w14:ligatures w14:val="none"/>
        </w:rPr>
        <w:t xml:space="preserve">negocierea ofertelor prezentate în </w:t>
      </w:r>
      <w:proofErr w:type="spellStart"/>
      <w:r w:rsidRPr="00365949">
        <w:rPr>
          <w:rFonts w:ascii="Times New Roman Regular" w:eastAsia="Times New Roman" w:hAnsi="Times New Roman Regular" w:cs="Times New Roman Regular"/>
          <w:color w:val="333333"/>
          <w:kern w:val="0"/>
          <w:sz w:val="24"/>
          <w:szCs w:val="24"/>
          <w:lang w:eastAsia="en-GB"/>
          <w14:ligatures w14:val="none"/>
        </w:rPr>
        <w:t>sbp</w:t>
      </w:r>
      <w:proofErr w:type="spellEnd"/>
      <w:r w:rsidRPr="00365949">
        <w:rPr>
          <w:rFonts w:ascii="Times New Roman Regular" w:eastAsia="Times New Roman" w:hAnsi="Times New Roman Regular" w:cs="Times New Roman Regular"/>
          <w:color w:val="333333"/>
          <w:kern w:val="0"/>
          <w:sz w:val="24"/>
          <w:szCs w:val="24"/>
          <w:lang w:eastAsia="en-GB"/>
          <w14:ligatures w14:val="none"/>
        </w:rPr>
        <w:t>. 7), după caz;</w:t>
      </w:r>
    </w:p>
    <w:p w14:paraId="3684A0FC" w14:textId="6E4A3853" w:rsidR="006F2C09" w:rsidRPr="00365949" w:rsidRDefault="00485E9B">
      <w:pPr>
        <w:pStyle w:val="ListParagraph"/>
        <w:numPr>
          <w:ilvl w:val="0"/>
          <w:numId w:val="6"/>
        </w:numPr>
        <w:jc w:val="both"/>
        <w:rPr>
          <w:rFonts w:ascii="Times New Roman Regular" w:eastAsia="Times New Roman" w:hAnsi="Times New Roman Regular" w:cs="Times New Roman Regular"/>
          <w:color w:val="333333"/>
          <w:kern w:val="0"/>
          <w:sz w:val="24"/>
          <w:szCs w:val="24"/>
          <w:lang w:eastAsia="en-GB"/>
          <w14:ligatures w14:val="none"/>
        </w:rPr>
      </w:pPr>
      <w:r w:rsidRPr="00365949">
        <w:rPr>
          <w:rFonts w:ascii="Times New Roman Regular" w:eastAsia="Times New Roman" w:hAnsi="Times New Roman Regular" w:cs="Times New Roman Regular"/>
          <w:color w:val="333333"/>
          <w:kern w:val="0"/>
          <w:sz w:val="24"/>
          <w:szCs w:val="24"/>
          <w:lang w:eastAsia="en-GB"/>
          <w14:ligatures w14:val="none"/>
        </w:rPr>
        <w:t xml:space="preserve">acordarea statutului de producător eligibil mare, ofertanților </w:t>
      </w:r>
      <w:proofErr w:type="spellStart"/>
      <w:r w:rsidRPr="00365949">
        <w:rPr>
          <w:rFonts w:ascii="Times New Roman Regular" w:eastAsia="Times New Roman" w:hAnsi="Times New Roman Regular" w:cs="Times New Roman Regular"/>
          <w:color w:val="333333"/>
          <w:kern w:val="0"/>
          <w:sz w:val="24"/>
          <w:szCs w:val="24"/>
          <w:lang w:eastAsia="en-GB"/>
          <w14:ligatures w14:val="none"/>
        </w:rPr>
        <w:t>cîștigători</w:t>
      </w:r>
      <w:proofErr w:type="spellEnd"/>
      <w:r w:rsidRPr="00365949">
        <w:rPr>
          <w:rFonts w:ascii="Times New Roman Regular" w:eastAsia="Times New Roman" w:hAnsi="Times New Roman Regular" w:cs="Times New Roman Regular"/>
          <w:color w:val="333333"/>
          <w:kern w:val="0"/>
          <w:sz w:val="24"/>
          <w:szCs w:val="24"/>
          <w:lang w:eastAsia="en-GB"/>
          <w14:ligatures w14:val="none"/>
        </w:rPr>
        <w:t>;</w:t>
      </w:r>
    </w:p>
    <w:p w14:paraId="3684A0FD" w14:textId="77777777" w:rsidR="006F2C09" w:rsidRPr="00365949" w:rsidRDefault="00485E9B">
      <w:pPr>
        <w:pStyle w:val="ListParagraph"/>
        <w:numPr>
          <w:ilvl w:val="0"/>
          <w:numId w:val="6"/>
        </w:numPr>
        <w:jc w:val="both"/>
        <w:rPr>
          <w:rFonts w:ascii="Times New Roman Regular" w:eastAsia="Times New Roman" w:hAnsi="Times New Roman Regular" w:cs="Times New Roman Regular"/>
          <w:color w:val="333333"/>
          <w:kern w:val="0"/>
          <w:sz w:val="24"/>
          <w:szCs w:val="24"/>
          <w:lang w:eastAsia="en-GB"/>
          <w14:ligatures w14:val="none"/>
        </w:rPr>
      </w:pPr>
      <w:r w:rsidRPr="00365949">
        <w:rPr>
          <w:rFonts w:ascii="Times New Roman Regular" w:eastAsia="Times New Roman" w:hAnsi="Times New Roman Regular" w:cs="Times New Roman Regular"/>
          <w:color w:val="333333"/>
          <w:kern w:val="0"/>
          <w:sz w:val="24"/>
          <w:szCs w:val="24"/>
          <w:lang w:eastAsia="en-GB"/>
          <w14:ligatures w14:val="none"/>
        </w:rPr>
        <w:t>semnarea contractului pentru achiziționarea energiei electrice produse din surse regenerabile cu furnizorul central de energie electrică;</w:t>
      </w:r>
    </w:p>
    <w:p w14:paraId="3684A0FE" w14:textId="77777777" w:rsidR="006F2C09" w:rsidRPr="00365949" w:rsidRDefault="00485E9B">
      <w:pPr>
        <w:pStyle w:val="ListParagraph"/>
        <w:numPr>
          <w:ilvl w:val="0"/>
          <w:numId w:val="6"/>
        </w:numPr>
        <w:jc w:val="both"/>
        <w:rPr>
          <w:rFonts w:ascii="Times New Roman Regular" w:eastAsia="Times New Roman" w:hAnsi="Times New Roman Regular" w:cs="Times New Roman Regular"/>
          <w:color w:val="333333"/>
          <w:kern w:val="0"/>
          <w:sz w:val="24"/>
          <w:szCs w:val="24"/>
          <w:lang w:eastAsia="en-GB"/>
          <w14:ligatures w14:val="none"/>
        </w:rPr>
      </w:pPr>
      <w:r w:rsidRPr="00365949">
        <w:rPr>
          <w:rFonts w:ascii="Times New Roman Regular" w:eastAsia="Times New Roman" w:hAnsi="Times New Roman Regular" w:cs="Times New Roman Regular"/>
          <w:color w:val="333333"/>
          <w:kern w:val="0"/>
          <w:sz w:val="24"/>
          <w:szCs w:val="24"/>
          <w:lang w:eastAsia="en-GB"/>
          <w14:ligatures w14:val="none"/>
        </w:rPr>
        <w:t>monitorizarea respectării de către producătorii eligibili a obligațiilor asumate în legătură cu construcția centralelor electrice care utilizează SRE.</w:t>
      </w:r>
    </w:p>
    <w:p w14:paraId="3684A0FF" w14:textId="77777777" w:rsidR="006F2C09" w:rsidRPr="00365949" w:rsidRDefault="006F2C09">
      <w:pPr>
        <w:pStyle w:val="ListParagraph"/>
        <w:jc w:val="both"/>
        <w:rPr>
          <w:rFonts w:ascii="Times New Roman Regular" w:hAnsi="Times New Roman Regular" w:cs="Times New Roman Regular"/>
          <w:color w:val="FF0000"/>
          <w:sz w:val="24"/>
          <w:szCs w:val="24"/>
        </w:rPr>
      </w:pPr>
    </w:p>
    <w:p w14:paraId="3684A101"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Pct. 30 și 31 vor avea următorul cuprins :</w:t>
      </w:r>
    </w:p>
    <w:p w14:paraId="3684A102" w14:textId="3F9198F0" w:rsidR="006F2C09" w:rsidRPr="00365949" w:rsidRDefault="00485E9B">
      <w:pPr>
        <w:pStyle w:val="ListParagraph"/>
        <w:jc w:val="both"/>
        <w:rPr>
          <w:rFonts w:ascii="Times New Roman Regular" w:hAnsi="Times New Roman Regular" w:cs="Times New Roman Regular"/>
          <w:strike/>
          <w:sz w:val="24"/>
          <w:szCs w:val="24"/>
        </w:rPr>
      </w:pPr>
      <w:r w:rsidRPr="00365949">
        <w:rPr>
          <w:rFonts w:ascii="Times New Roman Regular" w:hAnsi="Times New Roman Regular" w:cs="Times New Roman Regular"/>
          <w:sz w:val="24"/>
          <w:szCs w:val="24"/>
        </w:rPr>
        <w:t>1) 30 „La propunerea</w:t>
      </w:r>
      <w:r w:rsidR="009B28E0" w:rsidRPr="00365949">
        <w:rPr>
          <w:rFonts w:ascii="Times New Roman Regular" w:hAnsi="Times New Roman Regular" w:cs="Times New Roman Regular"/>
          <w:sz w:val="24"/>
          <w:szCs w:val="24"/>
        </w:rPr>
        <w:t xml:space="preserve"> Ministerului</w:t>
      </w:r>
      <w:r w:rsidR="007228B2" w:rsidRPr="00365949">
        <w:rPr>
          <w:rFonts w:ascii="Times New Roman Regular" w:hAnsi="Times New Roman Regular" w:cs="Times New Roman Regular"/>
          <w:sz w:val="24"/>
          <w:szCs w:val="24"/>
        </w:rPr>
        <w:t xml:space="preserve"> Energiei</w:t>
      </w:r>
      <w:r w:rsidRPr="00365949">
        <w:rPr>
          <w:rFonts w:ascii="Times New Roman Regular" w:hAnsi="Times New Roman Regular" w:cs="Times New Roman Regular"/>
          <w:sz w:val="24"/>
          <w:szCs w:val="24"/>
        </w:rPr>
        <w:t>, Comisia de licitații stabilește organizarea de licitații neutre din punct de vedere tehnologic sau, după caz, de licitații limitate pentru anumite tehnologii, în conformitate cu calendarul orientativ de organizare a procedurilor de licitație pentru următorii 3-5 ani,</w:t>
      </w:r>
      <w:bookmarkStart w:id="7" w:name="_Hlk150712362"/>
      <w:r w:rsidRPr="00365949">
        <w:rPr>
          <w:rFonts w:ascii="Times New Roman Regular" w:hAnsi="Times New Roman Regular" w:cs="Times New Roman Regular"/>
          <w:sz w:val="24"/>
          <w:szCs w:val="24"/>
        </w:rPr>
        <w:t xml:space="preserve"> </w:t>
      </w:r>
      <w:bookmarkEnd w:id="7"/>
    </w:p>
    <w:p w14:paraId="3684A103" w14:textId="77777777" w:rsidR="006F2C09" w:rsidRPr="00365949" w:rsidRDefault="00485E9B">
      <w:pPr>
        <w:pStyle w:val="ListParagraph"/>
        <w:jc w:val="both"/>
        <w:rPr>
          <w:rFonts w:ascii="Times New Roman Regular" w:hAnsi="Times New Roman Regular" w:cs="Times New Roman Regular"/>
          <w:sz w:val="24"/>
          <w:szCs w:val="24"/>
          <w:highlight w:val="yellow"/>
        </w:rPr>
      </w:pPr>
      <w:r w:rsidRPr="00365949">
        <w:rPr>
          <w:rFonts w:ascii="Times New Roman Regular" w:hAnsi="Times New Roman Regular" w:cs="Times New Roman Regular"/>
          <w:sz w:val="24"/>
          <w:szCs w:val="24"/>
        </w:rPr>
        <w:t xml:space="preserve">2) 31 Organul central de specialitate al administrației publice în domeniul energeticii, în conformitate cu prioritățile politicii de stat în domeniul SRE, publică, </w:t>
      </w:r>
      <w:r w:rsidRPr="00365949">
        <w:rPr>
          <w:rFonts w:ascii="Times New Roman Regular" w:hAnsi="Times New Roman Regular" w:cs="Times New Roman Regular"/>
          <w:color w:val="000000" w:themeColor="text1"/>
          <w:sz w:val="24"/>
          <w:szCs w:val="24"/>
        </w:rPr>
        <w:t xml:space="preserve">la necesitate, </w:t>
      </w:r>
      <w:r w:rsidRPr="00365949">
        <w:rPr>
          <w:rFonts w:ascii="Times New Roman Regular" w:hAnsi="Times New Roman Regular" w:cs="Times New Roman Regular"/>
          <w:sz w:val="24"/>
          <w:szCs w:val="24"/>
        </w:rPr>
        <w:t>până la data de 30 noiembrie, în Monitorul Oficial al Republicii Moldova, precum și în alte surse media de circulație națională și internațională, un anunț general privind licitațiile planificate a fi organizate, cu indicarea perioadelor de desfășurare a acestora, precum și a capacităților licitate și, după caz, specificate pe tipuri de tehnologii de producere. Acest anunț se publică pe pagina oficială a Guvernului și a organului central de specialitate al administrației publice în domeniul energeticii. ”</w:t>
      </w:r>
    </w:p>
    <w:p w14:paraId="3684A104" w14:textId="77777777" w:rsidR="006F2C09" w:rsidRPr="00365949" w:rsidRDefault="006F2C09">
      <w:pPr>
        <w:pStyle w:val="ListParagraph"/>
        <w:jc w:val="both"/>
        <w:rPr>
          <w:rFonts w:ascii="Times New Roman Regular" w:hAnsi="Times New Roman Regular" w:cs="Times New Roman Regular"/>
          <w:sz w:val="24"/>
          <w:szCs w:val="24"/>
        </w:rPr>
      </w:pPr>
    </w:p>
    <w:p w14:paraId="3684A105"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Pct. 32 se abrogă;</w:t>
      </w:r>
    </w:p>
    <w:p w14:paraId="3684A106" w14:textId="77777777" w:rsidR="006F2C09" w:rsidRPr="00365949" w:rsidRDefault="006F2C09">
      <w:pPr>
        <w:pStyle w:val="ListParagraph"/>
        <w:jc w:val="both"/>
        <w:rPr>
          <w:rFonts w:ascii="Times New Roman Regular" w:hAnsi="Times New Roman Regular" w:cs="Times New Roman Regular"/>
          <w:sz w:val="24"/>
          <w:szCs w:val="24"/>
        </w:rPr>
      </w:pPr>
    </w:p>
    <w:p w14:paraId="3684A107"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Pct. 33 va avea următorul cuprins: „33. Cu cel puțin 2 luni înainte de data prevăzută pentru începerea procedurii de licitație, Comisia de licitații, cu sprijinul organului central de specialitate al administrației publice în domeniul energeticii , face publică documentația de licitație.</w:t>
      </w:r>
    </w:p>
    <w:p w14:paraId="3684A108" w14:textId="4FA51278"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La pct. 34, după sintagma „prețuri plafon” se completează cu textul </w:t>
      </w:r>
      <w:bookmarkStart w:id="8" w:name="_Hlk150793732"/>
      <w:r w:rsidRPr="00365949">
        <w:rPr>
          <w:rFonts w:ascii="Times New Roman Regular" w:hAnsi="Times New Roman Regular" w:cs="Times New Roman Regular"/>
          <w:sz w:val="24"/>
          <w:szCs w:val="24"/>
        </w:rPr>
        <w:t>„pentru anul curent</w:t>
      </w:r>
      <w:bookmarkEnd w:id="8"/>
      <w:r w:rsidRPr="00365949">
        <w:rPr>
          <w:rFonts w:ascii="Times New Roman Regular" w:hAnsi="Times New Roman Regular" w:cs="Times New Roman Regular"/>
          <w:sz w:val="24"/>
          <w:szCs w:val="24"/>
        </w:rPr>
        <w:t xml:space="preserve"> în care se organizează licitațiile”.</w:t>
      </w:r>
    </w:p>
    <w:p w14:paraId="3684A109" w14:textId="77777777" w:rsidR="006F2C09" w:rsidRPr="00365949" w:rsidRDefault="006F2C09">
      <w:pPr>
        <w:pStyle w:val="ListParagraph"/>
        <w:jc w:val="both"/>
        <w:rPr>
          <w:rFonts w:ascii="Times New Roman Regular" w:hAnsi="Times New Roman Regular" w:cs="Times New Roman Regular"/>
          <w:sz w:val="24"/>
          <w:szCs w:val="24"/>
        </w:rPr>
      </w:pPr>
    </w:p>
    <w:p w14:paraId="3684A10A"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La pct. 37:</w:t>
      </w:r>
    </w:p>
    <w:p w14:paraId="3684A10B"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lastRenderedPageBreak/>
        <w:t xml:space="preserve">1)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2), sintagma „fax și alte date de contact” se elimină, iar cuvântul „Guvernului” se substituie cu „organului central de specialitate al administrației publice în domeniul energeticii”</w:t>
      </w:r>
    </w:p>
    <w:p w14:paraId="3684A10C"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2) sbp.4) se completează  cu textul </w:t>
      </w:r>
      <w:bookmarkStart w:id="9" w:name="_Hlk150793763"/>
      <w:r w:rsidRPr="00365949">
        <w:rPr>
          <w:rFonts w:ascii="Times New Roman Regular" w:hAnsi="Times New Roman Regular" w:cs="Times New Roman Regular"/>
          <w:sz w:val="24"/>
          <w:szCs w:val="24"/>
        </w:rPr>
        <w:t xml:space="preserve">„inclusiv și cerințele pentru depunerea ofertelor în formă electronică </w:t>
      </w:r>
      <w:bookmarkEnd w:id="9"/>
      <w:r w:rsidRPr="00365949">
        <w:rPr>
          <w:rFonts w:ascii="Times New Roman Regular" w:hAnsi="Times New Roman Regular" w:cs="Times New Roman Regular"/>
          <w:sz w:val="24"/>
          <w:szCs w:val="24"/>
        </w:rPr>
        <w:t>”</w:t>
      </w:r>
    </w:p>
    <w:p w14:paraId="3684A10D"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Pct. 40 va avea următorul cuprins: „40. Documentația de licitație trebuie să includă, fără a se limita la acestea, următoarele informații și modele de documente:</w:t>
      </w:r>
    </w:p>
    <w:p w14:paraId="3684A10E" w14:textId="77777777" w:rsidR="006F2C09" w:rsidRPr="00365949" w:rsidRDefault="006F2C09">
      <w:pPr>
        <w:pStyle w:val="ListParagraph"/>
        <w:jc w:val="both"/>
        <w:rPr>
          <w:rFonts w:ascii="Times New Roman Regular" w:hAnsi="Times New Roman Regular" w:cs="Times New Roman Regular"/>
          <w:sz w:val="24"/>
          <w:szCs w:val="24"/>
        </w:rPr>
      </w:pPr>
    </w:p>
    <w:p w14:paraId="3684A10F"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capacitățile de producere a energiei electrice din surse regenerabile care sunt propuse pentru licitație;</w:t>
      </w:r>
    </w:p>
    <w:p w14:paraId="3684A110"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tehnologiile de producere pentru care se organizează licitația;</w:t>
      </w:r>
    </w:p>
    <w:p w14:paraId="3684A111"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determinarea procedurii de licitație, inclusiv faptul dacă procedura se va desfășura într-o singură sau în mai multe faze și dacă va include o etapă de negociere.;</w:t>
      </w:r>
    </w:p>
    <w:p w14:paraId="3684A112"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cerințele obligatorii impuse investitorilor pentru participarea la procedura de licitație și lista documentelor pe care investitorul trebuie să le prezinte pentru a confirma respectarea acestor cerințe;</w:t>
      </w:r>
    </w:p>
    <w:p w14:paraId="3684A113"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capacitatea care face obiectul ofertei pentru fiecare tehnologie în cauză, dacă este cazul, limitele individuale de mărime ale centralelor electrice care fac obiectul ofertei și cărora li se acordă statutul de producător eligibil mare;</w:t>
      </w:r>
    </w:p>
    <w:p w14:paraId="3684A114"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cerințe de informare privind beneficiarul/beneficiarii reali;</w:t>
      </w:r>
    </w:p>
    <w:p w14:paraId="3684A115"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cerințele de calificare financiară;</w:t>
      </w:r>
    </w:p>
    <w:p w14:paraId="3684A116" w14:textId="0AC252EC"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cerințele tehnice, caracteristicile și nivelul de performanță ale tehnologiilor de generare și ale echipamentelor din centralele electrice pentru producerea de energie electrică din SRE, cerințele de certificare;</w:t>
      </w:r>
    </w:p>
    <w:p w14:paraId="3684A117"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cerințele privind protecția mediului;</w:t>
      </w:r>
    </w:p>
    <w:p w14:paraId="3684A118"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valoarea garanției pentru ofertă la licitație și a garanției de bună execuție a contractului care urmează să fie transferate și, respectiv, depuse de către investitori în conformitate cu prezentul regulament;</w:t>
      </w:r>
    </w:p>
    <w:p w14:paraId="3684A119"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termenele și condițiile impuse investitorilor pentru construcția, punerea în funcțiune și exploatarea centralelor electrice pentru producerea de energie electrică din SRE ;</w:t>
      </w:r>
    </w:p>
    <w:p w14:paraId="3684A11A"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prețul plafon care nu poate fi depășit în cadrul licitației și, dacă este cazul, pe tip de tehnologie de producere și pe categorii de capacitate stabilite pentru licitația respectivă;</w:t>
      </w:r>
    </w:p>
    <w:p w14:paraId="3684A11B" w14:textId="5BF3EC98"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condițiile și criteriile impuse ofertanților și aplicate la examinarea admisibilității</w:t>
      </w:r>
      <w:r w:rsidR="00E713E1" w:rsidRPr="00365949">
        <w:rPr>
          <w:rFonts w:ascii="Times New Roman Regular" w:hAnsi="Times New Roman Regular" w:cs="Times New Roman Regular"/>
          <w:sz w:val="24"/>
          <w:szCs w:val="24"/>
        </w:rPr>
        <w:t>,</w:t>
      </w:r>
      <w:r w:rsidRPr="00365949">
        <w:rPr>
          <w:rFonts w:ascii="Times New Roman Regular" w:hAnsi="Times New Roman Regular" w:cs="Times New Roman Regular"/>
          <w:sz w:val="24"/>
          <w:szCs w:val="24"/>
        </w:rPr>
        <w:t xml:space="preserve"> calificarea și evaluarea ofertelor și actele de autorizare aplicabile ca cerințe de calificare;</w:t>
      </w:r>
    </w:p>
    <w:p w14:paraId="3684A11C"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 formulare-model ale ofertei tehnice și financiare, proceselor-verbale, garanției pentru ofertă și garanției de bună execuție a contractului, după caz, alte modele de documente prevăzute în prezentul regulament, pe care investitorul trebuie să le prezinte împreună cu oferta;</w:t>
      </w:r>
    </w:p>
    <w:p w14:paraId="3684A11D" w14:textId="77777777" w:rsidR="006F2C09" w:rsidRPr="00365949" w:rsidRDefault="00485E9B">
      <w:pPr>
        <w:pStyle w:val="ListParagraph"/>
        <w:numPr>
          <w:ilvl w:val="0"/>
          <w:numId w:val="7"/>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proiectul contractului pentru achiziționarea energiei electrice produse din surse regenerabile de energie, proiectul contractului pentru diferențe sau proiectul contractului de acordare a sprijinului financiar, pe baza modelelor aprobate de Agenția </w:t>
      </w:r>
      <w:r w:rsidRPr="00365949">
        <w:rPr>
          <w:rFonts w:ascii="Times New Roman Regular" w:hAnsi="Times New Roman Regular" w:cs="Times New Roman Regular"/>
          <w:sz w:val="24"/>
          <w:szCs w:val="24"/>
        </w:rPr>
        <w:lastRenderedPageBreak/>
        <w:t>Națională pentru Reglementare în Domeniul Energeticii și adaptate de către Comisia de licitații pentru runda de licitație respectivă;”</w:t>
      </w:r>
    </w:p>
    <w:p w14:paraId="3684A11E" w14:textId="77777777" w:rsidR="006F2C09" w:rsidRPr="00365949" w:rsidRDefault="006F2C09">
      <w:pPr>
        <w:pStyle w:val="ListParagraph"/>
        <w:ind w:left="1080"/>
        <w:jc w:val="both"/>
        <w:rPr>
          <w:rFonts w:ascii="Times New Roman Regular" w:hAnsi="Times New Roman Regular" w:cs="Times New Roman Regular"/>
          <w:sz w:val="24"/>
          <w:szCs w:val="24"/>
        </w:rPr>
      </w:pPr>
    </w:p>
    <w:p w14:paraId="3684A11F"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Pct. 42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3) va avea următorul conținut: „3)</w:t>
      </w:r>
      <w:bookmarkStart w:id="10" w:name="_Hlk150794005"/>
      <w:r w:rsidRPr="00365949">
        <w:rPr>
          <w:rFonts w:ascii="Times New Roman Regular" w:hAnsi="Times New Roman Regular" w:cs="Times New Roman Regular"/>
          <w:sz w:val="24"/>
          <w:szCs w:val="24"/>
        </w:rPr>
        <w:t xml:space="preserve"> deține documentele permisive prevăzute în documentația de atribuire</w:t>
      </w:r>
      <w:bookmarkEnd w:id="10"/>
      <w:r w:rsidRPr="00365949">
        <w:rPr>
          <w:rFonts w:ascii="Times New Roman Regular" w:hAnsi="Times New Roman Regular" w:cs="Times New Roman Regular"/>
          <w:sz w:val="24"/>
          <w:szCs w:val="24"/>
        </w:rPr>
        <w:t xml:space="preserve"> ;”</w:t>
      </w:r>
    </w:p>
    <w:p w14:paraId="3684A120" w14:textId="77777777" w:rsidR="006F2C09" w:rsidRPr="00365949" w:rsidRDefault="006F2C09">
      <w:pPr>
        <w:pStyle w:val="ListParagraph"/>
        <w:jc w:val="both"/>
        <w:rPr>
          <w:rFonts w:ascii="Times New Roman Regular" w:hAnsi="Times New Roman Regular" w:cs="Times New Roman Regular"/>
          <w:sz w:val="24"/>
          <w:szCs w:val="24"/>
        </w:rPr>
      </w:pPr>
    </w:p>
    <w:p w14:paraId="3684A121" w14:textId="1C3C7EE9"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Pct. 46 v</w:t>
      </w:r>
      <w:r w:rsidR="0048674B" w:rsidRPr="00365949">
        <w:rPr>
          <w:rFonts w:ascii="Times New Roman Regular" w:hAnsi="Times New Roman Regular" w:cs="Times New Roman Regular"/>
          <w:sz w:val="24"/>
          <w:szCs w:val="24"/>
        </w:rPr>
        <w:t xml:space="preserve">a </w:t>
      </w:r>
      <w:r w:rsidRPr="00365949">
        <w:rPr>
          <w:rFonts w:ascii="Times New Roman Regular" w:hAnsi="Times New Roman Regular" w:cs="Times New Roman Regular"/>
          <w:sz w:val="24"/>
          <w:szCs w:val="24"/>
        </w:rPr>
        <w:t xml:space="preserve">avea următorul conținut: </w:t>
      </w:r>
    </w:p>
    <w:p w14:paraId="3684A128" w14:textId="6C0C86AE" w:rsidR="006F2C09" w:rsidRPr="00365949" w:rsidRDefault="0048674B">
      <w:pPr>
        <w:ind w:left="720"/>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w:t>
      </w:r>
      <w:r w:rsidR="00485E9B" w:rsidRPr="00365949">
        <w:rPr>
          <w:rFonts w:ascii="Times New Roman Regular" w:hAnsi="Times New Roman Regular" w:cs="Times New Roman Regular"/>
          <w:sz w:val="24"/>
          <w:szCs w:val="24"/>
        </w:rPr>
        <w:t xml:space="preserve">46. </w:t>
      </w:r>
      <w:bookmarkStart w:id="11" w:name="_Hlk150794135"/>
      <w:r w:rsidR="00485E9B" w:rsidRPr="00365949">
        <w:rPr>
          <w:rFonts w:ascii="Times New Roman Regular" w:hAnsi="Times New Roman Regular" w:cs="Times New Roman Regular"/>
          <w:sz w:val="24"/>
          <w:szCs w:val="24"/>
        </w:rPr>
        <w:t>Criteriul credibilității financiare a proiectului de construcție va fi demonstrat de către investitor prin prezentarea următoarelor documente:</w:t>
      </w:r>
    </w:p>
    <w:p w14:paraId="3684A129" w14:textId="77777777" w:rsidR="006F2C09" w:rsidRPr="00365949" w:rsidRDefault="00485E9B">
      <w:pPr>
        <w:pStyle w:val="ListParagraph"/>
        <w:numPr>
          <w:ilvl w:val="0"/>
          <w:numId w:val="9"/>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studiul financiar de prefezabilitate care conține informațiile solicitate în documentația de licitație;</w:t>
      </w:r>
    </w:p>
    <w:p w14:paraId="3684A12A" w14:textId="77777777" w:rsidR="006F2C09" w:rsidRPr="00365949" w:rsidRDefault="00485E9B">
      <w:pPr>
        <w:pStyle w:val="ListParagraph"/>
        <w:numPr>
          <w:ilvl w:val="0"/>
          <w:numId w:val="9"/>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dovada că investitorul dispune de surse proprii de finanțare, garanții bancare, scrisori/expresii de interes emise de bănci și organisme de creditare nebancare, cofinanțare în realizarea proiectului de construcție sau prezentarea unui plan viabil de finanțare a proiectului de construcție, în forma și cu informațiile solicitate în documentația de atribuire.</w:t>
      </w:r>
      <w:bookmarkEnd w:id="11"/>
      <w:r w:rsidRPr="00365949">
        <w:rPr>
          <w:rFonts w:ascii="Times New Roman Regular" w:hAnsi="Times New Roman Regular" w:cs="Times New Roman Regular"/>
          <w:sz w:val="24"/>
          <w:szCs w:val="24"/>
        </w:rPr>
        <w:t xml:space="preserve"> ”</w:t>
      </w:r>
    </w:p>
    <w:p w14:paraId="3684A12B" w14:textId="77777777" w:rsidR="006F2C09" w:rsidRPr="00365949" w:rsidRDefault="006F2C09">
      <w:pPr>
        <w:pStyle w:val="ListParagraph"/>
        <w:ind w:left="1080"/>
        <w:jc w:val="both"/>
        <w:rPr>
          <w:rFonts w:ascii="Times New Roman Regular" w:hAnsi="Times New Roman Regular" w:cs="Times New Roman Regular"/>
          <w:sz w:val="24"/>
          <w:szCs w:val="24"/>
        </w:rPr>
      </w:pPr>
    </w:p>
    <w:p w14:paraId="3684A12C"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La pct. 47: </w:t>
      </w:r>
    </w:p>
    <w:p w14:paraId="3684A12D" w14:textId="77777777" w:rsidR="006F2C09" w:rsidRPr="00365949" w:rsidRDefault="00485E9B">
      <w:pPr>
        <w:pStyle w:val="ListParagraph"/>
        <w:jc w:val="both"/>
        <w:rPr>
          <w:rFonts w:ascii="Times New Roman Regular" w:hAnsi="Times New Roman Regular" w:cs="Times New Roman Regular"/>
          <w:sz w:val="24"/>
          <w:szCs w:val="24"/>
        </w:rPr>
      </w:pPr>
      <w:bookmarkStart w:id="12" w:name="_Hlk150720577"/>
      <w:bookmarkEnd w:id="12"/>
      <w:r w:rsidRPr="00365949">
        <w:rPr>
          <w:rFonts w:ascii="Times New Roman Regular" w:hAnsi="Times New Roman Regular" w:cs="Times New Roman Regular"/>
          <w:sz w:val="24"/>
          <w:szCs w:val="24"/>
        </w:rPr>
        <w:t xml:space="preserve">1)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3) va avea următorul cuprins: „3)</w:t>
      </w:r>
      <w:bookmarkStart w:id="13" w:name="_Hlk150794241"/>
      <w:r w:rsidRPr="00365949">
        <w:rPr>
          <w:rFonts w:ascii="Times New Roman Regular" w:hAnsi="Times New Roman Regular" w:cs="Times New Roman Regular"/>
          <w:sz w:val="24"/>
          <w:szCs w:val="24"/>
        </w:rPr>
        <w:t xml:space="preserve"> dovada că investitorul deține dreptul de proprietate sau un drept real exclusiv de proprietate, folosință și beneficiu asupra terenului pentru proiectarea, construcția, instalarea, exploatarea și întreținerea proiectului, în conformitate cu cerințele prevăzute în documentația de atribuire </w:t>
      </w:r>
      <w:bookmarkEnd w:id="13"/>
      <w:r w:rsidRPr="00365949">
        <w:rPr>
          <w:rFonts w:ascii="Times New Roman Regular" w:eastAsia="Times New Roman" w:hAnsi="Times New Roman Regular" w:cs="Times New Roman Regular"/>
          <w:bCs/>
          <w:kern w:val="0"/>
          <w:sz w:val="24"/>
          <w:szCs w:val="24"/>
          <w14:ligatures w14:val="none"/>
        </w:rPr>
        <w:t xml:space="preserve">și, după </w:t>
      </w:r>
      <w:r w:rsidRPr="00365949">
        <w:rPr>
          <w:rFonts w:ascii="Times New Roman Regular" w:hAnsi="Times New Roman Regular" w:cs="Times New Roman Regular"/>
          <w:bCs/>
          <w:sz w:val="24"/>
          <w:szCs w:val="24"/>
        </w:rPr>
        <w:t>caz, dovada schimbării destinației terenului agricol și/sau a deciziei de aprobare a dosarului privind schimbarea categoriei de folosință, întocmită în conformitate cu legislația în vigoare</w:t>
      </w:r>
      <w:r w:rsidRPr="00365949">
        <w:rPr>
          <w:rFonts w:ascii="Times New Roman Regular" w:hAnsi="Times New Roman Regular" w:cs="Times New Roman Regular"/>
          <w:sz w:val="24"/>
          <w:szCs w:val="24"/>
        </w:rPr>
        <w:t xml:space="preserve"> “;</w:t>
      </w:r>
    </w:p>
    <w:p w14:paraId="3684A12E" w14:textId="77777777" w:rsidR="006F2C09" w:rsidRPr="00365949" w:rsidRDefault="006F2C09">
      <w:pPr>
        <w:pStyle w:val="ListParagraph"/>
        <w:jc w:val="both"/>
        <w:rPr>
          <w:rFonts w:ascii="Times New Roman Regular" w:hAnsi="Times New Roman Regular" w:cs="Times New Roman Regular"/>
          <w:sz w:val="24"/>
          <w:szCs w:val="24"/>
        </w:rPr>
      </w:pPr>
    </w:p>
    <w:p w14:paraId="3684A12F"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2)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4) va avea următorul cuprins:  „4) </w:t>
      </w:r>
      <w:bookmarkStart w:id="14" w:name="_Hlk150794312"/>
      <w:r w:rsidRPr="00365949">
        <w:rPr>
          <w:rFonts w:ascii="Times New Roman Regular" w:hAnsi="Times New Roman Regular" w:cs="Times New Roman Regular"/>
          <w:sz w:val="24"/>
          <w:szCs w:val="24"/>
        </w:rPr>
        <w:t>decizia cu privire la acordul de mediu sau, după caz, decizia privind evaluarea prealabilă a impactului asupra mediului, precum și acordul de mediu sau, după caz, concluzia privind evaluarea biodiversității emisă de Agenția pentru Protecția Mediului sau de orice alt organism de mediu cerința care să demonstreze conformitatea cu Legea nr. 86/2014 ”</w:t>
      </w:r>
      <w:bookmarkEnd w:id="14"/>
    </w:p>
    <w:p w14:paraId="3684A130" w14:textId="77777777" w:rsidR="006F2C09" w:rsidRPr="00365949" w:rsidRDefault="00485E9B">
      <w:pPr>
        <w:ind w:left="720"/>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3) se completează cu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5) cu următorul conținut: „</w:t>
      </w:r>
      <w:bookmarkStart w:id="15" w:name="_Hlk150794346"/>
      <w:r w:rsidRPr="00365949">
        <w:rPr>
          <w:rFonts w:ascii="Times New Roman Regular" w:hAnsi="Times New Roman Regular" w:cs="Times New Roman Regular"/>
          <w:sz w:val="24"/>
          <w:szCs w:val="24"/>
        </w:rPr>
        <w:t xml:space="preserve">5) după caz, dovada schimbării destinației terenului agricol și/sau decizia de aprobare a dosarului privind schimbarea categoriei de destinație, întocmită în conformitate cu legislația </w:t>
      </w:r>
      <w:bookmarkEnd w:id="15"/>
      <w:r w:rsidRPr="00365949">
        <w:rPr>
          <w:rFonts w:ascii="Times New Roman Regular" w:hAnsi="Times New Roman Regular" w:cs="Times New Roman Regular"/>
          <w:sz w:val="24"/>
          <w:szCs w:val="24"/>
        </w:rPr>
        <w:t>”</w:t>
      </w:r>
    </w:p>
    <w:p w14:paraId="3684A131"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Pct. 48 va avea următorul cuprins:</w:t>
      </w:r>
    </w:p>
    <w:p w14:paraId="3684A132"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“48) Credibilitatea racordării centralei electrice pentru producerea de energie electrică din SRE la rețelele electrice este demonstrată de către investitor prin prezentarea documentației necesare emise de către operatorul de sistem la ale cărui rețele urmează să fie racordată centrala electrică în cauză, în conformitate cu prevederile licitației</w:t>
      </w:r>
    </w:p>
    <w:p w14:paraId="3684A133" w14:textId="77777777" w:rsidR="006F2C09" w:rsidRPr="00365949" w:rsidRDefault="006F2C09">
      <w:pPr>
        <w:pStyle w:val="ListParagraph"/>
        <w:jc w:val="both"/>
        <w:rPr>
          <w:rFonts w:ascii="Times New Roman Regular" w:hAnsi="Times New Roman Regular" w:cs="Times New Roman Regular"/>
          <w:sz w:val="24"/>
          <w:szCs w:val="24"/>
        </w:rPr>
      </w:pPr>
    </w:p>
    <w:p w14:paraId="3684A134"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La pct. 49, cuvântul “și“ se înlocuiește cu cuvântul “sau“.</w:t>
      </w:r>
    </w:p>
    <w:p w14:paraId="3684A135"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 La pct. 50 </w:t>
      </w:r>
    </w:p>
    <w:p w14:paraId="3684A136" w14:textId="77777777"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lastRenderedPageBreak/>
        <w:t xml:space="preserve">1)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(1),  se adaugă textul </w:t>
      </w:r>
      <w:bookmarkStart w:id="16" w:name="_Hlk150794432"/>
      <w:r w:rsidRPr="00365949">
        <w:rPr>
          <w:rFonts w:ascii="Times New Roman Regular" w:hAnsi="Times New Roman Regular" w:cs="Times New Roman Regular"/>
          <w:sz w:val="24"/>
          <w:szCs w:val="24"/>
        </w:rPr>
        <w:t>“ și în normele privind ofertele marginale, conform pct. 86</w:t>
      </w:r>
      <w:bookmarkEnd w:id="16"/>
      <w:r w:rsidRPr="00365949">
        <w:rPr>
          <w:rFonts w:ascii="Times New Roman Regular" w:hAnsi="Times New Roman Regular" w:cs="Times New Roman Regular"/>
          <w:sz w:val="24"/>
          <w:szCs w:val="24"/>
        </w:rPr>
        <w:t xml:space="preserve"> “</w:t>
      </w:r>
    </w:p>
    <w:p w14:paraId="3684A137" w14:textId="77777777" w:rsidR="006F2C09" w:rsidRPr="00365949" w:rsidRDefault="00485E9B">
      <w:pPr>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color w:val="FF0000"/>
          <w:sz w:val="24"/>
          <w:szCs w:val="24"/>
        </w:rPr>
        <w:t xml:space="preserve">2)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3 va avea următorul conținut „investitorul nu a beneficiat/nu beneficiază concomitent , pentru aceiași centrale electrică/ aceleași centrale electrice, de alte scheme de sprijin în domeniul energiei din surse regenerabile.”</w:t>
      </w:r>
    </w:p>
    <w:p w14:paraId="3684A138"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La pct. 54:</w:t>
      </w:r>
    </w:p>
    <w:p w14:paraId="3684A139"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1)La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3), textul „(lista centralelor electrice care au fost dezvoltate pentru producerea de energie electrică din SRE  descrierea succintă a caracteristicilor acestora, lista personalului-cheie, experiențele </w:t>
      </w:r>
      <w:proofErr w:type="spellStart"/>
      <w:r w:rsidRPr="00365949">
        <w:rPr>
          <w:rFonts w:ascii="Times New Roman Regular" w:hAnsi="Times New Roman Regular" w:cs="Times New Roman Regular"/>
          <w:sz w:val="24"/>
          <w:szCs w:val="24"/>
        </w:rPr>
        <w:t>şi</w:t>
      </w:r>
      <w:proofErr w:type="spellEnd"/>
      <w:r w:rsidRPr="00365949">
        <w:rPr>
          <w:rFonts w:ascii="Times New Roman Regular" w:hAnsi="Times New Roman Regular" w:cs="Times New Roman Regular"/>
          <w:sz w:val="24"/>
          <w:szCs w:val="24"/>
        </w:rPr>
        <w:t xml:space="preserve"> gradul de calificare)” se substituie cu textul „ </w:t>
      </w:r>
      <w:bookmarkStart w:id="17" w:name="_Hlk150794469"/>
      <w:r w:rsidRPr="00365949">
        <w:rPr>
          <w:rFonts w:ascii="Times New Roman Regular" w:hAnsi="Times New Roman Regular" w:cs="Times New Roman Regular"/>
          <w:sz w:val="24"/>
          <w:szCs w:val="24"/>
        </w:rPr>
        <w:t>, în conformitate cu condițiile stabilite în documentația de licitație</w:t>
      </w:r>
      <w:bookmarkEnd w:id="17"/>
      <w:r w:rsidRPr="00365949">
        <w:rPr>
          <w:rFonts w:ascii="Times New Roman Regular" w:hAnsi="Times New Roman Regular" w:cs="Times New Roman Regular"/>
          <w:sz w:val="24"/>
          <w:szCs w:val="24"/>
        </w:rPr>
        <w:t xml:space="preserve"> ”.</w:t>
      </w:r>
    </w:p>
    <w:p w14:paraId="3684A13A"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2) La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5), textul „</w:t>
      </w:r>
      <w:r w:rsidRPr="00365949">
        <w:rPr>
          <w:rFonts w:ascii="Times New Roman Regular" w:hAnsi="Times New Roman Regular" w:cs="Times New Roman Regular"/>
          <w:color w:val="333333"/>
          <w:sz w:val="24"/>
          <w:szCs w:val="24"/>
          <w:shd w:val="clear" w:color="auto" w:fill="FFFFFF"/>
        </w:rPr>
        <w:t xml:space="preserve">(denumirea, tipul echipamentului, producătorul, anul fabricării, faptul corespunderii acestora cu </w:t>
      </w:r>
      <w:proofErr w:type="spellStart"/>
      <w:r w:rsidRPr="00365949">
        <w:rPr>
          <w:rFonts w:ascii="Times New Roman Regular" w:hAnsi="Times New Roman Regular" w:cs="Times New Roman Regular"/>
          <w:color w:val="333333"/>
          <w:sz w:val="24"/>
          <w:szCs w:val="24"/>
          <w:shd w:val="clear" w:color="auto" w:fill="FFFFFF"/>
        </w:rPr>
        <w:t>cerinţele</w:t>
      </w:r>
      <w:proofErr w:type="spellEnd"/>
      <w:r w:rsidRPr="00365949">
        <w:rPr>
          <w:rFonts w:ascii="Times New Roman Regular" w:hAnsi="Times New Roman Regular" w:cs="Times New Roman Regular"/>
          <w:color w:val="333333"/>
          <w:sz w:val="24"/>
          <w:szCs w:val="24"/>
          <w:shd w:val="clear" w:color="auto" w:fill="FFFFFF"/>
        </w:rPr>
        <w:t xml:space="preserve"> tehnice, cu </w:t>
      </w:r>
      <w:proofErr w:type="spellStart"/>
      <w:r w:rsidRPr="00365949">
        <w:rPr>
          <w:rFonts w:ascii="Times New Roman Regular" w:hAnsi="Times New Roman Regular" w:cs="Times New Roman Regular"/>
          <w:color w:val="333333"/>
          <w:sz w:val="24"/>
          <w:szCs w:val="24"/>
          <w:shd w:val="clear" w:color="auto" w:fill="FFFFFF"/>
        </w:rPr>
        <w:t>cerinţele</w:t>
      </w:r>
      <w:proofErr w:type="spellEnd"/>
      <w:r w:rsidRPr="00365949">
        <w:rPr>
          <w:rFonts w:ascii="Times New Roman Regular" w:hAnsi="Times New Roman Regular" w:cs="Times New Roman Regular"/>
          <w:color w:val="333333"/>
          <w:sz w:val="24"/>
          <w:szCs w:val="24"/>
          <w:shd w:val="clear" w:color="auto" w:fill="FFFFFF"/>
        </w:rPr>
        <w:t xml:space="preserve"> de calitate </w:t>
      </w:r>
      <w:proofErr w:type="spellStart"/>
      <w:r w:rsidRPr="00365949">
        <w:rPr>
          <w:rFonts w:ascii="Times New Roman Regular" w:hAnsi="Times New Roman Regular" w:cs="Times New Roman Regular"/>
          <w:color w:val="333333"/>
          <w:sz w:val="24"/>
          <w:szCs w:val="24"/>
          <w:shd w:val="clear" w:color="auto" w:fill="FFFFFF"/>
        </w:rPr>
        <w:t>şi</w:t>
      </w:r>
      <w:proofErr w:type="spellEnd"/>
      <w:r w:rsidRPr="00365949">
        <w:rPr>
          <w:rFonts w:ascii="Times New Roman Regular" w:hAnsi="Times New Roman Regular" w:cs="Times New Roman Regular"/>
          <w:color w:val="333333"/>
          <w:sz w:val="24"/>
          <w:szCs w:val="24"/>
          <w:shd w:val="clear" w:color="auto" w:fill="FFFFFF"/>
        </w:rPr>
        <w:t xml:space="preserve"> </w:t>
      </w:r>
      <w:proofErr w:type="spellStart"/>
      <w:r w:rsidRPr="00365949">
        <w:rPr>
          <w:rFonts w:ascii="Times New Roman Regular" w:hAnsi="Times New Roman Regular" w:cs="Times New Roman Regular"/>
          <w:color w:val="333333"/>
          <w:sz w:val="24"/>
          <w:szCs w:val="24"/>
          <w:shd w:val="clear" w:color="auto" w:fill="FFFFFF"/>
        </w:rPr>
        <w:t>eficienţă</w:t>
      </w:r>
      <w:proofErr w:type="spellEnd"/>
      <w:r w:rsidRPr="00365949">
        <w:rPr>
          <w:rFonts w:ascii="Times New Roman Regular" w:hAnsi="Times New Roman Regular" w:cs="Times New Roman Regular"/>
          <w:color w:val="333333"/>
          <w:sz w:val="24"/>
          <w:szCs w:val="24"/>
          <w:shd w:val="clear" w:color="auto" w:fill="FFFFFF"/>
        </w:rPr>
        <w:t xml:space="preserve">, cu standardele din domeniu, precum </w:t>
      </w:r>
      <w:proofErr w:type="spellStart"/>
      <w:r w:rsidRPr="00365949">
        <w:rPr>
          <w:rFonts w:ascii="Times New Roman Regular" w:hAnsi="Times New Roman Regular" w:cs="Times New Roman Regular"/>
          <w:color w:val="333333"/>
          <w:sz w:val="24"/>
          <w:szCs w:val="24"/>
          <w:shd w:val="clear" w:color="auto" w:fill="FFFFFF"/>
        </w:rPr>
        <w:t>şi</w:t>
      </w:r>
      <w:proofErr w:type="spellEnd"/>
      <w:r w:rsidRPr="00365949">
        <w:rPr>
          <w:rFonts w:ascii="Times New Roman Regular" w:hAnsi="Times New Roman Regular" w:cs="Times New Roman Regular"/>
          <w:color w:val="333333"/>
          <w:sz w:val="24"/>
          <w:szCs w:val="24"/>
          <w:shd w:val="clear" w:color="auto" w:fill="FFFFFF"/>
        </w:rPr>
        <w:t xml:space="preserve"> cu documentele normativ-tehnice, indicate în </w:t>
      </w:r>
      <w:proofErr w:type="spellStart"/>
      <w:r w:rsidRPr="00365949">
        <w:rPr>
          <w:rFonts w:ascii="Times New Roman Regular" w:hAnsi="Times New Roman Regular" w:cs="Times New Roman Regular"/>
          <w:color w:val="333333"/>
          <w:sz w:val="24"/>
          <w:szCs w:val="24"/>
          <w:shd w:val="clear" w:color="auto" w:fill="FFFFFF"/>
        </w:rPr>
        <w:t>documentaţia</w:t>
      </w:r>
      <w:proofErr w:type="spellEnd"/>
      <w:r w:rsidRPr="00365949">
        <w:rPr>
          <w:rFonts w:ascii="Times New Roman Regular" w:hAnsi="Times New Roman Regular" w:cs="Times New Roman Regular"/>
          <w:color w:val="333333"/>
          <w:sz w:val="24"/>
          <w:szCs w:val="24"/>
          <w:shd w:val="clear" w:color="auto" w:fill="FFFFFF"/>
        </w:rPr>
        <w:t xml:space="preserve"> de </w:t>
      </w:r>
      <w:proofErr w:type="spellStart"/>
      <w:r w:rsidRPr="00365949">
        <w:rPr>
          <w:rFonts w:ascii="Times New Roman Regular" w:hAnsi="Times New Roman Regular" w:cs="Times New Roman Regular"/>
          <w:color w:val="333333"/>
          <w:sz w:val="24"/>
          <w:szCs w:val="24"/>
          <w:shd w:val="clear" w:color="auto" w:fill="FFFFFF"/>
        </w:rPr>
        <w:t>licitaţie</w:t>
      </w:r>
      <w:proofErr w:type="spellEnd"/>
      <w:r w:rsidRPr="00365949">
        <w:rPr>
          <w:rFonts w:ascii="Times New Roman Regular" w:hAnsi="Times New Roman Regular" w:cs="Times New Roman Regular"/>
          <w:color w:val="333333"/>
          <w:sz w:val="24"/>
          <w:szCs w:val="24"/>
          <w:shd w:val="clear" w:color="auto" w:fill="FFFFFF"/>
        </w:rPr>
        <w:t>)</w:t>
      </w:r>
      <w:r w:rsidRPr="00365949">
        <w:rPr>
          <w:rFonts w:ascii="Times New Roman Regular" w:hAnsi="Times New Roman Regular" w:cs="Times New Roman Regular"/>
          <w:sz w:val="24"/>
          <w:szCs w:val="24"/>
        </w:rPr>
        <w:t>” se substituie cu textul „</w:t>
      </w:r>
      <w:bookmarkStart w:id="18" w:name="_Hlk150794510"/>
      <w:r w:rsidRPr="00365949">
        <w:rPr>
          <w:rFonts w:ascii="Times New Roman Regular" w:hAnsi="Times New Roman Regular" w:cs="Times New Roman Regular"/>
          <w:sz w:val="24"/>
          <w:szCs w:val="24"/>
        </w:rPr>
        <w:t xml:space="preserve"> , în conformitate cu condițiile stabilite în documentația de </w:t>
      </w:r>
      <w:bookmarkEnd w:id="18"/>
      <w:r w:rsidRPr="00365949">
        <w:rPr>
          <w:rFonts w:ascii="Times New Roman Regular" w:hAnsi="Times New Roman Regular" w:cs="Times New Roman Regular"/>
          <w:sz w:val="24"/>
          <w:szCs w:val="24"/>
        </w:rPr>
        <w:t>licitație ”.</w:t>
      </w:r>
    </w:p>
    <w:p w14:paraId="3684A13B"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3) la sbp.8) se completează cu sintagma „ , după caz” ;</w:t>
      </w:r>
    </w:p>
    <w:p w14:paraId="3684A13C"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4) la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10) </w:t>
      </w:r>
      <w:proofErr w:type="spellStart"/>
      <w:r w:rsidRPr="00365949">
        <w:rPr>
          <w:rFonts w:ascii="Times New Roman Regular" w:hAnsi="Times New Roman Regular" w:cs="Times New Roman Regular"/>
          <w:sz w:val="24"/>
          <w:szCs w:val="24"/>
        </w:rPr>
        <w:t>cuvîntul</w:t>
      </w:r>
      <w:proofErr w:type="spellEnd"/>
      <w:r w:rsidRPr="00365949">
        <w:rPr>
          <w:rFonts w:ascii="Times New Roman Regular" w:hAnsi="Times New Roman Regular" w:cs="Times New Roman Regular"/>
          <w:sz w:val="24"/>
          <w:szCs w:val="24"/>
        </w:rPr>
        <w:t xml:space="preserve"> „graficul” se substituie cu </w:t>
      </w:r>
      <w:proofErr w:type="spellStart"/>
      <w:r w:rsidRPr="00365949">
        <w:rPr>
          <w:rFonts w:ascii="Times New Roman Regular" w:hAnsi="Times New Roman Regular" w:cs="Times New Roman Regular"/>
          <w:sz w:val="24"/>
          <w:szCs w:val="24"/>
        </w:rPr>
        <w:t>cuvîntul</w:t>
      </w:r>
      <w:proofErr w:type="spellEnd"/>
      <w:r w:rsidRPr="00365949">
        <w:rPr>
          <w:rFonts w:ascii="Times New Roman Regular" w:hAnsi="Times New Roman Regular" w:cs="Times New Roman Regular"/>
          <w:sz w:val="24"/>
          <w:szCs w:val="24"/>
        </w:rPr>
        <w:t xml:space="preserve"> „calendarul”</w:t>
      </w:r>
    </w:p>
    <w:p w14:paraId="3684A13D"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5) la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13) după sintagma „(lei moldovenești)” se completează cu textul  „</w:t>
      </w:r>
      <w:bookmarkStart w:id="19" w:name="_Hlk150794563"/>
      <w:r w:rsidRPr="00365949">
        <w:rPr>
          <w:rFonts w:ascii="Times New Roman Regular" w:hAnsi="Times New Roman Regular" w:cs="Times New Roman Regular"/>
          <w:sz w:val="24"/>
          <w:szCs w:val="24"/>
        </w:rPr>
        <w:t>și care include patru zecimale</w:t>
      </w:r>
      <w:bookmarkEnd w:id="19"/>
      <w:r w:rsidRPr="00365949">
        <w:rPr>
          <w:rFonts w:ascii="Times New Roman Regular" w:hAnsi="Times New Roman Regular" w:cs="Times New Roman Regular"/>
          <w:sz w:val="24"/>
          <w:szCs w:val="24"/>
        </w:rPr>
        <w:t>”;</w:t>
      </w:r>
    </w:p>
    <w:p w14:paraId="3684A13E" w14:textId="77777777" w:rsidR="006F2C09" w:rsidRPr="00365949" w:rsidRDefault="006F2C09">
      <w:pPr>
        <w:pStyle w:val="ListParagraph"/>
        <w:jc w:val="both"/>
        <w:rPr>
          <w:rFonts w:ascii="Times New Roman Regular" w:hAnsi="Times New Roman Regular" w:cs="Times New Roman Regular"/>
          <w:sz w:val="24"/>
          <w:szCs w:val="24"/>
        </w:rPr>
      </w:pPr>
    </w:p>
    <w:p w14:paraId="3684A13F"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La pct. 55:</w:t>
      </w:r>
    </w:p>
    <w:p w14:paraId="3684A140"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1) la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2), textul „că nu i-a fost retrasă sau suspendată </w:t>
      </w:r>
      <w:proofErr w:type="spellStart"/>
      <w:r w:rsidRPr="00365949">
        <w:rPr>
          <w:rFonts w:ascii="Times New Roman Regular" w:hAnsi="Times New Roman Regular" w:cs="Times New Roman Regular"/>
          <w:sz w:val="24"/>
          <w:szCs w:val="24"/>
        </w:rPr>
        <w:t>licenţa</w:t>
      </w:r>
      <w:proofErr w:type="spellEnd"/>
      <w:r w:rsidRPr="00365949">
        <w:rPr>
          <w:rFonts w:ascii="Times New Roman Regular" w:hAnsi="Times New Roman Regular" w:cs="Times New Roman Regular"/>
          <w:sz w:val="24"/>
          <w:szCs w:val="24"/>
        </w:rPr>
        <w:t xml:space="preserve"> de producere,” se exclude.</w:t>
      </w:r>
    </w:p>
    <w:p w14:paraId="3684A141"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3)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3) se abrogă. </w:t>
      </w:r>
    </w:p>
    <w:p w14:paraId="3684A142"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4) se completează cu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4</w:t>
      </w:r>
      <w:r w:rsidRPr="00365949">
        <w:rPr>
          <w:rFonts w:ascii="Times New Roman Regular" w:hAnsi="Times New Roman Regular" w:cs="Times New Roman Regular"/>
          <w:sz w:val="24"/>
          <w:szCs w:val="24"/>
          <w:vertAlign w:val="superscript"/>
        </w:rPr>
        <w:t>1</w:t>
      </w:r>
      <w:r w:rsidRPr="00365949">
        <w:rPr>
          <w:rFonts w:ascii="Times New Roman Regular" w:hAnsi="Times New Roman Regular" w:cs="Times New Roman Regular"/>
          <w:sz w:val="24"/>
          <w:szCs w:val="24"/>
        </w:rPr>
        <w:t>) cu următorul conținut: „4</w:t>
      </w:r>
      <w:bookmarkStart w:id="20" w:name="_Hlk150794670"/>
      <w:r w:rsidRPr="00365949">
        <w:rPr>
          <w:rFonts w:ascii="Times New Roman Regular" w:hAnsi="Times New Roman Regular" w:cs="Times New Roman Regular"/>
          <w:sz w:val="24"/>
          <w:szCs w:val="24"/>
          <w:vertAlign w:val="superscript"/>
        </w:rPr>
        <w:t>1</w:t>
      </w:r>
      <w:r w:rsidRPr="00365949">
        <w:rPr>
          <w:rFonts w:ascii="Times New Roman Regular" w:hAnsi="Times New Roman Regular" w:cs="Times New Roman Regular"/>
          <w:sz w:val="24"/>
          <w:szCs w:val="24"/>
        </w:rPr>
        <w:t xml:space="preserve">) orice altă documentație tehnică stabilită în documentația de </w:t>
      </w:r>
      <w:bookmarkEnd w:id="20"/>
      <w:r w:rsidRPr="00365949">
        <w:rPr>
          <w:rFonts w:ascii="Times New Roman Regular" w:hAnsi="Times New Roman Regular" w:cs="Times New Roman Regular"/>
          <w:sz w:val="24"/>
          <w:szCs w:val="24"/>
        </w:rPr>
        <w:t>licitație.“</w:t>
      </w:r>
    </w:p>
    <w:p w14:paraId="3684A143" w14:textId="77777777" w:rsidR="006F2C09" w:rsidRPr="00365949" w:rsidRDefault="006F2C09">
      <w:pPr>
        <w:pStyle w:val="ListParagraph"/>
        <w:jc w:val="both"/>
        <w:rPr>
          <w:rFonts w:ascii="Times New Roman Regular" w:hAnsi="Times New Roman Regular" w:cs="Times New Roman Regular"/>
          <w:sz w:val="24"/>
          <w:szCs w:val="24"/>
        </w:rPr>
      </w:pPr>
    </w:p>
    <w:p w14:paraId="3684A144"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Pct. 57 va avea următorul cuprins:„ 1) Oferta  depusă de investitori trebuie să întrunească cumulativ următoarele condiții:</w:t>
      </w:r>
    </w:p>
    <w:p w14:paraId="3684A145" w14:textId="77777777" w:rsidR="006F2C09" w:rsidRPr="00365949" w:rsidRDefault="00485E9B">
      <w:pPr>
        <w:pStyle w:val="ListParagraph"/>
        <w:numPr>
          <w:ilvl w:val="2"/>
          <w:numId w:val="10"/>
        </w:numPr>
        <w:ind w:left="1134"/>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să aibă caracter obligatoriu, din punctul de vedere al conținutului, pe toată perioada de valabilitate stabilită de către Comisia de licitații </w:t>
      </w:r>
      <w:proofErr w:type="spellStart"/>
      <w:r w:rsidRPr="00365949">
        <w:rPr>
          <w:rFonts w:ascii="Times New Roman Regular" w:hAnsi="Times New Roman Regular" w:cs="Times New Roman Regular"/>
          <w:sz w:val="24"/>
          <w:szCs w:val="24"/>
        </w:rPr>
        <w:t>şi</w:t>
      </w:r>
      <w:proofErr w:type="spellEnd"/>
      <w:r w:rsidRPr="00365949">
        <w:rPr>
          <w:rFonts w:ascii="Times New Roman Regular" w:hAnsi="Times New Roman Regular" w:cs="Times New Roman Regular"/>
          <w:sz w:val="24"/>
          <w:szCs w:val="24"/>
        </w:rPr>
        <w:t xml:space="preserve"> să fie semnată, pe proprie răspundere, de către investitor sau de către o persoană împuternicită legal de acesta;</w:t>
      </w:r>
    </w:p>
    <w:p w14:paraId="3684A146" w14:textId="77777777" w:rsidR="006F2C09" w:rsidRPr="00365949" w:rsidRDefault="00485E9B">
      <w:pPr>
        <w:pStyle w:val="ListParagraph"/>
        <w:numPr>
          <w:ilvl w:val="2"/>
          <w:numId w:val="10"/>
        </w:numPr>
        <w:ind w:left="1134"/>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să corespundă </w:t>
      </w:r>
      <w:proofErr w:type="spellStart"/>
      <w:r w:rsidRPr="00365949">
        <w:rPr>
          <w:rFonts w:ascii="Times New Roman Regular" w:hAnsi="Times New Roman Regular" w:cs="Times New Roman Regular"/>
          <w:sz w:val="24"/>
          <w:szCs w:val="24"/>
        </w:rPr>
        <w:t>cerinţelor</w:t>
      </w:r>
      <w:proofErr w:type="spellEnd"/>
      <w:r w:rsidRPr="00365949">
        <w:rPr>
          <w:rFonts w:ascii="Times New Roman Regular" w:hAnsi="Times New Roman Regular" w:cs="Times New Roman Regular"/>
          <w:sz w:val="24"/>
          <w:szCs w:val="24"/>
        </w:rPr>
        <w:t xml:space="preserve"> stabilite în documentația de licitație și prezentul Regulament;</w:t>
      </w:r>
    </w:p>
    <w:p w14:paraId="3684A147" w14:textId="77777777" w:rsidR="006F2C09" w:rsidRPr="00365949" w:rsidRDefault="00485E9B">
      <w:pPr>
        <w:pStyle w:val="ListParagraph"/>
        <w:numPr>
          <w:ilvl w:val="2"/>
          <w:numId w:val="10"/>
        </w:numPr>
        <w:ind w:left="1134"/>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să fie tipărită fără corectări și să fie semnată de persoana autorizată pe fiecare pagină și/sau care urmează să fie prezentate în </w:t>
      </w:r>
      <w:r w:rsidRPr="00365949">
        <w:rPr>
          <w:rFonts w:ascii="Times New Roman Regular" w:hAnsi="Times New Roman Regular" w:cs="Times New Roman Regular"/>
          <w:bCs/>
          <w:sz w:val="24"/>
          <w:szCs w:val="24"/>
        </w:rPr>
        <w:t>forma unui document electronic semnat cu o semnătură electronică emisă în condițiile Legii nr. 124/2022 privind identificarea electronică și serviciile de încredere</w:t>
      </w:r>
      <w:r w:rsidRPr="00365949">
        <w:rPr>
          <w:rFonts w:ascii="Times New Roman Regular" w:hAnsi="Times New Roman Regular" w:cs="Times New Roman Regular"/>
          <w:sz w:val="24"/>
          <w:szCs w:val="24"/>
        </w:rPr>
        <w:t>;</w:t>
      </w:r>
    </w:p>
    <w:p w14:paraId="3684A148" w14:textId="77777777" w:rsidR="006F2C09" w:rsidRPr="00365949" w:rsidRDefault="00485E9B">
      <w:pPr>
        <w:pStyle w:val="ListParagraph"/>
        <w:numPr>
          <w:ilvl w:val="2"/>
          <w:numId w:val="10"/>
        </w:numPr>
        <w:ind w:left="1134"/>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să fie prezentată în termenul stabilit în anunțul privind inițierea procedurii de licitație.</w:t>
      </w:r>
    </w:p>
    <w:p w14:paraId="3684A149" w14:textId="77777777" w:rsidR="006F2C09" w:rsidRPr="00365949" w:rsidRDefault="00485E9B">
      <w:pPr>
        <w:pStyle w:val="ListParagraph"/>
        <w:ind w:left="786"/>
        <w:jc w:val="both"/>
        <w:rPr>
          <w:rFonts w:ascii="Times New Roman Regular" w:hAnsi="Times New Roman Regular" w:cs="Times New Roman Regular"/>
          <w:bCs/>
          <w:iCs/>
          <w:sz w:val="24"/>
          <w:szCs w:val="24"/>
        </w:rPr>
      </w:pPr>
      <w:r w:rsidRPr="00365949">
        <w:rPr>
          <w:rFonts w:ascii="Times New Roman Regular" w:hAnsi="Times New Roman Regular" w:cs="Times New Roman Regular"/>
          <w:sz w:val="24"/>
          <w:szCs w:val="24"/>
        </w:rPr>
        <w:t xml:space="preserve">2) </w:t>
      </w:r>
      <w:r w:rsidRPr="00365949">
        <w:rPr>
          <w:rFonts w:ascii="Times New Roman Regular" w:hAnsi="Times New Roman Regular" w:cs="Times New Roman Regular"/>
          <w:bCs/>
          <w:iCs/>
          <w:sz w:val="24"/>
          <w:szCs w:val="24"/>
        </w:rPr>
        <w:t>Comisia de licitații își rezervă dreptul de a solicita autentificarea sau retrimiterea de copii certificate în original ale documentelor transmise în formă electronică”</w:t>
      </w:r>
    </w:p>
    <w:p w14:paraId="3684A14A" w14:textId="77777777" w:rsidR="006F2C09" w:rsidRPr="00365949" w:rsidRDefault="006F2C09">
      <w:pPr>
        <w:pStyle w:val="ListParagraph"/>
        <w:ind w:left="786"/>
        <w:jc w:val="both"/>
        <w:rPr>
          <w:rFonts w:ascii="Times New Roman Regular" w:hAnsi="Times New Roman Regular" w:cs="Times New Roman Regular"/>
          <w:sz w:val="24"/>
          <w:szCs w:val="24"/>
        </w:rPr>
      </w:pPr>
    </w:p>
    <w:p w14:paraId="3684A14B"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lastRenderedPageBreak/>
        <w:t>La pct. 58, după sintagma “persoanei fizice“ se completează cu textul „</w:t>
      </w:r>
      <w:bookmarkStart w:id="21" w:name="_Hlk150794721"/>
      <w:r w:rsidRPr="00365949">
        <w:rPr>
          <w:rFonts w:ascii="Times New Roman Regular" w:hAnsi="Times New Roman Regular" w:cs="Times New Roman Regular"/>
          <w:sz w:val="24"/>
          <w:szCs w:val="24"/>
        </w:rPr>
        <w:t xml:space="preserve"> și/sau să prezinte </w:t>
      </w:r>
      <w:bookmarkEnd w:id="21"/>
      <w:r w:rsidRPr="00365949">
        <w:rPr>
          <w:rFonts w:ascii="Times New Roman Regular" w:hAnsi="Times New Roman Regular" w:cs="Times New Roman Regular"/>
          <w:bCs/>
          <w:sz w:val="24"/>
          <w:szCs w:val="24"/>
        </w:rPr>
        <w:t>sub forma unui document electronic semnat cu o semnătură electronică emisă în condițiile Legii nr. 124/2022 privind identificarea electronică și serviciile de încredere</w:t>
      </w:r>
      <w:r w:rsidRPr="00365949">
        <w:rPr>
          <w:rFonts w:ascii="Times New Roman Regular" w:hAnsi="Times New Roman Regular" w:cs="Times New Roman Regular"/>
          <w:sz w:val="24"/>
          <w:szCs w:val="24"/>
        </w:rPr>
        <w:t xml:space="preserve">.” </w:t>
      </w:r>
    </w:p>
    <w:p w14:paraId="3684A14C" w14:textId="27AFA8A0"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 Pct</w:t>
      </w:r>
      <w:r w:rsidR="00840F35" w:rsidRPr="00365949">
        <w:rPr>
          <w:rFonts w:ascii="Times New Roman Regular" w:hAnsi="Times New Roman Regular" w:cs="Times New Roman Regular"/>
          <w:sz w:val="24"/>
          <w:szCs w:val="24"/>
        </w:rPr>
        <w:t>.</w:t>
      </w:r>
      <w:r w:rsidRPr="00365949">
        <w:rPr>
          <w:rFonts w:ascii="Times New Roman Regular" w:hAnsi="Times New Roman Regular" w:cs="Times New Roman Regular"/>
          <w:sz w:val="24"/>
          <w:szCs w:val="24"/>
        </w:rPr>
        <w:t xml:space="preserve"> 62 va avea următorul conținut „62. </w:t>
      </w:r>
      <w:proofErr w:type="spellStart"/>
      <w:r w:rsidRPr="00365949">
        <w:rPr>
          <w:rFonts w:ascii="Times New Roman Regular" w:hAnsi="Times New Roman Regular" w:cs="Times New Roman Regular"/>
          <w:sz w:val="24"/>
          <w:szCs w:val="24"/>
        </w:rPr>
        <w:t>Garanţia</w:t>
      </w:r>
      <w:proofErr w:type="spellEnd"/>
      <w:r w:rsidRPr="00365949">
        <w:rPr>
          <w:rFonts w:ascii="Times New Roman Regular" w:hAnsi="Times New Roman Regular" w:cs="Times New Roman Regular"/>
          <w:sz w:val="24"/>
          <w:szCs w:val="24"/>
        </w:rPr>
        <w:t xml:space="preserve"> pentru ofertă se </w:t>
      </w:r>
      <w:proofErr w:type="spellStart"/>
      <w:r w:rsidRPr="00365949">
        <w:rPr>
          <w:rFonts w:ascii="Times New Roman Regular" w:hAnsi="Times New Roman Regular" w:cs="Times New Roman Regular"/>
          <w:sz w:val="24"/>
          <w:szCs w:val="24"/>
        </w:rPr>
        <w:t>stabileşte</w:t>
      </w:r>
      <w:proofErr w:type="spellEnd"/>
      <w:r w:rsidRPr="00365949">
        <w:rPr>
          <w:rFonts w:ascii="Times New Roman Regular" w:hAnsi="Times New Roman Regular" w:cs="Times New Roman Regular"/>
          <w:sz w:val="24"/>
          <w:szCs w:val="24"/>
        </w:rPr>
        <w:t xml:space="preserve"> în </w:t>
      </w:r>
      <w:proofErr w:type="spellStart"/>
      <w:r w:rsidRPr="00365949">
        <w:rPr>
          <w:rFonts w:ascii="Times New Roman Regular" w:hAnsi="Times New Roman Regular" w:cs="Times New Roman Regular"/>
          <w:sz w:val="24"/>
          <w:szCs w:val="24"/>
        </w:rPr>
        <w:t>documentaţia</w:t>
      </w:r>
      <w:proofErr w:type="spellEnd"/>
      <w:r w:rsidRPr="00365949">
        <w:rPr>
          <w:rFonts w:ascii="Times New Roman Regular" w:hAnsi="Times New Roman Regular" w:cs="Times New Roman Regular"/>
          <w:sz w:val="24"/>
          <w:szCs w:val="24"/>
        </w:rPr>
        <w:t xml:space="preserve"> de </w:t>
      </w:r>
      <w:proofErr w:type="spellStart"/>
      <w:r w:rsidRPr="00365949">
        <w:rPr>
          <w:rFonts w:ascii="Times New Roman Regular" w:hAnsi="Times New Roman Regular" w:cs="Times New Roman Regular"/>
          <w:sz w:val="24"/>
          <w:szCs w:val="24"/>
        </w:rPr>
        <w:t>licitaţie</w:t>
      </w:r>
      <w:proofErr w:type="spellEnd"/>
      <w:r w:rsidRPr="00365949">
        <w:rPr>
          <w:rFonts w:ascii="Times New Roman Regular" w:hAnsi="Times New Roman Regular" w:cs="Times New Roman Regular"/>
          <w:sz w:val="24"/>
          <w:szCs w:val="24"/>
        </w:rPr>
        <w:t xml:space="preserve">, în mărime fixă per 1 kW putere instalată </w:t>
      </w:r>
      <w:proofErr w:type="spellStart"/>
      <w:r w:rsidRPr="00365949">
        <w:rPr>
          <w:rFonts w:ascii="Times New Roman Regular" w:hAnsi="Times New Roman Regular" w:cs="Times New Roman Regular"/>
          <w:sz w:val="24"/>
          <w:szCs w:val="24"/>
        </w:rPr>
        <w:t>şi</w:t>
      </w:r>
      <w:proofErr w:type="spellEnd"/>
      <w:r w:rsidRPr="00365949">
        <w:rPr>
          <w:rFonts w:ascii="Times New Roman Regular" w:hAnsi="Times New Roman Regular" w:cs="Times New Roman Regular"/>
          <w:sz w:val="24"/>
          <w:szCs w:val="24"/>
        </w:rPr>
        <w:t xml:space="preserve"> este unică pentru </w:t>
      </w:r>
      <w:proofErr w:type="spellStart"/>
      <w:r w:rsidRPr="00365949">
        <w:rPr>
          <w:rFonts w:ascii="Times New Roman Regular" w:hAnsi="Times New Roman Regular" w:cs="Times New Roman Regular"/>
          <w:sz w:val="24"/>
          <w:szCs w:val="24"/>
        </w:rPr>
        <w:t>toţi</w:t>
      </w:r>
      <w:proofErr w:type="spellEnd"/>
      <w:r w:rsidRPr="00365949">
        <w:rPr>
          <w:rFonts w:ascii="Times New Roman Regular" w:hAnsi="Times New Roman Regular" w:cs="Times New Roman Regular"/>
          <w:sz w:val="24"/>
          <w:szCs w:val="24"/>
        </w:rPr>
        <w:t xml:space="preserve"> investitorii de proiecte ce utilizează un anumit tip de tehnologie de producere și, după caz, care se încadrează în aceeași categorie de capacitate. Cuantumul garanției pentru ofertă pentru fiecare 1 kW putere instalată nu poate depăși 1 % din valoarea investiției specifice luate în calcul la stabilirea de către Agenția Națională pentru Reglementare în Energetică a prețurilor plafon pentru licitația respectivă. Garanția pentru ofertă se prezintă de către investitori sub formă de scrisoare de </w:t>
      </w:r>
      <w:proofErr w:type="spellStart"/>
      <w:r w:rsidRPr="00365949">
        <w:rPr>
          <w:rFonts w:ascii="Times New Roman Regular" w:hAnsi="Times New Roman Regular" w:cs="Times New Roman Regular"/>
          <w:sz w:val="24"/>
          <w:szCs w:val="24"/>
        </w:rPr>
        <w:t>garanţie</w:t>
      </w:r>
      <w:proofErr w:type="spellEnd"/>
      <w:r w:rsidRPr="00365949">
        <w:rPr>
          <w:rFonts w:ascii="Times New Roman Regular" w:hAnsi="Times New Roman Regular" w:cs="Times New Roman Regular"/>
          <w:sz w:val="24"/>
          <w:szCs w:val="24"/>
        </w:rPr>
        <w:t xml:space="preserve"> bancară eliberată de o bancă din Republica Moldova, după caz, de o bancă din străinătate, care îndeplinește cerințele de rating de credit stabilite în documentația de licitație, de </w:t>
      </w:r>
      <w:proofErr w:type="spellStart"/>
      <w:r w:rsidRPr="00365949">
        <w:rPr>
          <w:rFonts w:ascii="Times New Roman Regular" w:hAnsi="Times New Roman Regular" w:cs="Times New Roman Regular"/>
          <w:sz w:val="24"/>
          <w:szCs w:val="24"/>
        </w:rPr>
        <w:t>preferinţă</w:t>
      </w:r>
      <w:proofErr w:type="spellEnd"/>
      <w:r w:rsidRPr="00365949">
        <w:rPr>
          <w:rFonts w:ascii="Times New Roman Regular" w:hAnsi="Times New Roman Regular" w:cs="Times New Roman Regular"/>
          <w:sz w:val="24"/>
          <w:szCs w:val="24"/>
        </w:rPr>
        <w:t xml:space="preserve"> </w:t>
      </w:r>
      <w:r w:rsidR="0029415D" w:rsidRPr="00365949">
        <w:rPr>
          <w:rFonts w:ascii="Times New Roman Regular" w:hAnsi="Times New Roman Regular" w:cs="Times New Roman Regular"/>
          <w:sz w:val="24"/>
          <w:szCs w:val="24"/>
        </w:rPr>
        <w:t>având</w:t>
      </w:r>
      <w:r w:rsidRPr="00365949">
        <w:rPr>
          <w:rFonts w:ascii="Times New Roman Regular" w:hAnsi="Times New Roman Regular" w:cs="Times New Roman Regular"/>
          <w:sz w:val="24"/>
          <w:szCs w:val="24"/>
        </w:rPr>
        <w:t xml:space="preserve"> corespondent în Republica Moldova, și trebuie să fie valabilă pe întreaga perioadă de valabilitate a ofertei.”</w:t>
      </w:r>
    </w:p>
    <w:p w14:paraId="3684A14D" w14:textId="1A53D865"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La pct. 67, la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2), se completează cu următorul text:</w:t>
      </w:r>
      <w:r w:rsidR="0086624A" w:rsidRPr="00365949">
        <w:rPr>
          <w:rFonts w:ascii="Times New Roman Regular" w:hAnsi="Times New Roman Regular" w:cs="Times New Roman Regular"/>
          <w:sz w:val="24"/>
          <w:szCs w:val="24"/>
        </w:rPr>
        <w:t xml:space="preserve"> </w:t>
      </w:r>
      <w:r w:rsidRPr="00365949">
        <w:rPr>
          <w:rFonts w:ascii="Times New Roman Regular" w:hAnsi="Times New Roman Regular" w:cs="Times New Roman Regular"/>
          <w:sz w:val="24"/>
          <w:szCs w:val="24"/>
        </w:rPr>
        <w:t>„</w:t>
      </w:r>
      <w:bookmarkStart w:id="22" w:name="_Hlk150794856"/>
      <w:r w:rsidRPr="00365949">
        <w:rPr>
          <w:rFonts w:ascii="Times New Roman Regular" w:hAnsi="Times New Roman Regular" w:cs="Times New Roman Regular"/>
          <w:sz w:val="24"/>
          <w:szCs w:val="24"/>
        </w:rPr>
        <w:t xml:space="preserve">și, sub </w:t>
      </w:r>
      <w:r w:rsidRPr="00365949">
        <w:rPr>
          <w:rFonts w:ascii="Times New Roman Regular" w:hAnsi="Times New Roman Regular" w:cs="Times New Roman Regular"/>
          <w:bCs/>
          <w:sz w:val="24"/>
          <w:szCs w:val="24"/>
        </w:rPr>
        <w:t>forma unui document electronic semnat cu o semnătură electronică emisă în condițiile Legii nr. 124/2022 privind identificarea electronică și serviciile de încredere ”.</w:t>
      </w:r>
      <w:bookmarkEnd w:id="22"/>
    </w:p>
    <w:p w14:paraId="3684A14E"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La pct. 68, textul „</w:t>
      </w:r>
      <w:r w:rsidRPr="00365949">
        <w:rPr>
          <w:rFonts w:ascii="Times New Roman Regular" w:hAnsi="Times New Roman Regular" w:cs="Times New Roman Regular"/>
          <w:color w:val="333333"/>
          <w:sz w:val="24"/>
          <w:szCs w:val="24"/>
          <w:shd w:val="clear" w:color="auto" w:fill="FFFFFF"/>
        </w:rPr>
        <w:t>din cadrul asocierii care depune oferta</w:t>
      </w:r>
      <w:r w:rsidRPr="00365949">
        <w:rPr>
          <w:rFonts w:ascii="Times New Roman Regular" w:hAnsi="Times New Roman Regular" w:cs="Times New Roman Regular"/>
          <w:sz w:val="24"/>
          <w:szCs w:val="24"/>
        </w:rPr>
        <w:t>” se substituie cu textul „</w:t>
      </w:r>
      <w:bookmarkStart w:id="23" w:name="_Hlk150794928"/>
      <w:r w:rsidRPr="00365949">
        <w:rPr>
          <w:rFonts w:ascii="Times New Roman Regular" w:hAnsi="Times New Roman Regular" w:cs="Times New Roman Regular"/>
          <w:sz w:val="24"/>
          <w:szCs w:val="24"/>
        </w:rPr>
        <w:t>și cu membrii consorțiului relevant sau cu entitățile controlate din cadrul consorțiului ofertant</w:t>
      </w:r>
      <w:bookmarkEnd w:id="23"/>
      <w:r w:rsidRPr="00365949">
        <w:rPr>
          <w:rFonts w:ascii="Times New Roman Regular" w:hAnsi="Times New Roman Regular" w:cs="Times New Roman Regular"/>
          <w:sz w:val="24"/>
          <w:szCs w:val="24"/>
        </w:rPr>
        <w:t xml:space="preserve"> ”.</w:t>
      </w:r>
    </w:p>
    <w:p w14:paraId="3684A14F" w14:textId="3079E695"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Pct. 75 va avea următorul cuprins: „75. În scopul verificării faptului că ofertantul îndeplinește cerințele de calificare a ofertei și/sau în cazul unor abateri nemateriale de la cerințele ofertei care pot fi rectificate fără a modifica substanțial oferta, Comisia de licitație are dreptul de a solicita investitorilor să prezinte informații suplimentare și rectificări corespunzătoare, dacă este cazul, indicând perioada necesară pentru prezentarea informațiilor suplimentare solicitate. </w:t>
      </w:r>
    </w:p>
    <w:p w14:paraId="3684A150"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 Pct. 79, 80 și 81 vor avea următorul cuprins:</w:t>
      </w:r>
    </w:p>
    <w:p w14:paraId="3684A151" w14:textId="4F8FBF0A"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1) „ 79. În cazul în care nu a fost depusă nicio ofertă eligibilă, se consideră că licitația în cauză nu a avut loc, iar </w:t>
      </w:r>
      <w:r w:rsidR="00BA264A" w:rsidRPr="00365949">
        <w:rPr>
          <w:rFonts w:ascii="Times New Roman Regular" w:hAnsi="Times New Roman Regular" w:cs="Times New Roman Regular"/>
          <w:sz w:val="24"/>
          <w:szCs w:val="24"/>
        </w:rPr>
        <w:t>C</w:t>
      </w:r>
      <w:r w:rsidRPr="00365949">
        <w:rPr>
          <w:rFonts w:ascii="Times New Roman Regular" w:hAnsi="Times New Roman Regular" w:cs="Times New Roman Regular"/>
          <w:sz w:val="24"/>
          <w:szCs w:val="24"/>
        </w:rPr>
        <w:t>omisia de licitație o declară invalidă și inițiază o nouă licitație. Licitația repetată poate fi organizată în aceleași condiții și în conformitate cu aceleași criterii și cerințe ca și cele stabilite pentru licitația anterioară sau, la decizia Comisiei de licitație, acestea pot fi modificate substanțial.</w:t>
      </w:r>
    </w:p>
    <w:p w14:paraId="3684A152" w14:textId="58A0C576"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2) 80. În cazul în care nici în cadrul licitației repetate nu se depune nicio ofertă eligibilă, Comisia de licitație declară licitația invalidă și revizuiește capacitățile licitate pentru următoarele runde de licitație de capacități de producere a energiei electrice din surse regenerabile, pentru a promova o concurență efectivă. O astfel de revizuire se efectuează, de asemenea, în cazul în care concurența este insuficientă în cadrul unei licitații.</w:t>
      </w:r>
    </w:p>
    <w:p w14:paraId="3684A153" w14:textId="2AC4301D"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3) 81. </w:t>
      </w:r>
      <w:r w:rsidRPr="00365949">
        <w:rPr>
          <w:rFonts w:ascii="Times New Roman Regular" w:hAnsi="Times New Roman Regular" w:cs="Times New Roman Regular"/>
          <w:color w:val="333333"/>
          <w:sz w:val="24"/>
          <w:szCs w:val="24"/>
          <w:shd w:val="clear" w:color="auto" w:fill="FFFFFF"/>
        </w:rPr>
        <w:t xml:space="preserve">Dacă în cadrul licitațiilor organizate nu au fost oferite integral capacitățile de producere a energiei electrice din surse regenerabile scoase la licitație, Comisia de licitații poate să includă capacitățile respective la licitația următoare, </w:t>
      </w:r>
      <w:r w:rsidRPr="00365949">
        <w:rPr>
          <w:rFonts w:ascii="Times New Roman Regular" w:hAnsi="Times New Roman Regular" w:cs="Times New Roman Regular"/>
          <w:sz w:val="24"/>
          <w:szCs w:val="24"/>
        </w:rPr>
        <w:t>sub rezerva finalizării revizuirii menționate la pct.80</w:t>
      </w:r>
      <w:r w:rsidR="00840F35" w:rsidRPr="00365949">
        <w:rPr>
          <w:rFonts w:ascii="Times New Roman Regular" w:hAnsi="Times New Roman Regular" w:cs="Times New Roman Regular"/>
          <w:sz w:val="24"/>
          <w:szCs w:val="24"/>
        </w:rPr>
        <w:t>.</w:t>
      </w:r>
      <w:r w:rsidRPr="00365949">
        <w:rPr>
          <w:rFonts w:ascii="Times New Roman Regular" w:hAnsi="Times New Roman Regular" w:cs="Times New Roman Regular"/>
          <w:sz w:val="24"/>
          <w:szCs w:val="24"/>
        </w:rPr>
        <w:t>”</w:t>
      </w:r>
      <w:r w:rsidR="00840F35" w:rsidRPr="00365949">
        <w:rPr>
          <w:rFonts w:ascii="Times New Roman Regular" w:hAnsi="Times New Roman Regular" w:cs="Times New Roman Regular"/>
          <w:sz w:val="24"/>
          <w:szCs w:val="24"/>
        </w:rPr>
        <w:t>.</w:t>
      </w:r>
    </w:p>
    <w:p w14:paraId="3684A154" w14:textId="6B4B36F0"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lastRenderedPageBreak/>
        <w:t>Pct. 86 va avea următorul cuprins: „86</w:t>
      </w:r>
      <w:r w:rsidR="00840F35" w:rsidRPr="00365949">
        <w:rPr>
          <w:rFonts w:ascii="Times New Roman Regular" w:hAnsi="Times New Roman Regular" w:cs="Times New Roman Regular"/>
          <w:sz w:val="24"/>
          <w:szCs w:val="24"/>
        </w:rPr>
        <w:t>.</w:t>
      </w:r>
      <w:r w:rsidRPr="00365949">
        <w:rPr>
          <w:rFonts w:ascii="Times New Roman Regular" w:hAnsi="Times New Roman Regular" w:cs="Times New Roman Regular"/>
          <w:sz w:val="24"/>
          <w:szCs w:val="24"/>
        </w:rPr>
        <w:t xml:space="preserve"> Comisia de licitație stabilește ofertele marginale și regulile de departajare în documentația de licitație, care pot include una sau o combinație a următoarelor elemente:</w:t>
      </w:r>
    </w:p>
    <w:p w14:paraId="3684A155" w14:textId="77777777" w:rsidR="006F2C09" w:rsidRPr="00365949" w:rsidRDefault="00485E9B">
      <w:pPr>
        <w:pStyle w:val="ListParagraph"/>
        <w:numPr>
          <w:ilvl w:val="0"/>
          <w:numId w:val="11"/>
        </w:numPr>
        <w:ind w:firstLine="131"/>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În cazul în care au fost depuse două sau mai multe oferte la același preț și capacitățile de producere a energiei electrice din surse regenerabile de energie scoase la licitație au fost depășite prin combinarea capacităților ofertelor depuse la același preț, oferta care indică centrala electrică cu cea mai mare capacitate instalată este luată în considerare în primul rând pentru atribuirea contractului. </w:t>
      </w:r>
    </w:p>
    <w:p w14:paraId="3684A156" w14:textId="77777777" w:rsidR="006F2C09" w:rsidRPr="00365949" w:rsidRDefault="00485E9B">
      <w:pPr>
        <w:pStyle w:val="ListParagraph"/>
        <w:numPr>
          <w:ilvl w:val="0"/>
          <w:numId w:val="11"/>
        </w:numPr>
        <w:ind w:firstLine="131"/>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În cazul în care toate ofertele de mai sus indică o capacitate instalată identică, se ia în considerare mai întâi investitorul cu cea mai mare experiență în dezvoltarea de proiecte de energie regenerabilă. În cazul în care unii dintre investitori au oferte referitoare la capacități deja construite care au trecut de cerințele de </w:t>
      </w:r>
      <w:proofErr w:type="spellStart"/>
      <w:r w:rsidRPr="00365949">
        <w:rPr>
          <w:rFonts w:ascii="Times New Roman Regular" w:hAnsi="Times New Roman Regular" w:cs="Times New Roman Regular"/>
          <w:sz w:val="24"/>
          <w:szCs w:val="24"/>
        </w:rPr>
        <w:t>adiționalitate</w:t>
      </w:r>
      <w:proofErr w:type="spellEnd"/>
      <w:r w:rsidRPr="00365949">
        <w:rPr>
          <w:rFonts w:ascii="Times New Roman Regular" w:hAnsi="Times New Roman Regular" w:cs="Times New Roman Regular"/>
          <w:sz w:val="24"/>
          <w:szCs w:val="24"/>
        </w:rPr>
        <w:t>, astfel cum se cere în etapa de calificare, Comisia de licitații poate, având în vedere obiectivele publice urmărite prin licitații, să ia în considerare mai întâi aceste capacități construite în raport cu proiectele care urmează să fie construite recent.</w:t>
      </w:r>
    </w:p>
    <w:p w14:paraId="3684A157" w14:textId="77777777" w:rsidR="006F2C09" w:rsidRPr="00365949" w:rsidRDefault="00485E9B">
      <w:pPr>
        <w:pStyle w:val="ListParagraph"/>
        <w:numPr>
          <w:ilvl w:val="0"/>
          <w:numId w:val="11"/>
        </w:numPr>
        <w:ind w:firstLine="131"/>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În cazul în care toți investitorii au aceeași experiență sau, dacă este cazul, dacă toate instalațiile nu au fost încă construite, Comisia de licitații trage la sorți ordinea de clasificare. Comisia de licitații stabilește în documentația de licitație, norme detaliate privind modul în care are loc tragerea la sorți. </w:t>
      </w:r>
    </w:p>
    <w:p w14:paraId="3684A158" w14:textId="77777777" w:rsidR="006F2C09" w:rsidRPr="00365949" w:rsidRDefault="00485E9B">
      <w:pPr>
        <w:pStyle w:val="ListParagraph"/>
        <w:numPr>
          <w:ilvl w:val="0"/>
          <w:numId w:val="11"/>
        </w:numPr>
        <w:ind w:firstLine="131"/>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În cazul în care, în urma ordonării ofertelor de preț, se identifică o ofertă cu un preț competitiv care se situează sub plafonul stabilit în procedură, dar capacitatea sa, cumulată cu alte oferte mai bine clasate, depășește cantitatea de capacitate oferită de Guvern, Comisia de licitații poate: </w:t>
      </w:r>
    </w:p>
    <w:p w14:paraId="3684A159" w14:textId="77777777" w:rsidR="006F2C09" w:rsidRPr="00365949" w:rsidRDefault="00485E9B">
      <w:pPr>
        <w:pStyle w:val="ListParagraph"/>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 să solicite investitorului în cauză să reconfirme prețul oferit pentru capacitatea ajustată în funcție de limita stabilită de Guvern. În cazul în care investitorul acceptă propunerea Comisiei de licitații, acesta își prezintă acceptul în scris, </w:t>
      </w:r>
      <w:r w:rsidRPr="00365949">
        <w:rPr>
          <w:rFonts w:ascii="Times New Roman Regular" w:hAnsi="Times New Roman Regular" w:cs="Times New Roman Regular"/>
          <w:bCs/>
          <w:sz w:val="24"/>
          <w:szCs w:val="24"/>
        </w:rPr>
        <w:t>sau sub forma unui document electronic semnat cu o semnătură electronică emisă în condițiile Legii nr. 124/2022 privind serviciile de identificare electronică și serviciile de încredere,</w:t>
      </w:r>
      <w:r w:rsidRPr="00365949">
        <w:rPr>
          <w:rFonts w:ascii="Times New Roman Regular" w:hAnsi="Times New Roman Regular" w:cs="Times New Roman Regular"/>
          <w:sz w:val="24"/>
          <w:szCs w:val="24"/>
        </w:rPr>
        <w:t xml:space="preserve"> într-un termen rezonabil, astfel cum se prevede în Documentația de licitație. În cazul unui refuz, Comisia de licitații solicită investitorului următor de pe lista întocmită în conformitate cu dispozițiile pct.84 să prezinte o reconfirmare a prețului oferit pentru capacitatea inclusă în oferta sa sau, după caz, ajustată în conformitate cu prezentul alineat, care este prezentată în scris într-un termen rezonabil stabilit în Regulile de licitație . În cazul în care alege să aplice această regulă, Comisia de licitații stabilește în documentația de licitație, rundele de </w:t>
      </w:r>
      <w:proofErr w:type="spellStart"/>
      <w:r w:rsidRPr="00365949">
        <w:rPr>
          <w:rFonts w:ascii="Times New Roman Regular" w:hAnsi="Times New Roman Regular" w:cs="Times New Roman Regular"/>
          <w:sz w:val="24"/>
          <w:szCs w:val="24"/>
        </w:rPr>
        <w:t>reofertare</w:t>
      </w:r>
      <w:proofErr w:type="spellEnd"/>
      <w:r w:rsidRPr="00365949">
        <w:rPr>
          <w:rFonts w:ascii="Times New Roman Regular" w:hAnsi="Times New Roman Regular" w:cs="Times New Roman Regular"/>
          <w:sz w:val="24"/>
          <w:szCs w:val="24"/>
        </w:rPr>
        <w:t xml:space="preserve"> posibile, precum și etapele și termenele de revizuire a ofertelor.</w:t>
      </w:r>
    </w:p>
    <w:p w14:paraId="3684A15A" w14:textId="77777777" w:rsidR="006F2C09" w:rsidRPr="00365949" w:rsidRDefault="00485E9B">
      <w:pPr>
        <w:pStyle w:val="ListParagraph"/>
        <w:numPr>
          <w:ilvl w:val="0"/>
          <w:numId w:val="12"/>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În cazul în care Comisia de licitații alege să utilizeze criteriul specific “investitorul cu cea mai mare experiență în dezvoltarea de proiecte de energie din surse regenerabile să fie luat în considerare în primul rând ca parte a regulii de departajare“, documentația de licitație trebuie să conțină, de asemenea, o definiție precisă a criteriilor de evaluare a acestei experiențe. Criteriile de evaluare a experienței trebuie să implice faptul că o anumită cantitate de capacitate agregată de energie regenerabilă exprimată în MW a fost livrată în cadrul unui anumit număr de proiecte în trecut. Acest criteriu se poate aplica numai </w:t>
      </w:r>
      <w:r w:rsidRPr="00365949">
        <w:rPr>
          <w:rFonts w:ascii="Times New Roman Regular" w:hAnsi="Times New Roman Regular" w:cs="Times New Roman Regular"/>
          <w:sz w:val="24"/>
          <w:szCs w:val="24"/>
        </w:rPr>
        <w:lastRenderedPageBreak/>
        <w:t>proiectelor din tehnologia relevantă pentru licitație sau portofoliilor diferențiate de proiecte de SER, în funcție de licitația specifică. Comisia de licitații poate stabili:</w:t>
      </w:r>
    </w:p>
    <w:p w14:paraId="3684A15B" w14:textId="77777777" w:rsidR="006F2C09" w:rsidRPr="00365949" w:rsidRDefault="00485E9B">
      <w:pPr>
        <w:pStyle w:val="ListParagraph"/>
        <w:numPr>
          <w:ilvl w:val="1"/>
          <w:numId w:val="12"/>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 pragurile pentru capacitatea centralelor electrice din SRE, în MW</w:t>
      </w:r>
      <w:r w:rsidRPr="00365949">
        <w:rPr>
          <w:rStyle w:val="CommentReference"/>
          <w:rFonts w:ascii="Times New Roman Regular" w:hAnsi="Times New Roman Regular" w:cs="Times New Roman Regular"/>
          <w:kern w:val="0"/>
          <w:sz w:val="24"/>
          <w:szCs w:val="24"/>
        </w:rPr>
        <w:t>, construite și date  în exploatare ș</w:t>
      </w:r>
      <w:r w:rsidRPr="00365949">
        <w:rPr>
          <w:rFonts w:ascii="Times New Roman Regular" w:hAnsi="Times New Roman Regular" w:cs="Times New Roman Regular"/>
          <w:sz w:val="24"/>
          <w:szCs w:val="24"/>
        </w:rPr>
        <w:t xml:space="preserve">i numărul de proiecte necesare pentru evaluarea experienței anterioare în cadrul fiecărei licitații. </w:t>
      </w:r>
    </w:p>
    <w:p w14:paraId="3684A15C" w14:textId="77777777" w:rsidR="006F2C09" w:rsidRPr="00365949" w:rsidRDefault="00485E9B">
      <w:pPr>
        <w:pStyle w:val="ListParagraph"/>
        <w:numPr>
          <w:ilvl w:val="1"/>
          <w:numId w:val="12"/>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stabilește cerințele privind dovezile necesare pentru a demonstra experiența anterioară, care pot include următoarele: (i) experiență în dezvoltarea și exploatarea centralelor de producere a energiei electrice din surse regenerabile, care să cuprindă un număr minim de centrale cu o capacitate cumulată predeterminată și o cerință privind momentul în care se poate solicita ca fiecare centrală să fi ajuns la exploatarea comercială, care nu poate fi mai mare de 10 ani înainte de termenul limită pentru depunerea ofertelor.</w:t>
      </w:r>
    </w:p>
    <w:p w14:paraId="3684A15D" w14:textId="77777777" w:rsidR="006F2C09" w:rsidRPr="00365949" w:rsidRDefault="00485E9B">
      <w:pPr>
        <w:pStyle w:val="ListParagraph"/>
        <w:numPr>
          <w:ilvl w:val="1"/>
          <w:numId w:val="12"/>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Investitorul poate alege să demonstreze separat experiența de dezvoltare și experiența de exploatare prin intermediul unor facilități diferite.</w:t>
      </w:r>
    </w:p>
    <w:p w14:paraId="3684A15E" w14:textId="77777777" w:rsidR="006F2C09" w:rsidRPr="00365949" w:rsidRDefault="00485E9B">
      <w:pPr>
        <w:pStyle w:val="ListParagraph"/>
        <w:numPr>
          <w:ilvl w:val="1"/>
          <w:numId w:val="12"/>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Documentele justificative pot include:</w:t>
      </w:r>
    </w:p>
    <w:p w14:paraId="3684A15F" w14:textId="77777777" w:rsidR="006F2C09" w:rsidRPr="00365949" w:rsidRDefault="00485E9B">
      <w:pPr>
        <w:pStyle w:val="ListParagraph"/>
        <w:numPr>
          <w:ilvl w:val="1"/>
          <w:numId w:val="1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Un certificat valabil de punere în funcțiune sau un alt document echivalent;</w:t>
      </w:r>
    </w:p>
    <w:p w14:paraId="3684A160" w14:textId="77777777" w:rsidR="006F2C09" w:rsidRPr="00365949" w:rsidRDefault="00485E9B">
      <w:pPr>
        <w:pStyle w:val="ListParagraph"/>
        <w:numPr>
          <w:ilvl w:val="1"/>
          <w:numId w:val="1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Dovada dezvoltării și/sau a funcționării;</w:t>
      </w:r>
    </w:p>
    <w:p w14:paraId="3684A161" w14:textId="77777777" w:rsidR="006F2C09" w:rsidRPr="00365949" w:rsidRDefault="00485E9B">
      <w:pPr>
        <w:pStyle w:val="ListParagraph"/>
        <w:numPr>
          <w:ilvl w:val="1"/>
          <w:numId w:val="1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Documente contractuale sau alte autorizații eliberate de autoritățile competente care certifică punerea în funcțiune și/sau exploatarea instalațiilor.</w:t>
      </w:r>
    </w:p>
    <w:p w14:paraId="3684A162" w14:textId="77777777" w:rsidR="006F2C09" w:rsidRPr="00365949" w:rsidRDefault="00485E9B">
      <w:pPr>
        <w:pStyle w:val="ListParagraph"/>
        <w:numPr>
          <w:ilvl w:val="1"/>
          <w:numId w:val="1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orice altă documentație echivalentă, după cum consideră Comisia de licitație că este adecvat.”</w:t>
      </w:r>
    </w:p>
    <w:p w14:paraId="3684A163"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Pct. 95 va avea următorul cuprins: „95. </w:t>
      </w:r>
      <w:bookmarkStart w:id="24" w:name="_Hlk150795482"/>
      <w:r w:rsidRPr="00365949">
        <w:rPr>
          <w:rFonts w:ascii="Times New Roman Regular" w:hAnsi="Times New Roman Regular" w:cs="Times New Roman Regular"/>
          <w:sz w:val="24"/>
          <w:szCs w:val="24"/>
        </w:rPr>
        <w:t>Decizia de adjudecare adoptată de Comisia de licitații poate fi contestată, în termenele și în condițiile prevăzute în Codul administrativ nr. 116/2018.</w:t>
      </w:r>
    </w:p>
    <w:bookmarkEnd w:id="24"/>
    <w:p w14:paraId="3684A164"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 Pct. 99 va avea următorul cuprins: „1) Hotărârea Guvernului privind oferirea statutului de producător eligibil  mare va conține următoarele informații:</w:t>
      </w:r>
    </w:p>
    <w:p w14:paraId="3684A165" w14:textId="77777777"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1) denumirea producătorului eligibil mare;</w:t>
      </w:r>
    </w:p>
    <w:p w14:paraId="3684A166" w14:textId="77777777"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2) tipul de tehnologie de producere a energiei electrice din surse regenerabile;</w:t>
      </w:r>
    </w:p>
    <w:p w14:paraId="3684A167" w14:textId="77777777"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3) zona </w:t>
      </w:r>
      <w:proofErr w:type="spellStart"/>
      <w:r w:rsidRPr="00365949">
        <w:rPr>
          <w:rFonts w:ascii="Times New Roman Regular" w:hAnsi="Times New Roman Regular" w:cs="Times New Roman Regular"/>
          <w:sz w:val="24"/>
          <w:szCs w:val="24"/>
        </w:rPr>
        <w:t>şi</w:t>
      </w:r>
      <w:proofErr w:type="spellEnd"/>
      <w:r w:rsidRPr="00365949">
        <w:rPr>
          <w:rFonts w:ascii="Times New Roman Regular" w:hAnsi="Times New Roman Regular" w:cs="Times New Roman Regular"/>
          <w:sz w:val="24"/>
          <w:szCs w:val="24"/>
        </w:rPr>
        <w:t xml:space="preserve"> locul amplasării centralei electrice/centralelor electrice care utilizează SRE;</w:t>
      </w:r>
    </w:p>
    <w:p w14:paraId="3684A168" w14:textId="77777777" w:rsidR="006F2C09" w:rsidRPr="00365949" w:rsidRDefault="006F2C09">
      <w:pPr>
        <w:pStyle w:val="ListParagraph"/>
        <w:ind w:left="786"/>
        <w:jc w:val="both"/>
        <w:rPr>
          <w:rFonts w:ascii="Times New Roman Regular" w:hAnsi="Times New Roman Regular" w:cs="Times New Roman Regular"/>
          <w:sz w:val="24"/>
          <w:szCs w:val="24"/>
        </w:rPr>
      </w:pPr>
    </w:p>
    <w:p w14:paraId="3684A169" w14:textId="77777777"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4) puterea instalată a centralei electrice/centralelor electrice care utilizează SRE, factorul de putere mediu;</w:t>
      </w:r>
    </w:p>
    <w:p w14:paraId="3684A16A" w14:textId="77777777"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5) cantitatea medie anuală de producere a energiei electrice din surse regenerabile;</w:t>
      </w:r>
    </w:p>
    <w:p w14:paraId="3684A16B" w14:textId="77777777"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6) termenul de punere în funcțiune a centralei electrice/centralelor electrice care utilizează SRE;</w:t>
      </w:r>
    </w:p>
    <w:p w14:paraId="3684A16C" w14:textId="77777777"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7) prețul fix la care producătorul eligibil respectiv va vinde energia electrică din surse regenerabile (la care ofertantul a câștigat licitația și așa cum este indicat în hotărârea Guvernului de acordare a statutului de producător eligibil), sub rezerva ajustărilor de către Agenția Națională pentru Reglementare în domeniul Energeticii, în conformitate cu metodologia aprobată și în funcție de evoluția cursului de schimb al monedei naționale față de USD, în conformitate cu art. 37(1) din Legea nr. 10/ 2016 privind promovarea utilizării energiei din surse regenerabile.   </w:t>
      </w:r>
    </w:p>
    <w:p w14:paraId="3684A16D" w14:textId="77777777"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lastRenderedPageBreak/>
        <w:t>2) Hotărârea Guvernului privind oferirea statutului de producător eligibil mare este echivalentă cu autorizația de instalare a centralelor electrice cu o putere instalată mai mare de 20 MW</w:t>
      </w:r>
    </w:p>
    <w:p w14:paraId="3684A16E" w14:textId="77777777" w:rsidR="006F2C09" w:rsidRPr="00365949" w:rsidRDefault="00485E9B">
      <w:pPr>
        <w:pStyle w:val="ListParagraph"/>
        <w:numPr>
          <w:ilvl w:val="0"/>
          <w:numId w:val="3"/>
        </w:numPr>
        <w:ind w:left="851" w:hanging="425"/>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La pct. 107, </w:t>
      </w:r>
      <w:proofErr w:type="spellStart"/>
      <w:r w:rsidRPr="00365949">
        <w:rPr>
          <w:rFonts w:ascii="Times New Roman Regular" w:hAnsi="Times New Roman Regular" w:cs="Times New Roman Regular"/>
          <w:sz w:val="24"/>
          <w:szCs w:val="24"/>
        </w:rPr>
        <w:t>sbp</w:t>
      </w:r>
      <w:proofErr w:type="spellEnd"/>
      <w:r w:rsidRPr="00365949">
        <w:rPr>
          <w:rFonts w:ascii="Times New Roman Regular" w:hAnsi="Times New Roman Regular" w:cs="Times New Roman Regular"/>
          <w:sz w:val="24"/>
          <w:szCs w:val="24"/>
        </w:rPr>
        <w:t xml:space="preserve">. 8)  textul „acordul de mediu sau avizul expertizei ecologice de stat, emis de către organul competent în domeniul mediului” se substituie cu textul „decizia cu privire la acordul de mediu </w:t>
      </w:r>
      <w:proofErr w:type="spellStart"/>
      <w:r w:rsidRPr="00365949">
        <w:rPr>
          <w:rFonts w:ascii="Times New Roman Regular" w:hAnsi="Times New Roman Regular" w:cs="Times New Roman Regular"/>
          <w:sz w:val="24"/>
          <w:szCs w:val="24"/>
        </w:rPr>
        <w:t>şi</w:t>
      </w:r>
      <w:proofErr w:type="spellEnd"/>
      <w:r w:rsidRPr="00365949">
        <w:rPr>
          <w:rFonts w:ascii="Times New Roman Regular" w:hAnsi="Times New Roman Regular" w:cs="Times New Roman Regular"/>
          <w:sz w:val="24"/>
          <w:szCs w:val="24"/>
        </w:rPr>
        <w:t xml:space="preserve"> acordul de mediu emis de </w:t>
      </w:r>
      <w:proofErr w:type="spellStart"/>
      <w:r w:rsidRPr="00365949">
        <w:rPr>
          <w:rFonts w:ascii="Times New Roman Regular" w:hAnsi="Times New Roman Regular" w:cs="Times New Roman Regular"/>
          <w:sz w:val="24"/>
          <w:szCs w:val="24"/>
        </w:rPr>
        <w:t>Agenţia</w:t>
      </w:r>
      <w:proofErr w:type="spellEnd"/>
      <w:r w:rsidRPr="00365949">
        <w:rPr>
          <w:rFonts w:ascii="Times New Roman Regular" w:hAnsi="Times New Roman Regular" w:cs="Times New Roman Regular"/>
          <w:sz w:val="24"/>
          <w:szCs w:val="24"/>
        </w:rPr>
        <w:t xml:space="preserve"> de Mediu în conformitate cu Legea nr. 86/2014 privind evaluarea impactului asupra mediului” </w:t>
      </w:r>
    </w:p>
    <w:p w14:paraId="3684A16F"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Pct. 109  va avea următorul cuprins:</w:t>
      </w:r>
    </w:p>
    <w:p w14:paraId="3684A170" w14:textId="77777777"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„1)Garanția de bună execuție a contractului este stabilită în documentația de licitație într-o sumă fixă pentru fiecare 1 kW de putere instalată, cu o rată de eroare de maximum +/- 1 % din capacitatea totală instalată, și este unică pentru toți investitorii de proiecte care utilizează un anumit tip de tehnologie de producție și, dacă este cazul, care se încadrează în aceeași categorie de capacitate. Valoarea garanției de bună execuție a contractului pentru 1 kW de capacitate instalată nu poate depăși 5% din valoarea investiției specifice luate în considerare la stabilirea de către Agenția Națională de Reglementare în Domeniul Energiei a prețurilor plafon pentru licitația în cauză, în conformitate cu Legea nr. 10/2016 privind promovarea utilizării energiei din surse regenerabile. Garanția de bună execuție a contractului se prezintă de către producătorii eligibili sub forma unei scrisori de garanție bancară emisă de o bancă din Republica Moldova, după caz, de o bancă străină care îndeplinește cerințele de rating de credit stabilite în documentația de licitație, de preferință cu corespondent în Republica Moldova, valabilă pentru întreaga perioadă de construcție și recepție finală a lucrărilor de construcție a centralei electrice care utilizează SRE.“</w:t>
      </w:r>
    </w:p>
    <w:p w14:paraId="3684A171" w14:textId="77777777" w:rsidR="006F2C09" w:rsidRPr="00365949" w:rsidRDefault="00485E9B">
      <w:pPr>
        <w:pStyle w:val="ListParagraph"/>
        <w:ind w:left="786"/>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2) Garanția de buna execuție nu se va depune în cazul când investitorul prezintă dovada punerii în exploatare a centralei/centralelor prezintând actele de admitere eliberate de către ANRE.”</w:t>
      </w:r>
    </w:p>
    <w:p w14:paraId="3684A172"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Pct. 113 va avea următorul cuprins:„113 Termenul de punere în funcțiune a centralei electrice care utilizează SRE, indicat la punctul 107 subpunctul 2), poate fi prelungit de către Guvern, în cazul oferirii statutului de producător eligibil în cadrul licitației pe un termen de 6 luni, dar nu mai mult de 24 luni, dacă centrala electrică respectivă nu poate fi pusă în funcțiune din motive întemeiate, neimputabile producătorului eligibil (condiții de forță majoră; lipsa posibilității de a o racorda la rețeaua electrică din cauza nerespectării de către operatorul sistemului de transport, operatorul sistemului de distribuție a termenelor privind dezvoltarea rețelei electrice; întârzierea de către operatorul de sistem în executarea și punerea în funcțiune a instalației de racordare conform contractului de racordare). Circumstanțele care constituie un impediment care justifică neexecutarea obligației debitorului sunt evaluate și certificate printr-un aviz emis de autoritatea competentă în conformitate cu Legea nr. 393/1999 și cu Regulamentul privind emiterea avizului de certificare a impedimentului care justifică neexecutarea obligației, aprobat prin Hotărârea Camerei de Comerț și Industrie nr. 35/1 din 25 septembrie 2020, cu modificările ulterioare.”</w:t>
      </w:r>
    </w:p>
    <w:p w14:paraId="07FA2F60" w14:textId="77777777" w:rsidR="00485E9B" w:rsidRPr="00365949" w:rsidRDefault="00485E9B" w:rsidP="00365949">
      <w:pPr>
        <w:pStyle w:val="ListParagraph"/>
        <w:ind w:left="786"/>
        <w:jc w:val="both"/>
        <w:rPr>
          <w:rFonts w:ascii="Times New Roman Regular" w:hAnsi="Times New Roman Regular" w:cs="Times New Roman Regular"/>
          <w:sz w:val="24"/>
          <w:szCs w:val="24"/>
        </w:rPr>
      </w:pPr>
    </w:p>
    <w:p w14:paraId="3684A173" w14:textId="77777777" w:rsidR="006F2C09" w:rsidRPr="00365949" w:rsidRDefault="00485E9B">
      <w:pPr>
        <w:pStyle w:val="ListParagraph"/>
        <w:numPr>
          <w:ilvl w:val="0"/>
          <w:numId w:val="3"/>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Capitolul V Dispoziții finale se abrogă.</w:t>
      </w:r>
    </w:p>
    <w:p w14:paraId="3684A174" w14:textId="77777777" w:rsidR="006F2C09" w:rsidRPr="00365949" w:rsidRDefault="006F2C09">
      <w:pPr>
        <w:pStyle w:val="ListParagraph"/>
        <w:ind w:left="1429"/>
        <w:jc w:val="both"/>
        <w:rPr>
          <w:rFonts w:ascii="Times New Roman Regular" w:hAnsi="Times New Roman Regular" w:cs="Times New Roman Regular"/>
          <w:color w:val="FF0000"/>
          <w:sz w:val="24"/>
          <w:szCs w:val="24"/>
        </w:rPr>
      </w:pPr>
    </w:p>
    <w:p w14:paraId="3684A175" w14:textId="77777777" w:rsidR="006F2C09" w:rsidRPr="00365949" w:rsidRDefault="00485E9B">
      <w:pPr>
        <w:pStyle w:val="ListParagraph"/>
        <w:numPr>
          <w:ilvl w:val="0"/>
          <w:numId w:val="1"/>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lastRenderedPageBreak/>
        <w:t>Se completează cu pct. 1</w:t>
      </w:r>
      <w:r w:rsidRPr="00365949">
        <w:rPr>
          <w:rFonts w:ascii="Times New Roman Regular" w:hAnsi="Times New Roman Regular" w:cs="Times New Roman Regular"/>
          <w:sz w:val="24"/>
          <w:szCs w:val="24"/>
          <w:vertAlign w:val="superscript"/>
        </w:rPr>
        <w:t xml:space="preserve">1 </w:t>
      </w:r>
      <w:r w:rsidRPr="00365949">
        <w:rPr>
          <w:rFonts w:ascii="Times New Roman Regular" w:hAnsi="Times New Roman Regular" w:cs="Times New Roman Regular"/>
          <w:sz w:val="24"/>
          <w:szCs w:val="24"/>
        </w:rPr>
        <w:t>cu următorul conținut  „Pentru prima licitație organizată, după intrarea în vigoare a prezentului regulament</w:t>
      </w:r>
      <w:r w:rsidRPr="00365949">
        <w:rPr>
          <w:rFonts w:ascii="Times New Roman Regular" w:hAnsi="Times New Roman Regular" w:cs="Times New Roman Regular"/>
          <w:kern w:val="0"/>
          <w:sz w:val="24"/>
          <w:szCs w:val="24"/>
          <w14:ligatures w14:val="none"/>
        </w:rPr>
        <w:t xml:space="preserve">, </w:t>
      </w:r>
      <w:r w:rsidRPr="00365949">
        <w:rPr>
          <w:rFonts w:ascii="Times New Roman Regular" w:hAnsi="Times New Roman Regular" w:cs="Times New Roman Regular"/>
          <w:sz w:val="24"/>
          <w:szCs w:val="24"/>
        </w:rPr>
        <w:t>anunțul de licitație va fi publicat în conformitate cu art. II alin. 1) pct. 1 lit. a) a Legii Nr. 331/2023 pentru modificarea Legii nr. 10/2016 privind promovarea utilizării energiei din surse regenerabile”</w:t>
      </w:r>
    </w:p>
    <w:p w14:paraId="3684A176" w14:textId="77777777" w:rsidR="006F2C09" w:rsidRPr="00365949" w:rsidRDefault="00485E9B">
      <w:pPr>
        <w:pStyle w:val="ListParagraph"/>
        <w:numPr>
          <w:ilvl w:val="0"/>
          <w:numId w:val="1"/>
        </w:numPr>
        <w:jc w:val="bot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Pct. 3 va avea următorul cuprins: „3. </w:t>
      </w:r>
      <w:r w:rsidRPr="00365949">
        <w:rPr>
          <w:rFonts w:ascii="Times New Roman Regular" w:hAnsi="Times New Roman Regular" w:cs="Times New Roman Regular"/>
          <w:color w:val="333333"/>
          <w:sz w:val="24"/>
          <w:szCs w:val="24"/>
          <w:shd w:val="clear" w:color="auto" w:fill="FFFFFF"/>
        </w:rPr>
        <w:t>Controlul asupra executării prezentei hotărâri se pune în sarcina Ministerului Energiei. ”</w:t>
      </w:r>
    </w:p>
    <w:p w14:paraId="3684A177" w14:textId="43767FC2" w:rsidR="006F2C09" w:rsidRPr="00365949" w:rsidRDefault="00485E9B">
      <w:pPr>
        <w:pStyle w:val="ListParagraph"/>
        <w:numPr>
          <w:ilvl w:val="0"/>
          <w:numId w:val="1"/>
        </w:numPr>
        <w:jc w:val="both"/>
        <w:rPr>
          <w:rFonts w:ascii="Times New Roman Regular" w:hAnsi="Times New Roman Regular" w:cs="Times New Roman Regular"/>
          <w:color w:val="FF0000"/>
          <w:sz w:val="24"/>
          <w:szCs w:val="24"/>
        </w:rPr>
      </w:pPr>
      <w:r w:rsidRPr="00365949">
        <w:rPr>
          <w:rFonts w:ascii="Times New Roman Regular" w:hAnsi="Times New Roman Regular" w:cs="Times New Roman Regular"/>
          <w:sz w:val="24"/>
          <w:szCs w:val="24"/>
        </w:rPr>
        <w:t>Se completează cu pct. 4 cu următorul cuprins</w:t>
      </w:r>
      <w:r w:rsidR="005B6952" w:rsidRPr="00365949">
        <w:rPr>
          <w:rFonts w:ascii="Times New Roman Regular" w:hAnsi="Times New Roman Regular" w:cs="Times New Roman Regular"/>
          <w:sz w:val="24"/>
          <w:szCs w:val="24"/>
        </w:rPr>
        <w:t xml:space="preserve"> </w:t>
      </w:r>
      <w:r w:rsidRPr="00365949">
        <w:rPr>
          <w:rFonts w:ascii="Times New Roman Regular" w:hAnsi="Times New Roman Regular" w:cs="Times New Roman Regular"/>
          <w:sz w:val="24"/>
          <w:szCs w:val="24"/>
        </w:rPr>
        <w:t>„Prezenta hotărâre intră în vigoare la data publicării în Monitorul Oficial al Republicii Moldova.”</w:t>
      </w:r>
    </w:p>
    <w:p w14:paraId="0CFC1B8A" w14:textId="77777777" w:rsidR="005C3334" w:rsidRPr="00365949" w:rsidRDefault="005C3334" w:rsidP="005C3334">
      <w:pPr>
        <w:pStyle w:val="ListParagraph"/>
        <w:jc w:val="both"/>
        <w:rPr>
          <w:rFonts w:ascii="Times New Roman Regular" w:hAnsi="Times New Roman Regular" w:cs="Times New Roman Regular"/>
          <w:sz w:val="24"/>
          <w:szCs w:val="24"/>
        </w:rPr>
      </w:pPr>
    </w:p>
    <w:p w14:paraId="501DDE4F" w14:textId="77777777" w:rsidR="005C3334" w:rsidRPr="00365949" w:rsidRDefault="005C3334" w:rsidP="005C3334">
      <w:pPr>
        <w:pStyle w:val="ListParagraph"/>
        <w:rPr>
          <w:rFonts w:ascii="Times New Roman Regular" w:hAnsi="Times New Roman Regular" w:cs="Times New Roman Regular"/>
          <w:sz w:val="24"/>
          <w:szCs w:val="24"/>
        </w:rPr>
      </w:pPr>
    </w:p>
    <w:p w14:paraId="24E64D40" w14:textId="77777777" w:rsidR="005C3334" w:rsidRPr="00365949" w:rsidRDefault="005C3334" w:rsidP="005C3334">
      <w:pPr>
        <w:pStyle w:val="ListParagraph"/>
        <w:rPr>
          <w:rFonts w:ascii="Times New Roman Regular" w:hAnsi="Times New Roman Regular" w:cs="Times New Roman Regular"/>
          <w:sz w:val="24"/>
          <w:szCs w:val="24"/>
        </w:rPr>
      </w:pPr>
      <w:r w:rsidRPr="00365949">
        <w:rPr>
          <w:rFonts w:ascii="Times New Roman Regular" w:hAnsi="Times New Roman Regular" w:cs="Times New Roman Regular"/>
          <w:b/>
          <w:sz w:val="24"/>
          <w:szCs w:val="24"/>
        </w:rPr>
        <w:t>Prim-ministru</w:t>
      </w:r>
      <w:r w:rsidRPr="00365949">
        <w:rPr>
          <w:rFonts w:ascii="Times New Roman Regular" w:hAnsi="Times New Roman Regular" w:cs="Times New Roman Regular"/>
          <w:b/>
          <w:sz w:val="24"/>
          <w:szCs w:val="24"/>
        </w:rPr>
        <w:tab/>
      </w:r>
      <w:r w:rsidRPr="00365949">
        <w:rPr>
          <w:rFonts w:ascii="Times New Roman Regular" w:hAnsi="Times New Roman Regular" w:cs="Times New Roman Regular"/>
          <w:b/>
          <w:sz w:val="24"/>
          <w:szCs w:val="24"/>
        </w:rPr>
        <w:tab/>
      </w:r>
      <w:r w:rsidRPr="00365949">
        <w:rPr>
          <w:rFonts w:ascii="Times New Roman Regular" w:hAnsi="Times New Roman Regular" w:cs="Times New Roman Regular"/>
          <w:b/>
          <w:sz w:val="24"/>
          <w:szCs w:val="24"/>
        </w:rPr>
        <w:tab/>
      </w:r>
      <w:r w:rsidRPr="00365949">
        <w:rPr>
          <w:rFonts w:ascii="Times New Roman Regular" w:hAnsi="Times New Roman Regular" w:cs="Times New Roman Regular"/>
          <w:b/>
          <w:sz w:val="24"/>
          <w:szCs w:val="24"/>
        </w:rPr>
        <w:tab/>
      </w:r>
      <w:r w:rsidRPr="00365949">
        <w:rPr>
          <w:rFonts w:ascii="Times New Roman Regular" w:hAnsi="Times New Roman Regular" w:cs="Times New Roman Regular"/>
          <w:b/>
          <w:sz w:val="24"/>
          <w:szCs w:val="24"/>
        </w:rPr>
        <w:tab/>
        <w:t>DORIN RECEAN</w:t>
      </w:r>
    </w:p>
    <w:p w14:paraId="322E4DD8" w14:textId="77777777" w:rsidR="005C3334" w:rsidRPr="00365949" w:rsidRDefault="005C3334" w:rsidP="005C3334">
      <w:pPr>
        <w:pStyle w:val="ListParagraph"/>
        <w:rPr>
          <w:rFonts w:ascii="Times New Roman Regular" w:hAnsi="Times New Roman Regular" w:cs="Times New Roman Regular"/>
          <w:sz w:val="24"/>
          <w:szCs w:val="24"/>
        </w:rPr>
      </w:pPr>
    </w:p>
    <w:p w14:paraId="356D16C9" w14:textId="77777777" w:rsidR="005C3334" w:rsidRPr="00365949" w:rsidRDefault="005C3334" w:rsidP="005C3334">
      <w:pPr>
        <w:pStyle w:val="ListParagraph"/>
        <w:rPr>
          <w:rFonts w:ascii="Times New Roman Regular" w:hAnsi="Times New Roman Regular" w:cs="Times New Roman Regular"/>
          <w:sz w:val="24"/>
          <w:szCs w:val="24"/>
        </w:rPr>
      </w:pPr>
    </w:p>
    <w:p w14:paraId="350FE327" w14:textId="77777777" w:rsidR="005C3334" w:rsidRPr="00365949" w:rsidRDefault="005C3334" w:rsidP="005C3334">
      <w:pPr>
        <w:pStyle w:val="ListParagrap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Contrasemnează:</w:t>
      </w:r>
    </w:p>
    <w:p w14:paraId="3D8A299B" w14:textId="77777777" w:rsidR="005C3334" w:rsidRPr="00365949" w:rsidRDefault="005C3334" w:rsidP="005C3334">
      <w:pPr>
        <w:pStyle w:val="ListParagraph"/>
        <w:rPr>
          <w:rFonts w:ascii="Times New Roman Regular" w:hAnsi="Times New Roman Regular" w:cs="Times New Roman Regular"/>
          <w:sz w:val="24"/>
          <w:szCs w:val="24"/>
        </w:rPr>
      </w:pPr>
    </w:p>
    <w:p w14:paraId="786B025C" w14:textId="77777777" w:rsidR="005C3334" w:rsidRPr="00365949" w:rsidRDefault="005C3334" w:rsidP="005C3334">
      <w:pPr>
        <w:pStyle w:val="ListParagraph"/>
        <w:rPr>
          <w:rFonts w:ascii="Times New Roman Regular" w:hAnsi="Times New Roman Regular" w:cs="Times New Roman Regular"/>
          <w:sz w:val="24"/>
          <w:szCs w:val="24"/>
        </w:rPr>
      </w:pPr>
    </w:p>
    <w:p w14:paraId="3C468892" w14:textId="77777777" w:rsidR="005C3334" w:rsidRPr="00365949" w:rsidRDefault="005C3334" w:rsidP="005C3334">
      <w:pPr>
        <w:pStyle w:val="ListParagrap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Ministrul energiei</w:t>
      </w:r>
      <w:r w:rsidRPr="00365949">
        <w:rPr>
          <w:rFonts w:ascii="Times New Roman Regular" w:hAnsi="Times New Roman Regular" w:cs="Times New Roman Regular"/>
          <w:sz w:val="24"/>
          <w:szCs w:val="24"/>
        </w:rPr>
        <w:tab/>
      </w:r>
      <w:r w:rsidRPr="00365949">
        <w:rPr>
          <w:rFonts w:ascii="Times New Roman Regular" w:hAnsi="Times New Roman Regular" w:cs="Times New Roman Regular"/>
          <w:sz w:val="24"/>
          <w:szCs w:val="24"/>
        </w:rPr>
        <w:tab/>
      </w:r>
      <w:r w:rsidRPr="00365949">
        <w:rPr>
          <w:rFonts w:ascii="Times New Roman Regular" w:hAnsi="Times New Roman Regular" w:cs="Times New Roman Regular"/>
          <w:sz w:val="24"/>
          <w:szCs w:val="24"/>
        </w:rPr>
        <w:tab/>
      </w:r>
      <w:r w:rsidRPr="00365949">
        <w:rPr>
          <w:rFonts w:ascii="Times New Roman Regular" w:hAnsi="Times New Roman Regular" w:cs="Times New Roman Regular"/>
          <w:sz w:val="24"/>
          <w:szCs w:val="24"/>
        </w:rPr>
        <w:tab/>
      </w:r>
      <w:r w:rsidRPr="00365949">
        <w:rPr>
          <w:rFonts w:ascii="Times New Roman Regular" w:hAnsi="Times New Roman Regular" w:cs="Times New Roman Regular"/>
          <w:sz w:val="24"/>
          <w:szCs w:val="24"/>
        </w:rPr>
        <w:tab/>
        <w:t xml:space="preserve">Victor </w:t>
      </w:r>
      <w:proofErr w:type="spellStart"/>
      <w:r w:rsidRPr="00365949">
        <w:rPr>
          <w:rFonts w:ascii="Times New Roman Regular" w:hAnsi="Times New Roman Regular" w:cs="Times New Roman Regular"/>
          <w:sz w:val="24"/>
          <w:szCs w:val="24"/>
        </w:rPr>
        <w:t>Parlicov</w:t>
      </w:r>
      <w:proofErr w:type="spellEnd"/>
    </w:p>
    <w:p w14:paraId="78F21A55" w14:textId="77777777" w:rsidR="005C3334" w:rsidRPr="00365949" w:rsidRDefault="005C3334" w:rsidP="005C3334">
      <w:pPr>
        <w:pStyle w:val="ListParagraph"/>
        <w:rPr>
          <w:rFonts w:ascii="Times New Roman Regular" w:hAnsi="Times New Roman Regular" w:cs="Times New Roman Regular"/>
          <w:sz w:val="24"/>
          <w:szCs w:val="24"/>
        </w:rPr>
      </w:pPr>
    </w:p>
    <w:p w14:paraId="7AE93226" w14:textId="77777777" w:rsidR="005C3334" w:rsidRPr="00365949" w:rsidRDefault="005C3334" w:rsidP="005C3334">
      <w:pPr>
        <w:pStyle w:val="ListParagraph"/>
        <w:rPr>
          <w:rFonts w:ascii="Times New Roman Regular" w:hAnsi="Times New Roman Regular" w:cs="Times New Roman Regular"/>
          <w:sz w:val="24"/>
          <w:szCs w:val="24"/>
        </w:rPr>
      </w:pPr>
    </w:p>
    <w:p w14:paraId="5F35E4FF" w14:textId="77777777" w:rsidR="005C3334" w:rsidRPr="00365949" w:rsidRDefault="005C3334" w:rsidP="005C3334">
      <w:pPr>
        <w:pStyle w:val="ListParagraph"/>
        <w:rPr>
          <w:rFonts w:ascii="Times New Roman Regular" w:hAnsi="Times New Roman Regular" w:cs="Times New Roman Regular"/>
          <w:sz w:val="24"/>
          <w:szCs w:val="24"/>
        </w:rPr>
      </w:pPr>
    </w:p>
    <w:p w14:paraId="319EFAF5" w14:textId="77777777" w:rsidR="005C3334" w:rsidRPr="00365949" w:rsidRDefault="005C3334" w:rsidP="005C3334">
      <w:pPr>
        <w:pStyle w:val="ListParagraph"/>
        <w:rPr>
          <w:rFonts w:ascii="Times New Roman Regular" w:hAnsi="Times New Roman Regular" w:cs="Times New Roman Regular"/>
          <w:sz w:val="24"/>
          <w:szCs w:val="24"/>
        </w:rPr>
      </w:pPr>
    </w:p>
    <w:p w14:paraId="3B0E4732" w14:textId="77777777" w:rsidR="005C3334" w:rsidRPr="00365949" w:rsidRDefault="005C3334" w:rsidP="005C3334">
      <w:pPr>
        <w:pStyle w:val="ListParagraph"/>
        <w:rPr>
          <w:rFonts w:ascii="Times New Roman Regular" w:hAnsi="Times New Roman Regular" w:cs="Times New Roman Regular"/>
          <w:sz w:val="24"/>
          <w:szCs w:val="24"/>
        </w:rPr>
      </w:pPr>
    </w:p>
    <w:p w14:paraId="2DCE19DD" w14:textId="77777777" w:rsidR="005C3334" w:rsidRPr="00365949" w:rsidRDefault="005C3334" w:rsidP="005C3334">
      <w:pPr>
        <w:pStyle w:val="ListParagraph"/>
        <w:rPr>
          <w:rFonts w:ascii="Times New Roman Regular" w:hAnsi="Times New Roman Regular" w:cs="Times New Roman Regular"/>
          <w:sz w:val="24"/>
          <w:szCs w:val="24"/>
        </w:rPr>
      </w:pPr>
    </w:p>
    <w:p w14:paraId="56C2FED0" w14:textId="77777777" w:rsidR="005C3334" w:rsidRPr="00365949" w:rsidRDefault="005C3334" w:rsidP="005C3334">
      <w:pPr>
        <w:pStyle w:val="ListParagrap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Vizează:</w:t>
      </w:r>
    </w:p>
    <w:p w14:paraId="11B64F00" w14:textId="77777777" w:rsidR="005C3334" w:rsidRPr="00365949" w:rsidRDefault="005C3334" w:rsidP="005C3334">
      <w:pPr>
        <w:pStyle w:val="ListParagraph"/>
        <w:rPr>
          <w:rFonts w:ascii="Times New Roman Regular" w:hAnsi="Times New Roman Regular" w:cs="Times New Roman Regular"/>
          <w:sz w:val="24"/>
          <w:szCs w:val="24"/>
        </w:rPr>
      </w:pPr>
    </w:p>
    <w:p w14:paraId="1A0179E3" w14:textId="77777777" w:rsidR="005C3334" w:rsidRPr="00365949" w:rsidRDefault="005C3334" w:rsidP="005C3334">
      <w:pPr>
        <w:pStyle w:val="ListParagraph"/>
        <w:rPr>
          <w:rFonts w:ascii="Times New Roman Regular" w:hAnsi="Times New Roman Regular" w:cs="Times New Roman Regular"/>
          <w:sz w:val="24"/>
          <w:szCs w:val="24"/>
        </w:rPr>
      </w:pPr>
    </w:p>
    <w:p w14:paraId="45ADA67F" w14:textId="77777777" w:rsidR="005C3334" w:rsidRPr="00365949" w:rsidRDefault="005C3334" w:rsidP="005C3334">
      <w:pPr>
        <w:pStyle w:val="ListParagrap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Secretar general al Guvernului</w:t>
      </w:r>
      <w:r w:rsidRPr="00365949">
        <w:rPr>
          <w:rFonts w:ascii="Times New Roman Regular" w:hAnsi="Times New Roman Regular" w:cs="Times New Roman Regular"/>
          <w:sz w:val="24"/>
          <w:szCs w:val="24"/>
        </w:rPr>
        <w:tab/>
      </w:r>
      <w:r w:rsidRPr="00365949">
        <w:rPr>
          <w:rFonts w:ascii="Times New Roman Regular" w:hAnsi="Times New Roman Regular" w:cs="Times New Roman Regular"/>
          <w:sz w:val="24"/>
          <w:szCs w:val="24"/>
        </w:rPr>
        <w:tab/>
      </w:r>
      <w:r w:rsidRPr="00365949">
        <w:rPr>
          <w:rFonts w:ascii="Times New Roman Regular" w:hAnsi="Times New Roman Regular" w:cs="Times New Roman Regular"/>
          <w:sz w:val="24"/>
          <w:szCs w:val="24"/>
        </w:rPr>
        <w:tab/>
        <w:t xml:space="preserve">               </w:t>
      </w:r>
      <w:r w:rsidRPr="00365949">
        <w:rPr>
          <w:rFonts w:ascii="Times New Roman Regular" w:hAnsi="Times New Roman Regular" w:cs="Times New Roman Regular"/>
          <w:sz w:val="24"/>
          <w:szCs w:val="24"/>
        </w:rPr>
        <w:tab/>
        <w:t>Artur MIJA</w:t>
      </w:r>
    </w:p>
    <w:p w14:paraId="31D93659" w14:textId="77777777" w:rsidR="005C3334" w:rsidRPr="00365949" w:rsidRDefault="005C3334" w:rsidP="005C3334">
      <w:pPr>
        <w:pStyle w:val="ListParagraph"/>
        <w:rPr>
          <w:rFonts w:ascii="Times New Roman Regular" w:hAnsi="Times New Roman Regular" w:cs="Times New Roman Regular"/>
          <w:sz w:val="24"/>
          <w:szCs w:val="24"/>
        </w:rPr>
      </w:pPr>
    </w:p>
    <w:p w14:paraId="7506B07F" w14:textId="77777777" w:rsidR="005C3334" w:rsidRPr="00365949" w:rsidRDefault="005C3334" w:rsidP="005C3334">
      <w:pPr>
        <w:pStyle w:val="ListParagraph"/>
        <w:rPr>
          <w:rFonts w:ascii="Times New Roman Regular" w:hAnsi="Times New Roman Regular" w:cs="Times New Roman Regular"/>
          <w:sz w:val="24"/>
          <w:szCs w:val="24"/>
        </w:rPr>
      </w:pPr>
    </w:p>
    <w:p w14:paraId="1CADF2DF" w14:textId="77777777" w:rsidR="005C3334" w:rsidRPr="00365949" w:rsidRDefault="005C3334" w:rsidP="005C3334">
      <w:pPr>
        <w:pStyle w:val="ListParagraph"/>
        <w:rPr>
          <w:rFonts w:ascii="Times New Roman Regular" w:hAnsi="Times New Roman Regular" w:cs="Times New Roman Regular"/>
          <w:sz w:val="24"/>
          <w:szCs w:val="24"/>
        </w:rPr>
      </w:pPr>
    </w:p>
    <w:p w14:paraId="584B1CDE" w14:textId="77777777" w:rsidR="005C3334" w:rsidRPr="00365949" w:rsidRDefault="005C3334" w:rsidP="005C3334">
      <w:pPr>
        <w:pStyle w:val="ListParagraph"/>
        <w:rPr>
          <w:rFonts w:ascii="Times New Roman Regular" w:hAnsi="Times New Roman Regular" w:cs="Times New Roman Regular"/>
          <w:sz w:val="24"/>
          <w:szCs w:val="24"/>
        </w:rPr>
      </w:pPr>
    </w:p>
    <w:p w14:paraId="549F51E8" w14:textId="62C41C42" w:rsidR="005C3334" w:rsidRPr="00365949" w:rsidRDefault="005C3334" w:rsidP="005C3334">
      <w:pPr>
        <w:pStyle w:val="ListParagrap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 xml:space="preserve">Aprobată în </w:t>
      </w:r>
      <w:r w:rsidR="00365949" w:rsidRPr="00365949">
        <w:rPr>
          <w:rFonts w:ascii="Times New Roman Regular" w:hAnsi="Times New Roman Regular" w:cs="Times New Roman Regular"/>
          <w:sz w:val="24"/>
          <w:szCs w:val="24"/>
        </w:rPr>
        <w:t>ședința</w:t>
      </w:r>
      <w:r w:rsidRPr="00365949">
        <w:rPr>
          <w:rFonts w:ascii="Times New Roman Regular" w:hAnsi="Times New Roman Regular" w:cs="Times New Roman Regular"/>
          <w:sz w:val="24"/>
          <w:szCs w:val="24"/>
        </w:rPr>
        <w:t xml:space="preserve"> Guvernului</w:t>
      </w:r>
    </w:p>
    <w:p w14:paraId="7F160246" w14:textId="77777777" w:rsidR="005C3334" w:rsidRPr="00365949" w:rsidRDefault="005C3334" w:rsidP="005C3334">
      <w:pPr>
        <w:pStyle w:val="ListParagraph"/>
        <w:rPr>
          <w:rFonts w:ascii="Times New Roman Regular" w:hAnsi="Times New Roman Regular" w:cs="Times New Roman Regular"/>
          <w:sz w:val="24"/>
          <w:szCs w:val="24"/>
        </w:rPr>
      </w:pPr>
      <w:r w:rsidRPr="00365949">
        <w:rPr>
          <w:rFonts w:ascii="Times New Roman Regular" w:hAnsi="Times New Roman Regular" w:cs="Times New Roman Regular"/>
          <w:sz w:val="24"/>
          <w:szCs w:val="24"/>
        </w:rPr>
        <w:t>din</w:t>
      </w:r>
    </w:p>
    <w:p w14:paraId="3057D2A4" w14:textId="77777777" w:rsidR="005C3334" w:rsidRPr="00365949" w:rsidRDefault="005C3334" w:rsidP="00365949">
      <w:pPr>
        <w:pStyle w:val="ListParagraph"/>
        <w:jc w:val="both"/>
        <w:rPr>
          <w:rFonts w:ascii="Times New Roman Regular" w:hAnsi="Times New Roman Regular" w:cs="Times New Roman Regular"/>
          <w:color w:val="FF0000"/>
          <w:sz w:val="24"/>
          <w:szCs w:val="24"/>
        </w:rPr>
      </w:pPr>
    </w:p>
    <w:sectPr w:rsidR="005C3334" w:rsidRPr="003659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84A17A" w16cid:durableId="5AD9C80A"/>
  <w16cid:commentId w16cid:paraId="3684A17B" w16cid:durableId="53A6D8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31EBD" w14:textId="77777777" w:rsidR="00766E7B" w:rsidRDefault="00766E7B">
      <w:pPr>
        <w:spacing w:line="240" w:lineRule="auto"/>
      </w:pPr>
      <w:r>
        <w:separator/>
      </w:r>
    </w:p>
  </w:endnote>
  <w:endnote w:type="continuationSeparator" w:id="0">
    <w:p w14:paraId="435B8B4A" w14:textId="77777777" w:rsidR="00766E7B" w:rsidRDefault="00766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slon">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4A182" w14:textId="77777777" w:rsidR="006F2C09" w:rsidRDefault="00485E9B">
    <w:pPr>
      <w:pStyle w:val="Footer"/>
      <w:jc w:val="center"/>
    </w:pPr>
    <w:r>
      <w:rPr>
        <w:rFonts w:ascii="Arial" w:hAnsi="Arial" w:cs="Arial"/>
        <w:color w:val="0000FF"/>
        <w:sz w:val="18"/>
        <w:szCs w:val="18"/>
        <w:shd w:val="clear" w:color="auto" w:fill="FFFFFF"/>
      </w:rPr>
      <w:t xml:space="preserve">OFICIALĂUTILIZARE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4A183" w14:textId="77777777" w:rsidR="006F2C09" w:rsidRDefault="006F2C0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4A185" w14:textId="77777777" w:rsidR="006F2C09" w:rsidRDefault="00485E9B">
    <w:pPr>
      <w:pStyle w:val="Footer"/>
      <w:jc w:val="center"/>
    </w:pPr>
    <w:r>
      <w:rPr>
        <w:rFonts w:ascii="Arial" w:hAnsi="Arial" w:cs="Arial"/>
        <w:color w:val="0000FF"/>
        <w:sz w:val="18"/>
        <w:szCs w:val="18"/>
        <w:shd w:val="clear" w:color="auto" w:fill="FFFFFF"/>
      </w:rPr>
      <w:t xml:space="preserve">OFICIALĂUTILIZARE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D3370" w14:textId="77777777" w:rsidR="00766E7B" w:rsidRDefault="00766E7B">
      <w:pPr>
        <w:spacing w:after="0"/>
      </w:pPr>
      <w:r>
        <w:separator/>
      </w:r>
    </w:p>
  </w:footnote>
  <w:footnote w:type="continuationSeparator" w:id="0">
    <w:p w14:paraId="348F88FF" w14:textId="77777777" w:rsidR="00766E7B" w:rsidRDefault="00766E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4A180" w14:textId="77777777" w:rsidR="006F2C09" w:rsidRDefault="00485E9B">
    <w:pPr>
      <w:pStyle w:val="Header"/>
      <w:jc w:val="center"/>
    </w:pPr>
    <w:r>
      <w:rPr>
        <w:rFonts w:ascii="Arial" w:hAnsi="Arial" w:cs="Arial"/>
        <w:color w:val="0000FF"/>
        <w:sz w:val="18"/>
        <w:szCs w:val="18"/>
        <w:shd w:val="clear" w:color="auto" w:fill="FFFFFF"/>
      </w:rPr>
      <w:t>UTILIZARE OFICIALĂ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4A181" w14:textId="77777777" w:rsidR="006F2C09" w:rsidRDefault="006F2C0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4A184" w14:textId="77777777" w:rsidR="006F2C09" w:rsidRDefault="00485E9B">
    <w:pPr>
      <w:pStyle w:val="Header"/>
      <w:jc w:val="center"/>
    </w:pPr>
    <w:r>
      <w:rPr>
        <w:rFonts w:ascii="Arial" w:hAnsi="Arial" w:cs="Arial"/>
        <w:color w:val="0000FF"/>
        <w:sz w:val="18"/>
        <w:szCs w:val="18"/>
        <w:shd w:val="clear" w:color="auto" w:fill="FFFFFF"/>
      </w:rPr>
      <w:t xml:space="preserve">OFICIALĂUTILIZARE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3E0B"/>
    <w:multiLevelType w:val="multilevel"/>
    <w:tmpl w:val="03933E0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F44B94"/>
    <w:multiLevelType w:val="multilevel"/>
    <w:tmpl w:val="07F44B9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103BF5"/>
    <w:multiLevelType w:val="multilevel"/>
    <w:tmpl w:val="0E103BF5"/>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92FE5"/>
    <w:multiLevelType w:val="multilevel"/>
    <w:tmpl w:val="1C592FE5"/>
    <w:lvl w:ilvl="0">
      <w:start w:val="1"/>
      <w:numFmt w:val="decimal"/>
      <w:lvlText w:val="%1)"/>
      <w:lvlJc w:val="left"/>
      <w:pPr>
        <w:ind w:left="1506" w:hanging="360"/>
      </w:pPr>
    </w:lvl>
    <w:lvl w:ilvl="1">
      <w:start w:val="1"/>
      <w:numFmt w:val="lowerLetter"/>
      <w:lvlText w:val="%2."/>
      <w:lvlJc w:val="left"/>
      <w:pPr>
        <w:ind w:left="2226" w:hanging="360"/>
      </w:pPr>
    </w:lvl>
    <w:lvl w:ilvl="2">
      <w:start w:val="1"/>
      <w:numFmt w:val="decimal"/>
      <w:lvlText w:val="%3)"/>
      <w:lvlJc w:val="lef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 w15:restartNumberingAfterBreak="0">
    <w:nsid w:val="26F95DCB"/>
    <w:multiLevelType w:val="multilevel"/>
    <w:tmpl w:val="26F95DCB"/>
    <w:lvl w:ilvl="0">
      <w:start w:val="1"/>
      <w:numFmt w:val="lowerLetter"/>
      <w:lvlText w:val="%1)"/>
      <w:lvlJc w:val="left"/>
      <w:pPr>
        <w:ind w:left="786"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09377A"/>
    <w:multiLevelType w:val="multilevel"/>
    <w:tmpl w:val="2B09377A"/>
    <w:lvl w:ilvl="0">
      <w:start w:val="1"/>
      <w:numFmt w:val="decimal"/>
      <w:lvlText w:val="%1)"/>
      <w:lvlJc w:val="left"/>
      <w:pPr>
        <w:ind w:left="1353"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15:restartNumberingAfterBreak="0">
    <w:nsid w:val="34B2564F"/>
    <w:multiLevelType w:val="multilevel"/>
    <w:tmpl w:val="34B2564F"/>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C3168E"/>
    <w:multiLevelType w:val="multilevel"/>
    <w:tmpl w:val="5EC316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030BC4"/>
    <w:multiLevelType w:val="multilevel"/>
    <w:tmpl w:val="6003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F7F34FC"/>
    <w:multiLevelType w:val="multilevel"/>
    <w:tmpl w:val="6F7F34FC"/>
    <w:lvl w:ilvl="0">
      <w:numFmt w:val="bullet"/>
      <w:lvlText w:val="-"/>
      <w:lvlJc w:val="left"/>
      <w:pPr>
        <w:ind w:left="1488"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numFmt w:val="bullet"/>
      <w:lvlText w:val="-"/>
      <w:lvlJc w:val="left"/>
      <w:pPr>
        <w:ind w:left="2208"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571" w:hanging="360"/>
      </w:pPr>
      <w:rPr>
        <w:rFonts w:hint="default"/>
        <w:lang w:val="ro-RO" w:eastAsia="en-US" w:bidi="ar-SA"/>
      </w:rPr>
    </w:lvl>
    <w:lvl w:ilvl="3">
      <w:numFmt w:val="bullet"/>
      <w:lvlText w:val="•"/>
      <w:lvlJc w:val="left"/>
      <w:pPr>
        <w:ind w:left="2943" w:hanging="360"/>
      </w:pPr>
      <w:rPr>
        <w:rFonts w:hint="default"/>
        <w:lang w:val="ro-RO" w:eastAsia="en-US" w:bidi="ar-SA"/>
      </w:rPr>
    </w:lvl>
    <w:lvl w:ilvl="4">
      <w:numFmt w:val="bullet"/>
      <w:lvlText w:val="•"/>
      <w:lvlJc w:val="left"/>
      <w:pPr>
        <w:ind w:left="3315" w:hanging="360"/>
      </w:pPr>
      <w:rPr>
        <w:rFonts w:hint="default"/>
        <w:lang w:val="ro-RO" w:eastAsia="en-US" w:bidi="ar-SA"/>
      </w:rPr>
    </w:lvl>
    <w:lvl w:ilvl="5">
      <w:numFmt w:val="bullet"/>
      <w:lvlText w:val="•"/>
      <w:lvlJc w:val="left"/>
      <w:pPr>
        <w:ind w:left="3687" w:hanging="360"/>
      </w:pPr>
      <w:rPr>
        <w:rFonts w:hint="default"/>
        <w:lang w:val="ro-RO" w:eastAsia="en-US" w:bidi="ar-SA"/>
      </w:rPr>
    </w:lvl>
    <w:lvl w:ilvl="6">
      <w:numFmt w:val="bullet"/>
      <w:lvlText w:val="•"/>
      <w:lvlJc w:val="left"/>
      <w:pPr>
        <w:ind w:left="4058" w:hanging="360"/>
      </w:pPr>
      <w:rPr>
        <w:rFonts w:hint="default"/>
        <w:lang w:val="ro-RO" w:eastAsia="en-US" w:bidi="ar-SA"/>
      </w:rPr>
    </w:lvl>
    <w:lvl w:ilvl="7">
      <w:numFmt w:val="bullet"/>
      <w:lvlText w:val="•"/>
      <w:lvlJc w:val="left"/>
      <w:pPr>
        <w:ind w:left="4430" w:hanging="360"/>
      </w:pPr>
      <w:rPr>
        <w:rFonts w:hint="default"/>
        <w:lang w:val="ro-RO" w:eastAsia="en-US" w:bidi="ar-SA"/>
      </w:rPr>
    </w:lvl>
    <w:lvl w:ilvl="8">
      <w:numFmt w:val="bullet"/>
      <w:lvlText w:val="•"/>
      <w:lvlJc w:val="left"/>
      <w:pPr>
        <w:ind w:left="4802" w:hanging="360"/>
      </w:pPr>
      <w:rPr>
        <w:rFonts w:hint="default"/>
        <w:lang w:val="ro-RO" w:eastAsia="en-US" w:bidi="ar-SA"/>
      </w:rPr>
    </w:lvl>
  </w:abstractNum>
  <w:abstractNum w:abstractNumId="10" w15:restartNumberingAfterBreak="0">
    <w:nsid w:val="7755490D"/>
    <w:multiLevelType w:val="multilevel"/>
    <w:tmpl w:val="7755490D"/>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79E8110D"/>
    <w:multiLevelType w:val="hybridMultilevel"/>
    <w:tmpl w:val="C9FEC586"/>
    <w:lvl w:ilvl="0" w:tplc="1B968878">
      <w:start w:val="1"/>
      <w:numFmt w:val="decimal"/>
      <w:lvlText w:val="%1."/>
      <w:lvlJc w:val="left"/>
      <w:pPr>
        <w:ind w:left="160" w:hanging="360"/>
        <w:jc w:val="right"/>
      </w:pPr>
      <w:rPr>
        <w:rFonts w:ascii="Times New Roman" w:eastAsia="Times New Roman" w:hAnsi="Times New Roman" w:cs="Times New Roman" w:hint="default"/>
        <w:w w:val="100"/>
        <w:sz w:val="24"/>
        <w:szCs w:val="24"/>
        <w:lang w:val="ro-RO" w:eastAsia="en-US" w:bidi="ar-SA"/>
      </w:rPr>
    </w:lvl>
    <w:lvl w:ilvl="1" w:tplc="F678FCA2">
      <w:numFmt w:val="bullet"/>
      <w:lvlText w:val="•"/>
      <w:lvlJc w:val="left"/>
      <w:pPr>
        <w:ind w:left="880" w:hanging="360"/>
      </w:pPr>
      <w:rPr>
        <w:rFonts w:hint="default"/>
        <w:lang w:val="ro-RO" w:eastAsia="en-US" w:bidi="ar-SA"/>
      </w:rPr>
    </w:lvl>
    <w:lvl w:ilvl="2" w:tplc="8CBC7786">
      <w:numFmt w:val="bullet"/>
      <w:lvlText w:val="•"/>
      <w:lvlJc w:val="left"/>
      <w:pPr>
        <w:ind w:left="1940" w:hanging="360"/>
      </w:pPr>
      <w:rPr>
        <w:rFonts w:hint="default"/>
        <w:lang w:val="ro-RO" w:eastAsia="en-US" w:bidi="ar-SA"/>
      </w:rPr>
    </w:lvl>
    <w:lvl w:ilvl="3" w:tplc="BE7AC65E">
      <w:numFmt w:val="bullet"/>
      <w:lvlText w:val="•"/>
      <w:lvlJc w:val="left"/>
      <w:pPr>
        <w:ind w:left="3000" w:hanging="360"/>
      </w:pPr>
      <w:rPr>
        <w:rFonts w:hint="default"/>
        <w:lang w:val="ro-RO" w:eastAsia="en-US" w:bidi="ar-SA"/>
      </w:rPr>
    </w:lvl>
    <w:lvl w:ilvl="4" w:tplc="96CA5210">
      <w:numFmt w:val="bullet"/>
      <w:lvlText w:val="•"/>
      <w:lvlJc w:val="left"/>
      <w:pPr>
        <w:ind w:left="4060" w:hanging="360"/>
      </w:pPr>
      <w:rPr>
        <w:rFonts w:hint="default"/>
        <w:lang w:val="ro-RO" w:eastAsia="en-US" w:bidi="ar-SA"/>
      </w:rPr>
    </w:lvl>
    <w:lvl w:ilvl="5" w:tplc="92762A7C">
      <w:numFmt w:val="bullet"/>
      <w:lvlText w:val="•"/>
      <w:lvlJc w:val="left"/>
      <w:pPr>
        <w:ind w:left="5120" w:hanging="360"/>
      </w:pPr>
      <w:rPr>
        <w:rFonts w:hint="default"/>
        <w:lang w:val="ro-RO" w:eastAsia="en-US" w:bidi="ar-SA"/>
      </w:rPr>
    </w:lvl>
    <w:lvl w:ilvl="6" w:tplc="4880D148">
      <w:numFmt w:val="bullet"/>
      <w:lvlText w:val="•"/>
      <w:lvlJc w:val="left"/>
      <w:pPr>
        <w:ind w:left="6180" w:hanging="360"/>
      </w:pPr>
      <w:rPr>
        <w:rFonts w:hint="default"/>
        <w:lang w:val="ro-RO" w:eastAsia="en-US" w:bidi="ar-SA"/>
      </w:rPr>
    </w:lvl>
    <w:lvl w:ilvl="7" w:tplc="64A8ECFC">
      <w:numFmt w:val="bullet"/>
      <w:lvlText w:val="•"/>
      <w:lvlJc w:val="left"/>
      <w:pPr>
        <w:ind w:left="7240" w:hanging="360"/>
      </w:pPr>
      <w:rPr>
        <w:rFonts w:hint="default"/>
        <w:lang w:val="ro-RO" w:eastAsia="en-US" w:bidi="ar-SA"/>
      </w:rPr>
    </w:lvl>
    <w:lvl w:ilvl="8" w:tplc="33767EE8">
      <w:numFmt w:val="bullet"/>
      <w:lvlText w:val="•"/>
      <w:lvlJc w:val="left"/>
      <w:pPr>
        <w:ind w:left="8300" w:hanging="360"/>
      </w:pPr>
      <w:rPr>
        <w:rFonts w:hint="default"/>
        <w:lang w:val="ro-RO" w:eastAsia="en-US" w:bidi="ar-SA"/>
      </w:rPr>
    </w:lvl>
  </w:abstractNum>
  <w:abstractNum w:abstractNumId="12" w15:restartNumberingAfterBreak="0">
    <w:nsid w:val="7BD02375"/>
    <w:multiLevelType w:val="multilevel"/>
    <w:tmpl w:val="7BD02375"/>
    <w:lvl w:ilvl="0">
      <w:numFmt w:val="bullet"/>
      <w:lvlText w:val="-"/>
      <w:lvlJc w:val="left"/>
      <w:pPr>
        <w:ind w:left="761" w:hanging="356"/>
      </w:pPr>
      <w:rPr>
        <w:rFonts w:ascii="Times New Roman" w:eastAsia="Times New Roman" w:hAnsi="Times New Roman" w:cs="Times New Roman" w:hint="default"/>
        <w:b w:val="0"/>
        <w:bCs w:val="0"/>
        <w:i w:val="0"/>
        <w:iCs w:val="0"/>
        <w:spacing w:val="0"/>
        <w:w w:val="100"/>
        <w:sz w:val="24"/>
        <w:szCs w:val="24"/>
        <w:lang w:val="ro-RO" w:eastAsia="en-US" w:bidi="ar-SA"/>
      </w:rPr>
    </w:lvl>
    <w:lvl w:ilvl="1">
      <w:start w:val="1"/>
      <w:numFmt w:val="bullet"/>
      <w:lvlText w:val="-"/>
      <w:lvlJc w:val="left"/>
      <w:pPr>
        <w:ind w:left="1242" w:hanging="360"/>
      </w:pPr>
      <w:rPr>
        <w:rFonts w:ascii="Times New Roman" w:eastAsiaTheme="minorHAnsi" w:hAnsi="Times New Roman" w:cs="Times New Roman" w:hint="default"/>
      </w:rPr>
    </w:lvl>
    <w:lvl w:ilvl="2">
      <w:numFmt w:val="bullet"/>
      <w:lvlText w:val="•"/>
      <w:lvlJc w:val="left"/>
      <w:pPr>
        <w:ind w:left="1717" w:hanging="356"/>
      </w:pPr>
      <w:rPr>
        <w:rFonts w:hint="default"/>
        <w:lang w:val="ro-RO" w:eastAsia="en-US" w:bidi="ar-SA"/>
      </w:rPr>
    </w:lvl>
    <w:lvl w:ilvl="3">
      <w:numFmt w:val="bullet"/>
      <w:lvlText w:val="•"/>
      <w:lvlJc w:val="left"/>
      <w:pPr>
        <w:ind w:left="2195" w:hanging="356"/>
      </w:pPr>
      <w:rPr>
        <w:rFonts w:hint="default"/>
        <w:lang w:val="ro-RO" w:eastAsia="en-US" w:bidi="ar-SA"/>
      </w:rPr>
    </w:lvl>
    <w:lvl w:ilvl="4">
      <w:numFmt w:val="bullet"/>
      <w:lvlText w:val="•"/>
      <w:lvlJc w:val="left"/>
      <w:pPr>
        <w:ind w:left="2674" w:hanging="356"/>
      </w:pPr>
      <w:rPr>
        <w:rFonts w:hint="default"/>
        <w:lang w:val="ro-RO" w:eastAsia="en-US" w:bidi="ar-SA"/>
      </w:rPr>
    </w:lvl>
    <w:lvl w:ilvl="5">
      <w:numFmt w:val="bullet"/>
      <w:lvlText w:val="•"/>
      <w:lvlJc w:val="left"/>
      <w:pPr>
        <w:ind w:left="3153" w:hanging="356"/>
      </w:pPr>
      <w:rPr>
        <w:rFonts w:hint="default"/>
        <w:lang w:val="ro-RO" w:eastAsia="en-US" w:bidi="ar-SA"/>
      </w:rPr>
    </w:lvl>
    <w:lvl w:ilvl="6">
      <w:numFmt w:val="bullet"/>
      <w:lvlText w:val="•"/>
      <w:lvlJc w:val="left"/>
      <w:pPr>
        <w:ind w:left="3631" w:hanging="356"/>
      </w:pPr>
      <w:rPr>
        <w:rFonts w:hint="default"/>
        <w:lang w:val="ro-RO" w:eastAsia="en-US" w:bidi="ar-SA"/>
      </w:rPr>
    </w:lvl>
    <w:lvl w:ilvl="7">
      <w:numFmt w:val="bullet"/>
      <w:lvlText w:val="•"/>
      <w:lvlJc w:val="left"/>
      <w:pPr>
        <w:ind w:left="4110" w:hanging="356"/>
      </w:pPr>
      <w:rPr>
        <w:rFonts w:hint="default"/>
        <w:lang w:val="ro-RO" w:eastAsia="en-US" w:bidi="ar-SA"/>
      </w:rPr>
    </w:lvl>
    <w:lvl w:ilvl="8">
      <w:numFmt w:val="bullet"/>
      <w:lvlText w:val="•"/>
      <w:lvlJc w:val="left"/>
      <w:pPr>
        <w:ind w:left="4588" w:hanging="356"/>
      </w:pPr>
      <w:rPr>
        <w:rFonts w:hint="default"/>
        <w:lang w:val="ro-RO" w:eastAsia="en-US" w:bidi="ar-SA"/>
      </w:rPr>
    </w:lvl>
  </w:abstractNum>
  <w:abstractNum w:abstractNumId="13" w15:restartNumberingAfterBreak="0">
    <w:nsid w:val="7D5E4DFA"/>
    <w:multiLevelType w:val="multilevel"/>
    <w:tmpl w:val="7D5E4DF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7"/>
  </w:num>
  <w:num w:numId="3">
    <w:abstractNumId w:val="4"/>
  </w:num>
  <w:num w:numId="4">
    <w:abstractNumId w:val="1"/>
  </w:num>
  <w:num w:numId="5">
    <w:abstractNumId w:val="5"/>
  </w:num>
  <w:num w:numId="6">
    <w:abstractNumId w:val="8"/>
  </w:num>
  <w:num w:numId="7">
    <w:abstractNumId w:val="13"/>
  </w:num>
  <w:num w:numId="8">
    <w:abstractNumId w:val="10"/>
  </w:num>
  <w:num w:numId="9">
    <w:abstractNumId w:val="0"/>
  </w:num>
  <w:num w:numId="10">
    <w:abstractNumId w:val="3"/>
  </w:num>
  <w:num w:numId="11">
    <w:abstractNumId w:val="2"/>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22"/>
    <w:rsid w:val="DD5F6B27"/>
    <w:rsid w:val="FF4DC685"/>
    <w:rsid w:val="FF5F74EB"/>
    <w:rsid w:val="FFEFBDD0"/>
    <w:rsid w:val="0000055F"/>
    <w:rsid w:val="000019E6"/>
    <w:rsid w:val="0000533A"/>
    <w:rsid w:val="00010048"/>
    <w:rsid w:val="00012B29"/>
    <w:rsid w:val="00023023"/>
    <w:rsid w:val="00034039"/>
    <w:rsid w:val="00036630"/>
    <w:rsid w:val="00041EE3"/>
    <w:rsid w:val="00045282"/>
    <w:rsid w:val="0004571A"/>
    <w:rsid w:val="0005752A"/>
    <w:rsid w:val="00060E35"/>
    <w:rsid w:val="0006751D"/>
    <w:rsid w:val="000726DC"/>
    <w:rsid w:val="000736DB"/>
    <w:rsid w:val="000751DE"/>
    <w:rsid w:val="000755E2"/>
    <w:rsid w:val="0007600F"/>
    <w:rsid w:val="00086A18"/>
    <w:rsid w:val="00092BE2"/>
    <w:rsid w:val="000A0747"/>
    <w:rsid w:val="000B242A"/>
    <w:rsid w:val="000B32EE"/>
    <w:rsid w:val="000C6CCC"/>
    <w:rsid w:val="000D2A53"/>
    <w:rsid w:val="000D2AE8"/>
    <w:rsid w:val="000D7B38"/>
    <w:rsid w:val="000E160C"/>
    <w:rsid w:val="000F098F"/>
    <w:rsid w:val="000F5CB5"/>
    <w:rsid w:val="000F76AE"/>
    <w:rsid w:val="00101CD9"/>
    <w:rsid w:val="001032B0"/>
    <w:rsid w:val="0010366E"/>
    <w:rsid w:val="00106D37"/>
    <w:rsid w:val="00113141"/>
    <w:rsid w:val="001138DE"/>
    <w:rsid w:val="001177B4"/>
    <w:rsid w:val="00130455"/>
    <w:rsid w:val="00130684"/>
    <w:rsid w:val="00134109"/>
    <w:rsid w:val="0013668B"/>
    <w:rsid w:val="0014424C"/>
    <w:rsid w:val="00150442"/>
    <w:rsid w:val="00180F5A"/>
    <w:rsid w:val="00191299"/>
    <w:rsid w:val="0019147F"/>
    <w:rsid w:val="001916E3"/>
    <w:rsid w:val="00194209"/>
    <w:rsid w:val="001A0B14"/>
    <w:rsid w:val="001A1846"/>
    <w:rsid w:val="001A18AB"/>
    <w:rsid w:val="001A5E04"/>
    <w:rsid w:val="001A751C"/>
    <w:rsid w:val="001B4519"/>
    <w:rsid w:val="001B66D1"/>
    <w:rsid w:val="001D4650"/>
    <w:rsid w:val="001D589A"/>
    <w:rsid w:val="001D62E1"/>
    <w:rsid w:val="001D6AB5"/>
    <w:rsid w:val="001F029C"/>
    <w:rsid w:val="001F429B"/>
    <w:rsid w:val="001F7EED"/>
    <w:rsid w:val="00202A58"/>
    <w:rsid w:val="00206254"/>
    <w:rsid w:val="00214109"/>
    <w:rsid w:val="00214F76"/>
    <w:rsid w:val="0022047B"/>
    <w:rsid w:val="00225C25"/>
    <w:rsid w:val="002426F1"/>
    <w:rsid w:val="00242D3D"/>
    <w:rsid w:val="002431BB"/>
    <w:rsid w:val="00247443"/>
    <w:rsid w:val="00247535"/>
    <w:rsid w:val="00247E14"/>
    <w:rsid w:val="002512B2"/>
    <w:rsid w:val="00252733"/>
    <w:rsid w:val="00255856"/>
    <w:rsid w:val="00261566"/>
    <w:rsid w:val="002632C7"/>
    <w:rsid w:val="002702CD"/>
    <w:rsid w:val="00271178"/>
    <w:rsid w:val="00275C5D"/>
    <w:rsid w:val="002839B2"/>
    <w:rsid w:val="002843B1"/>
    <w:rsid w:val="00293321"/>
    <w:rsid w:val="0029415D"/>
    <w:rsid w:val="002B331A"/>
    <w:rsid w:val="002B4BA4"/>
    <w:rsid w:val="002C175E"/>
    <w:rsid w:val="002C2D87"/>
    <w:rsid w:val="002C63E3"/>
    <w:rsid w:val="002D05E5"/>
    <w:rsid w:val="002D08D1"/>
    <w:rsid w:val="002D6205"/>
    <w:rsid w:val="002D651F"/>
    <w:rsid w:val="002E36C5"/>
    <w:rsid w:val="002E7DEF"/>
    <w:rsid w:val="002F61EE"/>
    <w:rsid w:val="00300011"/>
    <w:rsid w:val="0030004F"/>
    <w:rsid w:val="003012D5"/>
    <w:rsid w:val="00302AC6"/>
    <w:rsid w:val="00303C22"/>
    <w:rsid w:val="0030431A"/>
    <w:rsid w:val="00321411"/>
    <w:rsid w:val="00326026"/>
    <w:rsid w:val="00327B1A"/>
    <w:rsid w:val="003356EF"/>
    <w:rsid w:val="00335E71"/>
    <w:rsid w:val="003368C1"/>
    <w:rsid w:val="00346A12"/>
    <w:rsid w:val="00346CED"/>
    <w:rsid w:val="0035220B"/>
    <w:rsid w:val="00353496"/>
    <w:rsid w:val="00353765"/>
    <w:rsid w:val="00355E7C"/>
    <w:rsid w:val="00356539"/>
    <w:rsid w:val="00361A46"/>
    <w:rsid w:val="00365949"/>
    <w:rsid w:val="0036716E"/>
    <w:rsid w:val="00371735"/>
    <w:rsid w:val="00384A85"/>
    <w:rsid w:val="003873B1"/>
    <w:rsid w:val="003900B5"/>
    <w:rsid w:val="0039137E"/>
    <w:rsid w:val="00395E3D"/>
    <w:rsid w:val="00397A5A"/>
    <w:rsid w:val="003A3690"/>
    <w:rsid w:val="003B4DFA"/>
    <w:rsid w:val="003C65A4"/>
    <w:rsid w:val="003E3965"/>
    <w:rsid w:val="003E7320"/>
    <w:rsid w:val="003F49A1"/>
    <w:rsid w:val="003F5C02"/>
    <w:rsid w:val="003F64A6"/>
    <w:rsid w:val="00401090"/>
    <w:rsid w:val="004031FA"/>
    <w:rsid w:val="00405446"/>
    <w:rsid w:val="00412980"/>
    <w:rsid w:val="004149CC"/>
    <w:rsid w:val="004218F0"/>
    <w:rsid w:val="00426B3C"/>
    <w:rsid w:val="0043108B"/>
    <w:rsid w:val="00433D12"/>
    <w:rsid w:val="00440CDC"/>
    <w:rsid w:val="004458E3"/>
    <w:rsid w:val="00447A56"/>
    <w:rsid w:val="004572C5"/>
    <w:rsid w:val="00461255"/>
    <w:rsid w:val="004625BA"/>
    <w:rsid w:val="004635C6"/>
    <w:rsid w:val="004645B1"/>
    <w:rsid w:val="0046510A"/>
    <w:rsid w:val="00470222"/>
    <w:rsid w:val="00470BBE"/>
    <w:rsid w:val="0047354C"/>
    <w:rsid w:val="0048277E"/>
    <w:rsid w:val="00484747"/>
    <w:rsid w:val="00484B4F"/>
    <w:rsid w:val="00485E9B"/>
    <w:rsid w:val="00485FE7"/>
    <w:rsid w:val="0048674B"/>
    <w:rsid w:val="004875B1"/>
    <w:rsid w:val="004A1174"/>
    <w:rsid w:val="004B1D05"/>
    <w:rsid w:val="004B3B80"/>
    <w:rsid w:val="004C006D"/>
    <w:rsid w:val="004C5252"/>
    <w:rsid w:val="004C7265"/>
    <w:rsid w:val="004E0FF8"/>
    <w:rsid w:val="004E3AD0"/>
    <w:rsid w:val="004E7D16"/>
    <w:rsid w:val="004F2BAB"/>
    <w:rsid w:val="004F5BC7"/>
    <w:rsid w:val="004F7E75"/>
    <w:rsid w:val="0050688D"/>
    <w:rsid w:val="00510C34"/>
    <w:rsid w:val="00510DBA"/>
    <w:rsid w:val="00515353"/>
    <w:rsid w:val="00517C62"/>
    <w:rsid w:val="00520268"/>
    <w:rsid w:val="00522C4E"/>
    <w:rsid w:val="00525CA0"/>
    <w:rsid w:val="00530168"/>
    <w:rsid w:val="005331F7"/>
    <w:rsid w:val="0053506A"/>
    <w:rsid w:val="00541001"/>
    <w:rsid w:val="00541D8F"/>
    <w:rsid w:val="0054424D"/>
    <w:rsid w:val="005537AF"/>
    <w:rsid w:val="00554324"/>
    <w:rsid w:val="005608B4"/>
    <w:rsid w:val="0056104F"/>
    <w:rsid w:val="0056774F"/>
    <w:rsid w:val="00567D8C"/>
    <w:rsid w:val="0058099C"/>
    <w:rsid w:val="00581C7F"/>
    <w:rsid w:val="00581E5B"/>
    <w:rsid w:val="00587630"/>
    <w:rsid w:val="00587CE5"/>
    <w:rsid w:val="005A3D65"/>
    <w:rsid w:val="005B08B3"/>
    <w:rsid w:val="005B0FF2"/>
    <w:rsid w:val="005B28C0"/>
    <w:rsid w:val="005B6952"/>
    <w:rsid w:val="005C3334"/>
    <w:rsid w:val="005C6143"/>
    <w:rsid w:val="005C6822"/>
    <w:rsid w:val="005C7F6A"/>
    <w:rsid w:val="005D4EB9"/>
    <w:rsid w:val="005D5752"/>
    <w:rsid w:val="005E1DFF"/>
    <w:rsid w:val="005E659F"/>
    <w:rsid w:val="005F16C5"/>
    <w:rsid w:val="005F2429"/>
    <w:rsid w:val="005F6499"/>
    <w:rsid w:val="005F74A4"/>
    <w:rsid w:val="006149B9"/>
    <w:rsid w:val="006206CB"/>
    <w:rsid w:val="0064655E"/>
    <w:rsid w:val="006506EB"/>
    <w:rsid w:val="00651BAD"/>
    <w:rsid w:val="00653C08"/>
    <w:rsid w:val="00661911"/>
    <w:rsid w:val="00670B02"/>
    <w:rsid w:val="00670F50"/>
    <w:rsid w:val="00671457"/>
    <w:rsid w:val="00672A6A"/>
    <w:rsid w:val="00673037"/>
    <w:rsid w:val="00676D89"/>
    <w:rsid w:val="00685EBB"/>
    <w:rsid w:val="006929AA"/>
    <w:rsid w:val="00693E0A"/>
    <w:rsid w:val="00694889"/>
    <w:rsid w:val="006A5452"/>
    <w:rsid w:val="006B2CB9"/>
    <w:rsid w:val="006B6092"/>
    <w:rsid w:val="006B68F1"/>
    <w:rsid w:val="006C0B60"/>
    <w:rsid w:val="006C3697"/>
    <w:rsid w:val="006C6FA6"/>
    <w:rsid w:val="006C7DDE"/>
    <w:rsid w:val="006D0C16"/>
    <w:rsid w:val="006D1D32"/>
    <w:rsid w:val="006D22F0"/>
    <w:rsid w:val="006D553F"/>
    <w:rsid w:val="006D73FD"/>
    <w:rsid w:val="006E3F95"/>
    <w:rsid w:val="006E4E05"/>
    <w:rsid w:val="006F13B8"/>
    <w:rsid w:val="006F2C09"/>
    <w:rsid w:val="006F2D93"/>
    <w:rsid w:val="006F4578"/>
    <w:rsid w:val="006F49E4"/>
    <w:rsid w:val="006F4D66"/>
    <w:rsid w:val="006F706B"/>
    <w:rsid w:val="00700065"/>
    <w:rsid w:val="007006DD"/>
    <w:rsid w:val="007228B2"/>
    <w:rsid w:val="007306C2"/>
    <w:rsid w:val="00730D61"/>
    <w:rsid w:val="007341E5"/>
    <w:rsid w:val="007356BF"/>
    <w:rsid w:val="007416DA"/>
    <w:rsid w:val="00755DD8"/>
    <w:rsid w:val="00761307"/>
    <w:rsid w:val="007625E7"/>
    <w:rsid w:val="00763B49"/>
    <w:rsid w:val="00766E7B"/>
    <w:rsid w:val="00770262"/>
    <w:rsid w:val="00777E94"/>
    <w:rsid w:val="00780F7F"/>
    <w:rsid w:val="00781010"/>
    <w:rsid w:val="00781686"/>
    <w:rsid w:val="00784006"/>
    <w:rsid w:val="007B0DE9"/>
    <w:rsid w:val="007B4921"/>
    <w:rsid w:val="007B7535"/>
    <w:rsid w:val="007C33B6"/>
    <w:rsid w:val="007E15A9"/>
    <w:rsid w:val="007E22A6"/>
    <w:rsid w:val="007E29CE"/>
    <w:rsid w:val="007E3974"/>
    <w:rsid w:val="007E6D76"/>
    <w:rsid w:val="007E7333"/>
    <w:rsid w:val="007F607A"/>
    <w:rsid w:val="00803B90"/>
    <w:rsid w:val="00803C31"/>
    <w:rsid w:val="00804008"/>
    <w:rsid w:val="00815CF9"/>
    <w:rsid w:val="00837498"/>
    <w:rsid w:val="00840588"/>
    <w:rsid w:val="00840F35"/>
    <w:rsid w:val="0084242F"/>
    <w:rsid w:val="00846254"/>
    <w:rsid w:val="008506CE"/>
    <w:rsid w:val="0085109B"/>
    <w:rsid w:val="0085214E"/>
    <w:rsid w:val="008522D3"/>
    <w:rsid w:val="0086624A"/>
    <w:rsid w:val="008725D0"/>
    <w:rsid w:val="00880DE6"/>
    <w:rsid w:val="00880E73"/>
    <w:rsid w:val="00884412"/>
    <w:rsid w:val="008852E8"/>
    <w:rsid w:val="00890EB1"/>
    <w:rsid w:val="0089451D"/>
    <w:rsid w:val="008A3635"/>
    <w:rsid w:val="008B06E6"/>
    <w:rsid w:val="008B78F6"/>
    <w:rsid w:val="008C3E09"/>
    <w:rsid w:val="008D085C"/>
    <w:rsid w:val="008D1371"/>
    <w:rsid w:val="008D561E"/>
    <w:rsid w:val="008D7C43"/>
    <w:rsid w:val="008E2AEC"/>
    <w:rsid w:val="008E2E85"/>
    <w:rsid w:val="008E312D"/>
    <w:rsid w:val="008E4513"/>
    <w:rsid w:val="008F0CAE"/>
    <w:rsid w:val="008F1C15"/>
    <w:rsid w:val="00906E08"/>
    <w:rsid w:val="00913195"/>
    <w:rsid w:val="009160FC"/>
    <w:rsid w:val="009215FD"/>
    <w:rsid w:val="00921A52"/>
    <w:rsid w:val="00921BD3"/>
    <w:rsid w:val="0092309B"/>
    <w:rsid w:val="00936DBB"/>
    <w:rsid w:val="009416C9"/>
    <w:rsid w:val="009417DB"/>
    <w:rsid w:val="009418F0"/>
    <w:rsid w:val="00941FEA"/>
    <w:rsid w:val="00942F18"/>
    <w:rsid w:val="00950198"/>
    <w:rsid w:val="00950A5C"/>
    <w:rsid w:val="00951649"/>
    <w:rsid w:val="009544A3"/>
    <w:rsid w:val="009549BD"/>
    <w:rsid w:val="00961506"/>
    <w:rsid w:val="00962180"/>
    <w:rsid w:val="009742C4"/>
    <w:rsid w:val="00975A2C"/>
    <w:rsid w:val="009802B0"/>
    <w:rsid w:val="00981078"/>
    <w:rsid w:val="00981FAA"/>
    <w:rsid w:val="00982BE7"/>
    <w:rsid w:val="0098449A"/>
    <w:rsid w:val="00985F98"/>
    <w:rsid w:val="00993AEF"/>
    <w:rsid w:val="009971B3"/>
    <w:rsid w:val="009A2218"/>
    <w:rsid w:val="009A269F"/>
    <w:rsid w:val="009A54F5"/>
    <w:rsid w:val="009A6E90"/>
    <w:rsid w:val="009B28E0"/>
    <w:rsid w:val="009B3FEF"/>
    <w:rsid w:val="009B4979"/>
    <w:rsid w:val="009B5BF0"/>
    <w:rsid w:val="009C008E"/>
    <w:rsid w:val="009D28CC"/>
    <w:rsid w:val="009D7BA7"/>
    <w:rsid w:val="009E2EB5"/>
    <w:rsid w:val="009F7834"/>
    <w:rsid w:val="00A10525"/>
    <w:rsid w:val="00A12872"/>
    <w:rsid w:val="00A203FD"/>
    <w:rsid w:val="00A219A5"/>
    <w:rsid w:val="00A2639D"/>
    <w:rsid w:val="00A33488"/>
    <w:rsid w:val="00A3438D"/>
    <w:rsid w:val="00A445FE"/>
    <w:rsid w:val="00A47663"/>
    <w:rsid w:val="00A53D8D"/>
    <w:rsid w:val="00A6280F"/>
    <w:rsid w:val="00A6397F"/>
    <w:rsid w:val="00A7296C"/>
    <w:rsid w:val="00A73B92"/>
    <w:rsid w:val="00A74F75"/>
    <w:rsid w:val="00A772EE"/>
    <w:rsid w:val="00A779CC"/>
    <w:rsid w:val="00A77F53"/>
    <w:rsid w:val="00A83076"/>
    <w:rsid w:val="00A84BFC"/>
    <w:rsid w:val="00A9011B"/>
    <w:rsid w:val="00A92B6D"/>
    <w:rsid w:val="00AB5BA8"/>
    <w:rsid w:val="00AB7D64"/>
    <w:rsid w:val="00AC6E3A"/>
    <w:rsid w:val="00AC7775"/>
    <w:rsid w:val="00AD0840"/>
    <w:rsid w:val="00AF0D17"/>
    <w:rsid w:val="00AF11E4"/>
    <w:rsid w:val="00B07DDF"/>
    <w:rsid w:val="00B22F1B"/>
    <w:rsid w:val="00B2406E"/>
    <w:rsid w:val="00B27A7B"/>
    <w:rsid w:val="00B36EA2"/>
    <w:rsid w:val="00B4317A"/>
    <w:rsid w:val="00B46FAC"/>
    <w:rsid w:val="00B47687"/>
    <w:rsid w:val="00B47AD9"/>
    <w:rsid w:val="00B518C4"/>
    <w:rsid w:val="00B5408C"/>
    <w:rsid w:val="00B5473D"/>
    <w:rsid w:val="00B5652C"/>
    <w:rsid w:val="00B61AB9"/>
    <w:rsid w:val="00B72CF7"/>
    <w:rsid w:val="00B7674A"/>
    <w:rsid w:val="00B770CB"/>
    <w:rsid w:val="00B7771C"/>
    <w:rsid w:val="00B81C9D"/>
    <w:rsid w:val="00B85334"/>
    <w:rsid w:val="00B933EA"/>
    <w:rsid w:val="00BA1BFE"/>
    <w:rsid w:val="00BA1D8E"/>
    <w:rsid w:val="00BA264A"/>
    <w:rsid w:val="00BA2E8C"/>
    <w:rsid w:val="00BA3936"/>
    <w:rsid w:val="00BA5149"/>
    <w:rsid w:val="00BA5F2F"/>
    <w:rsid w:val="00BB1EE2"/>
    <w:rsid w:val="00BC0719"/>
    <w:rsid w:val="00BC0810"/>
    <w:rsid w:val="00BC2D3A"/>
    <w:rsid w:val="00BC7909"/>
    <w:rsid w:val="00BD54B2"/>
    <w:rsid w:val="00BD582A"/>
    <w:rsid w:val="00BE3DC5"/>
    <w:rsid w:val="00C001C7"/>
    <w:rsid w:val="00C0321D"/>
    <w:rsid w:val="00C0673A"/>
    <w:rsid w:val="00C124B0"/>
    <w:rsid w:val="00C15395"/>
    <w:rsid w:val="00C17395"/>
    <w:rsid w:val="00C20ABB"/>
    <w:rsid w:val="00C22F0A"/>
    <w:rsid w:val="00C30E61"/>
    <w:rsid w:val="00C30F2D"/>
    <w:rsid w:val="00C329F9"/>
    <w:rsid w:val="00C34F7B"/>
    <w:rsid w:val="00C36270"/>
    <w:rsid w:val="00C43ACE"/>
    <w:rsid w:val="00C54700"/>
    <w:rsid w:val="00C67FAF"/>
    <w:rsid w:val="00C70929"/>
    <w:rsid w:val="00C72B1E"/>
    <w:rsid w:val="00C82599"/>
    <w:rsid w:val="00C83539"/>
    <w:rsid w:val="00CA3615"/>
    <w:rsid w:val="00CB36A0"/>
    <w:rsid w:val="00CB3C50"/>
    <w:rsid w:val="00CB6AC2"/>
    <w:rsid w:val="00CC34ED"/>
    <w:rsid w:val="00CD2827"/>
    <w:rsid w:val="00CD4326"/>
    <w:rsid w:val="00CD56B9"/>
    <w:rsid w:val="00CE18CD"/>
    <w:rsid w:val="00CE657C"/>
    <w:rsid w:val="00CE7DA2"/>
    <w:rsid w:val="00CF04C5"/>
    <w:rsid w:val="00CF0BCD"/>
    <w:rsid w:val="00CF3FAC"/>
    <w:rsid w:val="00D00464"/>
    <w:rsid w:val="00D03F1F"/>
    <w:rsid w:val="00D158A7"/>
    <w:rsid w:val="00D15BBA"/>
    <w:rsid w:val="00D207BF"/>
    <w:rsid w:val="00D27FC9"/>
    <w:rsid w:val="00D3059C"/>
    <w:rsid w:val="00D308E1"/>
    <w:rsid w:val="00D36ED0"/>
    <w:rsid w:val="00D54AF7"/>
    <w:rsid w:val="00D561D6"/>
    <w:rsid w:val="00D626BD"/>
    <w:rsid w:val="00D65B0F"/>
    <w:rsid w:val="00D67199"/>
    <w:rsid w:val="00D71DF2"/>
    <w:rsid w:val="00D767A8"/>
    <w:rsid w:val="00D8181F"/>
    <w:rsid w:val="00D82A3B"/>
    <w:rsid w:val="00D82C70"/>
    <w:rsid w:val="00D837B4"/>
    <w:rsid w:val="00D91A96"/>
    <w:rsid w:val="00D91D19"/>
    <w:rsid w:val="00D92AB5"/>
    <w:rsid w:val="00DA38F6"/>
    <w:rsid w:val="00DB3988"/>
    <w:rsid w:val="00DB5D80"/>
    <w:rsid w:val="00DC4E59"/>
    <w:rsid w:val="00DD2BFF"/>
    <w:rsid w:val="00DD326C"/>
    <w:rsid w:val="00DD70D5"/>
    <w:rsid w:val="00DD7D41"/>
    <w:rsid w:val="00DE3D09"/>
    <w:rsid w:val="00DE4A7C"/>
    <w:rsid w:val="00DE6A75"/>
    <w:rsid w:val="00DF4F97"/>
    <w:rsid w:val="00E03C37"/>
    <w:rsid w:val="00E07C92"/>
    <w:rsid w:val="00E12DDA"/>
    <w:rsid w:val="00E14ABC"/>
    <w:rsid w:val="00E15424"/>
    <w:rsid w:val="00E16BFA"/>
    <w:rsid w:val="00E17B41"/>
    <w:rsid w:val="00E20324"/>
    <w:rsid w:val="00E2299E"/>
    <w:rsid w:val="00E26A07"/>
    <w:rsid w:val="00E362B1"/>
    <w:rsid w:val="00E40648"/>
    <w:rsid w:val="00E4283D"/>
    <w:rsid w:val="00E4570C"/>
    <w:rsid w:val="00E50EE9"/>
    <w:rsid w:val="00E511C7"/>
    <w:rsid w:val="00E5610F"/>
    <w:rsid w:val="00E561F4"/>
    <w:rsid w:val="00E56BA0"/>
    <w:rsid w:val="00E573C3"/>
    <w:rsid w:val="00E713E1"/>
    <w:rsid w:val="00E71588"/>
    <w:rsid w:val="00E74F6B"/>
    <w:rsid w:val="00E9080D"/>
    <w:rsid w:val="00E92EF8"/>
    <w:rsid w:val="00E93CF9"/>
    <w:rsid w:val="00E976DD"/>
    <w:rsid w:val="00EA0FA9"/>
    <w:rsid w:val="00EA1B56"/>
    <w:rsid w:val="00EA479A"/>
    <w:rsid w:val="00EB135A"/>
    <w:rsid w:val="00EB1662"/>
    <w:rsid w:val="00EB2DD5"/>
    <w:rsid w:val="00EB4037"/>
    <w:rsid w:val="00EC5D5C"/>
    <w:rsid w:val="00EC610D"/>
    <w:rsid w:val="00ED3D81"/>
    <w:rsid w:val="00EE1FAE"/>
    <w:rsid w:val="00EF0F34"/>
    <w:rsid w:val="00EF3789"/>
    <w:rsid w:val="00EF6D91"/>
    <w:rsid w:val="00F04DED"/>
    <w:rsid w:val="00F05F41"/>
    <w:rsid w:val="00F07638"/>
    <w:rsid w:val="00F13FFE"/>
    <w:rsid w:val="00F15E23"/>
    <w:rsid w:val="00F165B1"/>
    <w:rsid w:val="00F21079"/>
    <w:rsid w:val="00F21396"/>
    <w:rsid w:val="00F242FF"/>
    <w:rsid w:val="00F26405"/>
    <w:rsid w:val="00F34FFA"/>
    <w:rsid w:val="00F466AC"/>
    <w:rsid w:val="00F468E5"/>
    <w:rsid w:val="00F50346"/>
    <w:rsid w:val="00F5177C"/>
    <w:rsid w:val="00F54E9B"/>
    <w:rsid w:val="00F57171"/>
    <w:rsid w:val="00F57FD4"/>
    <w:rsid w:val="00F64737"/>
    <w:rsid w:val="00F6477C"/>
    <w:rsid w:val="00F6492A"/>
    <w:rsid w:val="00F73332"/>
    <w:rsid w:val="00F74609"/>
    <w:rsid w:val="00F76445"/>
    <w:rsid w:val="00F801A7"/>
    <w:rsid w:val="00F85064"/>
    <w:rsid w:val="00F90FEB"/>
    <w:rsid w:val="00F917A6"/>
    <w:rsid w:val="00F93177"/>
    <w:rsid w:val="00F95F4E"/>
    <w:rsid w:val="00FA411B"/>
    <w:rsid w:val="00FA7164"/>
    <w:rsid w:val="00FB4C9C"/>
    <w:rsid w:val="00FB67A8"/>
    <w:rsid w:val="00FB6DAE"/>
    <w:rsid w:val="00FB6E37"/>
    <w:rsid w:val="00FC2E14"/>
    <w:rsid w:val="00FC51D6"/>
    <w:rsid w:val="00FD1821"/>
    <w:rsid w:val="00FE1B01"/>
    <w:rsid w:val="00FE1D5A"/>
    <w:rsid w:val="00FE523D"/>
    <w:rsid w:val="00FE7A1F"/>
    <w:rsid w:val="00FE7CB9"/>
    <w:rsid w:val="00FF0EDD"/>
    <w:rsid w:val="00FF3E53"/>
    <w:rsid w:val="00FF410C"/>
    <w:rsid w:val="00FF70CD"/>
    <w:rsid w:val="0AFF395D"/>
    <w:rsid w:val="3FE7DFD5"/>
    <w:rsid w:val="6FFFAAB0"/>
    <w:rsid w:val="7DBEE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84A086"/>
  <w15:docId w15:val="{3BF9D9F7-C7FC-4A00-B32D-4520F67B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ro-RO" w:eastAsia="en-US"/>
      <w14:ligatures w14:val="standardContextual"/>
    </w:rPr>
  </w:style>
  <w:style w:type="paragraph" w:styleId="Heading8">
    <w:name w:val="heading 8"/>
    <w:basedOn w:val="Normal"/>
    <w:next w:val="Normal"/>
    <w:link w:val="Heading8Char"/>
    <w:qFormat/>
    <w:pPr>
      <w:keepNext/>
      <w:spacing w:after="0" w:line="240" w:lineRule="auto"/>
      <w:ind w:firstLine="709"/>
      <w:jc w:val="center"/>
      <w:outlineLvl w:val="7"/>
    </w:pPr>
    <w:rPr>
      <w:rFonts w:ascii="$Caslon" w:eastAsia="Times New Roman" w:hAnsi="$Caslon" w:cs="Times New Roman"/>
      <w:b/>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kern w:val="0"/>
      <w:sz w:val="18"/>
      <w:szCs w:val="18"/>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kern w:val="0"/>
      <w:sz w:val="20"/>
      <w:szCs w:val="20"/>
      <w:lang w:val="en-GB"/>
    </w:rPr>
  </w:style>
  <w:style w:type="paragraph" w:styleId="CommentSubject">
    <w:name w:val="annotation subject"/>
    <w:basedOn w:val="CommentText"/>
    <w:next w:val="CommentText"/>
    <w:link w:val="CommentSubjectChar"/>
    <w:uiPriority w:val="99"/>
    <w:semiHidden/>
    <w:unhideWhenUsed/>
    <w:rPr>
      <w:b/>
      <w:bCs/>
      <w:kern w:val="2"/>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pPr>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kern w:val="0"/>
      <w:sz w:val="20"/>
      <w:szCs w:val="20"/>
      <w:lang w:val="en-GB"/>
    </w:rPr>
  </w:style>
  <w:style w:type="paragraph" w:styleId="ListParagraph">
    <w:name w:val="List Paragraph"/>
    <w:basedOn w:val="Normal"/>
    <w:uiPriority w:val="34"/>
    <w:qFormat/>
    <w:pPr>
      <w:ind w:left="720"/>
      <w:contextualSpacing/>
    </w:pPr>
  </w:style>
  <w:style w:type="character" w:customStyle="1" w:styleId="CommentSubjectChar">
    <w:name w:val="Comment Subject Char"/>
    <w:basedOn w:val="CommentTextChar"/>
    <w:link w:val="CommentSubject"/>
    <w:uiPriority w:val="99"/>
    <w:semiHidden/>
    <w:rPr>
      <w:b/>
      <w:bCs/>
      <w:kern w:val="0"/>
      <w:sz w:val="20"/>
      <w:szCs w:val="20"/>
      <w:lang w:val="en-GB"/>
    </w:rPr>
  </w:style>
  <w:style w:type="paragraph" w:customStyle="1" w:styleId="Revision1">
    <w:name w:val="Revision1"/>
    <w:hidden/>
    <w:uiPriority w:val="99"/>
    <w:semiHidden/>
    <w:rPr>
      <w:kern w:val="2"/>
      <w:sz w:val="22"/>
      <w:szCs w:val="22"/>
      <w:lang w:val="en-US" w:eastAsia="en-US"/>
      <w14:ligatures w14:val="standardContextual"/>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kern w:val="0"/>
      <w:sz w:val="18"/>
      <w:szCs w:val="18"/>
      <w14:ligatures w14:val="none"/>
    </w:rPr>
  </w:style>
  <w:style w:type="paragraph" w:customStyle="1" w:styleId="ListParagraph1">
    <w:name w:val="ListParagraph_1"/>
    <w:uiPriority w:val="34"/>
    <w:qFormat/>
    <w:pPr>
      <w:spacing w:after="160" w:line="259" w:lineRule="auto"/>
      <w:ind w:left="720"/>
      <w:contextualSpacing/>
    </w:pPr>
    <w:rPr>
      <w:kern w:val="2"/>
      <w:sz w:val="22"/>
      <w:szCs w:val="22"/>
      <w:lang w:val="ro-RO" w:eastAsia="en-US"/>
      <w14:ligatures w14:val="standardContextual"/>
    </w:rPr>
  </w:style>
  <w:style w:type="character" w:customStyle="1" w:styleId="Heading8Char">
    <w:name w:val="Heading 8 Char"/>
    <w:basedOn w:val="DefaultParagraphFont"/>
    <w:link w:val="Heading8"/>
    <w:rPr>
      <w:rFonts w:ascii="$Caslon" w:eastAsia="Times New Roman" w:hAnsi="$Caslon" w:cs="Times New Roman"/>
      <w:b/>
      <w:kern w:val="0"/>
      <w:sz w:val="24"/>
      <w:szCs w:val="20"/>
      <w14:ligatures w14:val="none"/>
    </w:rPr>
  </w:style>
  <w:style w:type="paragraph" w:styleId="Revision">
    <w:name w:val="Revision"/>
    <w:hidden/>
    <w:uiPriority w:val="99"/>
    <w:unhideWhenUsed/>
    <w:rsid w:val="00034039"/>
    <w:rPr>
      <w:kern w:val="2"/>
      <w:sz w:val="22"/>
      <w:szCs w:val="22"/>
      <w:lang w:val="ro-RO"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14</Pages>
  <Words>5533</Words>
  <Characters>31544</Characters>
  <Application>Microsoft Office Word</Application>
  <DocSecurity>0</DocSecurity>
  <Lines>262</Lines>
  <Paragraphs>74</Paragraphs>
  <ScaleCrop>false</ScaleCrop>
  <Company>HP Inc.</Company>
  <LinksUpToDate>false</LinksUpToDate>
  <CharactersWithSpaces>37003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Baciu</dc:creator>
  <cp:keywords>[EBRD/OFFICIAL USE], docId:C30416E0C4ED9C9D2C65FB3BC0D6A5A9</cp:keywords>
  <cp:lastModifiedBy>Doina Dînga</cp:lastModifiedBy>
  <cp:revision>34</cp:revision>
  <dcterms:created xsi:type="dcterms:W3CDTF">2024-01-23T17:43:00Z</dcterms:created>
  <dcterms:modified xsi:type="dcterms:W3CDTF">2024-01-24T13:18:00Z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d6f18c9a-611f-4ce3-9828-3888ae587618</vt:lpwstr>
  </property>
  <property fmtid="{D5CDD505-2E9C-101B-9397-08002B2CF9AE}" pid="3" name="bjSaver">
    <vt:lpwstr>vSHQE1xpG28fCwhQ1b0OgSHzU7C3yvv3</vt:lpwstr>
  </property>
  <property fmtid="{D5CDD505-2E9C-101B-9397-08002B2CF9AE}" pid="4" name="bjDocumentLabelXML">
    <vt:lpwstr>&lt;?xml version="1.0" encoding="us-ascii"?&gt;&lt;sisl xmlns:xsd="http://www.w3.org/2001/XMLSchema" xmlns:xsi="http://www.w3.org/2001/XMLSchema-instance" sislVersion="0" policy="1d45786f-a737-4735-8af6-df12fb6939a2" origin="userSelected" xmlns="http://www.boldonj</vt:lpwstr>
  </property>
  <property fmtid="{D5CDD505-2E9C-101B-9397-08002B2CF9AE}" pid="5" name="bjDocumentLabelXML-0">
    <vt:lpwstr>ames.com/2008/01/sie/internal/label"&gt;&lt;element uid="id_classification_generalbusiness" value="" /&gt;&lt;element uid="3f2bf68e-965f-4645-8d3a-c9eb7a3821bd" value="" /&gt;&lt;/sisl&gt;</vt:lpwstr>
  </property>
  <property fmtid="{D5CDD505-2E9C-101B-9397-08002B2CF9AE}" pid="6" name="bjDocumentSecurityLabel">
    <vt:lpwstr>OFFICIAL USE</vt:lpwstr>
  </property>
  <property fmtid="{D5CDD505-2E9C-101B-9397-08002B2CF9AE}" pid="7" name="bjClsUserRVM">
    <vt:lpwstr>[]</vt:lpwstr>
  </property>
  <property fmtid="{D5CDD505-2E9C-101B-9397-08002B2CF9AE}" pid="8" name="bjHeaderBothDocProperty">
    <vt:lpwstr>OFFICIAL USE</vt:lpwstr>
  </property>
  <property fmtid="{D5CDD505-2E9C-101B-9397-08002B2CF9AE}" pid="9" name="bjHeaderFirstPageDocProperty">
    <vt:lpwstr>OFFICIAL USE</vt:lpwstr>
  </property>
  <property fmtid="{D5CDD505-2E9C-101B-9397-08002B2CF9AE}" pid="10" name="bjHeaderEvenPageDocProperty">
    <vt:lpwstr>OFFICIAL USE</vt:lpwstr>
  </property>
  <property fmtid="{D5CDD505-2E9C-101B-9397-08002B2CF9AE}" pid="11" name="bjFooterBothDocProperty">
    <vt:lpwstr>OFFICIAL USE</vt:lpwstr>
  </property>
  <property fmtid="{D5CDD505-2E9C-101B-9397-08002B2CF9AE}" pid="12" name="bjFooterFirstPageDocProperty">
    <vt:lpwstr>OFFICIAL USE</vt:lpwstr>
  </property>
  <property fmtid="{D5CDD505-2E9C-101B-9397-08002B2CF9AE}" pid="13" name="bjFooterEvenPageDocProperty">
    <vt:lpwstr>OFFICIAL USE</vt:lpwstr>
  </property>
  <property fmtid="{D5CDD505-2E9C-101B-9397-08002B2CF9AE}" pid="14" name="KSOProductBuildVer">
    <vt:lpwstr>1033-5.6.0.8082</vt:lpwstr>
  </property>
</Properties>
</file>