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8AA99" w14:textId="77777777" w:rsidR="00621FA9" w:rsidRPr="00621FA9" w:rsidRDefault="00621FA9" w:rsidP="00621FA9">
      <w:pPr>
        <w:spacing w:after="0" w:line="240" w:lineRule="auto"/>
        <w:ind w:left="0"/>
        <w:jc w:val="right"/>
        <w:rPr>
          <w:rFonts w:ascii="Times New Roman" w:eastAsia="Times New Roman" w:hAnsi="Times New Roman"/>
          <w:i/>
          <w:lang w:val="ro-MD" w:eastAsia="ru-RU"/>
        </w:rPr>
      </w:pPr>
      <w:r w:rsidRPr="00621FA9">
        <w:rPr>
          <w:rFonts w:ascii="Times New Roman" w:eastAsia="Times New Roman" w:hAnsi="Times New Roman"/>
          <w:i/>
          <w:lang w:val="ro-MD" w:eastAsia="ru-RU"/>
        </w:rPr>
        <w:t xml:space="preserve">Proiect </w:t>
      </w:r>
    </w:p>
    <w:p w14:paraId="3B355220" w14:textId="77777777" w:rsidR="00621FA9" w:rsidRPr="00621FA9" w:rsidRDefault="00621FA9" w:rsidP="00621FA9">
      <w:pPr>
        <w:spacing w:after="0" w:line="240" w:lineRule="auto"/>
        <w:ind w:left="0"/>
        <w:jc w:val="right"/>
        <w:rPr>
          <w:rFonts w:ascii="Times New Roman" w:eastAsia="Times New Roman" w:hAnsi="Times New Roman"/>
          <w:i/>
          <w:lang w:val="ro-MD" w:eastAsia="ru-RU"/>
        </w:rPr>
      </w:pPr>
    </w:p>
    <w:p w14:paraId="079C655A" w14:textId="77777777" w:rsidR="00621FA9" w:rsidRPr="00621FA9" w:rsidRDefault="00621FA9" w:rsidP="00621FA9">
      <w:pPr>
        <w:spacing w:after="0" w:line="240" w:lineRule="auto"/>
        <w:ind w:left="0"/>
        <w:jc w:val="right"/>
        <w:rPr>
          <w:rFonts w:ascii="Times New Roman" w:eastAsia="Times New Roman" w:hAnsi="Times New Roman"/>
          <w:i/>
          <w:lang w:val="ro-MD" w:eastAsia="ru-RU"/>
        </w:rPr>
      </w:pPr>
    </w:p>
    <w:p w14:paraId="15E8EB5D" w14:textId="77777777" w:rsidR="00621FA9" w:rsidRPr="00621FA9" w:rsidRDefault="00621FA9" w:rsidP="00621FA9">
      <w:pPr>
        <w:spacing w:after="0" w:line="240" w:lineRule="auto"/>
        <w:ind w:left="0"/>
        <w:jc w:val="right"/>
        <w:rPr>
          <w:rFonts w:ascii="Times New Roman" w:eastAsia="Times New Roman" w:hAnsi="Times New Roman"/>
          <w:i/>
          <w:lang w:val="ro-MD" w:eastAsia="ru-RU"/>
        </w:rPr>
      </w:pPr>
    </w:p>
    <w:p w14:paraId="239A1512" w14:textId="77777777" w:rsidR="00621FA9" w:rsidRPr="00621FA9" w:rsidRDefault="00621FA9" w:rsidP="00621FA9">
      <w:pPr>
        <w:spacing w:after="0" w:line="240" w:lineRule="auto"/>
        <w:ind w:left="0"/>
        <w:jc w:val="center"/>
        <w:rPr>
          <w:rFonts w:ascii="Times New Roman" w:eastAsia="Times New Roman" w:hAnsi="Times New Roman"/>
          <w:b/>
          <w:sz w:val="28"/>
          <w:szCs w:val="28"/>
          <w:lang w:val="ro-MD" w:eastAsia="ru-RU"/>
        </w:rPr>
      </w:pPr>
      <w:r w:rsidRPr="00621FA9">
        <w:rPr>
          <w:rFonts w:ascii="Times New Roman" w:eastAsia="Times New Roman" w:hAnsi="Times New Roman"/>
          <w:b/>
          <w:sz w:val="28"/>
          <w:szCs w:val="28"/>
          <w:lang w:val="ro-MD" w:eastAsia="ru-RU"/>
        </w:rPr>
        <w:t>GUVERNUL REPUBLICII MOLDOVA</w:t>
      </w:r>
    </w:p>
    <w:p w14:paraId="6927158C" w14:textId="77777777" w:rsidR="00621FA9" w:rsidRPr="00621FA9" w:rsidRDefault="00621FA9" w:rsidP="00621FA9">
      <w:pPr>
        <w:spacing w:after="0" w:line="240" w:lineRule="auto"/>
        <w:ind w:left="0"/>
        <w:jc w:val="center"/>
        <w:rPr>
          <w:rFonts w:ascii="Times New Roman" w:eastAsia="Times New Roman" w:hAnsi="Times New Roman"/>
          <w:b/>
          <w:sz w:val="28"/>
          <w:szCs w:val="28"/>
          <w:lang w:val="ro-MD" w:eastAsia="ru-RU"/>
        </w:rPr>
      </w:pPr>
    </w:p>
    <w:p w14:paraId="1B729D0A" w14:textId="77777777" w:rsidR="00621FA9" w:rsidRPr="00621FA9" w:rsidRDefault="00621FA9" w:rsidP="00621FA9">
      <w:pPr>
        <w:spacing w:after="0" w:line="240" w:lineRule="auto"/>
        <w:ind w:left="0"/>
        <w:jc w:val="center"/>
        <w:rPr>
          <w:rFonts w:ascii="Times New Roman" w:eastAsia="Times New Roman" w:hAnsi="Times New Roman"/>
          <w:b/>
          <w:sz w:val="28"/>
          <w:szCs w:val="28"/>
          <w:lang w:val="ro-MD" w:eastAsia="ru-RU"/>
        </w:rPr>
      </w:pPr>
      <w:r w:rsidRPr="00621FA9">
        <w:rPr>
          <w:rFonts w:ascii="Times New Roman" w:eastAsia="Times New Roman" w:hAnsi="Times New Roman"/>
          <w:b/>
          <w:sz w:val="28"/>
          <w:szCs w:val="28"/>
          <w:lang w:val="ro-MD" w:eastAsia="ru-RU"/>
        </w:rPr>
        <w:t xml:space="preserve">HOTĂRÎRE </w:t>
      </w:r>
      <w:r w:rsidRPr="00621FA9">
        <w:rPr>
          <w:rFonts w:ascii="Times New Roman" w:eastAsia="Times New Roman" w:hAnsi="Times New Roman"/>
          <w:sz w:val="28"/>
          <w:szCs w:val="28"/>
          <w:lang w:val="ro-MD" w:eastAsia="ru-RU"/>
        </w:rPr>
        <w:t>nr. ____</w:t>
      </w:r>
    </w:p>
    <w:p w14:paraId="16FF41CE" w14:textId="77777777" w:rsidR="00621FA9" w:rsidRPr="00621FA9" w:rsidRDefault="00621FA9" w:rsidP="00621FA9">
      <w:pPr>
        <w:spacing w:after="0" w:line="240" w:lineRule="auto"/>
        <w:ind w:left="0"/>
        <w:jc w:val="center"/>
        <w:rPr>
          <w:rFonts w:ascii="Times New Roman" w:eastAsia="Times New Roman" w:hAnsi="Times New Roman"/>
          <w:sz w:val="28"/>
          <w:szCs w:val="28"/>
          <w:lang w:val="ro-MD" w:eastAsia="ru-RU"/>
        </w:rPr>
      </w:pPr>
    </w:p>
    <w:p w14:paraId="598C4604" w14:textId="77777777" w:rsidR="00621FA9" w:rsidRPr="00621FA9" w:rsidRDefault="00621FA9" w:rsidP="00621FA9">
      <w:pPr>
        <w:spacing w:after="0" w:line="240" w:lineRule="auto"/>
        <w:ind w:left="0"/>
        <w:jc w:val="center"/>
        <w:rPr>
          <w:rFonts w:ascii="Times New Roman" w:eastAsia="Times New Roman" w:hAnsi="Times New Roman"/>
          <w:b/>
          <w:sz w:val="28"/>
          <w:szCs w:val="28"/>
          <w:lang w:val="ro-MD" w:eastAsia="ru-RU"/>
        </w:rPr>
      </w:pPr>
      <w:r w:rsidRPr="00621FA9">
        <w:rPr>
          <w:rFonts w:ascii="Times New Roman" w:eastAsia="Times New Roman" w:hAnsi="Times New Roman"/>
          <w:sz w:val="28"/>
          <w:szCs w:val="28"/>
          <w:lang w:val="ro-MD" w:eastAsia="ru-RU"/>
        </w:rPr>
        <w:t>din  ______________</w:t>
      </w:r>
      <w:r w:rsidRPr="00621FA9">
        <w:rPr>
          <w:rFonts w:ascii="Times New Roman" w:eastAsia="Times New Roman" w:hAnsi="Times New Roman"/>
          <w:sz w:val="28"/>
          <w:szCs w:val="28"/>
          <w:lang w:val="ro-MD" w:eastAsia="ru-RU"/>
        </w:rPr>
        <w:br/>
      </w:r>
      <w:r w:rsidRPr="00621FA9">
        <w:rPr>
          <w:rFonts w:ascii="Times New Roman" w:eastAsia="Times New Roman" w:hAnsi="Times New Roman"/>
          <w:b/>
          <w:sz w:val="28"/>
          <w:szCs w:val="28"/>
          <w:lang w:val="ro-MD" w:eastAsia="ru-RU"/>
        </w:rPr>
        <w:t>Chișinău</w:t>
      </w:r>
    </w:p>
    <w:p w14:paraId="7566DA8C" w14:textId="77777777" w:rsidR="00621FA9" w:rsidRPr="00621FA9" w:rsidRDefault="00621FA9" w:rsidP="00621FA9">
      <w:pPr>
        <w:spacing w:after="0" w:line="240" w:lineRule="auto"/>
        <w:ind w:left="0"/>
        <w:jc w:val="center"/>
        <w:rPr>
          <w:rFonts w:ascii="Times New Roman" w:eastAsia="Times New Roman" w:hAnsi="Times New Roman"/>
          <w:sz w:val="28"/>
          <w:szCs w:val="28"/>
          <w:lang w:val="ro-MD" w:eastAsia="ru-RU"/>
        </w:rPr>
      </w:pPr>
    </w:p>
    <w:p w14:paraId="05DB1790" w14:textId="77777777" w:rsidR="00621FA9" w:rsidRPr="00621FA9" w:rsidRDefault="00621FA9" w:rsidP="00621FA9">
      <w:pPr>
        <w:spacing w:after="0" w:line="240" w:lineRule="auto"/>
        <w:ind w:left="0"/>
        <w:jc w:val="center"/>
        <w:rPr>
          <w:rFonts w:ascii="Times New Roman" w:eastAsia="Times New Roman" w:hAnsi="Times New Roman"/>
          <w:sz w:val="28"/>
          <w:szCs w:val="28"/>
          <w:lang w:val="ro-MD" w:eastAsia="ru-RU"/>
        </w:rPr>
      </w:pPr>
    </w:p>
    <w:p w14:paraId="4123959A" w14:textId="77777777" w:rsidR="00621FA9" w:rsidRPr="00621FA9" w:rsidRDefault="00621FA9" w:rsidP="00621FA9">
      <w:pPr>
        <w:spacing w:after="0" w:line="240" w:lineRule="auto"/>
        <w:ind w:left="0"/>
        <w:jc w:val="center"/>
        <w:rPr>
          <w:rFonts w:ascii="Times New Roman" w:eastAsia="Times New Roman" w:hAnsi="Times New Roman"/>
          <w:sz w:val="28"/>
          <w:szCs w:val="28"/>
          <w:lang w:val="ro-MD" w:eastAsia="ru-RU"/>
        </w:rPr>
      </w:pPr>
    </w:p>
    <w:p w14:paraId="604BB2B8" w14:textId="75EC2DCB" w:rsidR="00621FA9" w:rsidRPr="00621FA9" w:rsidRDefault="00621FA9" w:rsidP="00FC3ED3">
      <w:pPr>
        <w:spacing w:after="0" w:line="240" w:lineRule="auto"/>
        <w:ind w:left="0" w:firstLine="567"/>
        <w:jc w:val="center"/>
        <w:rPr>
          <w:rFonts w:ascii="Times New Roman" w:hAnsi="Times New Roman"/>
          <w:b/>
          <w:color w:val="000000"/>
          <w:sz w:val="28"/>
          <w:szCs w:val="28"/>
          <w:lang w:eastAsia="ru-RU"/>
        </w:rPr>
      </w:pPr>
      <w:r w:rsidRPr="00621FA9">
        <w:rPr>
          <w:rFonts w:ascii="Times New Roman" w:eastAsia="Times New Roman" w:hAnsi="Times New Roman"/>
          <w:b/>
          <w:sz w:val="28"/>
          <w:szCs w:val="28"/>
          <w:lang w:val="ro-MD" w:eastAsia="ru-RU"/>
        </w:rPr>
        <w:t xml:space="preserve">cu privire la aprobarea </w:t>
      </w:r>
      <w:r w:rsidR="00FC3ED3">
        <w:rPr>
          <w:rFonts w:ascii="Times New Roman" w:eastAsia="Times New Roman" w:hAnsi="Times New Roman"/>
          <w:b/>
          <w:sz w:val="28"/>
          <w:szCs w:val="28"/>
          <w:lang w:val="ro-MD" w:eastAsia="ru-RU"/>
        </w:rPr>
        <w:t>Programului Naționale de dezvoltare  industri</w:t>
      </w:r>
      <w:r w:rsidR="008C2442">
        <w:rPr>
          <w:rFonts w:ascii="Times New Roman" w:eastAsia="Times New Roman" w:hAnsi="Times New Roman"/>
          <w:b/>
          <w:sz w:val="28"/>
          <w:szCs w:val="28"/>
          <w:lang w:val="ro-MD" w:eastAsia="ru-RU"/>
        </w:rPr>
        <w:t>ală</w:t>
      </w:r>
      <w:r w:rsidR="00FC3ED3">
        <w:rPr>
          <w:rFonts w:ascii="Times New Roman" w:eastAsia="Times New Roman" w:hAnsi="Times New Roman"/>
          <w:b/>
          <w:sz w:val="28"/>
          <w:szCs w:val="28"/>
          <w:lang w:val="ro-MD" w:eastAsia="ru-RU"/>
        </w:rPr>
        <w:t xml:space="preserve"> pentru anii 2024 - 2028</w:t>
      </w:r>
    </w:p>
    <w:p w14:paraId="531415DC" w14:textId="77777777" w:rsidR="00621FA9" w:rsidRPr="00621FA9" w:rsidRDefault="00621FA9" w:rsidP="00621FA9">
      <w:pPr>
        <w:spacing w:after="0" w:line="240" w:lineRule="auto"/>
        <w:ind w:left="0" w:firstLine="567"/>
        <w:jc w:val="center"/>
        <w:rPr>
          <w:rFonts w:ascii="Times New Roman" w:hAnsi="Times New Roman"/>
          <w:color w:val="000000"/>
          <w:sz w:val="28"/>
          <w:szCs w:val="28"/>
          <w:lang w:eastAsia="ru-RU"/>
        </w:rPr>
      </w:pPr>
    </w:p>
    <w:p w14:paraId="44976AAB" w14:textId="77777777" w:rsidR="00621FA9" w:rsidRPr="00621FA9" w:rsidRDefault="00621FA9" w:rsidP="00621FA9">
      <w:pPr>
        <w:spacing w:after="0" w:line="240" w:lineRule="auto"/>
        <w:ind w:left="0" w:firstLine="567"/>
        <w:jc w:val="center"/>
        <w:rPr>
          <w:rFonts w:ascii="Times New Roman" w:eastAsia="Times New Roman" w:hAnsi="Times New Roman"/>
          <w:sz w:val="28"/>
          <w:szCs w:val="28"/>
          <w:lang w:eastAsia="ru-RU"/>
        </w:rPr>
      </w:pPr>
    </w:p>
    <w:p w14:paraId="7CB32F06" w14:textId="663680E3" w:rsidR="00FC3ED3" w:rsidRPr="00FC3ED3" w:rsidRDefault="00FC3ED3" w:rsidP="009C50E0">
      <w:pPr>
        <w:autoSpaceDE w:val="0"/>
        <w:autoSpaceDN w:val="0"/>
        <w:adjustRightInd w:val="0"/>
        <w:spacing w:after="0" w:line="240" w:lineRule="auto"/>
        <w:ind w:left="0"/>
        <w:rPr>
          <w:rFonts w:ascii="Times New Roman" w:hAnsi="Times New Roman"/>
          <w:sz w:val="28"/>
          <w:szCs w:val="28"/>
          <w:lang w:val="ro-MD"/>
        </w:rPr>
      </w:pPr>
      <w:r w:rsidRPr="00FC3ED3">
        <w:rPr>
          <w:rFonts w:ascii="Times New Roman" w:hAnsi="Times New Roman"/>
          <w:sz w:val="28"/>
          <w:szCs w:val="28"/>
          <w:lang w:val="ro-MD"/>
        </w:rPr>
        <w:t>În temeiul lit. a), art.5 din Legea nr.136/2017 cu privire la Guvern (Monitorul</w:t>
      </w:r>
      <w:r w:rsidR="009C50E0">
        <w:rPr>
          <w:rFonts w:ascii="Times New Roman" w:hAnsi="Times New Roman"/>
          <w:sz w:val="28"/>
          <w:szCs w:val="28"/>
          <w:lang w:val="ro-MD"/>
        </w:rPr>
        <w:t xml:space="preserve"> </w:t>
      </w:r>
      <w:r w:rsidRPr="00FC3ED3">
        <w:rPr>
          <w:rFonts w:ascii="Times New Roman" w:hAnsi="Times New Roman"/>
          <w:sz w:val="28"/>
          <w:szCs w:val="28"/>
          <w:lang w:val="ro-MD"/>
        </w:rPr>
        <w:t>Oficial al Republicii Moldova, 2017, nr.252, art.412),</w:t>
      </w:r>
    </w:p>
    <w:p w14:paraId="7FE4027A" w14:textId="77777777" w:rsidR="00621FA9" w:rsidRPr="00FC3ED3" w:rsidRDefault="00621FA9" w:rsidP="00621FA9">
      <w:pPr>
        <w:spacing w:after="0" w:line="240" w:lineRule="auto"/>
        <w:ind w:left="0" w:firstLine="567"/>
        <w:jc w:val="center"/>
        <w:rPr>
          <w:rFonts w:ascii="Times New Roman" w:eastAsia="Times New Roman" w:hAnsi="Times New Roman"/>
          <w:b/>
          <w:sz w:val="28"/>
          <w:szCs w:val="28"/>
          <w:lang w:val="en-US" w:eastAsia="ru-RU"/>
        </w:rPr>
      </w:pPr>
    </w:p>
    <w:p w14:paraId="693FF2C9" w14:textId="77777777" w:rsidR="00621FA9" w:rsidRPr="00621FA9" w:rsidRDefault="00621FA9" w:rsidP="00621FA9">
      <w:pPr>
        <w:spacing w:after="0" w:line="240" w:lineRule="auto"/>
        <w:ind w:left="0"/>
        <w:jc w:val="both"/>
        <w:rPr>
          <w:rFonts w:ascii="Times New Roman" w:eastAsia="Times New Roman" w:hAnsi="Times New Roman"/>
          <w:sz w:val="28"/>
          <w:szCs w:val="28"/>
          <w:lang w:val="ro-MD" w:eastAsia="ru-RU"/>
        </w:rPr>
      </w:pPr>
    </w:p>
    <w:p w14:paraId="5551FB95" w14:textId="77777777" w:rsidR="00621FA9" w:rsidRPr="00621FA9" w:rsidRDefault="00621FA9" w:rsidP="00621FA9">
      <w:pPr>
        <w:spacing w:after="0" w:line="240" w:lineRule="auto"/>
        <w:ind w:left="0" w:firstLine="567"/>
        <w:jc w:val="both"/>
        <w:rPr>
          <w:rFonts w:ascii="Times New Roman" w:eastAsia="Times New Roman" w:hAnsi="Times New Roman"/>
          <w:b/>
          <w:sz w:val="28"/>
          <w:szCs w:val="28"/>
          <w:lang w:val="ro-MD" w:eastAsia="ru-RU"/>
        </w:rPr>
      </w:pPr>
      <w:r w:rsidRPr="00621FA9">
        <w:rPr>
          <w:rFonts w:ascii="Times New Roman" w:eastAsia="Times New Roman" w:hAnsi="Times New Roman"/>
          <w:sz w:val="28"/>
          <w:szCs w:val="28"/>
          <w:lang w:val="ro-MD" w:eastAsia="ru-RU"/>
        </w:rPr>
        <w:t xml:space="preserve">Guvernul </w:t>
      </w:r>
      <w:r w:rsidRPr="00621FA9">
        <w:rPr>
          <w:rFonts w:ascii="Times New Roman" w:eastAsia="Times New Roman" w:hAnsi="Times New Roman"/>
          <w:b/>
          <w:sz w:val="28"/>
          <w:szCs w:val="28"/>
          <w:lang w:val="ro-MD" w:eastAsia="ru-RU"/>
        </w:rPr>
        <w:t>HOTĂRĂȘTE:</w:t>
      </w:r>
    </w:p>
    <w:p w14:paraId="452D78EB" w14:textId="77777777" w:rsidR="00621FA9" w:rsidRPr="00621FA9" w:rsidRDefault="00621FA9" w:rsidP="00621FA9">
      <w:pPr>
        <w:spacing w:after="0" w:line="240" w:lineRule="auto"/>
        <w:ind w:left="0" w:firstLine="567"/>
        <w:jc w:val="both"/>
        <w:rPr>
          <w:rFonts w:ascii="Times New Roman" w:eastAsia="Times New Roman" w:hAnsi="Times New Roman"/>
          <w:b/>
          <w:sz w:val="28"/>
          <w:szCs w:val="28"/>
          <w:lang w:val="ro-MD" w:eastAsia="ru-RU"/>
        </w:rPr>
      </w:pPr>
    </w:p>
    <w:p w14:paraId="7C849786" w14:textId="47E5669B" w:rsidR="00621FA9" w:rsidRDefault="00621FA9" w:rsidP="00FC3ED3">
      <w:pPr>
        <w:pStyle w:val="a3"/>
        <w:numPr>
          <w:ilvl w:val="0"/>
          <w:numId w:val="19"/>
        </w:numPr>
        <w:spacing w:before="120" w:line="276" w:lineRule="auto"/>
        <w:ind w:left="0" w:firstLine="709"/>
        <w:jc w:val="both"/>
        <w:rPr>
          <w:rFonts w:ascii="Times New Roman" w:eastAsia="Times New Roman" w:hAnsi="Times New Roman"/>
          <w:sz w:val="28"/>
          <w:szCs w:val="28"/>
          <w:lang w:eastAsia="ru-RU"/>
        </w:rPr>
      </w:pPr>
      <w:r w:rsidRPr="00FC3ED3">
        <w:rPr>
          <w:rFonts w:ascii="Times New Roman" w:eastAsia="Times New Roman" w:hAnsi="Times New Roman"/>
          <w:sz w:val="28"/>
          <w:szCs w:val="28"/>
          <w:lang w:val="ro-MD" w:eastAsia="ru-RU"/>
        </w:rPr>
        <w:t xml:space="preserve">Se aprobă </w:t>
      </w:r>
      <w:r w:rsidR="00FC3ED3">
        <w:rPr>
          <w:rFonts w:ascii="Times New Roman" w:eastAsia="Times New Roman" w:hAnsi="Times New Roman"/>
          <w:sz w:val="28"/>
          <w:szCs w:val="28"/>
          <w:lang w:val="ro-MD" w:eastAsia="ru-RU"/>
        </w:rPr>
        <w:t>Programul Național de dezvoltare industri</w:t>
      </w:r>
      <w:r w:rsidR="008C2442">
        <w:rPr>
          <w:rFonts w:ascii="Times New Roman" w:eastAsia="Times New Roman" w:hAnsi="Times New Roman"/>
          <w:sz w:val="28"/>
          <w:szCs w:val="28"/>
          <w:lang w:val="ro-MD" w:eastAsia="ru-RU"/>
        </w:rPr>
        <w:t>ală</w:t>
      </w:r>
      <w:r w:rsidR="00FC3ED3">
        <w:rPr>
          <w:rFonts w:ascii="Times New Roman" w:eastAsia="Times New Roman" w:hAnsi="Times New Roman"/>
          <w:sz w:val="28"/>
          <w:szCs w:val="28"/>
          <w:lang w:val="ro-MD" w:eastAsia="ru-RU"/>
        </w:rPr>
        <w:t xml:space="preserve"> pentru anii 2024 – 2028 (se anexează)</w:t>
      </w:r>
      <w:r w:rsidRPr="00FC3ED3">
        <w:rPr>
          <w:rFonts w:ascii="Times New Roman" w:eastAsia="Times New Roman" w:hAnsi="Times New Roman"/>
          <w:sz w:val="28"/>
          <w:szCs w:val="28"/>
          <w:lang w:eastAsia="ru-RU"/>
        </w:rPr>
        <w:t>.</w:t>
      </w:r>
    </w:p>
    <w:p w14:paraId="432479FA" w14:textId="21721DA0" w:rsidR="00FC3ED3" w:rsidRPr="00FC3ED3" w:rsidRDefault="00FC3ED3" w:rsidP="00FC3ED3">
      <w:pPr>
        <w:pStyle w:val="a3"/>
        <w:numPr>
          <w:ilvl w:val="0"/>
          <w:numId w:val="19"/>
        </w:numPr>
        <w:spacing w:before="120"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Ministerele și alte autorități administrative centrale vor întreprinde măsurile necesare implementării </w:t>
      </w:r>
      <w:r>
        <w:rPr>
          <w:rFonts w:ascii="Times New Roman" w:eastAsia="Times New Roman" w:hAnsi="Times New Roman"/>
          <w:sz w:val="28"/>
          <w:szCs w:val="28"/>
          <w:lang w:val="ro-MD" w:eastAsia="ru-RU"/>
        </w:rPr>
        <w:t>Programul Național de dezvoltare industri</w:t>
      </w:r>
      <w:r w:rsidR="008C2442">
        <w:rPr>
          <w:rFonts w:ascii="Times New Roman" w:eastAsia="Times New Roman" w:hAnsi="Times New Roman"/>
          <w:sz w:val="28"/>
          <w:szCs w:val="28"/>
          <w:lang w:val="ro-MD" w:eastAsia="ru-RU"/>
        </w:rPr>
        <w:t>ală</w:t>
      </w:r>
      <w:bookmarkStart w:id="0" w:name="_GoBack"/>
      <w:bookmarkEnd w:id="0"/>
      <w:r>
        <w:rPr>
          <w:rFonts w:ascii="Times New Roman" w:eastAsia="Times New Roman" w:hAnsi="Times New Roman"/>
          <w:sz w:val="28"/>
          <w:szCs w:val="28"/>
          <w:lang w:val="ro-MD" w:eastAsia="ru-RU"/>
        </w:rPr>
        <w:t xml:space="preserve"> pentru anii 2024 – 2028</w:t>
      </w:r>
      <w:r>
        <w:rPr>
          <w:rFonts w:ascii="Times New Roman" w:eastAsia="Times New Roman" w:hAnsi="Times New Roman"/>
          <w:sz w:val="28"/>
          <w:szCs w:val="28"/>
          <w:lang w:val="ro-MD" w:eastAsia="ru-RU"/>
        </w:rPr>
        <w:t>.</w:t>
      </w:r>
    </w:p>
    <w:p w14:paraId="1162776B" w14:textId="193904BC" w:rsidR="00FC3ED3" w:rsidRPr="00FC3ED3" w:rsidRDefault="00FC3ED3" w:rsidP="00FC3ED3">
      <w:pPr>
        <w:pStyle w:val="a3"/>
        <w:numPr>
          <w:ilvl w:val="0"/>
          <w:numId w:val="19"/>
        </w:numPr>
        <w:spacing w:before="120"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ro-MD" w:eastAsia="ru-RU"/>
        </w:rPr>
        <w:t>Controlul asupra executării prezentei hotărâri se pune în sarcina Ministerului Dezvoltării Economice și Digitalizării.</w:t>
      </w:r>
    </w:p>
    <w:p w14:paraId="11737348" w14:textId="77777777" w:rsidR="00FC3ED3" w:rsidRPr="00621FA9" w:rsidRDefault="00FC3ED3" w:rsidP="00621FA9">
      <w:pPr>
        <w:spacing w:after="0" w:line="240" w:lineRule="auto"/>
        <w:ind w:left="0"/>
        <w:jc w:val="both"/>
        <w:rPr>
          <w:rFonts w:ascii="Times New Roman" w:eastAsia="Times New Roman" w:hAnsi="Times New Roman"/>
          <w:sz w:val="28"/>
          <w:szCs w:val="28"/>
          <w:lang w:val="ro-MD" w:eastAsia="ru-RU"/>
        </w:rPr>
      </w:pPr>
    </w:p>
    <w:p w14:paraId="5E24898B" w14:textId="77777777" w:rsidR="00621FA9" w:rsidRPr="00621FA9" w:rsidRDefault="00621FA9" w:rsidP="00621FA9">
      <w:pPr>
        <w:spacing w:after="0" w:line="240" w:lineRule="auto"/>
        <w:ind w:left="0"/>
        <w:jc w:val="both"/>
        <w:rPr>
          <w:rFonts w:ascii="Times New Roman" w:eastAsia="Times New Roman" w:hAnsi="Times New Roman"/>
          <w:sz w:val="28"/>
          <w:szCs w:val="28"/>
          <w:lang w:val="ro-MD" w:eastAsia="ru-RU"/>
        </w:rPr>
      </w:pPr>
    </w:p>
    <w:p w14:paraId="3ABD767C" w14:textId="77777777" w:rsidR="00621FA9" w:rsidRPr="00621FA9" w:rsidRDefault="00621FA9" w:rsidP="00621FA9">
      <w:pPr>
        <w:spacing w:after="0" w:line="240" w:lineRule="auto"/>
        <w:ind w:left="0" w:firstLine="851"/>
        <w:jc w:val="both"/>
        <w:rPr>
          <w:rFonts w:ascii="Times New Roman" w:eastAsia="Times New Roman" w:hAnsi="Times New Roman"/>
          <w:sz w:val="28"/>
          <w:szCs w:val="28"/>
          <w:lang w:val="ro-MD" w:eastAsia="ru-RU"/>
        </w:rPr>
      </w:pPr>
    </w:p>
    <w:p w14:paraId="1177367C" w14:textId="67FDDFB3" w:rsidR="00621FA9" w:rsidRPr="00621FA9" w:rsidRDefault="00621FA9" w:rsidP="00621FA9">
      <w:pPr>
        <w:tabs>
          <w:tab w:val="left" w:pos="6804"/>
        </w:tabs>
        <w:spacing w:after="0" w:line="240" w:lineRule="auto"/>
        <w:ind w:left="0" w:firstLine="851"/>
        <w:jc w:val="both"/>
        <w:rPr>
          <w:rFonts w:ascii="Times New Roman" w:eastAsia="Times New Roman" w:hAnsi="Times New Roman"/>
          <w:b/>
          <w:sz w:val="28"/>
          <w:szCs w:val="28"/>
          <w:lang w:val="ro-MD" w:eastAsia="ru-RU"/>
        </w:rPr>
      </w:pPr>
      <w:r w:rsidRPr="00621FA9">
        <w:rPr>
          <w:rFonts w:ascii="Times New Roman" w:eastAsia="Times New Roman" w:hAnsi="Times New Roman"/>
          <w:b/>
          <w:sz w:val="28"/>
          <w:szCs w:val="28"/>
          <w:lang w:val="ro-MD" w:eastAsia="ru-RU"/>
        </w:rPr>
        <w:t xml:space="preserve">PRIM-MINISTRU                                                 </w:t>
      </w:r>
      <w:r w:rsidR="00B13E9F">
        <w:rPr>
          <w:rFonts w:ascii="Times New Roman" w:eastAsia="Times New Roman" w:hAnsi="Times New Roman"/>
          <w:b/>
          <w:sz w:val="28"/>
          <w:szCs w:val="28"/>
          <w:lang w:val="ro-MD" w:eastAsia="ru-RU"/>
        </w:rPr>
        <w:t>Dorin RECEAN</w:t>
      </w:r>
    </w:p>
    <w:p w14:paraId="2571F8CF" w14:textId="77777777" w:rsidR="00621FA9" w:rsidRPr="00621FA9" w:rsidRDefault="00621FA9" w:rsidP="00621FA9">
      <w:pPr>
        <w:spacing w:after="0" w:line="240" w:lineRule="auto"/>
        <w:ind w:left="0" w:firstLine="851"/>
        <w:jc w:val="both"/>
        <w:rPr>
          <w:rFonts w:ascii="Times New Roman" w:eastAsia="Times New Roman" w:hAnsi="Times New Roman"/>
          <w:b/>
          <w:sz w:val="28"/>
          <w:szCs w:val="28"/>
          <w:lang w:val="ro-MD" w:eastAsia="ru-RU"/>
        </w:rPr>
      </w:pPr>
    </w:p>
    <w:p w14:paraId="2062D4CC" w14:textId="77777777" w:rsidR="00621FA9" w:rsidRPr="00621FA9" w:rsidRDefault="00621FA9" w:rsidP="00621FA9">
      <w:pPr>
        <w:spacing w:after="0" w:line="240" w:lineRule="auto"/>
        <w:ind w:left="0" w:firstLine="851"/>
        <w:jc w:val="both"/>
        <w:rPr>
          <w:rFonts w:ascii="Times New Roman" w:eastAsia="Times New Roman" w:hAnsi="Times New Roman"/>
          <w:b/>
          <w:sz w:val="28"/>
          <w:szCs w:val="28"/>
          <w:lang w:val="ro-MD" w:eastAsia="ru-RU"/>
        </w:rPr>
      </w:pPr>
      <w:r w:rsidRPr="00621FA9">
        <w:rPr>
          <w:rFonts w:ascii="Times New Roman" w:eastAsia="Times New Roman" w:hAnsi="Times New Roman"/>
          <w:b/>
          <w:sz w:val="28"/>
          <w:szCs w:val="28"/>
          <w:lang w:val="ro-MD" w:eastAsia="ru-RU"/>
        </w:rPr>
        <w:t>Contrasemnează:</w:t>
      </w:r>
    </w:p>
    <w:p w14:paraId="0A8A6769" w14:textId="77777777" w:rsidR="00621FA9" w:rsidRPr="00621FA9" w:rsidRDefault="00621FA9" w:rsidP="00621FA9">
      <w:pPr>
        <w:spacing w:after="0" w:line="240" w:lineRule="auto"/>
        <w:ind w:left="0" w:firstLine="851"/>
        <w:jc w:val="both"/>
        <w:rPr>
          <w:rFonts w:ascii="Times New Roman" w:eastAsia="Times New Roman" w:hAnsi="Times New Roman"/>
          <w:b/>
          <w:sz w:val="28"/>
          <w:szCs w:val="28"/>
          <w:lang w:val="ro-MD" w:eastAsia="ru-RU"/>
        </w:rPr>
      </w:pPr>
    </w:p>
    <w:p w14:paraId="7AADDDB0" w14:textId="77777777" w:rsidR="00621FA9" w:rsidRPr="00621FA9" w:rsidRDefault="00621FA9" w:rsidP="00621FA9">
      <w:pPr>
        <w:spacing w:after="0" w:line="240" w:lineRule="auto"/>
        <w:ind w:left="0" w:firstLine="851"/>
        <w:jc w:val="both"/>
        <w:rPr>
          <w:rFonts w:ascii="Times New Roman" w:eastAsia="Times New Roman" w:hAnsi="Times New Roman"/>
          <w:b/>
          <w:sz w:val="28"/>
          <w:szCs w:val="28"/>
          <w:lang w:val="ro-MD" w:eastAsia="ru-RU"/>
        </w:rPr>
      </w:pPr>
    </w:p>
    <w:p w14:paraId="1ABFFD83" w14:textId="77777777" w:rsidR="00B13E9F" w:rsidRDefault="00B13E9F" w:rsidP="00621FA9">
      <w:pPr>
        <w:spacing w:after="0" w:line="240" w:lineRule="auto"/>
        <w:ind w:left="0" w:firstLine="851"/>
        <w:jc w:val="both"/>
        <w:rPr>
          <w:rFonts w:ascii="Times New Roman" w:eastAsia="Times New Roman" w:hAnsi="Times New Roman"/>
          <w:b/>
          <w:sz w:val="28"/>
          <w:szCs w:val="28"/>
          <w:lang w:val="ro-MD" w:eastAsia="ru-RU"/>
        </w:rPr>
      </w:pPr>
      <w:r>
        <w:rPr>
          <w:rFonts w:ascii="Times New Roman" w:eastAsia="Times New Roman" w:hAnsi="Times New Roman"/>
          <w:b/>
          <w:sz w:val="28"/>
          <w:szCs w:val="28"/>
          <w:lang w:val="ro-MD" w:eastAsia="ru-RU"/>
        </w:rPr>
        <w:t>Viceprim-ministru,</w:t>
      </w:r>
    </w:p>
    <w:p w14:paraId="44D039E4" w14:textId="77777777" w:rsidR="00B13E9F" w:rsidRDefault="00621FA9" w:rsidP="00621FA9">
      <w:pPr>
        <w:spacing w:after="0" w:line="240" w:lineRule="auto"/>
        <w:ind w:left="0" w:firstLine="851"/>
        <w:jc w:val="both"/>
        <w:rPr>
          <w:rFonts w:ascii="Times New Roman" w:eastAsia="Times New Roman" w:hAnsi="Times New Roman"/>
          <w:b/>
          <w:sz w:val="28"/>
          <w:szCs w:val="28"/>
          <w:lang w:val="ro-MD" w:eastAsia="ru-RU"/>
        </w:rPr>
      </w:pPr>
      <w:r w:rsidRPr="00621FA9">
        <w:rPr>
          <w:rFonts w:ascii="Times New Roman" w:eastAsia="Times New Roman" w:hAnsi="Times New Roman"/>
          <w:b/>
          <w:sz w:val="28"/>
          <w:szCs w:val="28"/>
          <w:lang w:val="ro-MD" w:eastAsia="ru-RU"/>
        </w:rPr>
        <w:t xml:space="preserve">Ministrul </w:t>
      </w:r>
      <w:r w:rsidR="00B13E9F">
        <w:rPr>
          <w:rFonts w:ascii="Times New Roman" w:eastAsia="Times New Roman" w:hAnsi="Times New Roman"/>
          <w:b/>
          <w:sz w:val="28"/>
          <w:szCs w:val="28"/>
          <w:lang w:val="ro-MD" w:eastAsia="ru-RU"/>
        </w:rPr>
        <w:t xml:space="preserve">dezvoltării </w:t>
      </w:r>
    </w:p>
    <w:p w14:paraId="7B1EB221" w14:textId="2F1DEEFF" w:rsidR="00621FA9" w:rsidRPr="00621FA9" w:rsidRDefault="00621FA9" w:rsidP="00621FA9">
      <w:pPr>
        <w:spacing w:after="0" w:line="240" w:lineRule="auto"/>
        <w:ind w:left="0" w:firstLine="851"/>
        <w:jc w:val="both"/>
        <w:rPr>
          <w:rFonts w:ascii="Times New Roman" w:eastAsia="Times New Roman" w:hAnsi="Times New Roman"/>
          <w:b/>
          <w:sz w:val="28"/>
          <w:szCs w:val="28"/>
          <w:lang w:val="ro-MD" w:eastAsia="ru-RU"/>
        </w:rPr>
      </w:pPr>
      <w:r w:rsidRPr="00621FA9">
        <w:rPr>
          <w:rFonts w:ascii="Times New Roman" w:eastAsia="Times New Roman" w:hAnsi="Times New Roman"/>
          <w:b/>
          <w:sz w:val="28"/>
          <w:szCs w:val="28"/>
          <w:lang w:val="ro-MD" w:eastAsia="ru-RU"/>
        </w:rPr>
        <w:t>economi</w:t>
      </w:r>
      <w:r w:rsidR="00B13E9F">
        <w:rPr>
          <w:rFonts w:ascii="Times New Roman" w:eastAsia="Times New Roman" w:hAnsi="Times New Roman"/>
          <w:b/>
          <w:sz w:val="28"/>
          <w:szCs w:val="28"/>
          <w:lang w:val="ro-MD" w:eastAsia="ru-RU"/>
        </w:rPr>
        <w:t>c</w:t>
      </w:r>
      <w:r w:rsidRPr="00621FA9">
        <w:rPr>
          <w:rFonts w:ascii="Times New Roman" w:eastAsia="Times New Roman" w:hAnsi="Times New Roman"/>
          <w:b/>
          <w:sz w:val="28"/>
          <w:szCs w:val="28"/>
          <w:lang w:val="ro-MD" w:eastAsia="ru-RU"/>
        </w:rPr>
        <w:t>e</w:t>
      </w:r>
      <w:r w:rsidR="00B13E9F">
        <w:rPr>
          <w:rFonts w:ascii="Times New Roman" w:eastAsia="Times New Roman" w:hAnsi="Times New Roman"/>
          <w:b/>
          <w:sz w:val="28"/>
          <w:szCs w:val="28"/>
          <w:lang w:val="ro-MD" w:eastAsia="ru-RU"/>
        </w:rPr>
        <w:t xml:space="preserve"> ș</w:t>
      </w:r>
      <w:r w:rsidRPr="00621FA9">
        <w:rPr>
          <w:rFonts w:ascii="Times New Roman" w:eastAsia="Times New Roman" w:hAnsi="Times New Roman"/>
          <w:b/>
          <w:sz w:val="28"/>
          <w:szCs w:val="28"/>
          <w:lang w:val="ro-MD" w:eastAsia="ru-RU"/>
        </w:rPr>
        <w:t xml:space="preserve">i </w:t>
      </w:r>
      <w:r w:rsidR="00B13E9F">
        <w:rPr>
          <w:rFonts w:ascii="Times New Roman" w:eastAsia="Times New Roman" w:hAnsi="Times New Roman"/>
          <w:b/>
          <w:sz w:val="28"/>
          <w:szCs w:val="28"/>
          <w:lang w:val="ro-MD" w:eastAsia="ru-RU"/>
        </w:rPr>
        <w:t>Digitalizării</w:t>
      </w:r>
      <w:r w:rsidRPr="00621FA9">
        <w:rPr>
          <w:rFonts w:ascii="Times New Roman" w:eastAsia="Times New Roman" w:hAnsi="Times New Roman"/>
          <w:b/>
          <w:sz w:val="28"/>
          <w:szCs w:val="28"/>
          <w:lang w:val="ro-MD" w:eastAsia="ru-RU"/>
        </w:rPr>
        <w:t xml:space="preserve">                                      Dumitru ALAIBA</w:t>
      </w:r>
    </w:p>
    <w:p w14:paraId="63A48C4E" w14:textId="53D9912D" w:rsidR="0018446E" w:rsidRDefault="0018446E" w:rsidP="00621FA9">
      <w:pPr>
        <w:spacing w:after="0" w:line="240" w:lineRule="auto"/>
        <w:ind w:left="0" w:firstLine="851"/>
        <w:jc w:val="both"/>
        <w:rPr>
          <w:rFonts w:ascii="Times New Roman" w:eastAsia="Times New Roman" w:hAnsi="Times New Roman"/>
          <w:b/>
          <w:sz w:val="28"/>
          <w:szCs w:val="28"/>
          <w:lang w:val="ro-MD" w:eastAsia="ru-RU"/>
        </w:rPr>
      </w:pPr>
      <w:r>
        <w:rPr>
          <w:rFonts w:ascii="Times New Roman" w:eastAsia="Times New Roman" w:hAnsi="Times New Roman"/>
          <w:b/>
          <w:sz w:val="28"/>
          <w:szCs w:val="28"/>
          <w:lang w:val="ro-MD" w:eastAsia="ru-RU"/>
        </w:rPr>
        <w:br w:type="page"/>
      </w:r>
    </w:p>
    <w:p w14:paraId="76F75060" w14:textId="77777777" w:rsidR="0018446E" w:rsidRPr="0018446E" w:rsidRDefault="0018446E" w:rsidP="0018446E">
      <w:pPr>
        <w:spacing w:after="0" w:line="240" w:lineRule="auto"/>
        <w:ind w:left="0" w:firstLine="7371"/>
        <w:rPr>
          <w:rFonts w:ascii="Times New Roman" w:eastAsia="Times New Roman" w:hAnsi="Times New Roman"/>
          <w:lang w:val="ro-MD"/>
        </w:rPr>
      </w:pPr>
      <w:bookmarkStart w:id="1" w:name="_Hlk140587994"/>
      <w:bookmarkStart w:id="2" w:name="_Hlk140587885"/>
      <w:r w:rsidRPr="0018446E">
        <w:rPr>
          <w:rFonts w:ascii="Times New Roman" w:eastAsia="Times New Roman" w:hAnsi="Times New Roman"/>
          <w:lang w:val="ro-MD"/>
        </w:rPr>
        <w:lastRenderedPageBreak/>
        <w:t xml:space="preserve">Aprobat </w:t>
      </w:r>
    </w:p>
    <w:p w14:paraId="08D36226" w14:textId="77777777" w:rsidR="0018446E" w:rsidRPr="0018446E" w:rsidRDefault="0018446E" w:rsidP="0018446E">
      <w:pPr>
        <w:spacing w:after="0" w:line="240" w:lineRule="auto"/>
        <w:ind w:left="0" w:firstLine="6804"/>
        <w:rPr>
          <w:rFonts w:ascii="Times New Roman" w:eastAsia="Times New Roman" w:hAnsi="Times New Roman"/>
          <w:lang w:val="ro-MD"/>
        </w:rPr>
      </w:pPr>
      <w:r w:rsidRPr="0018446E">
        <w:rPr>
          <w:rFonts w:ascii="Times New Roman" w:eastAsia="Times New Roman" w:hAnsi="Times New Roman"/>
          <w:lang w:val="ro-MD"/>
        </w:rPr>
        <w:t>prin Hotărârea Guvernului</w:t>
      </w:r>
    </w:p>
    <w:p w14:paraId="3068F53E" w14:textId="77777777" w:rsidR="0018446E" w:rsidRPr="0018446E" w:rsidRDefault="0018446E" w:rsidP="0018446E">
      <w:pPr>
        <w:spacing w:after="0" w:line="240" w:lineRule="auto"/>
        <w:ind w:left="0" w:firstLine="7655"/>
        <w:rPr>
          <w:rFonts w:ascii="Times New Roman" w:eastAsia="Times New Roman" w:hAnsi="Times New Roman"/>
          <w:lang w:val="ro-MD"/>
        </w:rPr>
      </w:pPr>
      <w:r w:rsidRPr="0018446E">
        <w:rPr>
          <w:rFonts w:ascii="Times New Roman" w:eastAsia="Times New Roman" w:hAnsi="Times New Roman"/>
          <w:lang w:val="ro-MD"/>
        </w:rPr>
        <w:t>nr.    /</w:t>
      </w:r>
    </w:p>
    <w:p w14:paraId="45951028" w14:textId="77777777" w:rsidR="0018446E" w:rsidRPr="0018446E" w:rsidRDefault="0018446E" w:rsidP="0018446E">
      <w:pPr>
        <w:spacing w:after="0" w:line="240" w:lineRule="auto"/>
        <w:ind w:left="0"/>
        <w:jc w:val="center"/>
        <w:rPr>
          <w:rFonts w:ascii="Times New Roman" w:eastAsia="Times New Roman" w:hAnsi="Times New Roman"/>
          <w:b/>
          <w:bCs/>
          <w:sz w:val="36"/>
          <w:szCs w:val="36"/>
          <w:lang w:val="ro-MD"/>
        </w:rPr>
      </w:pPr>
    </w:p>
    <w:p w14:paraId="0299B70F" w14:textId="77777777" w:rsidR="0018446E" w:rsidRPr="0018446E" w:rsidRDefault="0018446E" w:rsidP="0018446E">
      <w:pPr>
        <w:spacing w:after="0" w:line="240" w:lineRule="auto"/>
        <w:ind w:left="0"/>
        <w:jc w:val="center"/>
        <w:rPr>
          <w:rFonts w:ascii="Times New Roman" w:eastAsia="Times New Roman" w:hAnsi="Times New Roman"/>
          <w:b/>
          <w:bCs/>
          <w:sz w:val="28"/>
          <w:szCs w:val="28"/>
          <w:lang w:val="ro-MD"/>
        </w:rPr>
      </w:pPr>
      <w:r w:rsidRPr="0018446E">
        <w:rPr>
          <w:rFonts w:ascii="Times New Roman" w:eastAsia="Times New Roman" w:hAnsi="Times New Roman"/>
          <w:b/>
          <w:bCs/>
          <w:sz w:val="28"/>
          <w:szCs w:val="28"/>
          <w:lang w:val="ro-MD"/>
        </w:rPr>
        <w:t>Programul național de dezvoltare industrială pentru anii 2024-2028</w:t>
      </w:r>
    </w:p>
    <w:p w14:paraId="5E107CD6" w14:textId="77777777" w:rsidR="0018446E" w:rsidRPr="0018446E" w:rsidRDefault="0018446E" w:rsidP="0018446E">
      <w:pPr>
        <w:keepNext/>
        <w:keepLines/>
        <w:shd w:val="clear" w:color="auto" w:fill="FFFFFF" w:themeFill="background1"/>
        <w:spacing w:after="0" w:line="240" w:lineRule="auto"/>
        <w:ind w:left="0"/>
        <w:jc w:val="center"/>
        <w:outlineLvl w:val="0"/>
        <w:rPr>
          <w:rFonts w:ascii="Times New Roman" w:eastAsia="Times New Roman" w:hAnsi="Times New Roman"/>
          <w:b/>
          <w:lang w:val="ro-MD"/>
        </w:rPr>
      </w:pPr>
    </w:p>
    <w:p w14:paraId="3991F509" w14:textId="77777777" w:rsidR="0018446E" w:rsidRPr="0018446E" w:rsidRDefault="0018446E" w:rsidP="0018446E">
      <w:pPr>
        <w:keepNext/>
        <w:keepLines/>
        <w:shd w:val="clear" w:color="auto" w:fill="FFFFFF" w:themeFill="background1"/>
        <w:spacing w:after="0" w:line="240" w:lineRule="auto"/>
        <w:ind w:left="0"/>
        <w:jc w:val="center"/>
        <w:outlineLvl w:val="0"/>
        <w:rPr>
          <w:rFonts w:ascii="Times New Roman" w:eastAsia="Times New Roman" w:hAnsi="Times New Roman"/>
          <w:b/>
          <w:lang w:val="ro-MD"/>
        </w:rPr>
      </w:pPr>
    </w:p>
    <w:p w14:paraId="2F723C34" w14:textId="77777777" w:rsidR="0018446E" w:rsidRPr="0018446E" w:rsidRDefault="0018446E" w:rsidP="0018446E">
      <w:pPr>
        <w:keepNext/>
        <w:keepLines/>
        <w:numPr>
          <w:ilvl w:val="0"/>
          <w:numId w:val="41"/>
        </w:numPr>
        <w:shd w:val="clear" w:color="auto" w:fill="FFFFFF" w:themeFill="background1"/>
        <w:spacing w:after="0" w:line="240" w:lineRule="auto"/>
        <w:contextualSpacing/>
        <w:jc w:val="center"/>
        <w:outlineLvl w:val="0"/>
        <w:rPr>
          <w:rFonts w:ascii="Times New Roman" w:eastAsia="Times New Roman" w:hAnsi="Times New Roman"/>
          <w:b/>
          <w:lang w:val="ro-MD"/>
        </w:rPr>
      </w:pPr>
      <w:r w:rsidRPr="0018446E">
        <w:rPr>
          <w:rFonts w:ascii="Times New Roman" w:eastAsia="Times New Roman" w:hAnsi="Times New Roman"/>
          <w:b/>
          <w:lang w:val="ro-MD"/>
        </w:rPr>
        <w:t>INTRODUCERE</w:t>
      </w:r>
    </w:p>
    <w:p w14:paraId="4C7C59E0" w14:textId="77777777" w:rsidR="0018446E" w:rsidRPr="0018446E" w:rsidRDefault="0018446E" w:rsidP="0018446E">
      <w:pPr>
        <w:keepNext/>
        <w:keepLines/>
        <w:shd w:val="clear" w:color="auto" w:fill="FFFFFF" w:themeFill="background1"/>
        <w:spacing w:after="0" w:line="240" w:lineRule="auto"/>
        <w:ind w:left="0"/>
        <w:jc w:val="center"/>
        <w:outlineLvl w:val="0"/>
        <w:rPr>
          <w:rFonts w:ascii="Times New Roman" w:eastAsia="Times New Roman" w:hAnsi="Times New Roman"/>
          <w:b/>
          <w:lang w:val="ro-MD"/>
        </w:rPr>
      </w:pPr>
    </w:p>
    <w:p w14:paraId="5990CF0C"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Programul național de dezvoltare industrială pentru anii 2024-2028 (PNDI) este un document de politici care definește viziunea strategică și principalele direcții de dezvoltare ale industriei prelucrătoare din Republica Moldova pe termen mediu, în conformitate cu potențialul de dezvoltare a industriei autohtone și angajamentele setate în Obiectivele de Dezvoltare Durabilă (ODD) și cele care derivă din statutul de țară-candidat pentru aderarea la Uniunea Europeană (UE).</w:t>
      </w:r>
    </w:p>
    <w:p w14:paraId="2363F60C"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4CE2F969"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PNDI și Planul de acțiuni privind implementarea acestuia este elaborat în conformitate cu prevederile Hotărârii Guvernului nr. 386/2020 cu privire la planificarea, elaborarea, aprobarea,</w:t>
      </w:r>
      <w:r w:rsidRPr="0018446E">
        <w:rPr>
          <w:rFonts w:ascii="Times New Roman" w:eastAsia="Times New Roman" w:hAnsi="Times New Roman"/>
          <w:b/>
          <w:bCs/>
          <w:lang w:val="ro-MD"/>
        </w:rPr>
        <w:t xml:space="preserve"> </w:t>
      </w:r>
      <w:r w:rsidRPr="0018446E">
        <w:rPr>
          <w:rFonts w:ascii="Times New Roman" w:eastAsia="Times New Roman" w:hAnsi="Times New Roman"/>
          <w:lang w:val="ro-MD"/>
        </w:rPr>
        <w:t>implementarea, monitorizarea și evaluarea</w:t>
      </w:r>
      <w:r w:rsidRPr="0018446E">
        <w:rPr>
          <w:rFonts w:ascii="Times New Roman" w:eastAsia="Times New Roman" w:hAnsi="Times New Roman"/>
          <w:b/>
          <w:bCs/>
          <w:lang w:val="ro-MD"/>
        </w:rPr>
        <w:t xml:space="preserve"> </w:t>
      </w:r>
      <w:r w:rsidRPr="0018446E">
        <w:rPr>
          <w:rFonts w:ascii="Times New Roman" w:eastAsia="Times New Roman" w:hAnsi="Times New Roman"/>
          <w:lang w:val="ro-MD"/>
        </w:rPr>
        <w:t>documentelor de politici publice.</w:t>
      </w:r>
    </w:p>
    <w:p w14:paraId="3A86FCD3"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679DEFA9"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Programul este elaborat în conformitate cu angajamentele internaționale ale Republicii Moldova, în conformitate cu Strategia Națională de Dezvoltare și documente de politici publici sectoriale.  Astfel, Programul este adresat direct realizării ODD 9 – </w:t>
      </w:r>
      <w:r w:rsidRPr="0018446E">
        <w:rPr>
          <w:rFonts w:ascii="Times New Roman" w:eastAsia="Times New Roman" w:hAnsi="Times New Roman"/>
          <w:i/>
          <w:iCs/>
          <w:lang w:val="ro-MD"/>
        </w:rPr>
        <w:t>Industrie, inovație și infrastructură</w:t>
      </w:r>
      <w:r w:rsidRPr="0018446E">
        <w:rPr>
          <w:rFonts w:ascii="Times New Roman" w:eastAsia="Times New Roman" w:hAnsi="Times New Roman"/>
          <w:lang w:val="ro-MD"/>
        </w:rPr>
        <w:t xml:space="preserve"> (construirea unor infrastructuri </w:t>
      </w:r>
      <w:proofErr w:type="spellStart"/>
      <w:r w:rsidRPr="0018446E">
        <w:rPr>
          <w:rFonts w:ascii="Times New Roman" w:eastAsia="Times New Roman" w:hAnsi="Times New Roman"/>
          <w:lang w:val="ro-MD"/>
        </w:rPr>
        <w:t>reziliente</w:t>
      </w:r>
      <w:proofErr w:type="spellEnd"/>
      <w:r w:rsidRPr="0018446E">
        <w:rPr>
          <w:rFonts w:ascii="Times New Roman" w:eastAsia="Times New Roman" w:hAnsi="Times New Roman"/>
          <w:lang w:val="ro-MD"/>
        </w:rPr>
        <w:t xml:space="preserve">, promovarea industrializării durabile și încurajarea inovației) – , precum și indirect contribuie la realizarea: ODD 1 (Fără sărăcie); ODD 2 (Zero foame); ODD 8 (Muncă decentă și creștere economică); ODD 10 (Inegalități reduse); ODD 12 (Consum și producție responsabile) și; ODD 13 (Acțiune asupra climei). PNDI conține de asemenea indicatorii cu privire la industrializare setați în Cadrul Național de Monitorizare a Implementării Agendei de Dezvoltare Durabilă 2030, aprobat prin Hotărârea Guvernului nr. 953/2022, implicit indicatorii pentru măsurarea ponderii industriei în structura PIB-ului.   </w:t>
      </w:r>
    </w:p>
    <w:p w14:paraId="31000B66" w14:textId="77777777" w:rsidR="0018446E" w:rsidRPr="0018446E" w:rsidRDefault="0018446E" w:rsidP="0018446E">
      <w:pPr>
        <w:spacing w:after="0" w:line="276" w:lineRule="auto"/>
        <w:ind w:left="720"/>
        <w:contextualSpacing/>
        <w:jc w:val="both"/>
        <w:rPr>
          <w:rFonts w:ascii="Times New Roman" w:eastAsia="Times New Roman" w:hAnsi="Times New Roman"/>
          <w:lang w:val="ro-MD"/>
        </w:rPr>
      </w:pPr>
    </w:p>
    <w:p w14:paraId="69C21C32" w14:textId="77777777" w:rsidR="0018446E" w:rsidRPr="0018446E" w:rsidRDefault="0018446E" w:rsidP="0018446E">
      <w:pPr>
        <w:spacing w:after="16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Totodată, Programul este aliniat la prevederile Acordului de Asociere </w:t>
      </w:r>
      <w:hyperlink r:id="rId8" w:history="1">
        <w:r w:rsidRPr="0018446E">
          <w:rPr>
            <w:rFonts w:ascii="Times New Roman" w:eastAsia="Times New Roman" w:hAnsi="Times New Roman"/>
            <w:shd w:val="clear" w:color="auto" w:fill="FFFFFF"/>
            <w:lang w:val="ro-MD"/>
          </w:rPr>
          <w:t>între Uniunea Europeană, Euratom și statele membre ale acestora, pe de o parte, și Republica Moldova, pe de altă parte</w:t>
        </w:r>
      </w:hyperlink>
      <w:r w:rsidRPr="0018446E">
        <w:rPr>
          <w:rFonts w:ascii="Times New Roman" w:eastAsia="Times New Roman" w:hAnsi="Times New Roman"/>
          <w:lang w:val="ro-MD"/>
        </w:rPr>
        <w:t xml:space="preserve"> – </w:t>
      </w:r>
      <w:r w:rsidRPr="0018446E">
        <w:rPr>
          <w:rFonts w:ascii="Times New Roman" w:eastAsia="Times New Roman" w:hAnsi="Times New Roman"/>
          <w:i/>
          <w:iCs/>
          <w:lang w:val="ro-MD"/>
        </w:rPr>
        <w:t xml:space="preserve">Capitolul 20. Politica industrială și antreprenorială – </w:t>
      </w:r>
      <w:r w:rsidRPr="0018446E">
        <w:rPr>
          <w:rFonts w:ascii="Times New Roman" w:eastAsia="Times New Roman" w:hAnsi="Times New Roman"/>
          <w:lang w:val="ro-MD"/>
        </w:rPr>
        <w:t xml:space="preserve">unde este prevăzută cooperarea părților în vederea dezvoltării politicii industriale și antreprenoriale, implicit pentru a facilita modernizarea și restructurarea industriei Republicii Moldova în anumite sectoare. Consecutiv, Programul este aliniat la prioritățile Uniunii Europene în sprijinul digitalizării și accelerarea ecologizării sectorului industrial. </w:t>
      </w:r>
    </w:p>
    <w:p w14:paraId="56C0A9B1"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Programul este conform cu obiectivele și direcțiile prioritare definite în </w:t>
      </w:r>
      <w:r w:rsidRPr="0018446E">
        <w:rPr>
          <w:rFonts w:ascii="Times New Roman" w:eastAsia="Times New Roman" w:hAnsi="Times New Roman"/>
          <w:i/>
          <w:iCs/>
          <w:lang w:val="ro-MD"/>
        </w:rPr>
        <w:t xml:space="preserve">Strategia Națională de Dezvoltare „Moldova Europeană – 2030” (SND), </w:t>
      </w:r>
      <w:r w:rsidRPr="0018446E">
        <w:rPr>
          <w:rFonts w:ascii="Times New Roman" w:eastAsia="Times New Roman" w:hAnsi="Times New Roman"/>
          <w:lang w:val="ro-MD"/>
        </w:rPr>
        <w:t xml:space="preserve">aprobată prin Legea nr. 315/2022. Astfel, PNDI conține prevederi stipulate la Direcția prioritară </w:t>
      </w:r>
      <w:r w:rsidRPr="0018446E">
        <w:rPr>
          <w:rFonts w:ascii="Times New Roman" w:eastAsia="Times New Roman" w:hAnsi="Times New Roman"/>
          <w:i/>
          <w:iCs/>
          <w:lang w:val="ro-MD"/>
        </w:rPr>
        <w:t>5.16. Dezvoltarea sectorului industrial</w:t>
      </w:r>
      <w:bookmarkStart w:id="3" w:name="_Hlk140588243"/>
      <w:bookmarkEnd w:id="1"/>
      <w:r w:rsidRPr="0018446E">
        <w:rPr>
          <w:rFonts w:ascii="Times New Roman" w:eastAsia="Times New Roman" w:hAnsi="Times New Roman"/>
          <w:lang w:val="ro-MD"/>
        </w:rPr>
        <w:t xml:space="preserve">, în timp ce Obiectivele specifice ale acestuia sunt aliniate la următoarele Obiective specifice ale SND: </w:t>
      </w:r>
    </w:p>
    <w:p w14:paraId="383ACAFC" w14:textId="77777777" w:rsidR="0018446E" w:rsidRPr="0018446E" w:rsidRDefault="0018446E" w:rsidP="0018446E">
      <w:pPr>
        <w:numPr>
          <w:ilvl w:val="0"/>
          <w:numId w:val="44"/>
        </w:numPr>
        <w:spacing w:after="0" w:line="276" w:lineRule="auto"/>
        <w:contextualSpacing/>
        <w:jc w:val="both"/>
        <w:rPr>
          <w:rFonts w:ascii="Times New Roman" w:eastAsia="Times New Roman" w:hAnsi="Times New Roman"/>
          <w:i/>
          <w:iCs/>
          <w:lang w:val="ro-MD"/>
        </w:rPr>
      </w:pPr>
      <w:r w:rsidRPr="0018446E">
        <w:rPr>
          <w:rFonts w:ascii="Times New Roman" w:eastAsia="Times New Roman" w:hAnsi="Times New Roman"/>
          <w:i/>
          <w:iCs/>
          <w:lang w:val="ro-MD"/>
        </w:rPr>
        <w:t xml:space="preserve">Obiectivul specific 1.1. Creșterea accelerată a productivității muncii; </w:t>
      </w:r>
    </w:p>
    <w:p w14:paraId="4289FDAA" w14:textId="77777777" w:rsidR="0018446E" w:rsidRPr="0018446E" w:rsidRDefault="0018446E" w:rsidP="0018446E">
      <w:pPr>
        <w:numPr>
          <w:ilvl w:val="0"/>
          <w:numId w:val="44"/>
        </w:numPr>
        <w:spacing w:after="0" w:line="276" w:lineRule="auto"/>
        <w:contextualSpacing/>
        <w:jc w:val="both"/>
        <w:rPr>
          <w:rFonts w:ascii="Times New Roman" w:eastAsia="Times New Roman" w:hAnsi="Times New Roman"/>
          <w:i/>
          <w:iCs/>
          <w:lang w:val="ro-MD"/>
        </w:rPr>
      </w:pPr>
      <w:r w:rsidRPr="0018446E">
        <w:rPr>
          <w:rFonts w:ascii="Times New Roman" w:eastAsia="Times New Roman" w:hAnsi="Times New Roman"/>
          <w:i/>
          <w:iCs/>
          <w:lang w:val="ro-MD"/>
        </w:rPr>
        <w:t xml:space="preserve">Obiectivul specific 1.2. Dezvoltarea oportunităților pentru inovații și </w:t>
      </w:r>
      <w:proofErr w:type="spellStart"/>
      <w:r w:rsidRPr="0018446E">
        <w:rPr>
          <w:rFonts w:ascii="Times New Roman" w:eastAsia="Times New Roman" w:hAnsi="Times New Roman"/>
          <w:i/>
          <w:iCs/>
          <w:lang w:val="ro-MD"/>
        </w:rPr>
        <w:t>antreprenoriat</w:t>
      </w:r>
      <w:proofErr w:type="spellEnd"/>
      <w:r w:rsidRPr="0018446E">
        <w:rPr>
          <w:rFonts w:ascii="Times New Roman" w:eastAsia="Times New Roman" w:hAnsi="Times New Roman"/>
          <w:i/>
          <w:iCs/>
          <w:lang w:val="ro-MD"/>
        </w:rPr>
        <w:t xml:space="preserve">; </w:t>
      </w:r>
    </w:p>
    <w:p w14:paraId="42D52D9D" w14:textId="77777777" w:rsidR="0018446E" w:rsidRPr="0018446E" w:rsidRDefault="0018446E" w:rsidP="0018446E">
      <w:pPr>
        <w:numPr>
          <w:ilvl w:val="0"/>
          <w:numId w:val="44"/>
        </w:numPr>
        <w:spacing w:after="0" w:line="276" w:lineRule="auto"/>
        <w:contextualSpacing/>
        <w:jc w:val="both"/>
        <w:rPr>
          <w:rFonts w:ascii="Times New Roman" w:eastAsia="Times New Roman" w:hAnsi="Times New Roman"/>
          <w:i/>
          <w:iCs/>
          <w:lang w:val="ro-MD"/>
        </w:rPr>
      </w:pPr>
      <w:r w:rsidRPr="0018446E">
        <w:rPr>
          <w:rFonts w:ascii="Times New Roman" w:eastAsia="Times New Roman" w:hAnsi="Times New Roman"/>
          <w:i/>
          <w:iCs/>
          <w:lang w:val="ro-MD"/>
        </w:rPr>
        <w:t xml:space="preserve">Obiectivul specific1.3. Ameliorarea condițiilor de muncă și reducerea ocupării informale; </w:t>
      </w:r>
    </w:p>
    <w:p w14:paraId="0743A51F" w14:textId="77777777" w:rsidR="0018446E" w:rsidRPr="0018446E" w:rsidRDefault="0018446E" w:rsidP="0018446E">
      <w:pPr>
        <w:numPr>
          <w:ilvl w:val="0"/>
          <w:numId w:val="44"/>
        </w:numPr>
        <w:spacing w:after="0" w:line="276" w:lineRule="auto"/>
        <w:contextualSpacing/>
        <w:jc w:val="both"/>
        <w:rPr>
          <w:rFonts w:ascii="Times New Roman" w:eastAsia="Times New Roman" w:hAnsi="Times New Roman"/>
          <w:i/>
          <w:iCs/>
          <w:lang w:val="ro-MD"/>
        </w:rPr>
      </w:pPr>
      <w:r w:rsidRPr="0018446E">
        <w:rPr>
          <w:rFonts w:ascii="Times New Roman" w:eastAsia="Times New Roman" w:hAnsi="Times New Roman"/>
          <w:i/>
          <w:iCs/>
          <w:lang w:val="ro-MD"/>
        </w:rPr>
        <w:t>Obiectivul specific 10.4. Tranziția activă spre economia verde și circulară.</w:t>
      </w:r>
    </w:p>
    <w:p w14:paraId="49225BDF" w14:textId="77777777" w:rsidR="0018446E" w:rsidRPr="0018446E" w:rsidRDefault="0018446E" w:rsidP="0018446E">
      <w:pPr>
        <w:spacing w:after="0" w:line="276" w:lineRule="auto"/>
        <w:ind w:left="0"/>
        <w:jc w:val="both"/>
        <w:rPr>
          <w:rFonts w:ascii="Times New Roman" w:eastAsia="Times New Roman" w:hAnsi="Times New Roman"/>
          <w:i/>
          <w:iCs/>
          <w:lang w:val="ro-MD"/>
        </w:rPr>
      </w:pPr>
    </w:p>
    <w:p w14:paraId="462B4A09"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De asemenea, PNDI este conform paradigmei setate în </w:t>
      </w:r>
      <w:r w:rsidRPr="0018446E">
        <w:rPr>
          <w:rFonts w:ascii="Times New Roman" w:eastAsia="Times New Roman" w:hAnsi="Times New Roman"/>
          <w:i/>
          <w:iCs/>
          <w:lang w:val="ro-MD"/>
        </w:rPr>
        <w:t>Strategia Națională de Dezvoltare Economică 2030</w:t>
      </w:r>
      <w:r w:rsidRPr="0018446E">
        <w:rPr>
          <w:rFonts w:ascii="Times New Roman" w:eastAsia="Times New Roman" w:hAnsi="Times New Roman"/>
          <w:lang w:val="ro-MD"/>
        </w:rPr>
        <w:t xml:space="preserve"> și a Programului național pentru promovarea </w:t>
      </w:r>
      <w:proofErr w:type="spellStart"/>
      <w:r w:rsidRPr="0018446E">
        <w:rPr>
          <w:rFonts w:ascii="Times New Roman" w:eastAsia="Times New Roman" w:hAnsi="Times New Roman"/>
          <w:lang w:val="ro-MD"/>
        </w:rPr>
        <w:t>antreprenoriatului</w:t>
      </w:r>
      <w:proofErr w:type="spellEnd"/>
      <w:r w:rsidRPr="0018446E">
        <w:rPr>
          <w:rFonts w:ascii="Times New Roman" w:eastAsia="Times New Roman" w:hAnsi="Times New Roman"/>
          <w:lang w:val="ro-MD"/>
        </w:rPr>
        <w:t xml:space="preserve"> și creșterea competitivității 2023-2027, și a altor documente de planificare strategică sectorială conexe, implicit </w:t>
      </w:r>
      <w:r w:rsidRPr="0018446E">
        <w:rPr>
          <w:rFonts w:ascii="Times New Roman" w:eastAsia="Times New Roman" w:hAnsi="Times New Roman"/>
          <w:i/>
          <w:iCs/>
          <w:lang w:val="ro-MD"/>
        </w:rPr>
        <w:t>Strategia Națională de Dezvoltare Regională 2022-2028</w:t>
      </w:r>
      <w:r w:rsidRPr="0018446E">
        <w:rPr>
          <w:rFonts w:ascii="Times New Roman" w:eastAsia="Times New Roman" w:hAnsi="Times New Roman"/>
          <w:lang w:val="ro-MD"/>
        </w:rPr>
        <w:t xml:space="preserve"> </w:t>
      </w:r>
      <w:r w:rsidRPr="0018446E">
        <w:rPr>
          <w:rFonts w:ascii="Times New Roman" w:eastAsia="Times New Roman" w:hAnsi="Times New Roman"/>
          <w:i/>
          <w:iCs/>
          <w:lang w:val="ro-MD"/>
        </w:rPr>
        <w:t>aprobată prin Hotărârea Guvernului nr. 40/2022</w:t>
      </w:r>
      <w:r w:rsidRPr="0018446E">
        <w:rPr>
          <w:rFonts w:ascii="Times New Roman" w:eastAsia="Times New Roman" w:hAnsi="Times New Roman"/>
          <w:lang w:val="ro-MD"/>
        </w:rPr>
        <w:t xml:space="preserve"> – OS 1.2 Îmbunătățirea mediului antreprenorial  în regiuni și OS 2.2,</w:t>
      </w:r>
      <w:r w:rsidRPr="0018446E">
        <w:rPr>
          <w:rFonts w:ascii="Times New Roman" w:eastAsia="Times New Roman" w:hAnsi="Times New Roman"/>
          <w:lang w:val="ro-MD" w:eastAsia="ro-RO"/>
        </w:rPr>
        <w:t xml:space="preserve"> Dezvoltarea infrastructurii de suport pentru afaceri</w:t>
      </w:r>
      <w:r w:rsidRPr="0018446E">
        <w:rPr>
          <w:rFonts w:ascii="Times New Roman" w:eastAsia="Times New Roman" w:hAnsi="Times New Roman"/>
          <w:lang w:val="ro-MD"/>
        </w:rPr>
        <w:t xml:space="preserve"> – , precum și </w:t>
      </w:r>
      <w:r w:rsidRPr="0018446E">
        <w:rPr>
          <w:rFonts w:ascii="Times New Roman" w:eastAsia="Times New Roman" w:hAnsi="Times New Roman"/>
          <w:i/>
          <w:iCs/>
          <w:lang w:val="ro-MD"/>
        </w:rPr>
        <w:t>Programul național în domeniile cercetării și inovării pentru anii 2024-2027</w:t>
      </w:r>
      <w:r w:rsidRPr="0018446E">
        <w:rPr>
          <w:rFonts w:ascii="Times New Roman" w:eastAsia="Times New Roman" w:hAnsi="Times New Roman"/>
          <w:lang w:val="ro-MD"/>
        </w:rPr>
        <w:t>.</w:t>
      </w:r>
    </w:p>
    <w:p w14:paraId="05C414D0"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4E5F255C"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Programul a fost elaborat în cadrul unui proces incluziv și dinamic, conținutul și acțiunile acestuia fiind discutate și validate în cadrul ședințelor Grupului de Lucru instituit prin Ordinul.nr. 88/2023 al Ministerului Dezvoltării Economice și Digitalizării, membrii căruia sunt reprezentanți ai ministerelor responsabile de implementarea acțiunilor aferente Programului, reprezentanți ai mediului academic și învățământului vocațional-tehnic, reprezentanții asociațiilor de business din sectoarele industriale identificate drept prioritare. </w:t>
      </w:r>
    </w:p>
    <w:p w14:paraId="3329244C"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4C624456"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70E47114" w14:textId="77777777" w:rsidR="0018446E" w:rsidRPr="0018446E" w:rsidRDefault="0018446E" w:rsidP="0018446E">
      <w:pPr>
        <w:keepNext/>
        <w:keepLines/>
        <w:shd w:val="clear" w:color="auto" w:fill="FFFFFF" w:themeFill="background1"/>
        <w:spacing w:before="120" w:after="0" w:line="240" w:lineRule="auto"/>
        <w:ind w:left="0" w:firstLine="567"/>
        <w:jc w:val="center"/>
        <w:outlineLvl w:val="0"/>
        <w:rPr>
          <w:rFonts w:ascii="Times New Roman" w:eastAsia="Times New Roman" w:hAnsi="Times New Roman"/>
          <w:b/>
          <w:sz w:val="28"/>
          <w:szCs w:val="28"/>
          <w:lang w:val="ro-MD"/>
        </w:rPr>
      </w:pPr>
      <w:bookmarkStart w:id="4" w:name="_Toc108983337"/>
      <w:bookmarkStart w:id="5" w:name="_Hlk140588331"/>
      <w:bookmarkEnd w:id="3"/>
      <w:r w:rsidRPr="0018446E">
        <w:rPr>
          <w:rFonts w:ascii="Times New Roman" w:eastAsia="Times New Roman" w:hAnsi="Times New Roman"/>
          <w:b/>
          <w:sz w:val="28"/>
          <w:szCs w:val="28"/>
          <w:lang w:val="ro-MD"/>
        </w:rPr>
        <w:t xml:space="preserve">II. ANALIZA SITUAȚIEI </w:t>
      </w:r>
      <w:bookmarkEnd w:id="4"/>
    </w:p>
    <w:bookmarkEnd w:id="5"/>
    <w:p w14:paraId="06D3044E" w14:textId="77777777" w:rsidR="0018446E" w:rsidRPr="0018446E" w:rsidRDefault="0018446E" w:rsidP="0018446E">
      <w:pPr>
        <w:keepNext/>
        <w:keepLines/>
        <w:shd w:val="clear" w:color="auto" w:fill="FFFFFF" w:themeFill="background1"/>
        <w:spacing w:after="0" w:line="240" w:lineRule="auto"/>
        <w:ind w:left="0" w:firstLine="567"/>
        <w:jc w:val="center"/>
        <w:outlineLvl w:val="0"/>
        <w:rPr>
          <w:rFonts w:ascii="Times New Roman" w:eastAsia="Times New Roman" w:hAnsi="Times New Roman"/>
          <w:b/>
          <w:sz w:val="28"/>
          <w:szCs w:val="28"/>
          <w:lang w:val="ro-MD"/>
        </w:rPr>
      </w:pPr>
    </w:p>
    <w:p w14:paraId="6858D783" w14:textId="77777777" w:rsidR="0018446E" w:rsidRPr="0018446E" w:rsidRDefault="0018446E" w:rsidP="0018446E">
      <w:pPr>
        <w:numPr>
          <w:ilvl w:val="1"/>
          <w:numId w:val="39"/>
        </w:numPr>
        <w:pBdr>
          <w:top w:val="nil"/>
          <w:left w:val="nil"/>
          <w:bottom w:val="nil"/>
          <w:right w:val="nil"/>
          <w:between w:val="nil"/>
        </w:pBdr>
        <w:spacing w:after="240" w:line="288" w:lineRule="auto"/>
        <w:contextualSpacing/>
        <w:jc w:val="both"/>
        <w:rPr>
          <w:rFonts w:ascii="Times New Roman" w:eastAsia="Times New Roman" w:hAnsi="Times New Roman"/>
          <w:b/>
          <w:bCs/>
          <w:color w:val="000000"/>
          <w:lang w:val="ro-MD" w:eastAsia="ro-MD"/>
        </w:rPr>
      </w:pPr>
      <w:r w:rsidRPr="0018446E">
        <w:rPr>
          <w:rFonts w:ascii="Times New Roman" w:eastAsia="Times New Roman" w:hAnsi="Times New Roman"/>
          <w:b/>
          <w:bCs/>
          <w:color w:val="000000"/>
          <w:lang w:val="ro-MD" w:eastAsia="ro-MD"/>
        </w:rPr>
        <w:t xml:space="preserve">Evoluția sectorului industrial: aspecte generale. </w:t>
      </w:r>
    </w:p>
    <w:p w14:paraId="335098C1" w14:textId="77777777" w:rsidR="0018446E" w:rsidRPr="0018446E" w:rsidRDefault="0018446E" w:rsidP="0018446E">
      <w:pPr>
        <w:pBdr>
          <w:top w:val="nil"/>
          <w:left w:val="nil"/>
          <w:bottom w:val="nil"/>
          <w:right w:val="nil"/>
          <w:between w:val="nil"/>
        </w:pBdr>
        <w:spacing w:after="240" w:line="288" w:lineRule="auto"/>
        <w:ind w:left="0"/>
        <w:jc w:val="both"/>
        <w:rPr>
          <w:rFonts w:ascii="Times New Roman" w:eastAsia="Times New Roman" w:hAnsi="Times New Roman"/>
          <w:lang w:val="ro-MD"/>
        </w:rPr>
      </w:pPr>
      <w:r w:rsidRPr="0018446E">
        <w:rPr>
          <w:rFonts w:ascii="Times New Roman" w:eastAsia="Times New Roman" w:hAnsi="Times New Roman"/>
          <w:b/>
          <w:bCs/>
          <w:color w:val="000000"/>
          <w:lang w:val="ro-MD" w:eastAsia="ro-MD"/>
        </w:rPr>
        <w:t xml:space="preserve">În cele trei decenii de tranziție economia Republicii Moldova a cunoscut un proces acut de dezindustrializare, </w:t>
      </w:r>
      <w:r w:rsidRPr="0018446E">
        <w:rPr>
          <w:rFonts w:ascii="Times New Roman" w:eastAsia="Times New Roman" w:hAnsi="Times New Roman"/>
          <w:lang w:val="ro-MD"/>
        </w:rPr>
        <w:t xml:space="preserve">fenomen numit în teoria economică neoclasică </w:t>
      </w:r>
      <w:r w:rsidRPr="0018446E">
        <w:rPr>
          <w:rFonts w:ascii="Times New Roman" w:eastAsia="Times New Roman" w:hAnsi="Times New Roman"/>
          <w:i/>
          <w:iCs/>
          <w:lang w:val="ro-MD"/>
        </w:rPr>
        <w:t>dezindustrializare prematură</w:t>
      </w:r>
      <w:r w:rsidRPr="0018446E">
        <w:rPr>
          <w:rFonts w:ascii="Times New Roman" w:eastAsia="Times New Roman" w:hAnsi="Times New Roman"/>
          <w:lang w:val="ro-MD"/>
        </w:rPr>
        <w:t xml:space="preserve"> – pierderea locurilor de muncă din sectorul industrial premerge și/sau nu este însoțită de creșterea PIB-ului pe cap de locuitor</w:t>
      </w:r>
      <w:r w:rsidRPr="0018446E">
        <w:rPr>
          <w:rFonts w:ascii="Times New Roman" w:eastAsia="Times New Roman" w:hAnsi="Times New Roman"/>
          <w:vertAlign w:val="superscript"/>
          <w:lang w:val="ro-MD"/>
        </w:rPr>
        <w:footnoteReference w:id="1"/>
      </w:r>
      <w:r w:rsidRPr="0018446E">
        <w:rPr>
          <w:rFonts w:ascii="Times New Roman" w:eastAsia="Times New Roman" w:hAnsi="Times New Roman"/>
          <w:lang w:val="ro-MD"/>
        </w:rPr>
        <w:t xml:space="preserve">. Astfel, în timp ce dezindustrializarea este înțeleasă drept un proces inevitabil pentru economiile euroatlantice dezvoltate, unde reducerea ponderii industriei în producția totală este determinată de creșterea angajărilor în sectorul serviciilor cu înaltă calificare, între 1991 și 2022 ponderea industriei în PIB a scăzut de la 40% la 12% în Republica Moldova, în timp ce forța de muncă a emigrat preponderent în afara țării.  </w:t>
      </w:r>
    </w:p>
    <w:p w14:paraId="3600E7A0" w14:textId="77777777" w:rsidR="0018446E" w:rsidRPr="0018446E" w:rsidRDefault="0018446E" w:rsidP="0018446E">
      <w:pPr>
        <w:pBdr>
          <w:top w:val="nil"/>
          <w:left w:val="nil"/>
          <w:bottom w:val="nil"/>
          <w:right w:val="nil"/>
          <w:between w:val="nil"/>
        </w:pBdr>
        <w:spacing w:after="240" w:line="288" w:lineRule="auto"/>
        <w:ind w:left="0"/>
        <w:jc w:val="both"/>
        <w:rPr>
          <w:rFonts w:ascii="Times New Roman" w:eastAsia="Times New Roman" w:hAnsi="Times New Roman"/>
          <w:color w:val="000000"/>
          <w:lang w:val="ro-MD" w:eastAsia="ro-MD"/>
        </w:rPr>
      </w:pPr>
      <w:r w:rsidRPr="0018446E">
        <w:rPr>
          <w:rFonts w:ascii="Times New Roman" w:eastAsia="Times New Roman" w:hAnsi="Times New Roman"/>
          <w:color w:val="000000"/>
          <w:lang w:val="ro-MD" w:eastAsia="ro-MD"/>
        </w:rPr>
        <w:t>În această perioadă dezvoltarea sectorului industrial a fost perturbată de diferite crize: "șocul tranziției" și crizele financiare din 1998 și 2008; embargourile periodice impuse de Federația Rusă; secetele (2012, 2020, 2022), criza financiar-bancară locală (2015-2016), criza pandemică (2020-2021), războiul din Ucraina, criza energetică și spirala inflaționistă (2022). Toate aceste crize au avut un impact major asupra sectorului industrial în ultimul deceniu și, prin urmare, industria a înregistrat o creștere medie anuală nesemnificativă de aproximativ 2,3% în ultimii 10 ani. De cealaltă parte, creșterea cererii interne, cererii externe, precum și politicile active de dezvoltare a platformelor investiționale, implicit a Zonelor Economice Libere, au constituit factorii principali care au susținut sectorul industrial în anii favorabili.</w:t>
      </w:r>
    </w:p>
    <w:tbl>
      <w:tblPr>
        <w:tblStyle w:val="afb"/>
        <w:tblW w:w="10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121"/>
      </w:tblGrid>
      <w:tr w:rsidR="0018446E" w:rsidRPr="0018446E" w14:paraId="5F945DC6" w14:textId="77777777" w:rsidTr="00B0372F">
        <w:trPr>
          <w:trHeight w:val="4196"/>
        </w:trPr>
        <w:tc>
          <w:tcPr>
            <w:tcW w:w="4951" w:type="dxa"/>
          </w:tcPr>
          <w:p w14:paraId="5BC2B1DA" w14:textId="77777777" w:rsidR="0018446E" w:rsidRPr="0018446E" w:rsidRDefault="0018446E" w:rsidP="0018446E">
            <w:pPr>
              <w:spacing w:after="240" w:line="240" w:lineRule="auto"/>
              <w:ind w:left="0"/>
              <w:rPr>
                <w:rFonts w:ascii="Times New Roman" w:eastAsia="Times New Roman" w:hAnsi="Times New Roman"/>
                <w:b/>
                <w:bCs/>
                <w:color w:val="000000"/>
                <w:sz w:val="20"/>
                <w:szCs w:val="20"/>
                <w:lang w:val="ro-MD" w:eastAsia="ro-MD"/>
              </w:rPr>
            </w:pPr>
            <w:r w:rsidRPr="0018446E">
              <w:rPr>
                <w:rFonts w:ascii="Times New Roman" w:eastAsia="Times New Roman" w:hAnsi="Times New Roman"/>
                <w:noProof/>
                <w:lang w:val="en-US"/>
              </w:rPr>
              <w:lastRenderedPageBreak/>
              <w:drawing>
                <wp:anchor distT="0" distB="0" distL="114300" distR="114300" simplePos="0" relativeHeight="251659264" behindDoc="1" locked="0" layoutInCell="1" allowOverlap="1" wp14:anchorId="3A3C6D99" wp14:editId="3B456B70">
                  <wp:simplePos x="0" y="0"/>
                  <wp:positionH relativeFrom="column">
                    <wp:posOffset>-68580</wp:posOffset>
                  </wp:positionH>
                  <wp:positionV relativeFrom="paragraph">
                    <wp:posOffset>365760</wp:posOffset>
                  </wp:positionV>
                  <wp:extent cx="3025140" cy="2034540"/>
                  <wp:effectExtent l="0" t="0" r="3810" b="3810"/>
                  <wp:wrapTight wrapText="bothSides">
                    <wp:wrapPolygon edited="0">
                      <wp:start x="136" y="0"/>
                      <wp:lineTo x="0" y="607"/>
                      <wp:lineTo x="0" y="21034"/>
                      <wp:lineTo x="136" y="21438"/>
                      <wp:lineTo x="21355" y="21438"/>
                      <wp:lineTo x="21491" y="21034"/>
                      <wp:lineTo x="21491" y="607"/>
                      <wp:lineTo x="21355" y="0"/>
                      <wp:lineTo x="136" y="0"/>
                    </wp:wrapPolygon>
                  </wp:wrapTight>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839ED6BE-3B3D-4AEF-A9C3-D3488D004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18446E">
              <w:rPr>
                <w:rFonts w:ascii="Times New Roman" w:eastAsia="Times New Roman" w:hAnsi="Times New Roman"/>
                <w:b/>
                <w:bCs/>
                <w:color w:val="000000"/>
                <w:sz w:val="20"/>
                <w:szCs w:val="20"/>
                <w:lang w:val="ro-MD" w:eastAsia="ro-MD"/>
              </w:rPr>
              <w:t>Figura 2.1. Ponderea industriei în PIB și creșterea anuală a valorii adăugate brute create în industrie,%</w:t>
            </w:r>
          </w:p>
          <w:p w14:paraId="572DD209" w14:textId="77777777" w:rsidR="0018446E" w:rsidRPr="0018446E" w:rsidRDefault="0018446E" w:rsidP="0018446E">
            <w:pPr>
              <w:spacing w:after="240" w:line="240" w:lineRule="auto"/>
              <w:ind w:left="0"/>
              <w:jc w:val="center"/>
              <w:rPr>
                <w:rFonts w:ascii="Times New Roman" w:eastAsia="Times New Roman" w:hAnsi="Times New Roman"/>
                <w:b/>
                <w:bCs/>
                <w:color w:val="000000"/>
                <w:sz w:val="20"/>
                <w:szCs w:val="20"/>
                <w:lang w:val="ro-MD" w:eastAsia="ro-MD"/>
              </w:rPr>
            </w:pPr>
          </w:p>
        </w:tc>
        <w:tc>
          <w:tcPr>
            <w:tcW w:w="5156" w:type="dxa"/>
          </w:tcPr>
          <w:p w14:paraId="13DF74F2" w14:textId="77777777" w:rsidR="0018446E" w:rsidRPr="0018446E" w:rsidRDefault="0018446E" w:rsidP="0018446E">
            <w:pPr>
              <w:spacing w:after="240" w:line="240" w:lineRule="auto"/>
              <w:ind w:left="0"/>
              <w:rPr>
                <w:rFonts w:ascii="Times New Roman" w:eastAsia="Times New Roman" w:hAnsi="Times New Roman"/>
                <w:b/>
                <w:bCs/>
                <w:color w:val="000000"/>
                <w:sz w:val="20"/>
                <w:szCs w:val="20"/>
                <w:lang w:val="ro-MD" w:eastAsia="ro-MD"/>
              </w:rPr>
            </w:pPr>
            <w:r w:rsidRPr="0018446E">
              <w:rPr>
                <w:rFonts w:ascii="Times New Roman" w:eastAsia="Times New Roman" w:hAnsi="Times New Roman"/>
                <w:noProof/>
                <w:sz w:val="18"/>
                <w:szCs w:val="18"/>
                <w:lang w:val="en-US"/>
              </w:rPr>
              <w:drawing>
                <wp:anchor distT="0" distB="0" distL="114300" distR="114300" simplePos="0" relativeHeight="251660288" behindDoc="1" locked="0" layoutInCell="1" allowOverlap="1" wp14:anchorId="71376DE5" wp14:editId="767FCB98">
                  <wp:simplePos x="0" y="0"/>
                  <wp:positionH relativeFrom="column">
                    <wp:posOffset>33020</wp:posOffset>
                  </wp:positionH>
                  <wp:positionV relativeFrom="paragraph">
                    <wp:posOffset>358140</wp:posOffset>
                  </wp:positionV>
                  <wp:extent cx="2872740" cy="1988820"/>
                  <wp:effectExtent l="0" t="0" r="3810" b="11430"/>
                  <wp:wrapTight wrapText="bothSides">
                    <wp:wrapPolygon edited="0">
                      <wp:start x="143" y="0"/>
                      <wp:lineTo x="0" y="621"/>
                      <wp:lineTo x="0" y="20897"/>
                      <wp:lineTo x="143" y="21517"/>
                      <wp:lineTo x="21342" y="21517"/>
                      <wp:lineTo x="21485" y="21103"/>
                      <wp:lineTo x="21485" y="621"/>
                      <wp:lineTo x="21342" y="0"/>
                      <wp:lineTo x="143" y="0"/>
                    </wp:wrapPolygon>
                  </wp:wrapTight>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1600-0000BF40A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18446E">
              <w:rPr>
                <w:rFonts w:ascii="Times New Roman" w:eastAsia="Times New Roman" w:hAnsi="Times New Roman"/>
                <w:b/>
                <w:bCs/>
                <w:color w:val="000000"/>
                <w:sz w:val="20"/>
                <w:szCs w:val="20"/>
                <w:lang w:val="ro-MD" w:eastAsia="ro-MD"/>
              </w:rPr>
              <w:t>Figura 2.2.Evoluția sectorului industrial în anii 2014-2022, %</w:t>
            </w:r>
          </w:p>
          <w:p w14:paraId="7E961AF0" w14:textId="77777777" w:rsidR="0018446E" w:rsidRPr="0018446E" w:rsidRDefault="0018446E" w:rsidP="0018446E">
            <w:pPr>
              <w:tabs>
                <w:tab w:val="left" w:pos="3519"/>
              </w:tabs>
              <w:spacing w:after="0" w:line="240" w:lineRule="auto"/>
              <w:ind w:left="0"/>
              <w:jc w:val="center"/>
              <w:rPr>
                <w:rFonts w:ascii="Times New Roman" w:eastAsia="Times New Roman" w:hAnsi="Times New Roman"/>
                <w:sz w:val="20"/>
                <w:szCs w:val="20"/>
                <w:lang w:val="ro-MD" w:eastAsia="ro-MD"/>
              </w:rPr>
            </w:pPr>
            <w:r w:rsidRPr="0018446E">
              <w:rPr>
                <w:rFonts w:ascii="Times New Roman" w:eastAsia="Times New Roman" w:hAnsi="Times New Roman"/>
                <w:i/>
                <w:iCs/>
                <w:color w:val="000000"/>
                <w:sz w:val="18"/>
                <w:szCs w:val="18"/>
                <w:lang w:val="ro-MD" w:eastAsia="ro-MD"/>
              </w:rPr>
              <w:t xml:space="preserve">                                Sursa:</w:t>
            </w:r>
            <w:r w:rsidRPr="0018446E">
              <w:rPr>
                <w:rFonts w:ascii="Times New Roman" w:eastAsia="Times New Roman" w:hAnsi="Times New Roman"/>
                <w:color w:val="000000"/>
                <w:sz w:val="18"/>
                <w:szCs w:val="18"/>
                <w:lang w:val="ro-MD" w:eastAsia="ro-MD"/>
              </w:rPr>
              <w:t xml:space="preserve"> Biroul Național de Statistică</w:t>
            </w:r>
          </w:p>
        </w:tc>
      </w:tr>
    </w:tbl>
    <w:p w14:paraId="59DE670B" w14:textId="77777777" w:rsidR="0018446E" w:rsidRPr="0018446E" w:rsidRDefault="0018446E" w:rsidP="0018446E">
      <w:pPr>
        <w:spacing w:before="120" w:line="269" w:lineRule="auto"/>
        <w:ind w:left="0"/>
        <w:jc w:val="both"/>
        <w:rPr>
          <w:rFonts w:ascii="Times New Roman" w:eastAsia="Times New Roman" w:hAnsi="Times New Roman"/>
          <w:lang w:val="ro-MD"/>
        </w:rPr>
      </w:pPr>
      <w:r w:rsidRPr="0018446E">
        <w:rPr>
          <w:rFonts w:ascii="Times New Roman" w:eastAsia="Times New Roman" w:hAnsi="Times New Roman"/>
          <w:b/>
          <w:lang w:val="ro-MD"/>
        </w:rPr>
        <w:t xml:space="preserve">Industria Republicii Moldova este constituită în mare parte din sectoare intensive în resurse și forță de muncă, rezultând în produse cu valoare adăugată redusă. </w:t>
      </w:r>
      <w:r w:rsidRPr="0018446E">
        <w:rPr>
          <w:rFonts w:ascii="Times New Roman" w:eastAsia="Times New Roman" w:hAnsi="Times New Roman"/>
          <w:lang w:val="ro-MD"/>
        </w:rPr>
        <w:t xml:space="preserve">Acest lucru este confirmat de structura producției industriale după clasificația principalelor grupe industriale, conform căreia 51% din produsele industriale ale Republicii Moldova reprezintă bunurile non-durabile (de uz curent), 23% - bunurile intermediare și doar 9% și 3% - bunurile de capital și respectiv bunurile durabile (de folosință îndelungată) (Figura 1.3). Totuși, în ultimii ani se observă unele modificări structurale pozitive: în perioada 2014-2022 ponderea bunurilor de capital și a bunurilor durabile a crescut cu 4 </w:t>
      </w:r>
      <w:proofErr w:type="spellStart"/>
      <w:r w:rsidRPr="0018446E">
        <w:rPr>
          <w:rFonts w:ascii="Times New Roman" w:eastAsia="Times New Roman" w:hAnsi="Times New Roman"/>
          <w:lang w:val="ro-MD"/>
        </w:rPr>
        <w:t>p.p.</w:t>
      </w:r>
      <w:proofErr w:type="spellEnd"/>
      <w:r w:rsidRPr="0018446E">
        <w:rPr>
          <w:rFonts w:ascii="Times New Roman" w:eastAsia="Times New Roman" w:hAnsi="Times New Roman"/>
          <w:lang w:val="ro-MD"/>
        </w:rPr>
        <w:t xml:space="preserve"> și, respectiv, cu 1 </w:t>
      </w:r>
      <w:proofErr w:type="spellStart"/>
      <w:r w:rsidRPr="0018446E">
        <w:rPr>
          <w:rFonts w:ascii="Times New Roman" w:eastAsia="Times New Roman" w:hAnsi="Times New Roman"/>
          <w:lang w:val="ro-MD"/>
        </w:rPr>
        <w:t>p.p.</w:t>
      </w:r>
      <w:proofErr w:type="spellEnd"/>
      <w:r w:rsidRPr="0018446E">
        <w:rPr>
          <w:rFonts w:ascii="Times New Roman" w:eastAsia="Times New Roman" w:hAnsi="Times New Roman"/>
          <w:lang w:val="ro-MD"/>
        </w:rPr>
        <w:t>, ca urmare a creșterii intensive a unor ramuri specifice, cum ar fi industria componentelor auto și cea a mobilei.</w:t>
      </w:r>
    </w:p>
    <w:p w14:paraId="44240356" w14:textId="77777777" w:rsidR="0018446E" w:rsidRPr="0018446E" w:rsidRDefault="0018446E" w:rsidP="0018446E">
      <w:pPr>
        <w:spacing w:before="120" w:line="240" w:lineRule="auto"/>
        <w:ind w:left="0"/>
        <w:rPr>
          <w:rFonts w:ascii="Times New Roman" w:eastAsia="Times New Roman" w:hAnsi="Times New Roman"/>
          <w:b/>
          <w:color w:val="000000"/>
          <w:sz w:val="20"/>
          <w:szCs w:val="20"/>
          <w:lang w:val="ro-MD"/>
        </w:rPr>
      </w:pPr>
    </w:p>
    <w:p w14:paraId="34A0DB20" w14:textId="77777777" w:rsidR="0018446E" w:rsidRPr="0018446E" w:rsidRDefault="0018446E" w:rsidP="0018446E">
      <w:pPr>
        <w:spacing w:before="120" w:line="240" w:lineRule="auto"/>
        <w:ind w:left="0"/>
        <w:rPr>
          <w:rFonts w:ascii="Times New Roman" w:eastAsia="Times New Roman" w:hAnsi="Times New Roman"/>
          <w:b/>
          <w:color w:val="000000"/>
          <w:sz w:val="20"/>
          <w:szCs w:val="20"/>
          <w:lang w:val="ro-MD"/>
        </w:rPr>
      </w:pPr>
    </w:p>
    <w:p w14:paraId="1A032F26" w14:textId="77777777" w:rsidR="0018446E" w:rsidRPr="0018446E" w:rsidRDefault="0018446E" w:rsidP="0018446E">
      <w:pPr>
        <w:spacing w:before="120" w:line="240" w:lineRule="auto"/>
        <w:ind w:left="0"/>
        <w:rPr>
          <w:rFonts w:ascii="Times New Roman" w:eastAsia="Times New Roman" w:hAnsi="Times New Roman"/>
          <w:b/>
          <w:color w:val="000000"/>
          <w:sz w:val="20"/>
          <w:szCs w:val="20"/>
          <w:lang w:val="ro-MD"/>
        </w:rPr>
      </w:pPr>
    </w:p>
    <w:p w14:paraId="07347417" w14:textId="77777777" w:rsidR="0018446E" w:rsidRPr="0018446E" w:rsidRDefault="0018446E" w:rsidP="0018446E">
      <w:pPr>
        <w:spacing w:before="120" w:line="240" w:lineRule="auto"/>
        <w:ind w:left="0"/>
        <w:rPr>
          <w:rFonts w:ascii="Times New Roman" w:eastAsia="Times New Roman" w:hAnsi="Times New Roman"/>
          <w:b/>
          <w:color w:val="000000"/>
          <w:sz w:val="20"/>
          <w:szCs w:val="20"/>
          <w:lang w:val="ro-MD"/>
        </w:rPr>
      </w:pPr>
    </w:p>
    <w:p w14:paraId="02563B13" w14:textId="77777777" w:rsidR="0018446E" w:rsidRPr="0018446E" w:rsidRDefault="0018446E" w:rsidP="0018446E">
      <w:pPr>
        <w:spacing w:before="120" w:line="240" w:lineRule="auto"/>
        <w:ind w:left="0"/>
        <w:rPr>
          <w:rFonts w:ascii="Times New Roman" w:eastAsia="Times New Roman" w:hAnsi="Times New Roman"/>
          <w:b/>
          <w:color w:val="000000"/>
          <w:sz w:val="20"/>
          <w:szCs w:val="20"/>
          <w:lang w:val="ro-MD"/>
        </w:rPr>
      </w:pPr>
    </w:p>
    <w:p w14:paraId="4124FB87" w14:textId="77777777" w:rsidR="0018446E" w:rsidRPr="0018446E" w:rsidRDefault="0018446E" w:rsidP="0018446E">
      <w:pPr>
        <w:spacing w:before="120" w:line="240" w:lineRule="auto"/>
        <w:ind w:left="0"/>
        <w:rPr>
          <w:rFonts w:ascii="Times New Roman" w:eastAsia="Times New Roman" w:hAnsi="Times New Roman"/>
          <w:b/>
          <w:color w:val="000000"/>
          <w:sz w:val="20"/>
          <w:szCs w:val="20"/>
          <w:lang w:val="ro-MD"/>
        </w:rPr>
      </w:pPr>
      <w:r w:rsidRPr="0018446E">
        <w:rPr>
          <w:rFonts w:ascii="Times New Roman" w:eastAsia="Times New Roman" w:hAnsi="Times New Roman"/>
          <w:b/>
          <w:color w:val="000000"/>
          <w:sz w:val="20"/>
          <w:szCs w:val="20"/>
          <w:lang w:val="ro-MD"/>
        </w:rPr>
        <w:t>Figura 2.3. Structura sectorului industrial (%), anii 2014-2022</w:t>
      </w:r>
    </w:p>
    <w:p w14:paraId="42D249A7" w14:textId="77777777" w:rsidR="0018446E" w:rsidRPr="0018446E" w:rsidRDefault="0018446E" w:rsidP="0018446E">
      <w:pPr>
        <w:spacing w:before="120" w:line="240" w:lineRule="auto"/>
        <w:ind w:left="0"/>
        <w:jc w:val="center"/>
        <w:rPr>
          <w:rFonts w:ascii="Times New Roman" w:eastAsia="Times New Roman" w:hAnsi="Times New Roman"/>
          <w:b/>
          <w:color w:val="000000"/>
          <w:lang w:val="ro-MD"/>
        </w:rPr>
      </w:pPr>
      <w:r w:rsidRPr="0018446E">
        <w:rPr>
          <w:rFonts w:ascii="Times New Roman" w:eastAsia="Times New Roman" w:hAnsi="Times New Roman"/>
          <w:noProof/>
          <w:lang w:val="en-US"/>
        </w:rPr>
        <w:drawing>
          <wp:inline distT="0" distB="0" distL="0" distR="0" wp14:anchorId="1FB28B85" wp14:editId="1F9F2630">
            <wp:extent cx="6141720" cy="2967990"/>
            <wp:effectExtent l="0" t="0" r="11430" b="381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467EEEDD-A4AD-4090-960F-B2C615FAF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6073D2" w14:textId="77777777" w:rsidR="0018446E" w:rsidRPr="0018446E" w:rsidRDefault="0018446E" w:rsidP="0018446E">
      <w:pPr>
        <w:spacing w:before="120" w:line="240" w:lineRule="auto"/>
        <w:ind w:left="0"/>
        <w:jc w:val="right"/>
        <w:rPr>
          <w:rFonts w:ascii="Times New Roman" w:eastAsia="Times New Roman" w:hAnsi="Times New Roman"/>
          <w:bCs/>
          <w:color w:val="000000"/>
          <w:sz w:val="20"/>
          <w:szCs w:val="20"/>
          <w:lang w:val="ro-MD"/>
        </w:rPr>
      </w:pPr>
      <w:r w:rsidRPr="0018446E">
        <w:rPr>
          <w:rFonts w:ascii="Times New Roman" w:eastAsia="Times New Roman" w:hAnsi="Times New Roman"/>
          <w:bCs/>
          <w:i/>
          <w:iCs/>
          <w:color w:val="000000"/>
          <w:sz w:val="20"/>
          <w:szCs w:val="20"/>
          <w:lang w:val="ro-MD"/>
        </w:rPr>
        <w:lastRenderedPageBreak/>
        <w:t>Sursa:</w:t>
      </w:r>
      <w:r w:rsidRPr="0018446E">
        <w:rPr>
          <w:rFonts w:ascii="Times New Roman" w:eastAsia="Times New Roman" w:hAnsi="Times New Roman"/>
          <w:bCs/>
          <w:color w:val="000000"/>
          <w:sz w:val="20"/>
          <w:szCs w:val="20"/>
          <w:lang w:val="ro-MD"/>
        </w:rPr>
        <w:t xml:space="preserve"> Biroul Național de Statistică, calculele MDED</w:t>
      </w:r>
    </w:p>
    <w:p w14:paraId="47480532"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În industrie activează 17% din forța de muncă ocupată în economie, numărul salariaților majorându-se nesemnificativ</w:t>
      </w:r>
      <w:r w:rsidRPr="0018446E">
        <w:rPr>
          <w:rFonts w:ascii="Times New Roman" w:eastAsia="Times New Roman" w:hAnsi="Times New Roman"/>
          <w:lang w:val="ro-MD"/>
        </w:rPr>
        <w:t>. Conform statisticilor oficiale, numărul total de salariați din industrie a crescut de la 99,5 mii în 2014 la 104,6 mii în anul 2022 (o creștere cumulativă de aproximativ 5% sau o creștere medie anuală de 0,7%). Cu toate acestea, creșterea ocupării forței de muncă este înregistrată doar în câteva industrii, care s-au dezvoltat intens în anii 2016-2019. Industria componentelor auto, în special fabricarea de piese și motoare pentru automobile, fiind o activitate cu utilizare intensivă a forței de muncă, a avut cea mai mare contribuție pozitivă la creșterea ocupării forței de muncă. În 2022, numărul angajaților implicați în această activitate a crescut de 8,6 ori în comparație cu 2014 sau cu o creștere medie anuală de circa 43%. O creștere semnificativă a numărului de angajați a fost înregistrată și în industria textilă (+48% față de 2014), industria mobilei (+26%), industria chimică (+54%), fabricarea produselor din material plastic (+13%) și fabricarea produselor din hârtie (+43%).</w:t>
      </w:r>
    </w:p>
    <w:p w14:paraId="30FC3B10"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Industria prelucrătoare reprezintă cea mai importantă ramură</w:t>
      </w:r>
      <w:r w:rsidRPr="0018446E">
        <w:rPr>
          <w:rFonts w:ascii="Times New Roman" w:eastAsia="Times New Roman" w:hAnsi="Times New Roman"/>
          <w:lang w:val="ro-MD"/>
        </w:rPr>
        <w:t xml:space="preserve">, revenindu-i circa 86% din volumul total al producției industriale (în anul 2022). Sectorul energetic împreună cu activitățile de distribuție a apei și salubritate ocupă o pondere de circa 12%, iar industria extractivă  - mai puțin de 2%. Cele mai importante subramuri din cadrul industriei prelucrătoare sunt: industria alimentară (35%), industria constructoare de mașini (12%), industria ușoară (11%), fabricarea produselor de minerale nemetalice (11%), fabricarea băuturilor (8%), fabricarea produselor chimice și articolelor din plastic (câte 5%), fabricarea mobilei (4%). </w:t>
      </w:r>
    </w:p>
    <w:p w14:paraId="57729DDE"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 xml:space="preserve">Sectorul industrial autohton este orientat preponderent spre piața internă, </w:t>
      </w:r>
      <w:r w:rsidRPr="0018446E">
        <w:rPr>
          <w:rFonts w:ascii="Times New Roman" w:eastAsia="Times New Roman" w:hAnsi="Times New Roman"/>
          <w:bCs/>
          <w:lang w:val="ro-MD"/>
        </w:rPr>
        <w:t>din moment ce</w:t>
      </w:r>
      <w:r w:rsidRPr="0018446E">
        <w:rPr>
          <w:rFonts w:ascii="Times New Roman" w:eastAsia="Times New Roman" w:hAnsi="Times New Roman"/>
          <w:b/>
          <w:lang w:val="ro-MD"/>
        </w:rPr>
        <w:t xml:space="preserve"> </w:t>
      </w:r>
      <w:r w:rsidRPr="0018446E">
        <w:rPr>
          <w:rFonts w:ascii="Times New Roman" w:eastAsia="Times New Roman" w:hAnsi="Times New Roman"/>
          <w:lang w:val="ro-MD"/>
        </w:rPr>
        <w:t xml:space="preserve">aproximativ 65% din producția industrială este livrată pe piața internă și 35% - pe piețele externe. Demn de menționat că, un număr mare de industrii produc în principal pentru uz casnic (peste 90% din producția acestora). Printre acestea se enumeră: producția și prelucrarea cărnii, producția de lactate, fabricarea produselor din tutun, preparate pentru hrana animalelor, produse minerale nemetalice (articole din beton, ciment și ipsos), unele substanțe și produse chimice (vopsele, lacuri) și construcții metalice. </w:t>
      </w:r>
    </w:p>
    <w:p w14:paraId="631F2B4F"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În perioada 2014-2019 ponderea exporturilor industriale a crescut (cu 4,5 pp), dar în următorii trei ani (2020-2022) a scăzut ușor, în principal din cauza pandemiei și crizelor anului 2022. Sectoarele exportatoare au avut cel mai mare impact asupra sectorului industrial: fabricarea de mașini și echipamente electrice, industria ușoară, prelucrarea fructelor și legumelor, fabricarea sticlei, a băuturilor. Peste 50% din producția din aceste sectoare este orientată spre export. Cu toate acestea, exportul industrial este reprezentat în principal de produse cu valoare adăugată redusă, cum ar fi cablurile asamblate sau textilele, iar Moldova are o contribuție minoră în lanțurile valorice internaționale. </w:t>
      </w:r>
    </w:p>
    <w:p w14:paraId="3DCD517D"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Ponderea bunurilor industriale în totalul exporturilor este destul de redusă și în scădere, în timp ce ponderea bunurilor agricole neprocesate este în creștere.</w:t>
      </w:r>
      <w:r w:rsidRPr="0018446E">
        <w:rPr>
          <w:rFonts w:ascii="Times New Roman" w:eastAsia="Times New Roman" w:hAnsi="Times New Roman"/>
          <w:lang w:val="ro-MD"/>
        </w:rPr>
        <w:t xml:space="preserve"> Ponderea bunurilor industriale (exclusiv produse ale industriei alimentare) în totalul exporturilor autohtone (cu excluderea reexporturilor) a constituit circa 40% în ultimii 10 ani, variind de la an la an (Figurile 1.4 și 1.5). </w:t>
      </w:r>
    </w:p>
    <w:tbl>
      <w:tblPr>
        <w:tblW w:w="9595" w:type="dxa"/>
        <w:tblBorders>
          <w:top w:val="nil"/>
          <w:left w:val="nil"/>
          <w:bottom w:val="nil"/>
          <w:right w:val="nil"/>
          <w:insideH w:val="nil"/>
          <w:insideV w:val="nil"/>
        </w:tblBorders>
        <w:tblLayout w:type="fixed"/>
        <w:tblLook w:val="0400" w:firstRow="0" w:lastRow="0" w:firstColumn="0" w:lastColumn="0" w:noHBand="0" w:noVBand="1"/>
      </w:tblPr>
      <w:tblGrid>
        <w:gridCol w:w="4631"/>
        <w:gridCol w:w="4964"/>
      </w:tblGrid>
      <w:tr w:rsidR="0018446E" w:rsidRPr="0018446E" w14:paraId="4DD1BE91" w14:textId="77777777" w:rsidTr="00B0372F">
        <w:trPr>
          <w:trHeight w:val="804"/>
        </w:trPr>
        <w:tc>
          <w:tcPr>
            <w:tcW w:w="4631" w:type="dxa"/>
          </w:tcPr>
          <w:p w14:paraId="08BBEF72" w14:textId="77777777" w:rsidR="0018446E" w:rsidRPr="0018446E" w:rsidRDefault="0018446E" w:rsidP="0018446E">
            <w:pPr>
              <w:spacing w:before="120"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lastRenderedPageBreak/>
              <w:t>Figura 2.4. Evoluția exporturilor autohtone dezagregate pe principalele grupe economice, mil. dolari SUA</w:t>
            </w:r>
          </w:p>
        </w:tc>
        <w:tc>
          <w:tcPr>
            <w:tcW w:w="4964" w:type="dxa"/>
          </w:tcPr>
          <w:p w14:paraId="2CDDA362" w14:textId="77777777" w:rsidR="0018446E" w:rsidRPr="0018446E" w:rsidRDefault="0018446E" w:rsidP="0018446E">
            <w:pPr>
              <w:spacing w:before="120"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2.5. Ponderea principalelor grupe de mărfuri în valoarea totală a exporturilor, %</w:t>
            </w:r>
          </w:p>
        </w:tc>
      </w:tr>
      <w:tr w:rsidR="0018446E" w:rsidRPr="0018446E" w14:paraId="504D70BD" w14:textId="77777777" w:rsidTr="00B0372F">
        <w:trPr>
          <w:trHeight w:val="3617"/>
        </w:trPr>
        <w:tc>
          <w:tcPr>
            <w:tcW w:w="4631" w:type="dxa"/>
          </w:tcPr>
          <w:p w14:paraId="0288A3F6" w14:textId="77777777" w:rsidR="0018446E" w:rsidRPr="0018446E" w:rsidRDefault="0018446E" w:rsidP="0018446E">
            <w:pPr>
              <w:spacing w:before="120" w:after="0" w:line="288" w:lineRule="auto"/>
              <w:ind w:left="0"/>
              <w:rPr>
                <w:rFonts w:ascii="Times New Roman" w:eastAsia="Times New Roman" w:hAnsi="Times New Roman"/>
                <w:lang w:val="ro-MD"/>
              </w:rPr>
            </w:pPr>
            <w:r w:rsidRPr="0018446E">
              <w:rPr>
                <w:rFonts w:ascii="Times New Roman" w:eastAsia="Times New Roman" w:hAnsi="Times New Roman"/>
                <w:noProof/>
                <w:lang w:val="en-US"/>
              </w:rPr>
              <w:drawing>
                <wp:anchor distT="0" distB="0" distL="114300" distR="114300" simplePos="0" relativeHeight="251663360" behindDoc="0" locked="0" layoutInCell="1" hidden="0" allowOverlap="1" wp14:anchorId="3788D41B" wp14:editId="173DF364">
                  <wp:simplePos x="0" y="0"/>
                  <wp:positionH relativeFrom="column">
                    <wp:posOffset>-31750</wp:posOffset>
                  </wp:positionH>
                  <wp:positionV relativeFrom="paragraph">
                    <wp:posOffset>73025</wp:posOffset>
                  </wp:positionV>
                  <wp:extent cx="2758440" cy="1828800"/>
                  <wp:effectExtent l="0" t="0" r="3810" b="0"/>
                  <wp:wrapSquare wrapText="bothSides" distT="0" distB="0" distL="114300" distR="1143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tc>
        <w:tc>
          <w:tcPr>
            <w:tcW w:w="4964" w:type="dxa"/>
          </w:tcPr>
          <w:p w14:paraId="4F06BB54" w14:textId="77777777" w:rsidR="0018446E" w:rsidRPr="0018446E" w:rsidRDefault="0018446E" w:rsidP="0018446E">
            <w:pPr>
              <w:spacing w:before="120" w:after="0" w:line="288" w:lineRule="auto"/>
              <w:ind w:left="0"/>
              <w:jc w:val="right"/>
              <w:rPr>
                <w:rFonts w:ascii="Times New Roman" w:eastAsia="Times New Roman" w:hAnsi="Times New Roman"/>
                <w:sz w:val="20"/>
                <w:szCs w:val="20"/>
                <w:lang w:val="ro-MD"/>
              </w:rPr>
            </w:pPr>
            <w:r w:rsidRPr="0018446E">
              <w:rPr>
                <w:rFonts w:ascii="Times New Roman" w:eastAsia="Times New Roman" w:hAnsi="Times New Roman"/>
                <w:i/>
                <w:iCs/>
                <w:noProof/>
                <w:lang w:val="en-US"/>
              </w:rPr>
              <w:drawing>
                <wp:anchor distT="0" distB="0" distL="114300" distR="114300" simplePos="0" relativeHeight="251664384" behindDoc="0" locked="0" layoutInCell="1" hidden="0" allowOverlap="1" wp14:anchorId="3EAF062A" wp14:editId="5B8C53FF">
                  <wp:simplePos x="0" y="0"/>
                  <wp:positionH relativeFrom="column">
                    <wp:posOffset>-68580</wp:posOffset>
                  </wp:positionH>
                  <wp:positionV relativeFrom="paragraph">
                    <wp:posOffset>78105</wp:posOffset>
                  </wp:positionV>
                  <wp:extent cx="3169920" cy="1783080"/>
                  <wp:effectExtent l="0" t="0" r="11430" b="7620"/>
                  <wp:wrapSquare wrapText="bothSides" distT="0" distB="0" distL="114300" distR="1143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18446E">
              <w:rPr>
                <w:rFonts w:ascii="Times New Roman" w:eastAsia="Times New Roman" w:hAnsi="Times New Roman"/>
                <w:i/>
                <w:iCs/>
                <w:sz w:val="20"/>
                <w:szCs w:val="20"/>
                <w:lang w:val="ro-MD"/>
              </w:rPr>
              <w:t xml:space="preserve"> Sursa:</w:t>
            </w:r>
            <w:r w:rsidRPr="0018446E">
              <w:rPr>
                <w:rFonts w:ascii="Times New Roman" w:eastAsia="Times New Roman" w:hAnsi="Times New Roman"/>
                <w:sz w:val="20"/>
                <w:szCs w:val="20"/>
                <w:lang w:val="ro-MD"/>
              </w:rPr>
              <w:t xml:space="preserve"> International Trade Center  </w:t>
            </w:r>
            <w:hyperlink r:id="rId14">
              <w:r w:rsidRPr="0018446E">
                <w:rPr>
                  <w:rFonts w:ascii="Times New Roman" w:eastAsia="Times New Roman" w:hAnsi="Times New Roman"/>
                  <w:color w:val="0563C1"/>
                  <w:sz w:val="20"/>
                  <w:szCs w:val="20"/>
                  <w:u w:val="single"/>
                  <w:lang w:val="ro-MD"/>
                </w:rPr>
                <w:t>https://intracen.org/</w:t>
              </w:r>
            </w:hyperlink>
            <w:r w:rsidRPr="0018446E">
              <w:rPr>
                <w:rFonts w:ascii="Times New Roman" w:eastAsia="Times New Roman" w:hAnsi="Times New Roman"/>
                <w:sz w:val="20"/>
                <w:szCs w:val="20"/>
                <w:lang w:val="ro-MD"/>
              </w:rPr>
              <w:t xml:space="preserve"> </w:t>
            </w:r>
          </w:p>
        </w:tc>
      </w:tr>
    </w:tbl>
    <w:p w14:paraId="45EAF0BB"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În perioada 2014-2022, volumul bunurilor industriale exportate a crescut în medie cu 7% pe an. Cele mai accentuate creșteri au fost înregistrate în anii 2017-2019 și se datorează dezvoltării intense a ramurii de producere a componentelor auto, producția căreia a ajuns să dețină 21% în volumul total al exporturilor în anul 2019 – cel mai rezultativ an pentru acest </w:t>
      </w:r>
      <w:proofErr w:type="spellStart"/>
      <w:r w:rsidRPr="0018446E">
        <w:rPr>
          <w:rFonts w:ascii="Times New Roman" w:eastAsia="Times New Roman" w:hAnsi="Times New Roman"/>
          <w:lang w:val="ro-MD"/>
        </w:rPr>
        <w:t>subsector</w:t>
      </w:r>
      <w:proofErr w:type="spellEnd"/>
      <w:r w:rsidRPr="0018446E">
        <w:rPr>
          <w:rFonts w:ascii="Times New Roman" w:eastAsia="Times New Roman" w:hAnsi="Times New Roman"/>
          <w:lang w:val="ro-MD"/>
        </w:rPr>
        <w:t xml:space="preserve"> al industriei prelucrătoare. Cu toate acestea, creșterea exporturilor industriale nu a fost suficientă pentru a consolida poziția produselor industriale în structura exporturilor, deoarece exporturile de produse agricole neprelucrate au înregistrat o creștere medie de 10% în această perioadă, iar exporturile de produse alimentare în medie cu 8%. Creșterea mai intensă a exporturilor cu valoare adăugată redusă, precum producția de componente auto, reduce competitivitatea economiei naționale și nu asigură o creștere economică calitativă.</w:t>
      </w:r>
    </w:p>
    <w:p w14:paraId="61220941"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71C9DBDA" w14:textId="77777777" w:rsidR="0018446E" w:rsidRPr="0018446E" w:rsidRDefault="0018446E" w:rsidP="0018446E">
      <w:pPr>
        <w:spacing w:before="120" w:line="288" w:lineRule="auto"/>
        <w:ind w:left="0"/>
        <w:jc w:val="both"/>
        <w:rPr>
          <w:rFonts w:ascii="Times New Roman" w:eastAsia="Times New Roman" w:hAnsi="Times New Roman"/>
          <w:b/>
          <w:bCs/>
          <w:lang w:val="ro-MD"/>
        </w:rPr>
      </w:pPr>
      <w:r w:rsidRPr="0018446E">
        <w:rPr>
          <w:rFonts w:ascii="Times New Roman" w:eastAsia="Times New Roman" w:hAnsi="Times New Roman"/>
          <w:b/>
          <w:bCs/>
          <w:lang w:val="ro-MD"/>
        </w:rPr>
        <w:t xml:space="preserve">       2.2. Structura și dinamica industriei prelucrătoare</w:t>
      </w:r>
    </w:p>
    <w:p w14:paraId="680420D8"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 xml:space="preserve">Industria prelucrătoare și-a consolidat treptat poziția în structura sectorului industrial, </w:t>
      </w:r>
      <w:r w:rsidRPr="0018446E">
        <w:rPr>
          <w:rFonts w:ascii="Times New Roman" w:eastAsia="Times New Roman" w:hAnsi="Times New Roman"/>
          <w:lang w:val="ro-MD"/>
        </w:rPr>
        <w:t xml:space="preserve">înregistrând în perioada 2011-2021 o creștere medie anuală de circa 4%, în timp ce câteva ramuri s-au dezvoltat mai intens. Extinderea activității Zonelor Economice Libere (ZEL), în special a proiectelor investiționale în domeniul industriei componentelor auto, a determinat creșterea intensivă a ramurii constructoare de mașini și echipamente, marcând o creștere medie anuală de peste 20% în perioada 2011-2021. Printre alte ramuri care au înregistrat progres semnificativ se numără industria mobilei (creșterea medie +13%), industria lemnului (+11%), industria chimică (+8%), fabricarea produselor din hârtie (+8%). Totuși, criza pandemică a afectat puternic sectorul industrial. Cererea externă s-a contractat afectând în mod special ramurile exportatoare, inclusiv bunurile și serviciile oferite de rezidenții Zonelor Economice Libere. În plus, condițiile meteorologice extrem de nefavorabile din anul 2020 au determinat un declin considerabil în sectorul agricol (-27,2%) și, pe cale de consecință, au avut repercusiuni asupra industriei alimentare (-5,8%). </w:t>
      </w:r>
    </w:p>
    <w:p w14:paraId="016CF8FB"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lang w:val="ro-MD"/>
        </w:rPr>
        <w:t>După revenirea din anul 2021, când</w:t>
      </w:r>
      <w:r w:rsidRPr="0018446E">
        <w:rPr>
          <w:rFonts w:ascii="Times New Roman" w:eastAsia="Times New Roman" w:hAnsi="Times New Roman"/>
          <w:color w:val="000000"/>
          <w:lang w:val="ro-MD"/>
        </w:rPr>
        <w:t xml:space="preserve"> </w:t>
      </w:r>
      <w:r w:rsidRPr="0018446E">
        <w:rPr>
          <w:rFonts w:ascii="Times New Roman" w:eastAsia="Times New Roman" w:hAnsi="Times New Roman"/>
          <w:lang w:val="ro-MD"/>
        </w:rPr>
        <w:t xml:space="preserve">a înregistrat o creștere de 12,1%, în anul 2022 sectorul industrial s-a confruntat cu noi provocări - criza energetică, războiul din Ucraina și spirala inflaționistă. Ca urmare, producția industrială a scăzut cu 5,1% în 2022. Industria prelucrătoare a fost ramura cea mai afectată de consecințele războiului </w:t>
      </w:r>
      <w:r w:rsidRPr="0018446E">
        <w:rPr>
          <w:rFonts w:ascii="Times New Roman" w:eastAsia="Times New Roman" w:hAnsi="Times New Roman"/>
          <w:highlight w:val="white"/>
          <w:lang w:val="ro-MD"/>
        </w:rPr>
        <w:t>(-4,5%),</w:t>
      </w:r>
      <w:r w:rsidRPr="0018446E">
        <w:rPr>
          <w:rFonts w:ascii="Times New Roman" w:eastAsia="Times New Roman" w:hAnsi="Times New Roman"/>
          <w:lang w:val="ro-MD"/>
        </w:rPr>
        <w:t xml:space="preserve"> producând cel mai mare impact negativ asupra sectorului, </w:t>
      </w:r>
      <w:r w:rsidRPr="0018446E">
        <w:rPr>
          <w:rFonts w:ascii="Times New Roman" w:eastAsia="Times New Roman" w:hAnsi="Times New Roman"/>
          <w:lang w:val="ro-MD"/>
        </w:rPr>
        <w:lastRenderedPageBreak/>
        <w:t>iar printre industriile care au înregistrat cele mai mari pierderi au fost industria componentelor auto (-60%), fabricarea mobilei (-30%), industria construcțiilor metalice și a produselor din metal (-15%), fabricarea articolelor din beton, ciment și ipsos (-19%), repararea, întreținerea și instalarea mașinilor și echipamentelor, în special  articolelor fabricate din metal (-23%), fabricarea cimentului, varului și ipsosului etc. Totodată, au fost în diminuare și celelalte subramuri industriale: sectorul energetic s-a diminuat cu 8,4%, fiind puternic influențat de creșterea prețurilor la energie, iar industria extractivă, în contextul scăderii activității din domeniul construcțiilor, a scăzut cu 4,9%.</w:t>
      </w:r>
    </w:p>
    <w:p w14:paraId="4C9867FC"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Impactul macroeconomic al industriei prelucrătoare este tot mai redus, întrucât ponderea acestui sector în PIB s-a diminuat constant</w:t>
      </w:r>
      <w:r w:rsidRPr="0018446E">
        <w:rPr>
          <w:rFonts w:ascii="Times New Roman" w:eastAsia="Times New Roman" w:hAnsi="Times New Roman"/>
          <w:lang w:val="ro-MD"/>
        </w:rPr>
        <w:t xml:space="preserve"> </w:t>
      </w:r>
      <w:r w:rsidRPr="0018446E">
        <w:rPr>
          <w:rFonts w:ascii="Times New Roman" w:eastAsia="Times New Roman" w:hAnsi="Times New Roman"/>
          <w:b/>
          <w:lang w:val="ro-MD"/>
        </w:rPr>
        <w:t xml:space="preserve">în ultimii 20 de ani de la 15% până la 9%. </w:t>
      </w:r>
      <w:r w:rsidRPr="0018446E">
        <w:rPr>
          <w:rFonts w:ascii="Times New Roman" w:eastAsia="Times New Roman" w:hAnsi="Times New Roman"/>
          <w:lang w:val="ro-MD"/>
        </w:rPr>
        <w:t>De asemenea, constatăm că ponderea industriei prelucrătoare în PIB este mult mai redusă decât media țărilor cu venitul mediu ridicat (peste 20%), situându-se la nivelul țărilor cu venitul redus (10%) (Figurile 1.6 și 1.7). Această tendință se atestă în majoritatea țărilor și este condiționată în mare măsură de dezvoltarea rapidă a sectorului serviciilor și transferul producției industriale în țările cu venituri mici, unde cheltuielile privind producția și forța de muncă sunt mai reduse. Totuși, în cazul Republicii Moldova, diminuarea ponderii industriei prelucrătoare este determinată în mare parte de scăderea potențialului de producție, cauzată atât de reducerea potențialului capitalului investițional, cât și a celui uman (forța de muncă). Potrivit estimărilor MDED, potențialul de creștere economică a Moldovei a coborât până la 2% în anul 2022, această tendință negativă fiind acutizată de crizele anilor precedenți: criza pandemică, războiul din țara vecină și criza energetică.</w:t>
      </w:r>
    </w:p>
    <w:p w14:paraId="0DDA0E3C"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0160D104"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7A3F4949"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68EB769F"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2C3295F1"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2BAF12C6" w14:textId="77777777" w:rsidR="0018446E" w:rsidRPr="0018446E" w:rsidRDefault="0018446E" w:rsidP="0018446E">
      <w:pPr>
        <w:spacing w:before="120" w:line="288" w:lineRule="auto"/>
        <w:ind w:left="0"/>
        <w:jc w:val="both"/>
        <w:rPr>
          <w:rFonts w:ascii="Times New Roman" w:eastAsia="Times New Roman" w:hAnsi="Times New Roman"/>
          <w:lang w:val="ro-MD"/>
        </w:rPr>
      </w:pPr>
    </w:p>
    <w:tbl>
      <w:tblPr>
        <w:tblpPr w:leftFromText="180" w:rightFromText="180" w:topFromText="180" w:bottomFromText="180" w:vertAnchor="text" w:horzAnchor="margin" w:tblpY="495"/>
        <w:tblW w:w="9557" w:type="dxa"/>
        <w:tblLayout w:type="fixed"/>
        <w:tblLook w:val="0400" w:firstRow="0" w:lastRow="0" w:firstColumn="0" w:lastColumn="0" w:noHBand="0" w:noVBand="1"/>
      </w:tblPr>
      <w:tblGrid>
        <w:gridCol w:w="5070"/>
        <w:gridCol w:w="4487"/>
      </w:tblGrid>
      <w:sdt>
        <w:sdtPr>
          <w:rPr>
            <w:rFonts w:ascii="Calibri" w:hAnsi="Calibri" w:cs="Calibri"/>
            <w:b/>
            <w:bCs/>
            <w:sz w:val="20"/>
            <w:szCs w:val="20"/>
            <w:lang w:val="ro-MD"/>
          </w:rPr>
          <w:tag w:val="goog_rdk_3"/>
          <w:id w:val="-1788731696"/>
        </w:sdtPr>
        <w:sdtContent>
          <w:tr w:rsidR="0018446E" w:rsidRPr="0018446E" w14:paraId="4EB7567F" w14:textId="77777777" w:rsidTr="00B0372F">
            <w:trPr>
              <w:trHeight w:val="788"/>
            </w:trPr>
            <w:tc>
              <w:tcPr>
                <w:tcW w:w="5070" w:type="dxa"/>
                <w:tcMar>
                  <w:top w:w="0" w:type="dxa"/>
                  <w:left w:w="115" w:type="dxa"/>
                  <w:bottom w:w="0" w:type="dxa"/>
                  <w:right w:w="115" w:type="dxa"/>
                </w:tcMar>
              </w:tcPr>
              <w:sdt>
                <w:sdtPr>
                  <w:rPr>
                    <w:rFonts w:ascii="Times New Roman" w:eastAsia="Times New Roman" w:hAnsi="Times New Roman"/>
                    <w:b/>
                    <w:bCs/>
                    <w:sz w:val="20"/>
                    <w:szCs w:val="20"/>
                    <w:lang w:val="ro-MD"/>
                  </w:rPr>
                  <w:tag w:val="goog_rdk_5"/>
                  <w:id w:val="1979799878"/>
                </w:sdtPr>
                <w:sdtContent>
                  <w:p w14:paraId="766FEFB2" w14:textId="77777777" w:rsidR="0018446E" w:rsidRPr="0018446E" w:rsidRDefault="0018446E" w:rsidP="0018446E">
                    <w:pPr>
                      <w:spacing w:before="120" w:after="0" w:line="240" w:lineRule="auto"/>
                      <w:ind w:left="0"/>
                      <w:jc w:val="center"/>
                      <w:rPr>
                        <w:rFonts w:ascii="Times New Roman" w:eastAsia="Times New Roman" w:hAnsi="Times New Roman"/>
                        <w:b/>
                        <w:bCs/>
                        <w:sz w:val="20"/>
                        <w:szCs w:val="20"/>
                        <w:lang w:val="ro-MD"/>
                      </w:rPr>
                    </w:pPr>
                    <w:sdt>
                      <w:sdtPr>
                        <w:rPr>
                          <w:rFonts w:ascii="Times New Roman" w:eastAsia="Times New Roman" w:hAnsi="Times New Roman"/>
                          <w:b/>
                          <w:bCs/>
                          <w:sz w:val="20"/>
                          <w:szCs w:val="20"/>
                          <w:lang w:val="ro-MD"/>
                        </w:rPr>
                        <w:tag w:val="goog_rdk_4"/>
                        <w:id w:val="-399520501"/>
                      </w:sdtPr>
                      <w:sdtContent>
                        <w:r w:rsidRPr="0018446E">
                          <w:rPr>
                            <w:rFonts w:ascii="Times New Roman" w:eastAsia="Times New Roman" w:hAnsi="Times New Roman"/>
                            <w:b/>
                            <w:bCs/>
                            <w:sz w:val="20"/>
                            <w:szCs w:val="20"/>
                            <w:lang w:val="ro-MD"/>
                          </w:rPr>
                          <w:t>Figura 2.6. Ponderea industriei prelucrătoare în PIB pe grupe de țări (în dependență de mărimea venitului pe cap de locuitor), %</w:t>
                        </w:r>
                      </w:sdtContent>
                    </w:sdt>
                  </w:p>
                </w:sdtContent>
              </w:sdt>
            </w:tc>
            <w:tc>
              <w:tcPr>
                <w:tcW w:w="4487" w:type="dxa"/>
                <w:tcMar>
                  <w:top w:w="0" w:type="dxa"/>
                  <w:left w:w="115" w:type="dxa"/>
                  <w:bottom w:w="0" w:type="dxa"/>
                  <w:right w:w="115" w:type="dxa"/>
                </w:tcMar>
              </w:tcPr>
              <w:sdt>
                <w:sdtPr>
                  <w:rPr>
                    <w:rFonts w:ascii="Times New Roman" w:eastAsia="Times New Roman" w:hAnsi="Times New Roman"/>
                    <w:b/>
                    <w:bCs/>
                    <w:sz w:val="20"/>
                    <w:szCs w:val="20"/>
                    <w:lang w:val="ro-MD"/>
                  </w:rPr>
                  <w:tag w:val="goog_rdk_9"/>
                  <w:id w:val="-773552466"/>
                </w:sdtPr>
                <w:sdtContent>
                  <w:p w14:paraId="3F4B8197" w14:textId="77777777" w:rsidR="0018446E" w:rsidRPr="0018446E" w:rsidRDefault="0018446E" w:rsidP="0018446E">
                    <w:pPr>
                      <w:spacing w:before="120" w:after="0" w:line="240" w:lineRule="auto"/>
                      <w:ind w:left="0"/>
                      <w:jc w:val="center"/>
                      <w:rPr>
                        <w:rFonts w:ascii="Times New Roman" w:eastAsia="Times New Roman" w:hAnsi="Times New Roman"/>
                        <w:b/>
                        <w:bCs/>
                        <w:sz w:val="20"/>
                        <w:szCs w:val="20"/>
                        <w:lang w:val="ro-MD"/>
                      </w:rPr>
                    </w:pPr>
                    <w:sdt>
                      <w:sdtPr>
                        <w:rPr>
                          <w:rFonts w:ascii="Times New Roman" w:eastAsia="Times New Roman" w:hAnsi="Times New Roman"/>
                          <w:b/>
                          <w:bCs/>
                          <w:sz w:val="20"/>
                          <w:szCs w:val="20"/>
                          <w:lang w:val="ro-MD"/>
                        </w:rPr>
                        <w:tag w:val="goog_rdk_8"/>
                        <w:id w:val="-234858252"/>
                      </w:sdtPr>
                      <w:sdtContent>
                        <w:r w:rsidRPr="0018446E">
                          <w:rPr>
                            <w:rFonts w:ascii="Times New Roman" w:eastAsia="Times New Roman" w:hAnsi="Times New Roman"/>
                            <w:b/>
                            <w:bCs/>
                            <w:sz w:val="20"/>
                            <w:szCs w:val="20"/>
                            <w:lang w:val="ro-MD"/>
                          </w:rPr>
                          <w:t>Figura 2.7. Ponderea industriei prelucrătoare în PIB în unele țări cu venitul mediu ridicat în anul 2022, %</w:t>
                        </w:r>
                      </w:sdtContent>
                    </w:sdt>
                  </w:p>
                </w:sdtContent>
              </w:sdt>
            </w:tc>
          </w:tr>
        </w:sdtContent>
      </w:sdt>
      <w:sdt>
        <w:sdtPr>
          <w:rPr>
            <w:rFonts w:ascii="Calibri" w:hAnsi="Calibri" w:cs="Calibri"/>
            <w:sz w:val="22"/>
            <w:szCs w:val="22"/>
            <w:lang w:val="ro-MD"/>
          </w:rPr>
          <w:tag w:val="goog_rdk_12"/>
          <w:id w:val="283706695"/>
        </w:sdtPr>
        <w:sdtContent>
          <w:tr w:rsidR="0018446E" w:rsidRPr="0018446E" w14:paraId="0735FED6" w14:textId="77777777" w:rsidTr="00B0372F">
            <w:trPr>
              <w:trHeight w:val="4537"/>
            </w:trPr>
            <w:tc>
              <w:tcPr>
                <w:tcW w:w="5070" w:type="dxa"/>
                <w:tcMar>
                  <w:top w:w="0" w:type="dxa"/>
                  <w:left w:w="115" w:type="dxa"/>
                  <w:bottom w:w="0" w:type="dxa"/>
                  <w:right w:w="115" w:type="dxa"/>
                </w:tcMar>
              </w:tcPr>
              <w:sdt>
                <w:sdtPr>
                  <w:rPr>
                    <w:rFonts w:ascii="Times New Roman" w:eastAsia="Times New Roman" w:hAnsi="Times New Roman"/>
                    <w:lang w:val="ro-MD"/>
                  </w:rPr>
                  <w:tag w:val="goog_rdk_14"/>
                  <w:id w:val="313300713"/>
                </w:sdtPr>
                <w:sdtContent>
                  <w:p w14:paraId="6A7E1B67" w14:textId="77777777" w:rsidR="0018446E" w:rsidRPr="0018446E" w:rsidRDefault="0018446E" w:rsidP="0018446E">
                    <w:pPr>
                      <w:spacing w:before="120" w:after="0" w:line="288" w:lineRule="auto"/>
                      <w:ind w:left="0"/>
                      <w:rPr>
                        <w:rFonts w:ascii="Times New Roman" w:eastAsia="Times New Roman" w:hAnsi="Times New Roman"/>
                        <w:lang w:val="ro-MD"/>
                      </w:rPr>
                    </w:pPr>
                    <w:sdt>
                      <w:sdtPr>
                        <w:rPr>
                          <w:rFonts w:ascii="Times New Roman" w:eastAsia="Times New Roman" w:hAnsi="Times New Roman"/>
                          <w:lang w:val="ro-MD"/>
                        </w:rPr>
                        <w:tag w:val="goog_rdk_13"/>
                        <w:id w:val="1745986601"/>
                      </w:sdtPr>
                      <w:sdtContent>
                        <w:r w:rsidRPr="0018446E">
                          <w:rPr>
                            <w:rFonts w:ascii="Times New Roman" w:eastAsia="Times New Roman" w:hAnsi="Times New Roman"/>
                            <w:noProof/>
                            <w:lang w:val="en-US"/>
                          </w:rPr>
                          <w:drawing>
                            <wp:inline distT="0" distB="0" distL="0" distR="0" wp14:anchorId="317F3634" wp14:editId="784F3730">
                              <wp:extent cx="2834640" cy="2606040"/>
                              <wp:effectExtent l="0" t="0" r="3810" b="3810"/>
                              <wp:docPr id="533" name="Chart 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sdtContent>
                    </w:sdt>
                  </w:p>
                </w:sdtContent>
              </w:sdt>
            </w:tc>
            <w:tc>
              <w:tcPr>
                <w:tcW w:w="4487" w:type="dxa"/>
                <w:tcMar>
                  <w:top w:w="0" w:type="dxa"/>
                  <w:left w:w="115" w:type="dxa"/>
                  <w:bottom w:w="0" w:type="dxa"/>
                  <w:right w:w="115" w:type="dxa"/>
                </w:tcMar>
              </w:tcPr>
              <w:sdt>
                <w:sdtPr>
                  <w:rPr>
                    <w:rFonts w:ascii="Times New Roman" w:eastAsia="Times New Roman" w:hAnsi="Times New Roman"/>
                    <w:lang w:val="ro-MD"/>
                  </w:rPr>
                  <w:tag w:val="goog_rdk_16"/>
                  <w:id w:val="-1922399385"/>
                </w:sdtPr>
                <w:sdtEndPr>
                  <w:rPr>
                    <w:sz w:val="18"/>
                    <w:szCs w:val="18"/>
                  </w:rPr>
                </w:sdtEndPr>
                <w:sdtContent>
                  <w:p w14:paraId="02EE3363" w14:textId="77777777" w:rsidR="0018446E" w:rsidRPr="0018446E" w:rsidRDefault="0018446E" w:rsidP="0018446E">
                    <w:pPr>
                      <w:spacing w:before="120" w:after="0" w:line="240" w:lineRule="auto"/>
                      <w:ind w:left="0"/>
                      <w:jc w:val="right"/>
                      <w:rPr>
                        <w:rFonts w:ascii="Times New Roman" w:eastAsia="Times New Roman" w:hAnsi="Times New Roman"/>
                        <w:sz w:val="18"/>
                        <w:szCs w:val="18"/>
                        <w:lang w:val="ro-MD"/>
                      </w:rPr>
                    </w:pPr>
                    <w:r w:rsidRPr="0018446E">
                      <w:rPr>
                        <w:rFonts w:ascii="Times New Roman" w:eastAsia="Times New Roman" w:hAnsi="Times New Roman"/>
                        <w:noProof/>
                        <w:sz w:val="18"/>
                        <w:szCs w:val="18"/>
                        <w:lang w:val="en-US"/>
                      </w:rPr>
                      <w:drawing>
                        <wp:anchor distT="0" distB="0" distL="114300" distR="114300" simplePos="0" relativeHeight="251661312" behindDoc="1" locked="0" layoutInCell="1" hidden="0" allowOverlap="1" wp14:anchorId="12052586" wp14:editId="6A7D4D89">
                          <wp:simplePos x="0" y="0"/>
                          <wp:positionH relativeFrom="column">
                            <wp:posOffset>-73025</wp:posOffset>
                          </wp:positionH>
                          <wp:positionV relativeFrom="paragraph">
                            <wp:posOffset>70485</wp:posOffset>
                          </wp:positionV>
                          <wp:extent cx="2914650" cy="2552700"/>
                          <wp:effectExtent l="0" t="0" r="0" b="0"/>
                          <wp:wrapTight wrapText="bothSides">
                            <wp:wrapPolygon edited="0">
                              <wp:start x="141" y="0"/>
                              <wp:lineTo x="0" y="484"/>
                              <wp:lineTo x="0" y="21116"/>
                              <wp:lineTo x="141" y="21439"/>
                              <wp:lineTo x="21318" y="21439"/>
                              <wp:lineTo x="21459" y="21116"/>
                              <wp:lineTo x="21459" y="484"/>
                              <wp:lineTo x="21318" y="0"/>
                              <wp:lineTo x="141" y="0"/>
                            </wp:wrapPolygon>
                          </wp:wrapTight>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sdt>
                      <w:sdtPr>
                        <w:rPr>
                          <w:rFonts w:ascii="Times New Roman" w:eastAsia="Times New Roman" w:hAnsi="Times New Roman"/>
                          <w:sz w:val="18"/>
                          <w:szCs w:val="18"/>
                          <w:lang w:val="ro-MD"/>
                        </w:rPr>
                        <w:tag w:val="goog_rdk_15"/>
                        <w:id w:val="-681815082"/>
                      </w:sdtPr>
                      <w:sdtContent>
                        <w:r w:rsidRPr="0018446E">
                          <w:rPr>
                            <w:rFonts w:ascii="Times New Roman" w:eastAsia="Times New Roman" w:hAnsi="Times New Roman"/>
                            <w:i/>
                            <w:iCs/>
                            <w:sz w:val="18"/>
                            <w:szCs w:val="18"/>
                            <w:lang w:val="ro-MD"/>
                          </w:rPr>
                          <w:t>Sursa</w:t>
                        </w:r>
                        <w:r w:rsidRPr="0018446E">
                          <w:rPr>
                            <w:rFonts w:ascii="Times New Roman" w:eastAsia="Times New Roman" w:hAnsi="Times New Roman"/>
                            <w:sz w:val="18"/>
                            <w:szCs w:val="18"/>
                            <w:lang w:val="ro-MD"/>
                          </w:rPr>
                          <w:t>: Banca Mondială</w:t>
                        </w:r>
                      </w:sdtContent>
                    </w:sdt>
                  </w:p>
                </w:sdtContent>
              </w:sdt>
            </w:tc>
          </w:tr>
        </w:sdtContent>
      </w:sdt>
    </w:tbl>
    <w:p w14:paraId="3D7E0F1E" w14:textId="77777777" w:rsidR="0018446E" w:rsidRPr="0018446E" w:rsidRDefault="0018446E" w:rsidP="0018446E">
      <w:pPr>
        <w:spacing w:before="120" w:line="288" w:lineRule="auto"/>
        <w:ind w:left="0"/>
        <w:jc w:val="both"/>
        <w:rPr>
          <w:rFonts w:ascii="Times New Roman" w:eastAsia="Times New Roman" w:hAnsi="Times New Roman"/>
          <w:b/>
          <w:lang w:val="ro-MD"/>
        </w:rPr>
      </w:pPr>
    </w:p>
    <w:p w14:paraId="2816C549"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 xml:space="preserve">Sectorul productiv a evoluat neuniform pe parcursul ultimului deceniu în Republica Moldova, fiind influențat atât de factori interni, cât și externi. </w:t>
      </w:r>
      <w:r w:rsidRPr="0018446E">
        <w:rPr>
          <w:rFonts w:ascii="Times New Roman" w:eastAsia="Times New Roman" w:hAnsi="Times New Roman"/>
          <w:lang w:val="ro-MD"/>
        </w:rPr>
        <w:t>În perioada anilor 2011-2022 industria prelucrătoare a cumulat o creștere a producției de circa 55%, fiind afectată de trei episoade majore de criză economică – anul 2012, 2020 și 2022.</w:t>
      </w:r>
      <w:r w:rsidRPr="0018446E">
        <w:rPr>
          <w:rFonts w:ascii="Times New Roman" w:eastAsia="Times New Roman" w:hAnsi="Times New Roman"/>
          <w:highlight w:val="white"/>
          <w:lang w:val="ro-MD"/>
        </w:rPr>
        <w:t xml:space="preserve"> Crizele financiare și ale datoriilor din </w:t>
      </w:r>
      <w:proofErr w:type="spellStart"/>
      <w:r w:rsidRPr="0018446E">
        <w:rPr>
          <w:rFonts w:ascii="Times New Roman" w:eastAsia="Times New Roman" w:hAnsi="Times New Roman"/>
          <w:highlight w:val="white"/>
          <w:lang w:val="ro-MD"/>
        </w:rPr>
        <w:t>ţările</w:t>
      </w:r>
      <w:proofErr w:type="spellEnd"/>
      <w:r w:rsidRPr="0018446E">
        <w:rPr>
          <w:rFonts w:ascii="Times New Roman" w:eastAsia="Times New Roman" w:hAnsi="Times New Roman"/>
          <w:highlight w:val="white"/>
          <w:lang w:val="ro-MD"/>
        </w:rPr>
        <w:t xml:space="preserve"> europene, care au avut repercusiuni asupra cererii atât externe, cât </w:t>
      </w:r>
      <w:proofErr w:type="spellStart"/>
      <w:r w:rsidRPr="0018446E">
        <w:rPr>
          <w:rFonts w:ascii="Times New Roman" w:eastAsia="Times New Roman" w:hAnsi="Times New Roman"/>
          <w:highlight w:val="white"/>
          <w:lang w:val="ro-MD"/>
        </w:rPr>
        <w:t>şi</w:t>
      </w:r>
      <w:proofErr w:type="spellEnd"/>
      <w:r w:rsidRPr="0018446E">
        <w:rPr>
          <w:rFonts w:ascii="Times New Roman" w:eastAsia="Times New Roman" w:hAnsi="Times New Roman"/>
          <w:highlight w:val="white"/>
          <w:lang w:val="ro-MD"/>
        </w:rPr>
        <w:t xml:space="preserve"> interne pentru produsele </w:t>
      </w:r>
      <w:proofErr w:type="spellStart"/>
      <w:r w:rsidRPr="0018446E">
        <w:rPr>
          <w:rFonts w:ascii="Times New Roman" w:eastAsia="Times New Roman" w:hAnsi="Times New Roman"/>
          <w:highlight w:val="white"/>
          <w:lang w:val="ro-MD"/>
        </w:rPr>
        <w:t>moldoveneşti</w:t>
      </w:r>
      <w:proofErr w:type="spellEnd"/>
      <w:r w:rsidRPr="0018446E">
        <w:rPr>
          <w:rFonts w:ascii="Times New Roman" w:eastAsia="Times New Roman" w:hAnsi="Times New Roman"/>
          <w:highlight w:val="white"/>
          <w:lang w:val="ro-MD"/>
        </w:rPr>
        <w:t xml:space="preserve">, precum și </w:t>
      </w:r>
      <w:proofErr w:type="spellStart"/>
      <w:r w:rsidRPr="0018446E">
        <w:rPr>
          <w:rFonts w:ascii="Times New Roman" w:eastAsia="Times New Roman" w:hAnsi="Times New Roman"/>
          <w:highlight w:val="white"/>
          <w:lang w:val="ro-MD"/>
        </w:rPr>
        <w:t>condiţiile</w:t>
      </w:r>
      <w:proofErr w:type="spellEnd"/>
      <w:r w:rsidRPr="0018446E">
        <w:rPr>
          <w:rFonts w:ascii="Times New Roman" w:eastAsia="Times New Roman" w:hAnsi="Times New Roman"/>
          <w:highlight w:val="white"/>
          <w:lang w:val="ro-MD"/>
        </w:rPr>
        <w:t xml:space="preserve"> meteorologice extrem de nefavorabile sunt principalii factori care au caracterizat anul 2012 și care au diminuat volumele de producție industrială și, implicit, exporturile. </w:t>
      </w:r>
      <w:r w:rsidRPr="0018446E">
        <w:rPr>
          <w:rFonts w:ascii="Times New Roman" w:eastAsia="Times New Roman" w:hAnsi="Times New Roman"/>
          <w:lang w:val="ro-MD"/>
        </w:rPr>
        <w:t xml:space="preserve">În următorii ani sectorul productiv a cunoscut o creștere relativ constantă, în medie de circa 5%, pentru ca în anul 2020 să intre pe o traiectorie descendentă (-7,1%), în contextul crizei pandemice și secetei severe. Anul 2021 a fost un an record pentru economia națională și pentru industria prelucrătoare inclusiv (+11,4%), iar în anul 2022, un nou val de crize economice și climatice au afectat evoluția sectorului industrial productiv (-4,5%), generate de războiul din țara vecină, nereușind să se revigoreze integral după criza pandemică. </w:t>
      </w:r>
    </w:p>
    <w:tbl>
      <w:tblPr>
        <w:tblW w:w="9863" w:type="dxa"/>
        <w:tblBorders>
          <w:top w:val="nil"/>
          <w:left w:val="nil"/>
          <w:bottom w:val="nil"/>
          <w:right w:val="nil"/>
          <w:insideH w:val="nil"/>
          <w:insideV w:val="nil"/>
        </w:tblBorders>
        <w:tblLayout w:type="fixed"/>
        <w:tblLook w:val="0400" w:firstRow="0" w:lastRow="0" w:firstColumn="0" w:lastColumn="0" w:noHBand="0" w:noVBand="1"/>
      </w:tblPr>
      <w:tblGrid>
        <w:gridCol w:w="9863"/>
      </w:tblGrid>
      <w:tr w:rsidR="0018446E" w:rsidRPr="0018446E" w14:paraId="3DB6997C" w14:textId="77777777" w:rsidTr="00B0372F">
        <w:trPr>
          <w:trHeight w:val="193"/>
        </w:trPr>
        <w:tc>
          <w:tcPr>
            <w:tcW w:w="9863" w:type="dxa"/>
          </w:tcPr>
          <w:p w14:paraId="0C9B5272" w14:textId="77777777" w:rsidR="0018446E" w:rsidRPr="0018446E" w:rsidRDefault="0018446E" w:rsidP="0018446E">
            <w:pPr>
              <w:spacing w:after="0" w:line="240" w:lineRule="auto"/>
              <w:ind w:left="0"/>
              <w:jc w:val="both"/>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2.8. Structura industriei prelucrătoare, media 2014-2022, %</w:t>
            </w:r>
          </w:p>
        </w:tc>
      </w:tr>
      <w:tr w:rsidR="0018446E" w:rsidRPr="0018446E" w14:paraId="11A7CBE6" w14:textId="77777777" w:rsidTr="00B0372F">
        <w:trPr>
          <w:trHeight w:val="234"/>
        </w:trPr>
        <w:tc>
          <w:tcPr>
            <w:tcW w:w="9863" w:type="dxa"/>
          </w:tcPr>
          <w:p w14:paraId="212AFB1F" w14:textId="77777777" w:rsidR="0018446E" w:rsidRPr="0018446E" w:rsidRDefault="0018446E" w:rsidP="0018446E">
            <w:pPr>
              <w:spacing w:after="0" w:line="240" w:lineRule="auto"/>
              <w:ind w:left="0"/>
              <w:rPr>
                <w:rFonts w:ascii="Times New Roman" w:eastAsia="Times New Roman" w:hAnsi="Times New Roman"/>
                <w:lang w:val="ro-MD"/>
              </w:rPr>
            </w:pPr>
          </w:p>
          <w:p w14:paraId="08F09C46" w14:textId="77777777" w:rsidR="0018446E" w:rsidRPr="0018446E" w:rsidRDefault="0018446E" w:rsidP="0018446E">
            <w:pPr>
              <w:spacing w:after="0" w:line="240" w:lineRule="auto"/>
              <w:ind w:left="0"/>
              <w:jc w:val="center"/>
              <w:rPr>
                <w:rFonts w:ascii="Times New Roman" w:eastAsia="Times New Roman" w:hAnsi="Times New Roman"/>
                <w:lang w:val="ro-MD"/>
              </w:rPr>
            </w:pPr>
            <w:r w:rsidRPr="0018446E">
              <w:rPr>
                <w:rFonts w:ascii="Times New Roman" w:eastAsia="Times New Roman" w:hAnsi="Times New Roman"/>
                <w:noProof/>
                <w:lang w:val="en-US"/>
              </w:rPr>
              <w:drawing>
                <wp:inline distT="0" distB="0" distL="0" distR="0" wp14:anchorId="64146206" wp14:editId="7D017789">
                  <wp:extent cx="6012180" cy="2103120"/>
                  <wp:effectExtent l="0" t="0" r="762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18446E" w:rsidRPr="0018446E" w14:paraId="316061DA" w14:textId="77777777" w:rsidTr="00B0372F">
        <w:trPr>
          <w:trHeight w:val="183"/>
        </w:trPr>
        <w:tc>
          <w:tcPr>
            <w:tcW w:w="9863" w:type="dxa"/>
          </w:tcPr>
          <w:p w14:paraId="6D45FF4F" w14:textId="77777777" w:rsidR="0018446E" w:rsidRPr="0018446E" w:rsidRDefault="0018446E" w:rsidP="0018446E">
            <w:pPr>
              <w:spacing w:after="0" w:line="240" w:lineRule="auto"/>
              <w:ind w:left="0"/>
              <w:rPr>
                <w:rFonts w:ascii="Times New Roman" w:eastAsia="Times New Roman" w:hAnsi="Times New Roman"/>
                <w:sz w:val="18"/>
                <w:szCs w:val="18"/>
                <w:lang w:val="ro-MD"/>
              </w:rPr>
            </w:pPr>
            <w:r w:rsidRPr="0018446E">
              <w:rPr>
                <w:rFonts w:ascii="Times New Roman" w:eastAsia="Times New Roman" w:hAnsi="Times New Roman"/>
                <w:i/>
                <w:iCs/>
                <w:sz w:val="18"/>
                <w:szCs w:val="18"/>
                <w:lang w:val="en-US"/>
              </w:rPr>
              <w:t xml:space="preserve">  </w:t>
            </w:r>
            <w:r w:rsidRPr="0018446E">
              <w:rPr>
                <w:rFonts w:ascii="Times New Roman" w:eastAsia="Times New Roman" w:hAnsi="Times New Roman"/>
                <w:i/>
                <w:iCs/>
                <w:sz w:val="18"/>
                <w:szCs w:val="18"/>
                <w:lang w:val="ro-MD"/>
              </w:rPr>
              <w:t>Sursa</w:t>
            </w:r>
            <w:r w:rsidRPr="0018446E">
              <w:rPr>
                <w:rFonts w:ascii="Times New Roman" w:eastAsia="Times New Roman" w:hAnsi="Times New Roman"/>
                <w:sz w:val="18"/>
                <w:szCs w:val="18"/>
                <w:lang w:val="ro-MD"/>
              </w:rPr>
              <w:t>: Biroul Național de Statistică, calculele MDED</w:t>
            </w:r>
          </w:p>
        </w:tc>
      </w:tr>
    </w:tbl>
    <w:p w14:paraId="5996AE41" w14:textId="77777777" w:rsidR="0018446E" w:rsidRPr="0018446E" w:rsidRDefault="0018446E" w:rsidP="0018446E">
      <w:pPr>
        <w:shd w:val="clear" w:color="auto" w:fill="FFFFFF"/>
        <w:spacing w:before="120" w:line="288" w:lineRule="auto"/>
        <w:ind w:left="0"/>
        <w:jc w:val="both"/>
        <w:rPr>
          <w:rFonts w:ascii="Times New Roman" w:eastAsia="Times New Roman" w:hAnsi="Times New Roman"/>
          <w:color w:val="202122"/>
          <w:lang w:val="ro-MD"/>
        </w:rPr>
      </w:pPr>
      <w:r w:rsidRPr="0018446E">
        <w:rPr>
          <w:rFonts w:ascii="Times New Roman" w:eastAsia="Times New Roman" w:hAnsi="Times New Roman"/>
          <w:b/>
          <w:color w:val="202122"/>
          <w:lang w:val="ro-MD"/>
        </w:rPr>
        <w:lastRenderedPageBreak/>
        <w:t>În industria prelucrătoare activează peste 80% (84,7 mii) din salariații angajați în industrie și circa 14% din total economie</w:t>
      </w:r>
      <w:r w:rsidRPr="0018446E">
        <w:rPr>
          <w:rFonts w:ascii="Times New Roman" w:eastAsia="Times New Roman" w:hAnsi="Times New Roman"/>
          <w:color w:val="202122"/>
          <w:lang w:val="ro-MD"/>
        </w:rPr>
        <w:t xml:space="preserve">, numărul salariaților majorându-se nesemnificativ pe parcursul anilor 2015-2022 cu circa 9%. Mai mult de jumătate sunt concentrați în 3 ramuri economice: industria alimentară (24%), fabricarea articolelor de îmbrăcăminte (16%), fabricarea autovehiculelor, a remorcilor și semiremorcilor (13%). Se remarcă o majorare accentuată a numărului de salariați în aceste activități în anii 2017-2019, creștere datorată intensificării activităților economice ale investitorilor străini din cadrul Zonelor Economice Libere, unde în perioada vizată au continuat să se dezvolte și să se extindă proiectele investiționale în domeniul industriei constructoare de mașini ale unor companii străine cum sunt: Sumitomo, </w:t>
      </w:r>
      <w:proofErr w:type="spellStart"/>
      <w:r w:rsidRPr="0018446E">
        <w:rPr>
          <w:rFonts w:ascii="Times New Roman" w:eastAsia="Times New Roman" w:hAnsi="Times New Roman"/>
          <w:color w:val="202122"/>
          <w:lang w:val="ro-MD"/>
        </w:rPr>
        <w:t>Draexlmaier</w:t>
      </w:r>
      <w:proofErr w:type="spellEnd"/>
      <w:r w:rsidRPr="0018446E">
        <w:rPr>
          <w:rFonts w:ascii="Times New Roman" w:eastAsia="Times New Roman" w:hAnsi="Times New Roman"/>
          <w:color w:val="202122"/>
          <w:lang w:val="ro-MD"/>
        </w:rPr>
        <w:t xml:space="preserve">, Coroplast. </w:t>
      </w:r>
    </w:p>
    <w:p w14:paraId="04A7C716" w14:textId="77777777" w:rsidR="0018446E" w:rsidRPr="0018446E" w:rsidRDefault="0018446E" w:rsidP="0018446E">
      <w:pPr>
        <w:shd w:val="clear" w:color="auto" w:fill="FFFFFF"/>
        <w:spacing w:before="120" w:line="288" w:lineRule="auto"/>
        <w:ind w:left="0"/>
        <w:jc w:val="both"/>
        <w:rPr>
          <w:rFonts w:ascii="Times New Roman" w:eastAsia="Times New Roman" w:hAnsi="Times New Roman"/>
          <w:color w:val="202122"/>
          <w:lang w:val="ro-MD"/>
        </w:rPr>
      </w:pPr>
      <w:r w:rsidRPr="0018446E">
        <w:rPr>
          <w:rFonts w:ascii="Times New Roman" w:eastAsia="Times New Roman" w:hAnsi="Times New Roman"/>
          <w:color w:val="202122"/>
          <w:lang w:val="ro-MD"/>
        </w:rPr>
        <w:t xml:space="preserve">Urmare a restricțiilor impuse în contextul pandemiei COVID-19, ce au condus la reducerea semnificativă a activității de producție, în special în ramurile exportatoare precum industria ușoară, constructoare de mașini, au avut loc disponibilizări ale salariaților. Astfel, în anul 2020 numărul salariaților din industria prelucrătoare s-a diminuat cu circa 5 mii persoane, tendință ce se menține și în anul 2022 (Figura 2.2). </w:t>
      </w:r>
    </w:p>
    <w:tbl>
      <w:tblPr>
        <w:tblW w:w="9653" w:type="dxa"/>
        <w:tblBorders>
          <w:top w:val="nil"/>
          <w:left w:val="nil"/>
          <w:bottom w:val="nil"/>
          <w:right w:val="nil"/>
          <w:insideH w:val="nil"/>
          <w:insideV w:val="nil"/>
        </w:tblBorders>
        <w:tblLayout w:type="fixed"/>
        <w:tblLook w:val="0400" w:firstRow="0" w:lastRow="0" w:firstColumn="0" w:lastColumn="0" w:noHBand="0" w:noVBand="1"/>
      </w:tblPr>
      <w:tblGrid>
        <w:gridCol w:w="4632"/>
        <w:gridCol w:w="5021"/>
      </w:tblGrid>
      <w:tr w:rsidR="0018446E" w:rsidRPr="0018446E" w14:paraId="343C3DA2" w14:textId="77777777" w:rsidTr="00B0372F">
        <w:trPr>
          <w:trHeight w:val="195"/>
        </w:trPr>
        <w:tc>
          <w:tcPr>
            <w:tcW w:w="4632" w:type="dxa"/>
          </w:tcPr>
          <w:p w14:paraId="338D57CE" w14:textId="77777777" w:rsidR="0018446E" w:rsidRPr="0018446E" w:rsidRDefault="0018446E" w:rsidP="0018446E">
            <w:pPr>
              <w:spacing w:after="0" w:line="240" w:lineRule="auto"/>
              <w:ind w:left="0"/>
              <w:jc w:val="center"/>
              <w:rPr>
                <w:rFonts w:ascii="Times New Roman" w:eastAsia="Times New Roman" w:hAnsi="Times New Roman"/>
                <w:b/>
                <w:color w:val="202122"/>
                <w:sz w:val="20"/>
                <w:szCs w:val="20"/>
                <w:lang w:val="ro-MD"/>
              </w:rPr>
            </w:pPr>
            <w:r w:rsidRPr="0018446E">
              <w:rPr>
                <w:rFonts w:ascii="Times New Roman" w:eastAsia="Times New Roman" w:hAnsi="Times New Roman"/>
                <w:b/>
                <w:color w:val="202122"/>
                <w:sz w:val="20"/>
                <w:szCs w:val="20"/>
                <w:lang w:val="ro-MD"/>
              </w:rPr>
              <w:t>Figura 2.9. Evoluția numărului de salariați în industria prelucrătoare</w:t>
            </w:r>
          </w:p>
        </w:tc>
        <w:tc>
          <w:tcPr>
            <w:tcW w:w="5021" w:type="dxa"/>
          </w:tcPr>
          <w:p w14:paraId="506E583F"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color w:val="202122"/>
                <w:sz w:val="20"/>
                <w:szCs w:val="20"/>
                <w:lang w:val="ro-MD"/>
              </w:rPr>
              <w:t>Figura 2.10. Evoluția salariului mediu lunar în industria prelucrătoare</w:t>
            </w:r>
          </w:p>
        </w:tc>
      </w:tr>
      <w:tr w:rsidR="0018446E" w:rsidRPr="0018446E" w14:paraId="46848B72" w14:textId="77777777" w:rsidTr="00B0372F">
        <w:trPr>
          <w:trHeight w:val="3678"/>
        </w:trPr>
        <w:tc>
          <w:tcPr>
            <w:tcW w:w="4632" w:type="dxa"/>
            <w:vAlign w:val="bottom"/>
          </w:tcPr>
          <w:p w14:paraId="0615340A" w14:textId="77777777" w:rsidR="0018446E" w:rsidRPr="0018446E" w:rsidRDefault="0018446E" w:rsidP="0018446E">
            <w:pPr>
              <w:spacing w:after="0" w:line="240" w:lineRule="auto"/>
              <w:ind w:left="0"/>
              <w:rPr>
                <w:rFonts w:ascii="Times New Roman" w:eastAsia="Times New Roman" w:hAnsi="Times New Roman"/>
                <w:color w:val="595959"/>
                <w:sz w:val="6"/>
                <w:szCs w:val="6"/>
                <w:lang w:val="ro-MD"/>
              </w:rPr>
            </w:pPr>
            <w:r w:rsidRPr="0018446E">
              <w:rPr>
                <w:rFonts w:ascii="Times New Roman" w:eastAsia="Times New Roman" w:hAnsi="Times New Roman"/>
                <w:noProof/>
                <w:sz w:val="6"/>
                <w:szCs w:val="6"/>
                <w:lang w:val="en-US"/>
              </w:rPr>
              <w:drawing>
                <wp:anchor distT="0" distB="0" distL="114300" distR="114300" simplePos="0" relativeHeight="251665408" behindDoc="0" locked="0" layoutInCell="1" hidden="0" allowOverlap="1" wp14:anchorId="3C53D089" wp14:editId="7673E4B8">
                  <wp:simplePos x="0" y="0"/>
                  <wp:positionH relativeFrom="column">
                    <wp:posOffset>19685</wp:posOffset>
                  </wp:positionH>
                  <wp:positionV relativeFrom="paragraph">
                    <wp:posOffset>-2247900</wp:posOffset>
                  </wp:positionV>
                  <wp:extent cx="2861945" cy="2189480"/>
                  <wp:effectExtent l="0" t="0" r="14605" b="1270"/>
                  <wp:wrapSquare wrapText="bothSides" distT="0" distB="0" distL="114300" distR="1143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c>
          <w:tcPr>
            <w:tcW w:w="5021" w:type="dxa"/>
            <w:vAlign w:val="bottom"/>
          </w:tcPr>
          <w:p w14:paraId="767A2258" w14:textId="77777777" w:rsidR="0018446E" w:rsidRPr="0018446E" w:rsidRDefault="0018446E" w:rsidP="0018446E">
            <w:pPr>
              <w:spacing w:after="0" w:line="240" w:lineRule="auto"/>
              <w:ind w:left="0"/>
              <w:rPr>
                <w:rFonts w:ascii="Times New Roman" w:eastAsia="Times New Roman" w:hAnsi="Times New Roman"/>
                <w:sz w:val="6"/>
                <w:szCs w:val="6"/>
                <w:lang w:val="ro-MD"/>
              </w:rPr>
            </w:pPr>
            <w:r w:rsidRPr="0018446E">
              <w:rPr>
                <w:rFonts w:ascii="Times New Roman" w:eastAsia="Times New Roman" w:hAnsi="Times New Roman"/>
                <w:noProof/>
                <w:sz w:val="6"/>
                <w:szCs w:val="6"/>
                <w:lang w:val="en-US"/>
              </w:rPr>
              <w:drawing>
                <wp:anchor distT="0" distB="0" distL="114300" distR="114300" simplePos="0" relativeHeight="251668480" behindDoc="1" locked="0" layoutInCell="1" allowOverlap="1" wp14:anchorId="571A5596" wp14:editId="28524751">
                  <wp:simplePos x="0" y="0"/>
                  <wp:positionH relativeFrom="column">
                    <wp:posOffset>54610</wp:posOffset>
                  </wp:positionH>
                  <wp:positionV relativeFrom="paragraph">
                    <wp:posOffset>-2195195</wp:posOffset>
                  </wp:positionV>
                  <wp:extent cx="3074670" cy="2184400"/>
                  <wp:effectExtent l="0" t="0" r="11430" b="6350"/>
                  <wp:wrapTight wrapText="bothSides">
                    <wp:wrapPolygon edited="0">
                      <wp:start x="134" y="0"/>
                      <wp:lineTo x="0" y="565"/>
                      <wp:lineTo x="0" y="21098"/>
                      <wp:lineTo x="134" y="21474"/>
                      <wp:lineTo x="21413" y="21474"/>
                      <wp:lineTo x="21546" y="21098"/>
                      <wp:lineTo x="21546" y="377"/>
                      <wp:lineTo x="21279" y="0"/>
                      <wp:lineTo x="134"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r>
      <w:tr w:rsidR="0018446E" w:rsidRPr="0018446E" w14:paraId="53688D90" w14:textId="77777777" w:rsidTr="00B0372F">
        <w:trPr>
          <w:trHeight w:val="216"/>
        </w:trPr>
        <w:tc>
          <w:tcPr>
            <w:tcW w:w="9653" w:type="dxa"/>
            <w:gridSpan w:val="2"/>
            <w:vAlign w:val="bottom"/>
          </w:tcPr>
          <w:p w14:paraId="65E66975" w14:textId="77777777" w:rsidR="0018446E" w:rsidRPr="0018446E" w:rsidRDefault="0018446E" w:rsidP="0018446E">
            <w:pPr>
              <w:spacing w:after="0" w:line="240" w:lineRule="auto"/>
              <w:ind w:left="0"/>
              <w:jc w:val="right"/>
              <w:rPr>
                <w:rFonts w:ascii="Times New Roman" w:eastAsia="Times New Roman" w:hAnsi="Times New Roman"/>
                <w:color w:val="202122"/>
                <w:sz w:val="21"/>
                <w:szCs w:val="21"/>
                <w:lang w:val="ro-MD"/>
              </w:rPr>
            </w:pPr>
            <w:r w:rsidRPr="0018446E">
              <w:rPr>
                <w:rFonts w:ascii="Times New Roman" w:eastAsia="Times New Roman" w:hAnsi="Times New Roman"/>
                <w:i/>
                <w:iCs/>
                <w:sz w:val="18"/>
                <w:szCs w:val="18"/>
                <w:lang w:val="ro-MD"/>
              </w:rPr>
              <w:t>Sursa</w:t>
            </w:r>
            <w:r w:rsidRPr="0018446E">
              <w:rPr>
                <w:rFonts w:ascii="Times New Roman" w:eastAsia="Times New Roman" w:hAnsi="Times New Roman"/>
                <w:sz w:val="18"/>
                <w:szCs w:val="18"/>
                <w:lang w:val="ro-MD"/>
              </w:rPr>
              <w:t>: Biroul Național de Statistică, calculele MDED</w:t>
            </w:r>
          </w:p>
        </w:tc>
      </w:tr>
    </w:tbl>
    <w:p w14:paraId="6D0BA1E7" w14:textId="77777777" w:rsidR="0018446E" w:rsidRPr="0018446E" w:rsidRDefault="0018446E" w:rsidP="0018446E">
      <w:pPr>
        <w:spacing w:after="0" w:line="240" w:lineRule="auto"/>
        <w:ind w:left="0"/>
        <w:jc w:val="both"/>
        <w:rPr>
          <w:rFonts w:ascii="Times New Roman" w:eastAsia="Times New Roman" w:hAnsi="Times New Roman"/>
          <w:b/>
          <w:lang w:val="ro-MD"/>
        </w:rPr>
      </w:pPr>
    </w:p>
    <w:p w14:paraId="724F1DE4"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 xml:space="preserve">Remunerarea muncii în industria prelucrătoare este cu 14% inferioară față de media pe economie. </w:t>
      </w:r>
      <w:r w:rsidRPr="0018446E">
        <w:rPr>
          <w:rFonts w:ascii="Times New Roman" w:eastAsia="Times New Roman" w:hAnsi="Times New Roman"/>
          <w:lang w:val="ro-MD"/>
        </w:rPr>
        <w:t>În anul 2022 salariul mediu acordat în industria productivă a fost de circa 8943 lei, comparativ cu 10447 lei în medie pe economie, acesta sporind cu numai 25% în termeni reali pe parcursul anilor 2014-2022. Salarii mai mari decât media pe industria prelucrătoare au fost oferite în activități precum: industria farmaceutică (de circa 1,9 ori decât media pe industria prelucrătoare), fabricarea calculatoarelor, produselor electronice și optice (+32,5%), fabricarea autovehiculelor, remorcilor și semiremorcilor (+28,1%), fabricarea altor produse din minerale nemetalice (+24,4%), fabricarea produselor textile (+12%), fabricarea de mașini, utilaje și echipamente (+11%) etc. Salarii sub media industriei prelucrătoare sunt acordate în sectoarele: prelucrarea lemnului și fabricarea produselor din lemn (74% față de media pe industria prelucrătoare), fabricarea articolelor de voiaj și marochinărie (77%), fabricarea de îmbrăcăminte (82%), fabricarea de mobilă (83%), repararea, întreținerea și instalarea mașinilor și echipamentelor (83%), industria construcțiilor  metalice (91%) etc.</w:t>
      </w:r>
    </w:p>
    <w:p w14:paraId="603AA126"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lang w:val="ro-MD"/>
        </w:rPr>
        <w:lastRenderedPageBreak/>
        <w:t>Fiind cel mai important factor de sporire a volumului producției, reducere a costurilor de producție și de creștere a rentabilității și competitivității produselor,</w:t>
      </w:r>
      <w:r w:rsidRPr="0018446E">
        <w:rPr>
          <w:rFonts w:ascii="Times New Roman" w:eastAsia="Times New Roman" w:hAnsi="Times New Roman"/>
          <w:b/>
          <w:lang w:val="ro-MD"/>
        </w:rPr>
        <w:t xml:space="preserve"> </w:t>
      </w:r>
      <w:r w:rsidRPr="0018446E">
        <w:rPr>
          <w:rFonts w:ascii="Times New Roman" w:eastAsia="Times New Roman" w:hAnsi="Times New Roman"/>
          <w:bCs/>
          <w:lang w:val="ro-MD"/>
        </w:rPr>
        <w:t>productivitatea muncii a fost în creștere constantă dar lentă pe parcursul anilor 2014-2022</w:t>
      </w:r>
      <w:r w:rsidRPr="0018446E">
        <w:rPr>
          <w:rFonts w:ascii="Times New Roman" w:eastAsia="Times New Roman" w:hAnsi="Times New Roman"/>
          <w:lang w:val="ro-MD"/>
        </w:rPr>
        <w:t xml:space="preserve"> - de la 455 mii lei/salariat</w:t>
      </w:r>
      <w:r w:rsidRPr="0018446E">
        <w:rPr>
          <w:rFonts w:ascii="Times New Roman" w:eastAsia="Times New Roman" w:hAnsi="Times New Roman"/>
          <w:vertAlign w:val="superscript"/>
          <w:lang w:val="ro-MD"/>
        </w:rPr>
        <w:footnoteReference w:id="2"/>
      </w:r>
      <w:r w:rsidRPr="0018446E">
        <w:rPr>
          <w:rFonts w:ascii="Times New Roman" w:eastAsia="Times New Roman" w:hAnsi="Times New Roman"/>
          <w:lang w:val="ro-MD"/>
        </w:rPr>
        <w:t xml:space="preserve"> în anul 2014 până la 661 mii lei în anul 2022. Potrivit datelor pentru anul 2022, cea mai înaltă productivitate se atestă în sectoarele de producere a echipamentelor electrice, produselor din minerale nemetalice și în industria metalurgică, în timp ce în sectoare precum industria ușoară, fabricarea mobilei, prelucrarea lemnului și fabricarea produselor din lemn etc. productivitatea este cea mai redusă.</w:t>
      </w:r>
    </w:p>
    <w:p w14:paraId="4445093E"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 xml:space="preserve">Industria alimentară reprezintă cea mai importantă ramură a industriei prelucrătoare, </w:t>
      </w:r>
      <w:r w:rsidRPr="0018446E">
        <w:rPr>
          <w:rFonts w:ascii="Times New Roman" w:eastAsia="Times New Roman" w:hAnsi="Times New Roman"/>
          <w:lang w:val="ro-MD"/>
        </w:rPr>
        <w:t>deținând 36% în valoarea producției totale și contribuind cu 28% la valoarea adăugată brută creată în industria prelucrătoare. În perioada 2011-2022 industria alimentară a sporit cu o rată medie de circa 4,7%, factorul de bază care a influențat evoluția acesteia fiind situația în sectorul agricol, determinată aproape în totalitate de condițiile climatice. Doar 24% din producția industriei alimentare este livrată pe piața externă, principalul impediment fiind competitivitatea scăzută a produselor moldovenești cauzată de utilaje de producție și standarde de calitate depășite.</w:t>
      </w:r>
    </w:p>
    <w:p w14:paraId="27807295"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Aproape un sfert din producția industriei alimentară este generată de </w:t>
      </w:r>
      <w:r w:rsidRPr="0018446E">
        <w:rPr>
          <w:rFonts w:ascii="Times New Roman" w:eastAsia="Times New Roman" w:hAnsi="Times New Roman"/>
          <w:i/>
          <w:lang w:val="ro-MD"/>
        </w:rPr>
        <w:t>industria cărnii</w:t>
      </w:r>
      <w:r w:rsidRPr="0018446E">
        <w:rPr>
          <w:rFonts w:ascii="Times New Roman" w:eastAsia="Times New Roman" w:hAnsi="Times New Roman"/>
          <w:lang w:val="ro-MD"/>
        </w:rPr>
        <w:t xml:space="preserve">, care a cumulat o creștere de circa 1,9 ori în perioada 2011-2022. În general, industria cărnii este puternic influențată de situația pe piața locală, determinată de subdezvoltarea sectorului zootehnic, iar concentrarea sporită a sectorului în gospodăriile individuale ale populației, productivitatea scăzută și subdezvoltarea activităților de </w:t>
      </w:r>
      <w:proofErr w:type="spellStart"/>
      <w:r w:rsidRPr="0018446E">
        <w:rPr>
          <w:rFonts w:ascii="Times New Roman" w:eastAsia="Times New Roman" w:hAnsi="Times New Roman"/>
          <w:lang w:val="ro-MD"/>
        </w:rPr>
        <w:t>antreprenoriat</w:t>
      </w:r>
      <w:proofErr w:type="spellEnd"/>
      <w:r w:rsidRPr="0018446E">
        <w:rPr>
          <w:rFonts w:ascii="Times New Roman" w:eastAsia="Times New Roman" w:hAnsi="Times New Roman"/>
          <w:lang w:val="ro-MD"/>
        </w:rPr>
        <w:t xml:space="preserve"> reprezintă principalele impedimente în dezvoltarea sectorului. Deținând o pondere de 15% în valoarea producției industriei alimentară, subramura de </w:t>
      </w:r>
      <w:r w:rsidRPr="0018446E">
        <w:rPr>
          <w:rFonts w:ascii="Times New Roman" w:eastAsia="Times New Roman" w:hAnsi="Times New Roman"/>
          <w:i/>
          <w:lang w:val="ro-MD"/>
        </w:rPr>
        <w:t>prelucrare și conservare a fructelor și  legumelor</w:t>
      </w:r>
      <w:r w:rsidRPr="0018446E">
        <w:rPr>
          <w:rFonts w:ascii="Times New Roman" w:eastAsia="Times New Roman" w:hAnsi="Times New Roman"/>
          <w:lang w:val="ro-MD"/>
        </w:rPr>
        <w:t xml:space="preserve"> a crescut de 2,4 ori în perioada menționată. A înregistrat o creștere cu 31% subramura de </w:t>
      </w:r>
      <w:r w:rsidRPr="0018446E">
        <w:rPr>
          <w:rFonts w:ascii="Times New Roman" w:eastAsia="Times New Roman" w:hAnsi="Times New Roman"/>
          <w:i/>
          <w:lang w:val="ro-MD"/>
        </w:rPr>
        <w:t>fabricare a produselor de brutărie și făinoase</w:t>
      </w:r>
      <w:r w:rsidRPr="0018446E">
        <w:rPr>
          <w:rFonts w:ascii="Times New Roman" w:eastAsia="Times New Roman" w:hAnsi="Times New Roman"/>
          <w:lang w:val="ro-MD"/>
        </w:rPr>
        <w:t xml:space="preserve">, căreia îi revin 14,9%. Producția de </w:t>
      </w:r>
      <w:r w:rsidRPr="0018446E">
        <w:rPr>
          <w:rFonts w:ascii="Times New Roman" w:eastAsia="Times New Roman" w:hAnsi="Times New Roman"/>
          <w:i/>
          <w:lang w:val="ro-MD"/>
        </w:rPr>
        <w:t>uleiuri vegetale</w:t>
      </w:r>
      <w:r w:rsidRPr="0018446E">
        <w:rPr>
          <w:rFonts w:ascii="Times New Roman" w:eastAsia="Times New Roman" w:hAnsi="Times New Roman"/>
          <w:lang w:val="ro-MD"/>
        </w:rPr>
        <w:t xml:space="preserve"> a crescut cu 39% în anii 2011-2022, creștere ce a fost influențată în mare parte de anul 2022, atunci când această subramură a industriei a înregistrat o creștere de 3 ori, determinată pe de o parte de majorarea capacităților de producție ca rezultat al investițiilor realizate în sector, iar pe de altă parte de valorificarea oportunităților privind importul de materie primă din Ucraina la un preț mai redus decât pe piața locală.</w:t>
      </w:r>
    </w:p>
    <w:p w14:paraId="05B8768E"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i/>
          <w:lang w:val="ro-MD"/>
        </w:rPr>
        <w:t xml:space="preserve">Industria produselor lactate </w:t>
      </w:r>
      <w:r w:rsidRPr="0018446E">
        <w:rPr>
          <w:rFonts w:ascii="Times New Roman" w:eastAsia="Times New Roman" w:hAnsi="Times New Roman"/>
          <w:lang w:val="ro-MD"/>
        </w:rPr>
        <w:t xml:space="preserve">(13% din total) și a </w:t>
      </w:r>
      <w:r w:rsidRPr="0018446E">
        <w:rPr>
          <w:rFonts w:ascii="Times New Roman" w:eastAsia="Times New Roman" w:hAnsi="Times New Roman"/>
          <w:i/>
          <w:lang w:val="ro-MD"/>
        </w:rPr>
        <w:t>zahărului</w:t>
      </w:r>
      <w:r w:rsidRPr="0018446E">
        <w:rPr>
          <w:rFonts w:ascii="Times New Roman" w:eastAsia="Times New Roman" w:hAnsi="Times New Roman"/>
          <w:lang w:val="ro-MD"/>
        </w:rPr>
        <w:t xml:space="preserve"> (7%) sunt subramurile industriei alimentare care au regresat în ultimul deceniu. La fel ca în cazul industriei cărnii, materia primă autohtonă insuficientă legată de situația nefavorabilă din sectorul zootehnic, care reduce oferta de pe piața internă, este principalul factor care a contribuit la stagnarea industriei lactatelor: efectivul de vaci și producția de lapte scade constant de la an la an (Figura 2.4), fapt ce determină producătorii industriali să-și acopere necesarul de materie primă din import. Situație similară se atestă și în industria zahărului: suprafețele însămânțate și producția de sfeclă de zahăr se mențin în descreștere continuă (Figura 2.5).</w:t>
      </w:r>
    </w:p>
    <w:p w14:paraId="10A8D073" w14:textId="77777777" w:rsidR="0018446E" w:rsidRPr="0018446E" w:rsidRDefault="0018446E" w:rsidP="0018446E">
      <w:pPr>
        <w:spacing w:before="120" w:line="288" w:lineRule="auto"/>
        <w:ind w:left="0"/>
        <w:rPr>
          <w:rFonts w:ascii="Times New Roman" w:eastAsia="Times New Roman" w:hAnsi="Times New Roman"/>
          <w:lang w:val="ro-MD"/>
        </w:rPr>
      </w:pPr>
    </w:p>
    <w:tbl>
      <w:tblPr>
        <w:tblW w:w="9736" w:type="dxa"/>
        <w:tblBorders>
          <w:top w:val="nil"/>
          <w:left w:val="nil"/>
          <w:bottom w:val="nil"/>
          <w:right w:val="nil"/>
          <w:insideH w:val="nil"/>
          <w:insideV w:val="nil"/>
        </w:tblBorders>
        <w:tblLayout w:type="fixed"/>
        <w:tblLook w:val="0400" w:firstRow="0" w:lastRow="0" w:firstColumn="0" w:lastColumn="0" w:noHBand="0" w:noVBand="1"/>
      </w:tblPr>
      <w:tblGrid>
        <w:gridCol w:w="4599"/>
        <w:gridCol w:w="5137"/>
      </w:tblGrid>
      <w:tr w:rsidR="0018446E" w:rsidRPr="0018446E" w14:paraId="59423553" w14:textId="77777777" w:rsidTr="00B0372F">
        <w:trPr>
          <w:trHeight w:val="4255"/>
        </w:trPr>
        <w:tc>
          <w:tcPr>
            <w:tcW w:w="4599" w:type="dxa"/>
          </w:tcPr>
          <w:p w14:paraId="37517B5C"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noProof/>
                <w:lang w:val="en-US"/>
              </w:rPr>
              <w:lastRenderedPageBreak/>
              <w:drawing>
                <wp:anchor distT="0" distB="0" distL="114300" distR="114300" simplePos="0" relativeHeight="251666432" behindDoc="0" locked="0" layoutInCell="1" hidden="0" allowOverlap="1" wp14:anchorId="7786B082" wp14:editId="052E7360">
                  <wp:simplePos x="0" y="0"/>
                  <wp:positionH relativeFrom="column">
                    <wp:posOffset>-68580</wp:posOffset>
                  </wp:positionH>
                  <wp:positionV relativeFrom="paragraph">
                    <wp:posOffset>421005</wp:posOffset>
                  </wp:positionV>
                  <wp:extent cx="2979420" cy="1973580"/>
                  <wp:effectExtent l="0" t="0" r="11430" b="7620"/>
                  <wp:wrapSquare wrapText="bothSides" distT="0" distB="0" distL="114300" distR="1143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18446E">
              <w:rPr>
                <w:rFonts w:ascii="Times New Roman" w:eastAsia="Times New Roman" w:hAnsi="Times New Roman"/>
                <w:b/>
                <w:sz w:val="20"/>
                <w:szCs w:val="20"/>
                <w:lang w:val="ro-MD"/>
              </w:rPr>
              <w:t>Figura 2.11. Evoluția efectivului de vaci și a producției de lapte în anii 2011-2022</w:t>
            </w:r>
          </w:p>
          <w:p w14:paraId="4BF63902"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p>
        </w:tc>
        <w:tc>
          <w:tcPr>
            <w:tcW w:w="5137" w:type="dxa"/>
          </w:tcPr>
          <w:p w14:paraId="3FF5F198"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noProof/>
                <w:lang w:val="en-US"/>
              </w:rPr>
              <w:drawing>
                <wp:anchor distT="0" distB="0" distL="114300" distR="114300" simplePos="0" relativeHeight="251667456" behindDoc="0" locked="0" layoutInCell="1" hidden="0" allowOverlap="1" wp14:anchorId="620CDEFF" wp14:editId="22D3D486">
                  <wp:simplePos x="0" y="0"/>
                  <wp:positionH relativeFrom="column">
                    <wp:posOffset>233045</wp:posOffset>
                  </wp:positionH>
                  <wp:positionV relativeFrom="paragraph">
                    <wp:posOffset>398145</wp:posOffset>
                  </wp:positionV>
                  <wp:extent cx="2903220" cy="1981200"/>
                  <wp:effectExtent l="0" t="0" r="11430" b="0"/>
                  <wp:wrapSquare wrapText="bothSides" distT="0" distB="0" distL="114300" distR="1143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18446E">
              <w:rPr>
                <w:rFonts w:ascii="Times New Roman" w:eastAsia="Times New Roman" w:hAnsi="Times New Roman"/>
                <w:b/>
                <w:sz w:val="20"/>
                <w:szCs w:val="20"/>
                <w:lang w:val="ro-MD"/>
              </w:rPr>
              <w:t>Figura 2.12. Evoluția suprafețelor însămânțate și a producției de sfeclă de zahăr în anii 2011-2022</w:t>
            </w:r>
          </w:p>
        </w:tc>
      </w:tr>
      <w:tr w:rsidR="0018446E" w:rsidRPr="0018446E" w14:paraId="32BB3D90" w14:textId="77777777" w:rsidTr="00B0372F">
        <w:trPr>
          <w:trHeight w:val="279"/>
        </w:trPr>
        <w:tc>
          <w:tcPr>
            <w:tcW w:w="4599" w:type="dxa"/>
          </w:tcPr>
          <w:p w14:paraId="5C049A93" w14:textId="77777777" w:rsidR="0018446E" w:rsidRPr="0018446E" w:rsidRDefault="0018446E" w:rsidP="0018446E">
            <w:pPr>
              <w:spacing w:after="0" w:line="240" w:lineRule="auto"/>
              <w:ind w:left="0"/>
              <w:rPr>
                <w:rFonts w:ascii="Times New Roman" w:eastAsia="Times New Roman" w:hAnsi="Times New Roman"/>
                <w:lang w:val="ro-MD"/>
              </w:rPr>
            </w:pPr>
          </w:p>
        </w:tc>
        <w:tc>
          <w:tcPr>
            <w:tcW w:w="5137" w:type="dxa"/>
          </w:tcPr>
          <w:p w14:paraId="37AAE90C" w14:textId="77777777" w:rsidR="0018446E" w:rsidRPr="0018446E" w:rsidRDefault="0018446E" w:rsidP="0018446E">
            <w:pPr>
              <w:spacing w:after="0" w:line="240" w:lineRule="auto"/>
              <w:ind w:left="0"/>
              <w:jc w:val="right"/>
              <w:rPr>
                <w:rFonts w:ascii="Times New Roman" w:eastAsia="Times New Roman" w:hAnsi="Times New Roman"/>
                <w:sz w:val="18"/>
                <w:szCs w:val="18"/>
                <w:lang w:val="ro-MD"/>
              </w:rPr>
            </w:pPr>
            <w:r w:rsidRPr="0018446E">
              <w:rPr>
                <w:rFonts w:ascii="Times New Roman" w:eastAsia="Times New Roman" w:hAnsi="Times New Roman"/>
                <w:sz w:val="18"/>
                <w:szCs w:val="18"/>
                <w:lang w:val="ro-MD"/>
              </w:rPr>
              <w:t>Sursă: Biroul Național de Statistică</w:t>
            </w:r>
          </w:p>
        </w:tc>
      </w:tr>
    </w:tbl>
    <w:p w14:paraId="54358CBC"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Industria ușoară deține 11,5% în valoarea producției industriei manufacturiere, 80% din producție fiind orientată spre export.</w:t>
      </w:r>
      <w:r w:rsidRPr="0018446E">
        <w:rPr>
          <w:rFonts w:ascii="Times New Roman" w:eastAsia="Times New Roman" w:hAnsi="Times New Roman"/>
          <w:lang w:val="ro-MD"/>
        </w:rPr>
        <w:t xml:space="preserve"> Industria ușoară este reprezentată de trei subramuri majore: fabricarea produselor textile (47%), fabricarea articolelor de îmbrăcăminte (46%) și producția de încălțăminte articole de voiaj și marochinărie (8%), toate sectoarele fiind în creștere în perioada analizată. Sectorul industriei ușoare are peste 20 mii de </w:t>
      </w:r>
      <w:sdt>
        <w:sdtPr>
          <w:rPr>
            <w:rFonts w:ascii="Times New Roman" w:eastAsia="Times New Roman" w:hAnsi="Times New Roman"/>
            <w:lang w:val="ro-MD"/>
          </w:rPr>
          <w:tag w:val="goog_rdk_39"/>
          <w:id w:val="-1423168485"/>
        </w:sdtPr>
        <w:sdtContent>
          <w:r w:rsidRPr="0018446E">
            <w:rPr>
              <w:rFonts w:ascii="Times New Roman" w:eastAsia="Times New Roman" w:hAnsi="Times New Roman"/>
              <w:lang w:val="ro-MD"/>
            </w:rPr>
            <w:t>angajați</w:t>
          </w:r>
        </w:sdtContent>
      </w:sdt>
      <w:r w:rsidRPr="0018446E">
        <w:rPr>
          <w:rFonts w:ascii="Times New Roman" w:eastAsia="Times New Roman" w:hAnsi="Times New Roman"/>
          <w:lang w:val="ro-MD"/>
        </w:rPr>
        <w:t xml:space="preserve"> salariați, ceea ce reprezintă 3,3% din întreaga economie și 24,3% din industria prelucrătoare. Salariile achitate în industria ușoară nu sunt competitive (7850 lei în medie în anul 2022), fiind cu 25% inferioare salariului mediu pe economie și cu 12% comparativ cu salariul acordat în industria prelucrătoare.  </w:t>
      </w:r>
    </w:p>
    <w:p w14:paraId="2564F6D1"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lang w:val="ro-MD"/>
        </w:rPr>
        <w:t>Majoritatea producătorilor din industria ușoară activează în regim de perfecționare activă (lohn), care combină importul de materii prime și exportul de produse finite și forță de muncă, asigurând utilizarea capacităților de producție și creșterea ocupării forței de muncă. Deși acest sistem permite crearea locurilor de muncă, generează impedimente în dezvoltarea companiilor locale, fiindcă valoarea adăugată obținută este redusă. O asemenea activitate economică nu creează un avantaj durabil economiei, deoarece nu este însoțită de un transfer tehnologic. Dimpotrivă, locurile de muncă create prin afaceri în regim de lohn sunt deosebit de precare, deoarece pot fi transferate oricând rapid și simplu în altă țară. Totuși, în  pofida acestor dezavantaje, existența sistemului de lohn în Moldova a făcut posibilă supraviețuirea unor companii sau chiar industrii, care altfel ar fi fost în insolvență.</w:t>
      </w:r>
    </w:p>
    <w:p w14:paraId="2D5D86B2"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78051B2D"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76F0763F"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01F5341E"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36DD25A9"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5CFA982A"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14AC76F3"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375C0D23"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6170CEC8" w14:textId="77777777" w:rsidR="0018446E" w:rsidRPr="0018446E" w:rsidRDefault="0018446E" w:rsidP="0018446E">
      <w:pPr>
        <w:spacing w:before="120" w:line="288" w:lineRule="auto"/>
        <w:ind w:left="0"/>
        <w:jc w:val="both"/>
        <w:rPr>
          <w:rFonts w:ascii="Times New Roman" w:eastAsia="Times New Roman" w:hAnsi="Times New Roman"/>
          <w:lang w:val="ro-MD"/>
        </w:rPr>
      </w:pPr>
    </w:p>
    <w:tbl>
      <w:tblPr>
        <w:tblW w:w="9694" w:type="dxa"/>
        <w:tblBorders>
          <w:top w:val="nil"/>
          <w:left w:val="nil"/>
          <w:bottom w:val="nil"/>
          <w:right w:val="nil"/>
          <w:insideH w:val="nil"/>
          <w:insideV w:val="nil"/>
        </w:tblBorders>
        <w:tblLayout w:type="fixed"/>
        <w:tblLook w:val="0400" w:firstRow="0" w:lastRow="0" w:firstColumn="0" w:lastColumn="0" w:noHBand="0" w:noVBand="1"/>
      </w:tblPr>
      <w:tblGrid>
        <w:gridCol w:w="4759"/>
        <w:gridCol w:w="4935"/>
      </w:tblGrid>
      <w:tr w:rsidR="0018446E" w:rsidRPr="0018446E" w14:paraId="471AABDF" w14:textId="77777777" w:rsidTr="00B0372F">
        <w:trPr>
          <w:trHeight w:val="461"/>
        </w:trPr>
        <w:tc>
          <w:tcPr>
            <w:tcW w:w="4759" w:type="dxa"/>
          </w:tcPr>
          <w:p w14:paraId="3FB9AB0B"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2.13. Evoluția indicilor producției în ramurile industriei ușoare, % față de anul  precedent</w:t>
            </w:r>
          </w:p>
        </w:tc>
        <w:tc>
          <w:tcPr>
            <w:tcW w:w="4935" w:type="dxa"/>
          </w:tcPr>
          <w:p w14:paraId="50E39D69"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sdt>
              <w:sdtPr>
                <w:rPr>
                  <w:rFonts w:ascii="Times New Roman" w:eastAsia="Times New Roman" w:hAnsi="Times New Roman"/>
                  <w:lang w:val="ro-MD"/>
                </w:rPr>
                <w:tag w:val="goog_rdk_40"/>
                <w:id w:val="1742827532"/>
              </w:sdtPr>
              <w:sdtContent>
                <w:r w:rsidRPr="0018446E">
                  <w:rPr>
                    <w:rFonts w:ascii="Times New Roman" w:eastAsia="Times New Roman" w:hAnsi="Times New Roman"/>
                    <w:b/>
                    <w:sz w:val="20"/>
                    <w:szCs w:val="20"/>
                    <w:lang w:val="ro-MD"/>
                  </w:rPr>
                  <w:t>Figura 2.14.</w:t>
                </w:r>
              </w:sdtContent>
            </w:sdt>
            <w:r w:rsidRPr="0018446E">
              <w:rPr>
                <w:rFonts w:ascii="Times New Roman" w:eastAsia="Times New Roman" w:hAnsi="Times New Roman"/>
                <w:b/>
                <w:sz w:val="20"/>
                <w:szCs w:val="20"/>
                <w:lang w:val="ro-MD"/>
              </w:rPr>
              <w:t xml:space="preserve"> Evoluția indicatorilor remunerării muncii și angajării în industria ușoară în anii 2013-2022</w:t>
            </w:r>
          </w:p>
        </w:tc>
      </w:tr>
      <w:tr w:rsidR="0018446E" w:rsidRPr="0018446E" w14:paraId="16E11967" w14:textId="77777777" w:rsidTr="00B0372F">
        <w:trPr>
          <w:trHeight w:val="3643"/>
        </w:trPr>
        <w:tc>
          <w:tcPr>
            <w:tcW w:w="4759" w:type="dxa"/>
            <w:vAlign w:val="bottom"/>
          </w:tcPr>
          <w:p w14:paraId="654064F9" w14:textId="77777777" w:rsidR="0018446E" w:rsidRPr="0018446E" w:rsidRDefault="0018446E" w:rsidP="0018446E">
            <w:pPr>
              <w:spacing w:after="0" w:line="240" w:lineRule="auto"/>
              <w:ind w:left="0"/>
              <w:rPr>
                <w:rFonts w:ascii="Times New Roman" w:eastAsia="Times New Roman" w:hAnsi="Times New Roman"/>
                <w:sz w:val="18"/>
                <w:szCs w:val="18"/>
                <w:lang w:val="ro-MD"/>
              </w:rPr>
            </w:pPr>
            <w:r w:rsidRPr="0018446E">
              <w:rPr>
                <w:rFonts w:ascii="Times New Roman" w:eastAsia="Times New Roman" w:hAnsi="Times New Roman"/>
                <w:noProof/>
                <w:sz w:val="18"/>
                <w:szCs w:val="18"/>
                <w:lang w:val="en-US"/>
              </w:rPr>
              <w:drawing>
                <wp:anchor distT="0" distB="0" distL="114300" distR="114300" simplePos="0" relativeHeight="251669504" behindDoc="0" locked="0" layoutInCell="1" hidden="0" allowOverlap="1" wp14:anchorId="338CE422" wp14:editId="3F18C2D2">
                  <wp:simplePos x="0" y="0"/>
                  <wp:positionH relativeFrom="column">
                    <wp:posOffset>-8890</wp:posOffset>
                  </wp:positionH>
                  <wp:positionV relativeFrom="paragraph">
                    <wp:posOffset>-2115820</wp:posOffset>
                  </wp:positionV>
                  <wp:extent cx="2949575" cy="2042160"/>
                  <wp:effectExtent l="0" t="0" r="3175" b="15240"/>
                  <wp:wrapSquare wrapText="bothSides" distT="0" distB="0" distL="114300" distR="1143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4935" w:type="dxa"/>
            <w:vAlign w:val="bottom"/>
          </w:tcPr>
          <w:p w14:paraId="726E91ED" w14:textId="77777777" w:rsidR="0018446E" w:rsidRPr="0018446E" w:rsidRDefault="0018446E" w:rsidP="0018446E">
            <w:pPr>
              <w:spacing w:after="0" w:line="240" w:lineRule="auto"/>
              <w:ind w:left="0"/>
              <w:rPr>
                <w:rFonts w:ascii="Times New Roman" w:eastAsia="Times New Roman" w:hAnsi="Times New Roman"/>
                <w:sz w:val="18"/>
                <w:szCs w:val="18"/>
                <w:lang w:val="ro-MD"/>
              </w:rPr>
            </w:pPr>
            <w:r w:rsidRPr="0018446E">
              <w:rPr>
                <w:rFonts w:ascii="Times New Roman" w:eastAsia="Times New Roman" w:hAnsi="Times New Roman"/>
                <w:noProof/>
                <w:sz w:val="18"/>
                <w:szCs w:val="18"/>
                <w:lang w:val="en-US"/>
              </w:rPr>
              <w:drawing>
                <wp:inline distT="0" distB="0" distL="0" distR="0" wp14:anchorId="33F6BD4B" wp14:editId="1BC8B945">
                  <wp:extent cx="3101340" cy="2194560"/>
                  <wp:effectExtent l="0" t="0" r="381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18446E" w:rsidRPr="0018446E" w14:paraId="5976696C" w14:textId="77777777" w:rsidTr="00B0372F">
        <w:trPr>
          <w:trHeight w:val="278"/>
        </w:trPr>
        <w:tc>
          <w:tcPr>
            <w:tcW w:w="4759" w:type="dxa"/>
          </w:tcPr>
          <w:p w14:paraId="549831E6" w14:textId="77777777" w:rsidR="0018446E" w:rsidRPr="0018446E" w:rsidRDefault="0018446E" w:rsidP="0018446E">
            <w:pPr>
              <w:spacing w:after="0" w:line="240" w:lineRule="auto"/>
              <w:ind w:left="0"/>
              <w:rPr>
                <w:rFonts w:ascii="Times New Roman" w:eastAsia="Times New Roman" w:hAnsi="Times New Roman"/>
                <w:lang w:val="ro-MD"/>
              </w:rPr>
            </w:pPr>
          </w:p>
        </w:tc>
        <w:tc>
          <w:tcPr>
            <w:tcW w:w="4935" w:type="dxa"/>
          </w:tcPr>
          <w:p w14:paraId="6DBF2835" w14:textId="77777777" w:rsidR="0018446E" w:rsidRPr="0018446E" w:rsidRDefault="0018446E" w:rsidP="0018446E">
            <w:pPr>
              <w:spacing w:after="0" w:line="240" w:lineRule="auto"/>
              <w:ind w:left="0"/>
              <w:jc w:val="right"/>
              <w:rPr>
                <w:rFonts w:ascii="Times New Roman" w:eastAsia="Times New Roman" w:hAnsi="Times New Roman"/>
                <w:lang w:val="ro-MD"/>
              </w:rPr>
            </w:pPr>
            <w:r w:rsidRPr="0018446E">
              <w:rPr>
                <w:rFonts w:ascii="Times New Roman" w:eastAsia="Times New Roman" w:hAnsi="Times New Roman"/>
                <w:i/>
                <w:iCs/>
                <w:sz w:val="18"/>
                <w:szCs w:val="18"/>
                <w:lang w:val="ro-MD"/>
              </w:rPr>
              <w:t>Sursa</w:t>
            </w:r>
            <w:r w:rsidRPr="0018446E">
              <w:rPr>
                <w:rFonts w:ascii="Times New Roman" w:eastAsia="Times New Roman" w:hAnsi="Times New Roman"/>
                <w:sz w:val="18"/>
                <w:szCs w:val="18"/>
                <w:lang w:val="ro-MD"/>
              </w:rPr>
              <w:t>: Biroul Național de Statistică, calculele MDED</w:t>
            </w:r>
          </w:p>
        </w:tc>
      </w:tr>
    </w:tbl>
    <w:p w14:paraId="2EB72AEE"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43F6A602" w14:textId="77777777" w:rsidR="0018446E" w:rsidRPr="0018446E" w:rsidRDefault="0018446E" w:rsidP="0018446E">
      <w:pPr>
        <w:tabs>
          <w:tab w:val="left" w:pos="3919"/>
        </w:tabs>
        <w:spacing w:after="0" w:line="276" w:lineRule="auto"/>
        <w:ind w:left="0"/>
        <w:jc w:val="both"/>
        <w:rPr>
          <w:rFonts w:ascii="Times New Roman" w:eastAsia="Times New Roman" w:hAnsi="Times New Roman"/>
          <w:lang w:val="ro-MD"/>
        </w:rPr>
      </w:pPr>
      <w:r w:rsidRPr="0018446E">
        <w:rPr>
          <w:rFonts w:ascii="Times New Roman" w:eastAsia="Times New Roman" w:hAnsi="Times New Roman"/>
          <w:b/>
          <w:lang w:val="ro-MD"/>
        </w:rPr>
        <w:t>Produsele din minerale nemetalice reprezintă circa 10% din industria prelucrătoare,</w:t>
      </w:r>
      <w:r w:rsidRPr="0018446E">
        <w:rPr>
          <w:rFonts w:ascii="Times New Roman" w:eastAsia="Times New Roman" w:hAnsi="Times New Roman"/>
          <w:lang w:val="ro-MD"/>
        </w:rPr>
        <w:t xml:space="preserve"> printre care se regăsesc preponderent: sticlă și articole din sticlă, ciment, var și ipsos și articole din acestea. Circa 80% din materialele de construcții autohtone sunt destinate pieței interne, unele subramuri producând aproape integral pentru uz intern: fabricarea articolelor din beton, ciment și ipsos și tăierea, fasonarea și finisarea pietrei. Doar producerea sticlei și a articolelor  din sticlă este orientată preponderent (peste 60%) pe piața externă. În perioada 2011-2022 această ramură a industriei prelucrătoare a cumulat o creștere modestă – de 45%, variind destul de mult de la an la an. În aceste sectoare activează 7,1% din întreprinderile industriei prelucrătoare, constituite în proporție de 98% din întreprinderi  mici și mijlocii, în care sunt angajați 5% din salariați, iar salariul mediu este cu 24% mai mare decât salariul mediu în industria prelucrătoare. Dezvoltarea industriei materialelor de construcții este o prioritate actuală pentru Republica Moldova, întrucât ar preceda punerea în aplicare a planului de reconstrucție a Ucrainei, în special a etapei a doua de implementare a planului – ”Reconstrucția rapidă a Ucrainei”, care va fi lansată de îndată ce se va încheia războiul. </w:t>
      </w:r>
    </w:p>
    <w:p w14:paraId="684B6162" w14:textId="77777777" w:rsidR="0018446E" w:rsidRPr="0018446E" w:rsidRDefault="0018446E" w:rsidP="0018446E">
      <w:pPr>
        <w:tabs>
          <w:tab w:val="left" w:pos="3919"/>
        </w:tabs>
        <w:spacing w:after="0" w:line="276" w:lineRule="auto"/>
        <w:ind w:left="0"/>
        <w:jc w:val="both"/>
        <w:rPr>
          <w:rFonts w:ascii="Times New Roman" w:eastAsia="Times New Roman" w:hAnsi="Times New Roman"/>
          <w:lang w:val="ro-MD"/>
        </w:rPr>
      </w:pPr>
    </w:p>
    <w:p w14:paraId="2EE3D175"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Produse din cauciuc și mase plastice reprezintă 4,6% din valoarea producției manufacturiere,</w:t>
      </w:r>
      <w:r w:rsidRPr="0018446E">
        <w:rPr>
          <w:rFonts w:ascii="Times New Roman" w:eastAsia="Times New Roman" w:hAnsi="Times New Roman"/>
          <w:lang w:val="ro-MD"/>
        </w:rPr>
        <w:t xml:space="preserve"> acest sector înregistrând o creștere cumulativă de circa 1,6 ori în perioada analizată. Similar sectorului de producere a materialelor de construcții, în acest sector activează 7,5% din întreprinderile industriei prelucrătoare, constituite în proporție de 98% din întreprinderi  mici și mijlocii, în care sunt angajați 4% din salariați, iar salariul mediu este cu 9% mai redus decât salariul mediu în industria prelucrătoare.</w:t>
      </w:r>
    </w:p>
    <w:p w14:paraId="74E73BB5"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Fabricarea mobilei este ramura care și-a sporit producția semnificativ în perioada 2014-2022 - de circa 2 ori,</w:t>
      </w:r>
      <w:r w:rsidRPr="0018446E">
        <w:rPr>
          <w:rFonts w:ascii="Times New Roman" w:eastAsia="Times New Roman" w:hAnsi="Times New Roman"/>
          <w:lang w:val="ro-MD"/>
        </w:rPr>
        <w:t xml:space="preserve"> fiind dependentă în mare măsură de situația economică pe piața internă. Cea mai mare creștere a producției de mobilă (+1,7 ori) a fost înregistrată în anul 2021 și este explicată de creșterea economică record, relansarea consumului privat după pandemie și conjunctura externă favorabilă, iar în anul 2022, în contextul crizelor  multiple, care au provocat întreruperea/stoparea lanțurilor logistice, majorarea prețurilor materiilor prime, diminuarea cererii, această ramură a descrescut cu 30%. Din numărul total de întreprinderi ce activează în industria prelucrătoare, circa 11% se regăsesc </w:t>
      </w:r>
      <w:r w:rsidRPr="0018446E">
        <w:rPr>
          <w:rFonts w:ascii="Times New Roman" w:eastAsia="Times New Roman" w:hAnsi="Times New Roman"/>
          <w:lang w:val="ro-MD"/>
        </w:rPr>
        <w:lastRenderedPageBreak/>
        <w:t>în ramura de producere a mobilei, în care sunt angajați 5% din salariați, ce câștigă un salariu mediu de 7380 lei (cu 18% inferioare salariului mediu acordat în industria prelucrătoare).</w:t>
      </w:r>
    </w:p>
    <w:p w14:paraId="65EA9686"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lang w:val="ro-MD"/>
        </w:rPr>
        <w:t>Devenită între timp una din cele mai importante ramuri industriale ale țării, industria auto din Moldova produce astăzi predominant pentru export</w:t>
      </w:r>
      <w:r w:rsidRPr="0018446E">
        <w:rPr>
          <w:rFonts w:ascii="Times New Roman" w:eastAsia="Times New Roman" w:hAnsi="Times New Roman"/>
          <w:lang w:val="ro-MD"/>
        </w:rPr>
        <w:t xml:space="preserve">. Industria componentelor auto, în special fabricarea de piese pentru autovehicule și motoare, a fost în trendul celor mai progresive ramuri industriale care au determinat creșterea sectorului industrial din 2015 până în 2019, perioadă în care această ramură a crescut de 4 ori. Drept urmare, ponderea acestui sector în industria moldovenească a crescut de la 0,3% la 6,9%. Ramura respectivă s-a consolidat preponderent datorită dezvoltării proiectelor investitorilor străini inițiate în cadrul ZEL în toate regiunile de dezvoltare ale Republicii Moldova. Totuși, începând cu anul 2020, industria producătoare de componente auto a intrat pe o traiectorie constant descendentă, fiind puternic influențată de criza pandemică, iar în anul 2021 nu a reușit să se revigoreze după efectele pandemiei. Declanșarea războiului din Ucraina în anul 2022 a complicat și mai mult situația ramurilor din acest domeniu, provocând întreruperea/stoparea lanțurilor logistice, majorarea prețurilor materiilor prime, diminuarea cererii externe etc. </w:t>
      </w:r>
    </w:p>
    <w:p w14:paraId="739D719C" w14:textId="77777777" w:rsidR="0018446E" w:rsidRPr="0018446E" w:rsidRDefault="0018446E" w:rsidP="0018446E">
      <w:pPr>
        <w:numPr>
          <w:ilvl w:val="1"/>
          <w:numId w:val="39"/>
        </w:numPr>
        <w:spacing w:after="0" w:line="240" w:lineRule="auto"/>
        <w:contextualSpacing/>
        <w:jc w:val="right"/>
        <w:rPr>
          <w:rFonts w:ascii="Times New Roman" w:eastAsia="Times New Roman" w:hAnsi="Times New Roman"/>
          <w:b/>
          <w:color w:val="000000"/>
          <w:lang w:val="ro-MD"/>
        </w:rPr>
      </w:pPr>
      <w:r w:rsidRPr="0018446E">
        <w:rPr>
          <w:rFonts w:ascii="Times New Roman" w:eastAsia="Times New Roman" w:hAnsi="Times New Roman"/>
          <w:b/>
          <w:color w:val="000000"/>
          <w:lang w:val="ro-MD"/>
        </w:rPr>
        <w:t>Situația curentă în sectorul industrial: crizele suprapuse și problemele structurale.</w:t>
      </w:r>
    </w:p>
    <w:p w14:paraId="7A1C7331" w14:textId="77777777" w:rsidR="0018446E" w:rsidRPr="0018446E" w:rsidRDefault="0018446E" w:rsidP="0018446E">
      <w:pPr>
        <w:spacing w:after="0" w:line="240" w:lineRule="auto"/>
        <w:ind w:left="720"/>
        <w:contextualSpacing/>
        <w:rPr>
          <w:rFonts w:ascii="Times New Roman" w:eastAsia="Times New Roman" w:hAnsi="Times New Roman"/>
          <w:color w:val="70AD47" w:themeColor="accent6"/>
          <w:lang w:val="ro-MD"/>
        </w:rPr>
      </w:pPr>
    </w:p>
    <w:p w14:paraId="307C1304" w14:textId="77777777" w:rsidR="0018446E" w:rsidRPr="0018446E" w:rsidRDefault="0018446E" w:rsidP="0018446E">
      <w:pPr>
        <w:spacing w:before="120" w:line="288" w:lineRule="auto"/>
        <w:ind w:left="0"/>
        <w:jc w:val="both"/>
        <w:rPr>
          <w:rFonts w:ascii="Times New Roman" w:eastAsia="Times New Roman" w:hAnsi="Times New Roman"/>
          <w:b/>
          <w:lang w:val="ro-MD"/>
        </w:rPr>
      </w:pPr>
      <w:r w:rsidRPr="0018446E">
        <w:rPr>
          <w:rFonts w:ascii="Times New Roman" w:eastAsia="Times New Roman" w:hAnsi="Times New Roman"/>
          <w:b/>
          <w:lang w:val="ro-MD"/>
        </w:rPr>
        <w:t>Efectele crizei energetice, situația economică complicată din regiune, diminuarea cererii externe și interne continuă să creeze dificultăți companiilor industriale și mențin în declin sectorul industrial în anul 2023.</w:t>
      </w:r>
      <w:r w:rsidRPr="0018446E">
        <w:rPr>
          <w:rFonts w:ascii="Times New Roman" w:eastAsia="Times New Roman" w:hAnsi="Times New Roman"/>
          <w:lang w:val="ro-MD"/>
        </w:rPr>
        <w:t xml:space="preserve"> Astfel, în lunile ianuarie-iulie 2023 a fost înregistrată o descreștere cu 7,1% a producției industriale, inclusiv în luna iulie cu 4%. Industria prelucrătoare este cea mai afectată ramură a sectorului industrial, care s-a diminuat cu 9,1% în ianuarie-iulie, influențând cu 7,3 </w:t>
      </w:r>
      <w:proofErr w:type="spellStart"/>
      <w:r w:rsidRPr="0018446E">
        <w:rPr>
          <w:rFonts w:ascii="Times New Roman" w:eastAsia="Times New Roman" w:hAnsi="Times New Roman"/>
          <w:lang w:val="ro-MD"/>
        </w:rPr>
        <w:t>p.p.</w:t>
      </w:r>
      <w:proofErr w:type="spellEnd"/>
      <w:r w:rsidRPr="0018446E">
        <w:rPr>
          <w:rFonts w:ascii="Times New Roman" w:eastAsia="Times New Roman" w:hAnsi="Times New Roman"/>
          <w:lang w:val="ro-MD"/>
        </w:rPr>
        <w:t xml:space="preserve"> rezultatul sectorului industrial.</w:t>
      </w:r>
    </w:p>
    <w:tbl>
      <w:tblPr>
        <w:tblW w:w="9761" w:type="dxa"/>
        <w:tblBorders>
          <w:top w:val="nil"/>
          <w:left w:val="nil"/>
          <w:bottom w:val="nil"/>
          <w:right w:val="nil"/>
          <w:insideH w:val="nil"/>
          <w:insideV w:val="nil"/>
        </w:tblBorders>
        <w:tblLayout w:type="fixed"/>
        <w:tblLook w:val="0400" w:firstRow="0" w:lastRow="0" w:firstColumn="0" w:lastColumn="0" w:noHBand="0" w:noVBand="1"/>
      </w:tblPr>
      <w:tblGrid>
        <w:gridCol w:w="4766"/>
        <w:gridCol w:w="4995"/>
      </w:tblGrid>
      <w:tr w:rsidR="0018446E" w:rsidRPr="0018446E" w14:paraId="3939E812" w14:textId="77777777" w:rsidTr="00B0372F">
        <w:trPr>
          <w:trHeight w:val="466"/>
        </w:trPr>
        <w:tc>
          <w:tcPr>
            <w:tcW w:w="4766" w:type="dxa"/>
          </w:tcPr>
          <w:p w14:paraId="22F24FCE"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2.15. Evoluția lunară a sectorului industrial în anii 2022-2023, %</w:t>
            </w:r>
          </w:p>
        </w:tc>
        <w:tc>
          <w:tcPr>
            <w:tcW w:w="4995" w:type="dxa"/>
          </w:tcPr>
          <w:p w14:paraId="44EC5306"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2.16. Evoluția sectorului industrial în lunile ianuarie-iulie, anii 2017-2023, %</w:t>
            </w:r>
          </w:p>
        </w:tc>
      </w:tr>
      <w:tr w:rsidR="0018446E" w:rsidRPr="0018446E" w14:paraId="0416099E" w14:textId="77777777" w:rsidTr="00B0372F">
        <w:trPr>
          <w:trHeight w:val="3387"/>
        </w:trPr>
        <w:tc>
          <w:tcPr>
            <w:tcW w:w="4766" w:type="dxa"/>
          </w:tcPr>
          <w:p w14:paraId="7D88BAAD" w14:textId="77777777" w:rsidR="0018446E" w:rsidRPr="0018446E" w:rsidRDefault="0018446E" w:rsidP="0018446E">
            <w:pPr>
              <w:spacing w:before="120" w:after="0" w:line="288" w:lineRule="auto"/>
              <w:ind w:left="23"/>
              <w:rPr>
                <w:rFonts w:ascii="Times New Roman" w:eastAsia="Times New Roman" w:hAnsi="Times New Roman"/>
                <w:lang w:val="ro-MD"/>
              </w:rPr>
            </w:pPr>
            <w:r w:rsidRPr="0018446E">
              <w:rPr>
                <w:rFonts w:ascii="Times New Roman" w:eastAsia="Times New Roman" w:hAnsi="Times New Roman"/>
                <w:noProof/>
                <w:lang w:val="en-US"/>
              </w:rPr>
              <w:drawing>
                <wp:inline distT="0" distB="0" distL="0" distR="0" wp14:anchorId="7E78496E" wp14:editId="67A5F818">
                  <wp:extent cx="2804160" cy="1979295"/>
                  <wp:effectExtent l="0" t="0" r="15240" b="1905"/>
                  <wp:docPr id="516" name="Chart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95" w:type="dxa"/>
          </w:tcPr>
          <w:p w14:paraId="016E6B46" w14:textId="77777777" w:rsidR="0018446E" w:rsidRPr="0018446E" w:rsidRDefault="0018446E" w:rsidP="0018446E">
            <w:pPr>
              <w:spacing w:before="120" w:after="0" w:line="288" w:lineRule="auto"/>
              <w:ind w:left="22"/>
              <w:rPr>
                <w:rFonts w:ascii="Times New Roman" w:eastAsia="Times New Roman" w:hAnsi="Times New Roman"/>
                <w:lang w:val="ro-MD"/>
              </w:rPr>
            </w:pPr>
            <w:r w:rsidRPr="0018446E">
              <w:rPr>
                <w:rFonts w:ascii="Times New Roman" w:eastAsia="Times New Roman" w:hAnsi="Times New Roman"/>
                <w:noProof/>
                <w:lang w:val="en-US"/>
              </w:rPr>
              <w:drawing>
                <wp:inline distT="0" distB="0" distL="0" distR="0" wp14:anchorId="652BA9BA" wp14:editId="571B2BD2">
                  <wp:extent cx="3073400" cy="1987550"/>
                  <wp:effectExtent l="0" t="0" r="12700" b="12700"/>
                  <wp:docPr id="517" name="Chart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8446E" w:rsidRPr="0018446E" w14:paraId="0FEF8848" w14:textId="77777777" w:rsidTr="00B0372F">
        <w:trPr>
          <w:trHeight w:val="454"/>
        </w:trPr>
        <w:tc>
          <w:tcPr>
            <w:tcW w:w="4766" w:type="dxa"/>
          </w:tcPr>
          <w:p w14:paraId="5C7B93D1" w14:textId="77777777" w:rsidR="0018446E" w:rsidRPr="0018446E" w:rsidRDefault="0018446E" w:rsidP="0018446E">
            <w:pPr>
              <w:spacing w:before="120" w:after="0" w:line="288" w:lineRule="auto"/>
              <w:ind w:left="0"/>
              <w:rPr>
                <w:rFonts w:ascii="Times New Roman" w:eastAsia="Times New Roman" w:hAnsi="Times New Roman"/>
                <w:lang w:val="ro-MD"/>
              </w:rPr>
            </w:pPr>
          </w:p>
        </w:tc>
        <w:tc>
          <w:tcPr>
            <w:tcW w:w="4995" w:type="dxa"/>
          </w:tcPr>
          <w:p w14:paraId="0BE29EB7" w14:textId="77777777" w:rsidR="0018446E" w:rsidRPr="0018446E" w:rsidRDefault="0018446E" w:rsidP="0018446E">
            <w:pPr>
              <w:spacing w:before="120" w:after="0" w:line="288" w:lineRule="auto"/>
              <w:ind w:left="0"/>
              <w:jc w:val="right"/>
              <w:rPr>
                <w:rFonts w:ascii="Times New Roman" w:eastAsia="Times New Roman" w:hAnsi="Times New Roman"/>
                <w:sz w:val="20"/>
                <w:szCs w:val="20"/>
                <w:lang w:val="ro-MD"/>
              </w:rPr>
            </w:pPr>
            <w:r w:rsidRPr="0018446E">
              <w:rPr>
                <w:rFonts w:ascii="Times New Roman" w:eastAsia="Times New Roman" w:hAnsi="Times New Roman"/>
                <w:i/>
                <w:iCs/>
                <w:sz w:val="20"/>
                <w:szCs w:val="20"/>
                <w:lang w:val="ro-MD"/>
              </w:rPr>
              <w:t>Sursa</w:t>
            </w:r>
            <w:r w:rsidRPr="0018446E">
              <w:rPr>
                <w:rFonts w:ascii="Times New Roman" w:eastAsia="Times New Roman" w:hAnsi="Times New Roman"/>
                <w:sz w:val="20"/>
                <w:szCs w:val="20"/>
                <w:lang w:val="ro-MD"/>
              </w:rPr>
              <w:t>: Biroul Național de Statistică</w:t>
            </w:r>
          </w:p>
        </w:tc>
      </w:tr>
    </w:tbl>
    <w:p w14:paraId="734BF5AA"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i/>
          <w:lang w:val="ro-MD"/>
        </w:rPr>
        <w:t>Industria alimentară</w:t>
      </w:r>
      <w:r w:rsidRPr="0018446E">
        <w:rPr>
          <w:rFonts w:ascii="Times New Roman" w:eastAsia="Times New Roman" w:hAnsi="Times New Roman"/>
          <w:lang w:val="ro-MD"/>
        </w:rPr>
        <w:t xml:space="preserve"> a intrat în declin spre sfârșitul anului precedent, menținându-se pe o traiectorie negativă în cele șapte luni ale acestui an (-21%). Anul agricol neproductiv 2022, afectat de seceta severă, reprezintă principalul factor care a diminuat rezultatul industriei alimentare. Diminuarea cererii pentru produsele industriei textile a generat descreșterea producției în subramura de fabricare a </w:t>
      </w:r>
      <w:r w:rsidRPr="0018446E">
        <w:rPr>
          <w:rFonts w:ascii="Times New Roman" w:eastAsia="Times New Roman" w:hAnsi="Times New Roman"/>
          <w:i/>
          <w:lang w:val="ro-MD"/>
        </w:rPr>
        <w:t>articolelor de îmbrăcăminte</w:t>
      </w:r>
      <w:r w:rsidRPr="0018446E">
        <w:rPr>
          <w:rFonts w:ascii="Times New Roman" w:eastAsia="Times New Roman" w:hAnsi="Times New Roman"/>
          <w:lang w:val="ro-MD"/>
        </w:rPr>
        <w:t xml:space="preserve"> (-16%) și a </w:t>
      </w:r>
      <w:r w:rsidRPr="0018446E">
        <w:rPr>
          <w:rFonts w:ascii="Times New Roman" w:eastAsia="Times New Roman" w:hAnsi="Times New Roman"/>
          <w:i/>
          <w:lang w:val="ro-MD"/>
        </w:rPr>
        <w:t>produselor textile</w:t>
      </w:r>
      <w:r w:rsidRPr="0018446E">
        <w:rPr>
          <w:rFonts w:ascii="Times New Roman" w:eastAsia="Times New Roman" w:hAnsi="Times New Roman"/>
          <w:lang w:val="ro-MD"/>
        </w:rPr>
        <w:t xml:space="preserve"> (-9%). Totodată, ramura de </w:t>
      </w:r>
      <w:r w:rsidRPr="0018446E">
        <w:rPr>
          <w:rFonts w:ascii="Times New Roman" w:eastAsia="Times New Roman" w:hAnsi="Times New Roman"/>
          <w:i/>
          <w:lang w:val="ro-MD"/>
        </w:rPr>
        <w:t xml:space="preserve">producere a </w:t>
      </w:r>
      <w:r w:rsidRPr="0018446E">
        <w:rPr>
          <w:rFonts w:ascii="Times New Roman" w:eastAsia="Times New Roman" w:hAnsi="Times New Roman"/>
          <w:i/>
          <w:lang w:val="ro-MD"/>
        </w:rPr>
        <w:lastRenderedPageBreak/>
        <w:t>mobilei</w:t>
      </w:r>
      <w:r w:rsidRPr="0018446E">
        <w:rPr>
          <w:rFonts w:ascii="Times New Roman" w:eastAsia="Times New Roman" w:hAnsi="Times New Roman"/>
          <w:lang w:val="ro-MD"/>
        </w:rPr>
        <w:t xml:space="preserve"> se menține în declin (-13%), fiind puternic influențată de micșorarea cererii interne și externe, precum și de costurile înalte de producere. </w:t>
      </w:r>
    </w:p>
    <w:p w14:paraId="441C6DD9" w14:textId="77777777" w:rsidR="0018446E" w:rsidRPr="0018446E" w:rsidRDefault="0018446E" w:rsidP="0018446E">
      <w:pPr>
        <w:spacing w:before="120" w:line="288" w:lineRule="auto"/>
        <w:ind w:left="0"/>
        <w:jc w:val="both"/>
        <w:rPr>
          <w:rFonts w:ascii="Times New Roman" w:eastAsia="Times New Roman" w:hAnsi="Times New Roman"/>
          <w:b/>
          <w:lang w:val="ro-MD"/>
        </w:rPr>
      </w:pPr>
      <w:r w:rsidRPr="0018446E">
        <w:rPr>
          <w:rFonts w:ascii="Times New Roman" w:eastAsia="Times New Roman" w:hAnsi="Times New Roman"/>
          <w:b/>
          <w:lang w:val="ro-MD"/>
        </w:rPr>
        <w:t>Printre alte ramuri importante ale industriei prelucrătoare care au contribuit negativ la evoluția sectorului industrial în ianuarie-iulie 2023 se evidențiază (Figura 4.3):</w:t>
      </w:r>
    </w:p>
    <w:p w14:paraId="11AEF7AD" w14:textId="77777777" w:rsidR="0018446E" w:rsidRPr="0018446E" w:rsidRDefault="0018446E" w:rsidP="0018446E">
      <w:pPr>
        <w:spacing w:before="120" w:line="240" w:lineRule="auto"/>
        <w:ind w:left="0" w:firstLine="540"/>
        <w:jc w:val="both"/>
        <w:rPr>
          <w:rFonts w:ascii="Times New Roman" w:eastAsia="Times New Roman" w:hAnsi="Times New Roman"/>
          <w:lang w:val="ro-MD"/>
        </w:rPr>
      </w:pPr>
      <w:r w:rsidRPr="0018446E">
        <w:rPr>
          <w:rFonts w:ascii="Times New Roman" w:eastAsia="Times New Roman" w:hAnsi="Times New Roman"/>
          <w:lang w:val="ro-MD"/>
        </w:rPr>
        <w:t>-</w:t>
      </w:r>
      <w:r w:rsidRPr="0018446E">
        <w:rPr>
          <w:rFonts w:ascii="Times New Roman" w:eastAsia="Times New Roman" w:hAnsi="Times New Roman"/>
          <w:lang w:val="ro-MD"/>
        </w:rPr>
        <w:tab/>
        <w:t>fabricarea substanțelor și a produselor chimice  (-41%)</w:t>
      </w:r>
    </w:p>
    <w:p w14:paraId="00605329" w14:textId="77777777" w:rsidR="0018446E" w:rsidRPr="0018446E" w:rsidRDefault="0018446E" w:rsidP="0018446E">
      <w:pPr>
        <w:spacing w:before="120" w:line="240" w:lineRule="auto"/>
        <w:ind w:left="720" w:hanging="180"/>
        <w:jc w:val="both"/>
        <w:rPr>
          <w:rFonts w:ascii="Times New Roman" w:eastAsia="Times New Roman" w:hAnsi="Times New Roman"/>
          <w:lang w:val="ro-MD"/>
        </w:rPr>
      </w:pPr>
      <w:r w:rsidRPr="0018446E">
        <w:rPr>
          <w:rFonts w:ascii="Times New Roman" w:eastAsia="Times New Roman" w:hAnsi="Times New Roman"/>
          <w:lang w:val="ro-MD"/>
        </w:rPr>
        <w:t>-</w:t>
      </w:r>
      <w:r w:rsidRPr="0018446E">
        <w:rPr>
          <w:rFonts w:ascii="Times New Roman" w:eastAsia="Times New Roman" w:hAnsi="Times New Roman"/>
          <w:lang w:val="ro-MD"/>
        </w:rPr>
        <w:tab/>
        <w:t>fabricarea altor produse din minerale nemetalice (ciment, var, ipsos, articole din beton, ciment și ipsos) (-11%)</w:t>
      </w:r>
    </w:p>
    <w:p w14:paraId="0A62FEED" w14:textId="77777777" w:rsidR="0018446E" w:rsidRPr="0018446E" w:rsidRDefault="0018446E" w:rsidP="0018446E">
      <w:pPr>
        <w:spacing w:before="120" w:line="240" w:lineRule="auto"/>
        <w:ind w:left="0" w:firstLine="540"/>
        <w:jc w:val="both"/>
        <w:rPr>
          <w:rFonts w:ascii="Times New Roman" w:eastAsia="Times New Roman" w:hAnsi="Times New Roman"/>
          <w:lang w:val="ro-MD"/>
        </w:rPr>
      </w:pPr>
      <w:r w:rsidRPr="0018446E">
        <w:rPr>
          <w:rFonts w:ascii="Times New Roman" w:eastAsia="Times New Roman" w:hAnsi="Times New Roman"/>
          <w:lang w:val="ro-MD"/>
        </w:rPr>
        <w:t>-</w:t>
      </w:r>
      <w:r w:rsidRPr="0018446E">
        <w:rPr>
          <w:rFonts w:ascii="Times New Roman" w:eastAsia="Times New Roman" w:hAnsi="Times New Roman"/>
          <w:lang w:val="ro-MD"/>
        </w:rPr>
        <w:tab/>
        <w:t>fabricarea articolelor din material plastic (-15%)</w:t>
      </w:r>
    </w:p>
    <w:p w14:paraId="12DA71F7" w14:textId="77777777" w:rsidR="0018446E" w:rsidRPr="0018446E" w:rsidRDefault="0018446E" w:rsidP="0018446E">
      <w:pPr>
        <w:spacing w:before="120" w:line="240" w:lineRule="auto"/>
        <w:ind w:left="0" w:firstLine="540"/>
        <w:jc w:val="both"/>
        <w:rPr>
          <w:rFonts w:ascii="Times New Roman" w:eastAsia="Times New Roman" w:hAnsi="Times New Roman"/>
          <w:lang w:val="ro-MD"/>
        </w:rPr>
      </w:pPr>
      <w:r w:rsidRPr="0018446E">
        <w:rPr>
          <w:rFonts w:ascii="Times New Roman" w:eastAsia="Times New Roman" w:hAnsi="Times New Roman"/>
          <w:lang w:val="ro-MD"/>
        </w:rPr>
        <w:t>-</w:t>
      </w:r>
      <w:r w:rsidRPr="0018446E">
        <w:rPr>
          <w:rFonts w:ascii="Times New Roman" w:eastAsia="Times New Roman" w:hAnsi="Times New Roman"/>
          <w:lang w:val="ro-MD"/>
        </w:rPr>
        <w:tab/>
        <w:t>industria construcțiilor metalice și a produselor din metal (-11%)</w:t>
      </w:r>
    </w:p>
    <w:p w14:paraId="6152C47F" w14:textId="77777777" w:rsidR="0018446E" w:rsidRPr="0018446E" w:rsidRDefault="0018446E" w:rsidP="0018446E">
      <w:pPr>
        <w:spacing w:before="120" w:line="240" w:lineRule="auto"/>
        <w:ind w:left="0" w:firstLine="540"/>
        <w:jc w:val="both"/>
        <w:rPr>
          <w:rFonts w:ascii="Times New Roman" w:eastAsia="Times New Roman" w:hAnsi="Times New Roman"/>
          <w:lang w:val="ro-MD"/>
        </w:rPr>
      </w:pPr>
      <w:r w:rsidRPr="0018446E">
        <w:rPr>
          <w:rFonts w:ascii="Times New Roman" w:eastAsia="Times New Roman" w:hAnsi="Times New Roman"/>
          <w:lang w:val="ro-MD"/>
        </w:rPr>
        <w:t>-</w:t>
      </w:r>
      <w:r w:rsidRPr="0018446E">
        <w:rPr>
          <w:rFonts w:ascii="Times New Roman" w:eastAsia="Times New Roman" w:hAnsi="Times New Roman"/>
          <w:lang w:val="ro-MD"/>
        </w:rPr>
        <w:tab/>
        <w:t>fabricarea hârtiei și a produselor din hârtie (-16%)</w:t>
      </w:r>
    </w:p>
    <w:p w14:paraId="3F491A6F" w14:textId="77777777" w:rsidR="0018446E" w:rsidRPr="0018446E" w:rsidRDefault="0018446E" w:rsidP="0018446E">
      <w:pPr>
        <w:spacing w:before="120" w:line="240" w:lineRule="auto"/>
        <w:ind w:left="0" w:firstLine="540"/>
        <w:jc w:val="both"/>
        <w:rPr>
          <w:rFonts w:ascii="Times New Roman" w:eastAsia="Times New Roman" w:hAnsi="Times New Roman"/>
          <w:lang w:val="ro-MD"/>
        </w:rPr>
      </w:pPr>
      <w:r w:rsidRPr="0018446E">
        <w:rPr>
          <w:rFonts w:ascii="Times New Roman" w:eastAsia="Times New Roman" w:hAnsi="Times New Roman"/>
          <w:lang w:val="ro-MD"/>
        </w:rPr>
        <w:t>-</w:t>
      </w:r>
      <w:r w:rsidRPr="0018446E">
        <w:rPr>
          <w:rFonts w:ascii="Times New Roman" w:eastAsia="Times New Roman" w:hAnsi="Times New Roman"/>
          <w:lang w:val="ro-MD"/>
        </w:rPr>
        <w:tab/>
        <w:t>tipărire și activități de servicii conexe tipăririi (-26%)</w:t>
      </w:r>
    </w:p>
    <w:p w14:paraId="7287F1D5" w14:textId="77777777" w:rsidR="0018446E" w:rsidRPr="0018446E" w:rsidRDefault="0018446E" w:rsidP="0018446E">
      <w:pPr>
        <w:spacing w:before="120" w:line="240" w:lineRule="auto"/>
        <w:ind w:left="0" w:firstLine="540"/>
        <w:jc w:val="both"/>
        <w:rPr>
          <w:rFonts w:ascii="Times New Roman" w:eastAsia="Times New Roman" w:hAnsi="Times New Roman"/>
          <w:lang w:val="ro-MD"/>
        </w:rPr>
      </w:pPr>
      <w:r w:rsidRPr="0018446E">
        <w:rPr>
          <w:rFonts w:ascii="Times New Roman" w:eastAsia="Times New Roman" w:hAnsi="Times New Roman"/>
          <w:lang w:val="ro-MD"/>
        </w:rPr>
        <w:t>-</w:t>
      </w:r>
      <w:r w:rsidRPr="0018446E">
        <w:rPr>
          <w:rFonts w:ascii="Times New Roman" w:eastAsia="Times New Roman" w:hAnsi="Times New Roman"/>
          <w:lang w:val="ro-MD"/>
        </w:rPr>
        <w:tab/>
        <w:t>fabricarea încălțămintei (-6%).</w:t>
      </w:r>
    </w:p>
    <w:p w14:paraId="64556C97" w14:textId="77777777" w:rsidR="0018446E" w:rsidRPr="0018446E" w:rsidRDefault="0018446E" w:rsidP="0018446E">
      <w:pPr>
        <w:spacing w:before="120" w:line="240" w:lineRule="auto"/>
        <w:ind w:left="0" w:firstLine="540"/>
        <w:jc w:val="both"/>
        <w:rPr>
          <w:rFonts w:ascii="Times New Roman" w:eastAsia="Times New Roman" w:hAnsi="Times New Roman"/>
          <w:lang w:val="ro-MD"/>
        </w:rPr>
      </w:pPr>
    </w:p>
    <w:p w14:paraId="3C33D292"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 xml:space="preserve">Figura 2.17. Contribuția principalelor subramuri ale industriei prelucrătoare </w:t>
      </w:r>
    </w:p>
    <w:p w14:paraId="2B21EC3A"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la rezultatul sectorului industrial în lunile ianuarie-iulie, 2023 (%)</w:t>
      </w:r>
    </w:p>
    <w:p w14:paraId="4F7047F5"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noProof/>
          <w:lang w:val="en-US"/>
        </w:rPr>
        <w:drawing>
          <wp:anchor distT="0" distB="0" distL="114300" distR="114300" simplePos="0" relativeHeight="251662336" behindDoc="0" locked="0" layoutInCell="1" hidden="0" allowOverlap="1" wp14:anchorId="486CFCAB" wp14:editId="1825FCBF">
            <wp:simplePos x="0" y="0"/>
            <wp:positionH relativeFrom="column">
              <wp:posOffset>349250</wp:posOffset>
            </wp:positionH>
            <wp:positionV relativeFrom="paragraph">
              <wp:posOffset>77470</wp:posOffset>
            </wp:positionV>
            <wp:extent cx="5406390" cy="4086860"/>
            <wp:effectExtent l="0" t="0" r="0" b="0"/>
            <wp:wrapSquare wrapText="bothSides" distT="0" distB="0" distL="114300" distR="114300"/>
            <wp:docPr id="528" name="Chart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21856882"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1607094A"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26FC08FE"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2DF1B916"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2D565F67"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6596C729"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64635A71"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52918621"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33D37B1A"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5326697D"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03A9C079"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22499031" w14:textId="77777777" w:rsidR="0018446E" w:rsidRPr="0018446E" w:rsidRDefault="0018446E" w:rsidP="0018446E">
      <w:pPr>
        <w:spacing w:before="120" w:line="288" w:lineRule="auto"/>
        <w:ind w:left="0" w:right="180"/>
        <w:jc w:val="right"/>
        <w:rPr>
          <w:rFonts w:ascii="Times New Roman" w:eastAsia="Times New Roman" w:hAnsi="Times New Roman"/>
          <w:sz w:val="20"/>
          <w:szCs w:val="20"/>
          <w:lang w:val="ro-MD"/>
        </w:rPr>
      </w:pPr>
    </w:p>
    <w:p w14:paraId="7B2D5E0C" w14:textId="77777777" w:rsidR="0018446E" w:rsidRPr="0018446E" w:rsidRDefault="0018446E" w:rsidP="0018446E">
      <w:pPr>
        <w:spacing w:before="120" w:line="288" w:lineRule="auto"/>
        <w:ind w:left="0" w:right="180"/>
        <w:jc w:val="right"/>
        <w:rPr>
          <w:rFonts w:ascii="Times New Roman" w:eastAsia="Times New Roman" w:hAnsi="Times New Roman"/>
          <w:sz w:val="20"/>
          <w:szCs w:val="20"/>
          <w:lang w:val="ro-MD"/>
        </w:rPr>
      </w:pPr>
    </w:p>
    <w:p w14:paraId="167DDFAF" w14:textId="77777777" w:rsidR="0018446E" w:rsidRPr="0018446E" w:rsidRDefault="0018446E" w:rsidP="0018446E">
      <w:pPr>
        <w:spacing w:before="120" w:line="288" w:lineRule="auto"/>
        <w:ind w:left="0" w:right="180"/>
        <w:jc w:val="right"/>
        <w:rPr>
          <w:rFonts w:ascii="Times New Roman" w:eastAsia="Times New Roman" w:hAnsi="Times New Roman"/>
          <w:sz w:val="20"/>
          <w:szCs w:val="20"/>
          <w:lang w:val="ro-MD"/>
        </w:rPr>
      </w:pPr>
    </w:p>
    <w:p w14:paraId="75FAF0A5" w14:textId="77777777" w:rsidR="0018446E" w:rsidRPr="0018446E" w:rsidRDefault="0018446E" w:rsidP="0018446E">
      <w:pPr>
        <w:spacing w:before="120" w:line="288" w:lineRule="auto"/>
        <w:ind w:left="0" w:right="1080"/>
        <w:jc w:val="right"/>
        <w:rPr>
          <w:rFonts w:ascii="Times New Roman" w:eastAsia="Times New Roman" w:hAnsi="Times New Roman"/>
          <w:sz w:val="20"/>
          <w:szCs w:val="20"/>
          <w:lang w:val="ro-MD"/>
        </w:rPr>
      </w:pPr>
      <w:r w:rsidRPr="0018446E">
        <w:rPr>
          <w:rFonts w:ascii="Times New Roman" w:eastAsia="Times New Roman" w:hAnsi="Times New Roman"/>
          <w:i/>
          <w:iCs/>
          <w:sz w:val="20"/>
          <w:szCs w:val="20"/>
          <w:lang w:val="ro-MD"/>
        </w:rPr>
        <w:t>Sursa</w:t>
      </w:r>
      <w:r w:rsidRPr="0018446E">
        <w:rPr>
          <w:rFonts w:ascii="Times New Roman" w:eastAsia="Times New Roman" w:hAnsi="Times New Roman"/>
          <w:sz w:val="20"/>
          <w:szCs w:val="20"/>
          <w:lang w:val="ro-MD"/>
        </w:rPr>
        <w:t>: Biroul Național de Statistică</w:t>
      </w:r>
    </w:p>
    <w:p w14:paraId="36EEF35C" w14:textId="77777777" w:rsidR="0018446E" w:rsidRPr="0018446E" w:rsidRDefault="0018446E" w:rsidP="0018446E">
      <w:pPr>
        <w:spacing w:before="12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Totodată, se atestă unele semnale pozitive - industria de fabricare a mașinilor, utilajelor și echipamentelor, a produselor farmaceutice, băuturilor, echipamentelor electrice reprezintă acele subramuri ale industriei prelucrătoare care au avansat în acest an, influențând pozitiv sectorul (+3,5 </w:t>
      </w:r>
      <w:proofErr w:type="spellStart"/>
      <w:r w:rsidRPr="0018446E">
        <w:rPr>
          <w:rFonts w:ascii="Times New Roman" w:eastAsia="Times New Roman" w:hAnsi="Times New Roman"/>
          <w:lang w:val="ro-MD"/>
        </w:rPr>
        <w:t>p.p.</w:t>
      </w:r>
      <w:proofErr w:type="spellEnd"/>
      <w:r w:rsidRPr="0018446E">
        <w:rPr>
          <w:rFonts w:ascii="Times New Roman" w:eastAsia="Times New Roman" w:hAnsi="Times New Roman"/>
          <w:lang w:val="ro-MD"/>
        </w:rPr>
        <w:t xml:space="preserve">). Printre alte sectoare industriale care au fost în creștere, dar au influențat mai puțin pozitiv evoluția industriei prelucrătoare se enumeră industria metalurgică (+30%) și fabricarea de </w:t>
      </w:r>
      <w:r w:rsidRPr="0018446E">
        <w:rPr>
          <w:rFonts w:ascii="Times New Roman" w:eastAsia="Times New Roman" w:hAnsi="Times New Roman"/>
          <w:lang w:val="ro-MD"/>
        </w:rPr>
        <w:lastRenderedPageBreak/>
        <w:t>echipamente de măsură, verificare, control și navigație (+11%). Totuși, aceste evoluții nu au fost suficiente pentru a compensa descreșterile din alte subramuri industriale.</w:t>
      </w:r>
    </w:p>
    <w:p w14:paraId="07FAEF5C" w14:textId="77777777" w:rsidR="0018446E" w:rsidRPr="0018446E" w:rsidRDefault="0018446E" w:rsidP="0018446E">
      <w:pPr>
        <w:spacing w:before="12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Diminuarea cererii externe din partea țărilor partenere ale Republicii Moldova, scăderea cererii interne în contextul reducerii veniturilor disponibile ale populației, perturbarea lanțurilor de producție și de aprovizionare cu materie primă în contextul conflictului armat din Ucraina, reducerea producției agricole vegetale ca impact al secetei severe din anul 2022 sunt factorii de bază care continuă să influențeze negativ evoluția industriei prelucrătoare. Totodată, factorii conjuncturali determinați de crizele suprapuse sunt alimentați de o serie de probleme structurale ale industriei prelucrătoare din Republica Moldova, care conduc la contracția industriei și a economiei în ansamblu, implicit:</w:t>
      </w:r>
    </w:p>
    <w:p w14:paraId="40BD5538"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noProof/>
          <w:lang w:val="en-US"/>
        </w:rPr>
        <w:drawing>
          <wp:inline distT="0" distB="0" distL="0" distR="0" wp14:anchorId="045DEFF3" wp14:editId="22CAF879">
            <wp:extent cx="6143625" cy="1019175"/>
            <wp:effectExtent l="57150" t="0" r="476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A7B130C"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Instituțiile</w:t>
      </w:r>
      <w:r w:rsidRPr="0018446E">
        <w:rPr>
          <w:rFonts w:ascii="Times New Roman" w:eastAsia="Times New Roman" w:hAnsi="Times New Roman"/>
          <w:lang w:val="ro-MD"/>
        </w:rPr>
        <w:t xml:space="preserve"> reprezintă o problemă complexă pentru sectorul industrial al Republicii Moldova și conține mai multe dimensiuni. Cadrul normativ și regulator care definește mediul de afaceri autohton necesită o actualizare substanțială, inclusiv din perspectiva transpunerii </w:t>
      </w:r>
      <w:r w:rsidRPr="0018446E">
        <w:rPr>
          <w:rFonts w:ascii="Times New Roman" w:eastAsia="Times New Roman" w:hAnsi="Times New Roman"/>
          <w:i/>
          <w:iCs/>
          <w:lang w:val="ro-MD"/>
        </w:rPr>
        <w:t>aquis</w:t>
      </w:r>
      <w:r w:rsidRPr="0018446E">
        <w:rPr>
          <w:rFonts w:ascii="Times New Roman" w:eastAsia="Times New Roman" w:hAnsi="Times New Roman"/>
          <w:lang w:val="ro-MD"/>
        </w:rPr>
        <w:t>-ului UE și modernizării instituționale asociate procesului de integrare europeană. De asemenea, infrastructura calității și diferitele sale componente sunt cruciale pentru producția industrială autohtonă, în contextul în care standardele de calitate europene nu sunt implementate plenitudinar în Republica Moldova, drept pentru care barierele non-tarifare (</w:t>
      </w:r>
      <w:r w:rsidRPr="0018446E">
        <w:rPr>
          <w:rFonts w:ascii="Times New Roman" w:eastAsia="Times New Roman" w:hAnsi="Times New Roman"/>
          <w:i/>
          <w:iCs/>
          <w:lang w:val="ro-MD"/>
        </w:rPr>
        <w:t>NTB</w:t>
      </w:r>
      <w:r w:rsidRPr="0018446E">
        <w:rPr>
          <w:rFonts w:ascii="Times New Roman" w:eastAsia="Times New Roman" w:hAnsi="Times New Roman"/>
          <w:lang w:val="ro-MD"/>
        </w:rPr>
        <w:t>) obstrucționează exporturile produselor industriale autohtone pe piața UE. Guvernanța la nivelul întreprinderilor, ca parte a unei abordări instituționale complexe, rămâne în continuare o problemă pentru majoritatea companiilor din industria prelucrătoare. Nu există suficientă expertiză la nivelul managementului mediu de administrare și resetare a proceselor operaționale, a managementului calității sau de marketing în condițiile conectării la piața unică a UE.</w:t>
      </w:r>
    </w:p>
    <w:p w14:paraId="1E9674B3"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Investițiile</w:t>
      </w:r>
      <w:r w:rsidRPr="0018446E">
        <w:rPr>
          <w:rFonts w:ascii="Times New Roman" w:eastAsia="Times New Roman" w:hAnsi="Times New Roman"/>
          <w:lang w:val="ro-MD"/>
        </w:rPr>
        <w:t xml:space="preserve"> </w:t>
      </w:r>
      <w:r w:rsidRPr="0018446E">
        <w:rPr>
          <w:rFonts w:ascii="Times New Roman" w:eastAsia="Times New Roman" w:hAnsi="Times New Roman"/>
          <w:bCs/>
          <w:lang w:val="ro-MD"/>
        </w:rPr>
        <w:t>în industrie sunt în descreștere. Astfel, î</w:t>
      </w:r>
      <w:r w:rsidRPr="0018446E">
        <w:rPr>
          <w:rFonts w:ascii="Times New Roman" w:eastAsia="Times New Roman" w:hAnsi="Times New Roman"/>
          <w:lang w:val="ro-MD"/>
        </w:rPr>
        <w:t>n perioada 2018-2022 investițiile în sectorul industrial s-au diminuat cu 22%, fiind determinate de descreșterea investițiilor în industria prelucrătoare (-14%), în sectorul energetic (-41%) și în sectorul de alimentare cu apă; canalizare, gestionarea deșeurilor și activități de decontaminare (-59%). Doar în industria extractivă s-a înregistrat o creștere semnificativă (+20,3%). Investițiile în sectorul industrial au fost puternic afectate de incertitudinile create de criza pandemică din anul 2020 și criza economică din anul 2022, ani în care acestea au descrescut cu 20% și 32%, respectiv. În consecință, ponderea investițiilor în industrie în totalul investițiilor în active imobilizate a scăzut de la 21% în 2017 la 13% în anul 2022.</w:t>
      </w:r>
    </w:p>
    <w:p w14:paraId="0D07B97E"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Cs/>
          <w:lang w:val="ro-MD"/>
        </w:rPr>
        <w:t>Totodată, în anii 2018-2022</w:t>
      </w:r>
      <w:r w:rsidRPr="0018446E">
        <w:rPr>
          <w:rFonts w:ascii="Times New Roman" w:eastAsia="Times New Roman" w:hAnsi="Times New Roman"/>
          <w:bCs/>
          <w:vertAlign w:val="superscript"/>
          <w:lang w:val="ro-MD"/>
        </w:rPr>
        <w:footnoteReference w:id="3"/>
      </w:r>
      <w:r w:rsidRPr="0018446E">
        <w:rPr>
          <w:rFonts w:ascii="Times New Roman" w:eastAsia="Times New Roman" w:hAnsi="Times New Roman"/>
          <w:bCs/>
          <w:lang w:val="ro-MD"/>
        </w:rPr>
        <w:t xml:space="preserve"> investițiile în industria prelucrătoare s-au diminuat cu 27,2%, și, ca rezultat, ponderea acestora în volumul total al investițiilor s-a micșorat de la 13,3% în 2017 până la 9,7% în 2022 </w:t>
      </w:r>
      <w:r w:rsidRPr="0018446E">
        <w:rPr>
          <w:rFonts w:ascii="Times New Roman" w:eastAsia="Times New Roman" w:hAnsi="Times New Roman"/>
          <w:lang w:val="ro-MD"/>
        </w:rPr>
        <w:t>(Figura 3.1, Figura 3.2).</w:t>
      </w:r>
    </w:p>
    <w:p w14:paraId="7C63CEAB"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1BFC634B"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3C7A00C0"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2F7B8AAF"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3184399C" w14:textId="77777777" w:rsidR="0018446E" w:rsidRPr="0018446E" w:rsidRDefault="0018446E" w:rsidP="0018446E">
      <w:pPr>
        <w:spacing w:before="120" w:line="288" w:lineRule="auto"/>
        <w:ind w:left="0"/>
        <w:jc w:val="both"/>
        <w:rPr>
          <w:rFonts w:ascii="Times New Roman" w:eastAsia="Times New Roman" w:hAnsi="Times New Roman"/>
          <w:lang w:val="ro-MD"/>
        </w:rPr>
      </w:pPr>
    </w:p>
    <w:p w14:paraId="38A2EDF0" w14:textId="77777777" w:rsidR="0018446E" w:rsidRPr="0018446E" w:rsidRDefault="0018446E" w:rsidP="0018446E">
      <w:pPr>
        <w:spacing w:before="120" w:line="288" w:lineRule="auto"/>
        <w:ind w:left="0"/>
        <w:jc w:val="both"/>
        <w:rPr>
          <w:rFonts w:ascii="Times New Roman" w:eastAsia="Times New Roman" w:hAnsi="Times New Roman"/>
          <w:color w:val="70AD47" w:themeColor="accent6"/>
          <w:lang w:val="ro-MD"/>
        </w:rPr>
      </w:pPr>
    </w:p>
    <w:tbl>
      <w:tblPr>
        <w:tblW w:w="9561" w:type="dxa"/>
        <w:tblBorders>
          <w:top w:val="nil"/>
          <w:left w:val="nil"/>
          <w:bottom w:val="nil"/>
          <w:right w:val="nil"/>
          <w:insideH w:val="nil"/>
          <w:insideV w:val="nil"/>
        </w:tblBorders>
        <w:tblLayout w:type="fixed"/>
        <w:tblLook w:val="0400" w:firstRow="0" w:lastRow="0" w:firstColumn="0" w:lastColumn="0" w:noHBand="0" w:noVBand="1"/>
      </w:tblPr>
      <w:tblGrid>
        <w:gridCol w:w="4573"/>
        <w:gridCol w:w="4476"/>
        <w:gridCol w:w="512"/>
      </w:tblGrid>
      <w:tr w:rsidR="0018446E" w:rsidRPr="0018446E" w14:paraId="5A65E2E6" w14:textId="77777777" w:rsidTr="00B0372F">
        <w:trPr>
          <w:trHeight w:val="882"/>
        </w:trPr>
        <w:tc>
          <w:tcPr>
            <w:tcW w:w="4573" w:type="dxa"/>
          </w:tcPr>
          <w:p w14:paraId="5D8EE8FA"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 xml:space="preserve">Figura 2.18. Contribuția activităților economice la dinamica totală a investițiilor în active imobilizate în anul 2022, </w:t>
            </w:r>
            <w:proofErr w:type="spellStart"/>
            <w:r w:rsidRPr="0018446E">
              <w:rPr>
                <w:rFonts w:ascii="Times New Roman" w:eastAsia="Times New Roman" w:hAnsi="Times New Roman"/>
                <w:b/>
                <w:sz w:val="20"/>
                <w:szCs w:val="20"/>
                <w:lang w:val="ro-MD"/>
              </w:rPr>
              <w:t>p.p.</w:t>
            </w:r>
            <w:proofErr w:type="spellEnd"/>
          </w:p>
          <w:p w14:paraId="4E8CA206"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p>
        </w:tc>
        <w:tc>
          <w:tcPr>
            <w:tcW w:w="4988" w:type="dxa"/>
            <w:gridSpan w:val="2"/>
          </w:tcPr>
          <w:p w14:paraId="0430ACE8" w14:textId="77777777" w:rsidR="0018446E" w:rsidRPr="0018446E" w:rsidRDefault="0018446E" w:rsidP="0018446E">
            <w:pPr>
              <w:spacing w:after="0" w:line="240" w:lineRule="auto"/>
              <w:ind w:left="0"/>
              <w:jc w:val="center"/>
              <w:rPr>
                <w:rFonts w:ascii="Times New Roman" w:eastAsia="Times New Roman" w:hAnsi="Times New Roman"/>
                <w:sz w:val="28"/>
                <w:szCs w:val="28"/>
                <w:lang w:val="ro-MD"/>
              </w:rPr>
            </w:pPr>
            <w:r w:rsidRPr="0018446E">
              <w:rPr>
                <w:rFonts w:ascii="Times New Roman" w:eastAsia="Times New Roman" w:hAnsi="Times New Roman"/>
                <w:b/>
                <w:sz w:val="20"/>
                <w:szCs w:val="20"/>
                <w:lang w:val="ro-MD"/>
              </w:rPr>
              <w:t>Figura 2.19. Structura investițiilor în active imobilizate pe activități economice în anul 2022, mil. lei</w:t>
            </w:r>
          </w:p>
        </w:tc>
      </w:tr>
      <w:tr w:rsidR="0018446E" w:rsidRPr="0018446E" w14:paraId="5B6E10C4" w14:textId="77777777" w:rsidTr="00B0372F">
        <w:trPr>
          <w:gridAfter w:val="1"/>
          <w:wAfter w:w="512" w:type="dxa"/>
          <w:trHeight w:val="4706"/>
        </w:trPr>
        <w:tc>
          <w:tcPr>
            <w:tcW w:w="4573" w:type="dxa"/>
          </w:tcPr>
          <w:p w14:paraId="11BE6840" w14:textId="77777777" w:rsidR="0018446E" w:rsidRPr="0018446E" w:rsidRDefault="0018446E" w:rsidP="0018446E">
            <w:pPr>
              <w:tabs>
                <w:tab w:val="right" w:pos="4651"/>
              </w:tabs>
              <w:spacing w:after="0" w:line="240" w:lineRule="auto"/>
              <w:ind w:left="0"/>
              <w:rPr>
                <w:rFonts w:ascii="Times New Roman" w:eastAsia="Times New Roman" w:hAnsi="Times New Roman"/>
                <w:sz w:val="28"/>
                <w:szCs w:val="28"/>
                <w:lang w:val="ro-MD"/>
              </w:rPr>
            </w:pPr>
            <w:r w:rsidRPr="0018446E">
              <w:rPr>
                <w:rFonts w:ascii="Times New Roman" w:eastAsia="Times New Roman" w:hAnsi="Times New Roman"/>
                <w:noProof/>
                <w:lang w:val="en-US"/>
              </w:rPr>
              <w:drawing>
                <wp:anchor distT="0" distB="0" distL="114300" distR="114300" simplePos="0" relativeHeight="251670528" behindDoc="0" locked="0" layoutInCell="1" hidden="0" allowOverlap="1" wp14:anchorId="5FAB0077" wp14:editId="3E3DAC26">
                  <wp:simplePos x="0" y="0"/>
                  <wp:positionH relativeFrom="column">
                    <wp:posOffset>-62230</wp:posOffset>
                  </wp:positionH>
                  <wp:positionV relativeFrom="paragraph">
                    <wp:posOffset>65405</wp:posOffset>
                  </wp:positionV>
                  <wp:extent cx="2689860" cy="2877820"/>
                  <wp:effectExtent l="0" t="0" r="15240" b="17780"/>
                  <wp:wrapSquare wrapText="bothSides" distT="0" distB="0" distL="114300" distR="1143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tc>
        <w:tc>
          <w:tcPr>
            <w:tcW w:w="4476" w:type="dxa"/>
          </w:tcPr>
          <w:p w14:paraId="50B218CB" w14:textId="77777777" w:rsidR="0018446E" w:rsidRPr="0018446E" w:rsidRDefault="0018446E" w:rsidP="0018446E">
            <w:pPr>
              <w:spacing w:after="0" w:line="240" w:lineRule="auto"/>
              <w:ind w:left="0"/>
              <w:rPr>
                <w:rFonts w:ascii="Times New Roman" w:eastAsia="Times New Roman" w:hAnsi="Times New Roman"/>
                <w:sz w:val="28"/>
                <w:szCs w:val="28"/>
                <w:lang w:val="ro-MD"/>
              </w:rPr>
            </w:pPr>
            <w:r w:rsidRPr="0018446E">
              <w:rPr>
                <w:rFonts w:ascii="Times New Roman" w:eastAsia="Times New Roman" w:hAnsi="Times New Roman"/>
                <w:noProof/>
                <w:lang w:val="en-US"/>
              </w:rPr>
              <w:drawing>
                <wp:anchor distT="0" distB="0" distL="114300" distR="114300" simplePos="0" relativeHeight="251671552" behindDoc="0" locked="0" layoutInCell="1" hidden="0" allowOverlap="1" wp14:anchorId="5F01FC41" wp14:editId="6A372A45">
                  <wp:simplePos x="0" y="0"/>
                  <wp:positionH relativeFrom="column">
                    <wp:posOffset>-68580</wp:posOffset>
                  </wp:positionH>
                  <wp:positionV relativeFrom="paragraph">
                    <wp:posOffset>34925</wp:posOffset>
                  </wp:positionV>
                  <wp:extent cx="2956560" cy="2886075"/>
                  <wp:effectExtent l="0" t="0" r="15240" b="9525"/>
                  <wp:wrapSquare wrapText="bothSides" distT="0" distB="0" distL="114300" distR="1143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p>
        </w:tc>
      </w:tr>
      <w:tr w:rsidR="0018446E" w:rsidRPr="0018446E" w14:paraId="64629370" w14:textId="77777777" w:rsidTr="00B0372F">
        <w:trPr>
          <w:trHeight w:val="422"/>
        </w:trPr>
        <w:tc>
          <w:tcPr>
            <w:tcW w:w="4573" w:type="dxa"/>
          </w:tcPr>
          <w:p w14:paraId="2886140F" w14:textId="77777777" w:rsidR="0018446E" w:rsidRPr="0018446E" w:rsidRDefault="0018446E" w:rsidP="0018446E">
            <w:pPr>
              <w:spacing w:after="0" w:line="240" w:lineRule="auto"/>
              <w:ind w:left="0"/>
              <w:rPr>
                <w:rFonts w:ascii="Times New Roman" w:eastAsia="Times New Roman" w:hAnsi="Times New Roman"/>
                <w:b/>
                <w:sz w:val="20"/>
                <w:szCs w:val="20"/>
                <w:lang w:val="ro-MD"/>
              </w:rPr>
            </w:pPr>
          </w:p>
        </w:tc>
        <w:tc>
          <w:tcPr>
            <w:tcW w:w="4988" w:type="dxa"/>
            <w:gridSpan w:val="2"/>
          </w:tcPr>
          <w:p w14:paraId="3ABC49A8" w14:textId="77777777" w:rsidR="0018446E" w:rsidRPr="0018446E" w:rsidRDefault="0018446E" w:rsidP="0018446E">
            <w:pPr>
              <w:spacing w:after="0" w:line="240" w:lineRule="auto"/>
              <w:ind w:left="0"/>
              <w:jc w:val="center"/>
              <w:rPr>
                <w:rFonts w:ascii="Times New Roman" w:eastAsia="Times New Roman" w:hAnsi="Times New Roman"/>
                <w:sz w:val="18"/>
                <w:szCs w:val="18"/>
                <w:lang w:val="ro-MD"/>
              </w:rPr>
            </w:pPr>
            <w:r w:rsidRPr="0018446E">
              <w:rPr>
                <w:rFonts w:ascii="Times New Roman" w:eastAsia="Times New Roman" w:hAnsi="Times New Roman"/>
                <w:i/>
                <w:iCs/>
                <w:sz w:val="18"/>
                <w:szCs w:val="18"/>
                <w:lang w:val="ro-MD"/>
              </w:rPr>
              <w:t>Sursa</w:t>
            </w:r>
            <w:r w:rsidRPr="0018446E">
              <w:rPr>
                <w:rFonts w:ascii="Times New Roman" w:eastAsia="Times New Roman" w:hAnsi="Times New Roman"/>
                <w:sz w:val="18"/>
                <w:szCs w:val="18"/>
                <w:lang w:val="ro-MD"/>
              </w:rPr>
              <w:t>: Biroul Național de Statistică, calculele MDED</w:t>
            </w:r>
          </w:p>
        </w:tc>
      </w:tr>
    </w:tbl>
    <w:p w14:paraId="34BF0E9F"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Aproximativ 59% din volumul total al investițiilor în sectorul industriei prelucrătoare au fost direcționate în 3 activități: industria alimentară (30,9%), fabricarea altor produse din minerale nemetalice (14,3%) și  fabricarea băuturilor (13,2%) (Figura 3.3).  Totodată, pe parcursul ultimilor 5 ani (2018-2022) volumul real al investițiilor în aceste 3 activități s-a diminuat: în  industria alimentară - cu 11,9%, în fabricarea băuturilor - cu 13,8%, în fabricarea altor produse din minerale nemetalice - cu 53,3% (Figura 3.4). </w:t>
      </w:r>
    </w:p>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4855"/>
        <w:gridCol w:w="4775"/>
      </w:tblGrid>
      <w:tr w:rsidR="0018446E" w:rsidRPr="0018446E" w14:paraId="42DEB115" w14:textId="77777777" w:rsidTr="00B0372F">
        <w:tc>
          <w:tcPr>
            <w:tcW w:w="4855" w:type="dxa"/>
          </w:tcPr>
          <w:p w14:paraId="20A0C8EC" w14:textId="77777777" w:rsidR="0018446E" w:rsidRPr="0018446E" w:rsidRDefault="0018446E" w:rsidP="0018446E">
            <w:pPr>
              <w:spacing w:after="0" w:line="240" w:lineRule="auto"/>
              <w:ind w:left="391" w:right="96" w:hanging="11"/>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 xml:space="preserve">Figura 2.20. Dinamica volumului investițiilor </w:t>
            </w:r>
          </w:p>
          <w:p w14:paraId="5348D36F" w14:textId="77777777" w:rsidR="0018446E" w:rsidRPr="0018446E" w:rsidRDefault="0018446E" w:rsidP="0018446E">
            <w:pPr>
              <w:spacing w:after="0" w:line="240" w:lineRule="auto"/>
              <w:ind w:left="391" w:right="96" w:hanging="11"/>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 xml:space="preserve">în active imobilizate în industria prelucrătoare, </w:t>
            </w:r>
          </w:p>
          <w:p w14:paraId="2BE43107" w14:textId="77777777" w:rsidR="0018446E" w:rsidRPr="0018446E" w:rsidRDefault="0018446E" w:rsidP="0018446E">
            <w:pPr>
              <w:spacing w:after="0" w:line="240" w:lineRule="auto"/>
              <w:ind w:left="391" w:right="96" w:hanging="11"/>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mil. Lei</w:t>
            </w:r>
          </w:p>
        </w:tc>
        <w:tc>
          <w:tcPr>
            <w:tcW w:w="4775" w:type="dxa"/>
          </w:tcPr>
          <w:p w14:paraId="6C399C01" w14:textId="77777777" w:rsidR="0018446E" w:rsidRPr="0018446E" w:rsidRDefault="0018446E" w:rsidP="0018446E">
            <w:pPr>
              <w:spacing w:after="0" w:line="240" w:lineRule="auto"/>
              <w:ind w:left="391" w:right="96" w:hanging="11"/>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2.21. Dinamica investițiilor în active imobilizate în 2022 față de 2017, %</w:t>
            </w:r>
          </w:p>
          <w:p w14:paraId="7922B09F" w14:textId="77777777" w:rsidR="0018446E" w:rsidRPr="0018446E" w:rsidRDefault="0018446E" w:rsidP="0018446E">
            <w:pPr>
              <w:spacing w:after="0" w:line="240" w:lineRule="auto"/>
              <w:ind w:left="391" w:right="96" w:hanging="11"/>
              <w:jc w:val="center"/>
              <w:rPr>
                <w:rFonts w:ascii="Times New Roman" w:eastAsia="Times New Roman" w:hAnsi="Times New Roman"/>
                <w:b/>
                <w:sz w:val="20"/>
                <w:szCs w:val="20"/>
                <w:lang w:val="ro-MD"/>
              </w:rPr>
            </w:pPr>
          </w:p>
        </w:tc>
      </w:tr>
      <w:tr w:rsidR="0018446E" w:rsidRPr="0018446E" w14:paraId="755C7E5D" w14:textId="77777777" w:rsidTr="00B0372F">
        <w:trPr>
          <w:trHeight w:val="4425"/>
        </w:trPr>
        <w:tc>
          <w:tcPr>
            <w:tcW w:w="4855" w:type="dxa"/>
          </w:tcPr>
          <w:p w14:paraId="743C4D11" w14:textId="77777777" w:rsidR="0018446E" w:rsidRPr="0018446E" w:rsidRDefault="0018446E" w:rsidP="0018446E">
            <w:pPr>
              <w:spacing w:after="0" w:line="240" w:lineRule="auto"/>
              <w:ind w:left="0"/>
              <w:jc w:val="right"/>
              <w:rPr>
                <w:rFonts w:ascii="Times New Roman" w:eastAsia="Times New Roman" w:hAnsi="Times New Roman"/>
                <w:sz w:val="28"/>
                <w:szCs w:val="28"/>
                <w:lang w:val="ro-MD"/>
              </w:rPr>
            </w:pPr>
            <w:r w:rsidRPr="0018446E">
              <w:rPr>
                <w:rFonts w:ascii="Times New Roman" w:eastAsia="Times New Roman" w:hAnsi="Times New Roman"/>
                <w:b/>
                <w:noProof/>
                <w:sz w:val="20"/>
                <w:szCs w:val="20"/>
                <w:lang w:val="en-US"/>
              </w:rPr>
              <w:lastRenderedPageBreak/>
              <w:drawing>
                <wp:inline distT="0" distB="0" distL="0" distR="0" wp14:anchorId="615D7F0B" wp14:editId="5ADFAB00">
                  <wp:extent cx="2740025" cy="2999232"/>
                  <wp:effectExtent l="0" t="0" r="3175" b="107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775" w:type="dxa"/>
          </w:tcPr>
          <w:p w14:paraId="4865683B" w14:textId="77777777" w:rsidR="0018446E" w:rsidRPr="0018446E" w:rsidRDefault="0018446E" w:rsidP="0018446E">
            <w:pPr>
              <w:spacing w:after="0" w:line="240" w:lineRule="auto"/>
              <w:ind w:left="0"/>
              <w:jc w:val="center"/>
              <w:rPr>
                <w:rFonts w:ascii="Times New Roman" w:eastAsia="Times New Roman" w:hAnsi="Times New Roman"/>
                <w:sz w:val="28"/>
                <w:szCs w:val="28"/>
                <w:lang w:val="ro-MD"/>
              </w:rPr>
            </w:pPr>
            <w:r w:rsidRPr="0018446E">
              <w:rPr>
                <w:rFonts w:ascii="Times New Roman" w:eastAsia="Times New Roman" w:hAnsi="Times New Roman"/>
                <w:b/>
                <w:noProof/>
                <w:sz w:val="20"/>
                <w:szCs w:val="20"/>
                <w:lang w:val="en-US"/>
              </w:rPr>
              <w:drawing>
                <wp:inline distT="0" distB="0" distL="0" distR="0" wp14:anchorId="51B00F51" wp14:editId="6A487AFA">
                  <wp:extent cx="3121025" cy="298094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18446E" w:rsidRPr="0018446E" w14:paraId="7CB75791" w14:textId="77777777" w:rsidTr="00B0372F">
        <w:tc>
          <w:tcPr>
            <w:tcW w:w="4855" w:type="dxa"/>
          </w:tcPr>
          <w:p w14:paraId="7868BB4E"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p>
        </w:tc>
        <w:tc>
          <w:tcPr>
            <w:tcW w:w="4775" w:type="dxa"/>
          </w:tcPr>
          <w:p w14:paraId="64E6938C" w14:textId="77777777" w:rsidR="0018446E" w:rsidRPr="0018446E" w:rsidRDefault="0018446E" w:rsidP="0018446E">
            <w:pPr>
              <w:spacing w:after="0" w:line="240" w:lineRule="auto"/>
              <w:ind w:left="0"/>
              <w:jc w:val="right"/>
              <w:rPr>
                <w:rFonts w:ascii="Times New Roman" w:eastAsia="Times New Roman" w:hAnsi="Times New Roman"/>
                <w:b/>
                <w:sz w:val="20"/>
                <w:szCs w:val="20"/>
                <w:lang w:val="ro-MD"/>
              </w:rPr>
            </w:pPr>
            <w:r w:rsidRPr="0018446E">
              <w:rPr>
                <w:rFonts w:ascii="Times New Roman" w:eastAsia="Times New Roman" w:hAnsi="Times New Roman"/>
                <w:sz w:val="18"/>
                <w:szCs w:val="18"/>
                <w:lang w:val="ro-MD"/>
              </w:rPr>
              <w:t>Sursa: Biroul Național de Statistică, calculele MDED</w:t>
            </w:r>
          </w:p>
        </w:tc>
      </w:tr>
    </w:tbl>
    <w:p w14:paraId="20A76398"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Cs/>
          <w:lang w:val="ro-MD"/>
        </w:rPr>
        <w:t>De asemenea, ponderea creditelor acordate industriei prelucrătoare în portofoliul total al creditelor acordate persoanelor juridice a fost în diminuare în ultimii 5 ani</w:t>
      </w:r>
      <w:r w:rsidRPr="0018446E">
        <w:rPr>
          <w:rFonts w:ascii="Times New Roman" w:eastAsia="Times New Roman" w:hAnsi="Times New Roman"/>
          <w:lang w:val="ro-MD"/>
        </w:rPr>
        <w:t xml:space="preserve"> de la 23% la sfârșitul anului 2017 până la 18% la sfârșitul anului 2022, acestea sporind cu numai 25%, spre deosebire de majorarea accentuată a creditelor acordate altor sectoare economice, în special comerțului (+43%) și mediului financiar nebancar (+1,9 ori) (Figura 3.6). </w:t>
      </w:r>
    </w:p>
    <w:tbl>
      <w:tblPr>
        <w:tblW w:w="9720" w:type="dxa"/>
        <w:tblBorders>
          <w:top w:val="nil"/>
          <w:left w:val="nil"/>
          <w:bottom w:val="nil"/>
          <w:right w:val="nil"/>
          <w:insideH w:val="nil"/>
          <w:insideV w:val="nil"/>
        </w:tblBorders>
        <w:tblLayout w:type="fixed"/>
        <w:tblLook w:val="0400" w:firstRow="0" w:lastRow="0" w:firstColumn="0" w:lastColumn="0" w:noHBand="0" w:noVBand="1"/>
      </w:tblPr>
      <w:tblGrid>
        <w:gridCol w:w="5069"/>
        <w:gridCol w:w="4651"/>
      </w:tblGrid>
      <w:tr w:rsidR="0018446E" w:rsidRPr="0018446E" w14:paraId="4116D9E2" w14:textId="77777777" w:rsidTr="00B0372F">
        <w:trPr>
          <w:trHeight w:val="692"/>
        </w:trPr>
        <w:tc>
          <w:tcPr>
            <w:tcW w:w="5069" w:type="dxa"/>
          </w:tcPr>
          <w:p w14:paraId="50A472E5"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b/>
                <w:sz w:val="20"/>
                <w:szCs w:val="20"/>
                <w:lang w:val="ro-MD"/>
              </w:rPr>
              <w:t>Figura 2.22. Soldul portofoliului de credite acordate persoanelor juridice la sfârșitul anului, mil. lei</w:t>
            </w:r>
          </w:p>
        </w:tc>
        <w:tc>
          <w:tcPr>
            <w:tcW w:w="4651" w:type="dxa"/>
          </w:tcPr>
          <w:p w14:paraId="4FD88944" w14:textId="77777777" w:rsidR="0018446E" w:rsidRPr="0018446E" w:rsidRDefault="0018446E" w:rsidP="0018446E">
            <w:pPr>
              <w:spacing w:after="0" w:line="240" w:lineRule="auto"/>
              <w:ind w:left="0"/>
              <w:jc w:val="center"/>
              <w:rPr>
                <w:rFonts w:ascii="Times New Roman" w:eastAsia="Times New Roman" w:hAnsi="Times New Roman"/>
                <w:sz w:val="28"/>
                <w:szCs w:val="28"/>
                <w:lang w:val="ro-MD"/>
              </w:rPr>
            </w:pPr>
            <w:r w:rsidRPr="0018446E">
              <w:rPr>
                <w:rFonts w:ascii="Times New Roman" w:eastAsia="Times New Roman" w:hAnsi="Times New Roman"/>
                <w:b/>
                <w:sz w:val="20"/>
                <w:szCs w:val="20"/>
                <w:lang w:val="ro-MD"/>
              </w:rPr>
              <w:t>Figura 2.23. Dinamica portofoliului de credite acordate persoanelor juridice la sfârșitul anului 2022 față de sfârșitul anului 2017, %</w:t>
            </w:r>
          </w:p>
        </w:tc>
      </w:tr>
      <w:tr w:rsidR="0018446E" w:rsidRPr="0018446E" w14:paraId="48781D4C" w14:textId="77777777" w:rsidTr="00B0372F">
        <w:trPr>
          <w:trHeight w:val="5038"/>
        </w:trPr>
        <w:tc>
          <w:tcPr>
            <w:tcW w:w="5069" w:type="dxa"/>
          </w:tcPr>
          <w:p w14:paraId="24B18753" w14:textId="77777777" w:rsidR="0018446E" w:rsidRPr="0018446E" w:rsidRDefault="0018446E" w:rsidP="0018446E">
            <w:pPr>
              <w:spacing w:after="0" w:line="240" w:lineRule="auto"/>
              <w:ind w:left="0"/>
              <w:rPr>
                <w:rFonts w:ascii="Times New Roman" w:eastAsia="Times New Roman" w:hAnsi="Times New Roman"/>
                <w:sz w:val="28"/>
                <w:szCs w:val="28"/>
                <w:lang w:val="ro-MD"/>
              </w:rPr>
            </w:pPr>
            <w:r w:rsidRPr="0018446E">
              <w:rPr>
                <w:rFonts w:ascii="Times New Roman" w:eastAsia="Times New Roman" w:hAnsi="Times New Roman"/>
                <w:noProof/>
                <w:lang w:val="en-US"/>
              </w:rPr>
              <w:drawing>
                <wp:anchor distT="0" distB="0" distL="114300" distR="114300" simplePos="0" relativeHeight="251672576" behindDoc="0" locked="0" layoutInCell="1" hidden="0" allowOverlap="1" wp14:anchorId="79A2BFE1" wp14:editId="73A80CA0">
                  <wp:simplePos x="0" y="0"/>
                  <wp:positionH relativeFrom="column">
                    <wp:posOffset>-1270</wp:posOffset>
                  </wp:positionH>
                  <wp:positionV relativeFrom="paragraph">
                    <wp:posOffset>65405</wp:posOffset>
                  </wp:positionV>
                  <wp:extent cx="2918460" cy="3409315"/>
                  <wp:effectExtent l="0" t="0" r="15240" b="635"/>
                  <wp:wrapSquare wrapText="bothSides" distT="0" distB="0" distL="114300" distR="1143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p>
        </w:tc>
        <w:tc>
          <w:tcPr>
            <w:tcW w:w="4651" w:type="dxa"/>
          </w:tcPr>
          <w:p w14:paraId="49A134EC" w14:textId="77777777" w:rsidR="0018446E" w:rsidRPr="0018446E" w:rsidRDefault="0018446E" w:rsidP="0018446E">
            <w:pPr>
              <w:spacing w:after="0" w:line="240" w:lineRule="auto"/>
              <w:ind w:left="0"/>
              <w:rPr>
                <w:rFonts w:ascii="Times New Roman" w:eastAsia="Times New Roman" w:hAnsi="Times New Roman"/>
                <w:sz w:val="28"/>
                <w:szCs w:val="28"/>
                <w:lang w:val="ro-MD"/>
              </w:rPr>
            </w:pPr>
            <w:r w:rsidRPr="0018446E">
              <w:rPr>
                <w:rFonts w:ascii="Times New Roman" w:eastAsia="Times New Roman" w:hAnsi="Times New Roman"/>
                <w:noProof/>
                <w:lang w:val="en-US"/>
              </w:rPr>
              <w:drawing>
                <wp:anchor distT="0" distB="0" distL="114300" distR="114300" simplePos="0" relativeHeight="251673600" behindDoc="0" locked="0" layoutInCell="1" hidden="0" allowOverlap="1" wp14:anchorId="10F959ED" wp14:editId="48FBA00E">
                  <wp:simplePos x="0" y="0"/>
                  <wp:positionH relativeFrom="column">
                    <wp:posOffset>8890</wp:posOffset>
                  </wp:positionH>
                  <wp:positionV relativeFrom="paragraph">
                    <wp:posOffset>96520</wp:posOffset>
                  </wp:positionV>
                  <wp:extent cx="2743200" cy="3386455"/>
                  <wp:effectExtent l="0" t="0" r="0" b="4445"/>
                  <wp:wrapSquare wrapText="bothSides" distT="0" distB="0" distL="114300" distR="1143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tc>
      </w:tr>
      <w:tr w:rsidR="0018446E" w:rsidRPr="0018446E" w14:paraId="0014D224" w14:textId="77777777" w:rsidTr="00B0372F">
        <w:trPr>
          <w:trHeight w:val="230"/>
        </w:trPr>
        <w:tc>
          <w:tcPr>
            <w:tcW w:w="5069" w:type="dxa"/>
          </w:tcPr>
          <w:p w14:paraId="4308C51A"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p>
        </w:tc>
        <w:tc>
          <w:tcPr>
            <w:tcW w:w="4651" w:type="dxa"/>
          </w:tcPr>
          <w:p w14:paraId="427E3DC7" w14:textId="77777777" w:rsidR="0018446E" w:rsidRPr="0018446E" w:rsidRDefault="0018446E" w:rsidP="0018446E">
            <w:pPr>
              <w:spacing w:after="0" w:line="240" w:lineRule="auto"/>
              <w:ind w:left="0"/>
              <w:jc w:val="center"/>
              <w:rPr>
                <w:rFonts w:ascii="Times New Roman" w:eastAsia="Times New Roman" w:hAnsi="Times New Roman"/>
                <w:b/>
                <w:sz w:val="20"/>
                <w:szCs w:val="20"/>
                <w:lang w:val="ro-MD"/>
              </w:rPr>
            </w:pPr>
            <w:r w:rsidRPr="0018446E">
              <w:rPr>
                <w:rFonts w:ascii="Times New Roman" w:eastAsia="Times New Roman" w:hAnsi="Times New Roman"/>
                <w:i/>
                <w:iCs/>
                <w:sz w:val="18"/>
                <w:szCs w:val="18"/>
                <w:lang w:val="ro-MD"/>
              </w:rPr>
              <w:t>Sursa:</w:t>
            </w:r>
            <w:r w:rsidRPr="0018446E">
              <w:rPr>
                <w:rFonts w:ascii="Times New Roman" w:eastAsia="Times New Roman" w:hAnsi="Times New Roman"/>
                <w:sz w:val="18"/>
                <w:szCs w:val="18"/>
                <w:lang w:val="ro-MD"/>
              </w:rPr>
              <w:t xml:space="preserve"> Biroul Național de Statistică, calculele MDED</w:t>
            </w:r>
          </w:p>
        </w:tc>
      </w:tr>
    </w:tbl>
    <w:p w14:paraId="39CE5032" w14:textId="77777777" w:rsidR="0018446E" w:rsidRPr="0018446E" w:rsidRDefault="0018446E" w:rsidP="0018446E">
      <w:pPr>
        <w:spacing w:after="0" w:line="240" w:lineRule="auto"/>
        <w:ind w:left="0" w:firstLine="709"/>
        <w:jc w:val="both"/>
        <w:rPr>
          <w:rFonts w:ascii="Times New Roman" w:eastAsia="Times New Roman" w:hAnsi="Times New Roman"/>
          <w:sz w:val="28"/>
          <w:szCs w:val="28"/>
          <w:lang w:val="ro-MD"/>
        </w:rPr>
      </w:pPr>
    </w:p>
    <w:p w14:paraId="3AE772F2"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lastRenderedPageBreak/>
        <w:t>Munca</w:t>
      </w:r>
      <w:r w:rsidRPr="0018446E">
        <w:rPr>
          <w:rFonts w:ascii="Times New Roman" w:eastAsia="Times New Roman" w:hAnsi="Times New Roman"/>
          <w:b/>
          <w:bCs/>
          <w:lang w:val="ro-MD"/>
        </w:rPr>
        <w:t>.</w:t>
      </w:r>
      <w:r w:rsidRPr="0018446E">
        <w:rPr>
          <w:rFonts w:ascii="Times New Roman" w:eastAsia="Times New Roman" w:hAnsi="Times New Roman"/>
          <w:lang w:val="ro-MD"/>
        </w:rPr>
        <w:t xml:space="preserve"> Deficitul forței de muncă, calificată și necalificată, reprezintă o problemă structurală a economiei Republicii Moldova, în particular o problemă pentru industria autohtonă. Deși numărul total de salariați din industrie a crescut cu cca 5% în ultimul deceniu, aceasta s-a datorat dezvoltării unor sectoare industriale cu utilizare intensivă a forței de muncă, în timp ce numărul de salariați a scăzut puternic în industrii precum: industria de fabricare a echipamentelor electrice (-68% față de 2014), sectorul energetic (-14%), industria încălțămintei și a articolelor din piele (-26%), repararea și instalarea de mașini (-44%), fabricarea băuturilor (-9%), fabricarea produselor electronice (-39%), industria metalurgică (-74%) etc. Această scădere se explică prin închiderea companiilor în contextul diferitelor crize (financiar-bancară, pandemie, războiul din țara vecină etc.), retragerea investitorilor străini de pe piața moldovenească, precum și datorită implementării noilor tehnologii.</w:t>
      </w:r>
    </w:p>
    <w:p w14:paraId="5C317ACA"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71407F28"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Conform Raportului – Prognoza pieței muncii pentru anul 2023 din perspectiva angajatorilor – , elaborat de către Agenția Națională pentru Ocuparea Forței de Muncă (ANOFM), se atestă o creștere dublă în anul 2022, comparativ cu 2021, al agenților economici, care au invocat lipsa personalului calificat </w:t>
      </w:r>
      <w:proofErr w:type="spellStart"/>
      <w:r w:rsidRPr="0018446E">
        <w:rPr>
          <w:rFonts w:ascii="Times New Roman" w:eastAsia="Times New Roman" w:hAnsi="Times New Roman"/>
          <w:lang w:val="ro-MD"/>
        </w:rPr>
        <w:t>şi</w:t>
      </w:r>
      <w:proofErr w:type="spellEnd"/>
      <w:r w:rsidRPr="0018446E">
        <w:rPr>
          <w:rFonts w:ascii="Times New Roman" w:eastAsia="Times New Roman" w:hAnsi="Times New Roman"/>
          <w:lang w:val="ro-MD"/>
        </w:rPr>
        <w:t xml:space="preserve"> numărul redus de personal ca unul din principale motive a neocupării locurilor vacante și necompletării statelor de personal. Industria prelucrătoare este al 2-ea cel mai afectat sector de deficitul de forță de muncă (14%), după comerțul cu ridicata și amănuntul, în timp ce tendințele cu privire la deficitul forței de muncă sunt anticipate de către angajatori și pentru anul 2023</w:t>
      </w:r>
      <w:r w:rsidRPr="0018446E">
        <w:rPr>
          <w:rFonts w:ascii="Times New Roman" w:eastAsia="Times New Roman" w:hAnsi="Times New Roman"/>
          <w:vertAlign w:val="superscript"/>
          <w:lang w:val="ro-MD"/>
        </w:rPr>
        <w:footnoteReference w:id="4"/>
      </w:r>
      <w:r w:rsidRPr="0018446E">
        <w:rPr>
          <w:rFonts w:ascii="Times New Roman" w:eastAsia="Times New Roman" w:hAnsi="Times New Roman"/>
          <w:lang w:val="ro-MD"/>
        </w:rPr>
        <w:t xml:space="preserve">.  </w:t>
      </w:r>
    </w:p>
    <w:p w14:paraId="525B1153"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0AB4774B"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 xml:space="preserve">Competitivitatea. </w:t>
      </w:r>
      <w:r w:rsidRPr="0018446E">
        <w:rPr>
          <w:rFonts w:ascii="Times New Roman" w:eastAsia="Times New Roman" w:hAnsi="Times New Roman"/>
          <w:bCs/>
          <w:lang w:val="ro-MD"/>
        </w:rPr>
        <w:t>Gradul de competitivitate industrială a Moldovei este redus, în ultimii 30 de ani având o tendință evidentă de diminuare.</w:t>
      </w:r>
      <w:r w:rsidRPr="0018446E">
        <w:rPr>
          <w:rFonts w:ascii="Times New Roman" w:eastAsia="Times New Roman" w:hAnsi="Times New Roman"/>
          <w:lang w:val="ro-MD"/>
        </w:rPr>
        <w:t xml:space="preserve"> Indicele competitivității industriale a scăzut puternic în primii 10 ani de la declararea independenței, iar începând cu </w:t>
      </w:r>
      <w:sdt>
        <w:sdtPr>
          <w:rPr>
            <w:rFonts w:ascii="Times New Roman" w:eastAsia="Times New Roman" w:hAnsi="Times New Roman"/>
            <w:lang w:val="ro-MD"/>
          </w:rPr>
          <w:tag w:val="goog_rdk_38"/>
          <w:id w:val="-1467804404"/>
        </w:sdtPr>
        <w:sdtContent>
          <w:r w:rsidRPr="0018446E">
            <w:rPr>
              <w:rFonts w:ascii="Times New Roman" w:eastAsia="Times New Roman" w:hAnsi="Times New Roman"/>
              <w:highlight w:val="white"/>
              <w:lang w:val="ro-MD"/>
            </w:rPr>
            <w:t>anii `</w:t>
          </w:r>
        </w:sdtContent>
      </w:sdt>
      <w:r w:rsidRPr="0018446E">
        <w:rPr>
          <w:rFonts w:ascii="Times New Roman" w:eastAsia="Times New Roman" w:hAnsi="Times New Roman"/>
          <w:lang w:val="ro-MD"/>
        </w:rPr>
        <w:t xml:space="preserve">2000 până în prezent s-a menținut la un nivel relativ stabil cuprins între 0,011-0,012, nereușind să atingă nivelul anului 1990 (0,018) (Figura 1.8). Potrivit celor mai recente date disponibile, în anul 2021 Indicele competitivității industriale calculat de Organizația Națiunilor Unite pentru Dezvoltare Industrială (UNIDO) a constituit 0,011 pentru Republica Moldova, fiind mult mai redus comparativ cu nivelul mediu global (0,061). Astfel, Moldova se plasează pe locul 104 din 153 țări și se regăsește în </w:t>
      </w:r>
      <w:proofErr w:type="spellStart"/>
      <w:r w:rsidRPr="0018446E">
        <w:rPr>
          <w:rFonts w:ascii="Times New Roman" w:eastAsia="Times New Roman" w:hAnsi="Times New Roman"/>
          <w:lang w:val="ro-MD"/>
        </w:rPr>
        <w:t>quintila</w:t>
      </w:r>
      <w:proofErr w:type="spellEnd"/>
      <w:r w:rsidRPr="0018446E">
        <w:rPr>
          <w:rFonts w:ascii="Times New Roman" w:eastAsia="Times New Roman" w:hAnsi="Times New Roman"/>
          <w:lang w:val="ro-MD"/>
        </w:rPr>
        <w:t xml:space="preserve"> țărilor cu nivelul de dezvoltare a industriei mediu-redus (Tabelul 1.2.), alături de Armenia (93), Georgia (95), Senegal (102), Namibia (103), Liban (105), Azerbaidjan (106), Jamaica (107) și Albania (112). </w:t>
      </w:r>
    </w:p>
    <w:p w14:paraId="48513F6E" w14:textId="77777777" w:rsidR="0018446E" w:rsidRPr="0018446E" w:rsidRDefault="0018446E" w:rsidP="0018446E">
      <w:pPr>
        <w:spacing w:after="160" w:line="240" w:lineRule="auto"/>
        <w:ind w:left="0"/>
        <w:rPr>
          <w:rFonts w:ascii="Times New Roman" w:eastAsia="Times New Roman" w:hAnsi="Times New Roman"/>
          <w:b/>
          <w:sz w:val="20"/>
          <w:szCs w:val="20"/>
          <w:lang w:val="ro-MD"/>
        </w:rPr>
      </w:pPr>
    </w:p>
    <w:p w14:paraId="6FFB27DD" w14:textId="77777777" w:rsidR="0018446E" w:rsidRPr="0018446E" w:rsidRDefault="0018446E" w:rsidP="0018446E">
      <w:pPr>
        <w:spacing w:after="160" w:line="240" w:lineRule="auto"/>
        <w:ind w:left="0"/>
        <w:rPr>
          <w:rFonts w:ascii="Times New Roman" w:eastAsia="Times New Roman" w:hAnsi="Times New Roman"/>
          <w:sz w:val="20"/>
          <w:szCs w:val="20"/>
          <w:lang w:val="ro-MD"/>
        </w:rPr>
      </w:pPr>
      <w:r w:rsidRPr="0018446E">
        <w:rPr>
          <w:rFonts w:ascii="Times New Roman" w:eastAsia="Times New Roman" w:hAnsi="Times New Roman"/>
          <w:b/>
          <w:sz w:val="20"/>
          <w:szCs w:val="20"/>
          <w:lang w:val="ro-MD"/>
        </w:rPr>
        <w:t>Figura 2.24. Dinamica Indicelui competitivității industriale pentru Republica Moldova</w:t>
      </w:r>
      <w:r w:rsidRPr="0018446E">
        <w:rPr>
          <w:rFonts w:ascii="Times New Roman" w:eastAsia="Times New Roman" w:hAnsi="Times New Roman"/>
          <w:sz w:val="20"/>
          <w:szCs w:val="20"/>
          <w:lang w:val="ro-MD"/>
        </w:rPr>
        <w:t xml:space="preserve"> </w:t>
      </w:r>
    </w:p>
    <w:p w14:paraId="11353F60"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noProof/>
          <w:lang w:val="en-US"/>
        </w:rPr>
        <w:lastRenderedPageBreak/>
        <w:drawing>
          <wp:anchor distT="0" distB="0" distL="114300" distR="114300" simplePos="0" relativeHeight="251674624" behindDoc="0" locked="0" layoutInCell="1" hidden="0" allowOverlap="1" wp14:anchorId="78381372" wp14:editId="1A4EFEDE">
            <wp:simplePos x="0" y="0"/>
            <wp:positionH relativeFrom="margin">
              <wp:align>right</wp:align>
            </wp:positionH>
            <wp:positionV relativeFrom="paragraph">
              <wp:posOffset>33020</wp:posOffset>
            </wp:positionV>
            <wp:extent cx="6086475" cy="2886075"/>
            <wp:effectExtent l="0" t="0" r="9525" b="9525"/>
            <wp:wrapSquare wrapText="bothSides" distT="0" distB="0" distL="114300" distR="1143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2CD038B" w14:textId="77777777" w:rsidR="0018446E" w:rsidRPr="0018446E" w:rsidRDefault="0018446E" w:rsidP="0018446E">
      <w:pPr>
        <w:spacing w:after="160" w:line="240" w:lineRule="auto"/>
        <w:ind w:left="0"/>
        <w:jc w:val="right"/>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Sursa: UNIDO, https://stat.unido.org</w:t>
      </w:r>
    </w:p>
    <w:p w14:paraId="4E0DB1C7" w14:textId="77777777" w:rsidR="0018446E" w:rsidRPr="0018446E" w:rsidRDefault="0018446E" w:rsidP="0018446E">
      <w:pPr>
        <w:spacing w:before="120" w:line="288" w:lineRule="auto"/>
        <w:ind w:left="0"/>
        <w:jc w:val="both"/>
        <w:rPr>
          <w:rFonts w:ascii="Times New Roman" w:eastAsia="Times New Roman" w:hAnsi="Times New Roman"/>
          <w:lang w:val="ro-MD"/>
        </w:rPr>
      </w:pPr>
      <w:r w:rsidRPr="0018446E">
        <w:rPr>
          <w:rFonts w:ascii="Times New Roman" w:eastAsia="Times New Roman" w:hAnsi="Times New Roman"/>
          <w:bCs/>
          <w:i/>
          <w:iCs/>
          <w:lang w:val="ro-MD"/>
        </w:rPr>
        <w:t>Exporturile industriale ale Republicii Moldova constau în mare măsură din produse industriale netehnologizate</w:t>
      </w:r>
      <w:r w:rsidRPr="0018446E">
        <w:rPr>
          <w:rFonts w:ascii="Times New Roman" w:eastAsia="Times New Roman" w:hAnsi="Times New Roman"/>
          <w:b/>
          <w:lang w:val="ro-MD"/>
        </w:rPr>
        <w:t>.</w:t>
      </w:r>
      <w:r w:rsidRPr="0018446E">
        <w:rPr>
          <w:rFonts w:ascii="Times New Roman" w:eastAsia="Times New Roman" w:hAnsi="Times New Roman"/>
          <w:lang w:val="ro-MD"/>
        </w:rPr>
        <w:t xml:space="preserve"> Un aspect important al indicelui competitivității industriale este structura tehnologică a producției industriale și a exportului acesteia:  potrivit datelor UNIDO, în structura tehnologică a exportului industrial al Moldovei producția netehnologizată are cea mai mare pondere – 39%, în timp ce bunurile cu un grad înalt de tehnologizare au o pondere de doar 3%. Asemenea situație se observă în majoritatea țărilor din </w:t>
      </w:r>
      <w:proofErr w:type="spellStart"/>
      <w:r w:rsidRPr="0018446E">
        <w:rPr>
          <w:rFonts w:ascii="Times New Roman" w:eastAsia="Times New Roman" w:hAnsi="Times New Roman"/>
          <w:lang w:val="ro-MD"/>
        </w:rPr>
        <w:t>quintila</w:t>
      </w:r>
      <w:proofErr w:type="spellEnd"/>
      <w:r w:rsidRPr="0018446E">
        <w:rPr>
          <w:rFonts w:ascii="Times New Roman" w:eastAsia="Times New Roman" w:hAnsi="Times New Roman"/>
          <w:lang w:val="ro-MD"/>
        </w:rPr>
        <w:t xml:space="preserve"> nivelului mediu redus de dezvoltare a industriei, în timp ce în țările din </w:t>
      </w:r>
      <w:proofErr w:type="spellStart"/>
      <w:r w:rsidRPr="0018446E">
        <w:rPr>
          <w:rFonts w:ascii="Times New Roman" w:eastAsia="Times New Roman" w:hAnsi="Times New Roman"/>
          <w:lang w:val="ro-MD"/>
        </w:rPr>
        <w:t>quintila</w:t>
      </w:r>
      <w:proofErr w:type="spellEnd"/>
      <w:r w:rsidRPr="0018446E">
        <w:rPr>
          <w:rFonts w:ascii="Times New Roman" w:eastAsia="Times New Roman" w:hAnsi="Times New Roman"/>
          <w:lang w:val="ro-MD"/>
        </w:rPr>
        <w:t xml:space="preserve"> nivelului ridicat ponderea producției netehnologizate este mult mai mică, iar cea a bunurilor cu un grad înalt de tehnologizare – mai mare. Creșterea competențelor profesionale, atragerea investițiilor străine și infrastructura dezvoltată sunt cei mai importanți factori de creștere a gradului de competitivitate industrială a țării. </w:t>
      </w:r>
    </w:p>
    <w:p w14:paraId="7E6A07AA" w14:textId="77777777" w:rsidR="0018446E" w:rsidRPr="0018446E" w:rsidRDefault="0018446E" w:rsidP="0018446E">
      <w:pPr>
        <w:spacing w:after="160" w:line="240" w:lineRule="auto"/>
        <w:ind w:left="0"/>
        <w:jc w:val="both"/>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Tabelul 2.1. Indicele competitivității industriale (CIP) și structura tehnologică a exportului producției industriale pentru unele țări, anul 2021</w:t>
      </w:r>
    </w:p>
    <w:tbl>
      <w:tblPr>
        <w:tblW w:w="9662" w:type="dxa"/>
        <w:tblInd w:w="-10" w:type="dxa"/>
        <w:tblLayout w:type="fixed"/>
        <w:tblLook w:val="0400" w:firstRow="0" w:lastRow="0" w:firstColumn="0" w:lastColumn="0" w:noHBand="0" w:noVBand="1"/>
      </w:tblPr>
      <w:tblGrid>
        <w:gridCol w:w="2039"/>
        <w:gridCol w:w="1903"/>
        <w:gridCol w:w="951"/>
        <w:gridCol w:w="1043"/>
        <w:gridCol w:w="7"/>
        <w:gridCol w:w="1047"/>
        <w:gridCol w:w="863"/>
        <w:gridCol w:w="848"/>
        <w:gridCol w:w="953"/>
        <w:gridCol w:w="8"/>
      </w:tblGrid>
      <w:tr w:rsidR="0018446E" w:rsidRPr="0018446E" w14:paraId="0D0D0513" w14:textId="77777777" w:rsidTr="00B0372F">
        <w:trPr>
          <w:trHeight w:val="542"/>
          <w:tblHeader/>
        </w:trPr>
        <w:tc>
          <w:tcPr>
            <w:tcW w:w="2040" w:type="dxa"/>
            <w:vMerge w:val="restart"/>
            <w:tcBorders>
              <w:top w:val="single" w:sz="8" w:space="0" w:color="B2B2B2"/>
              <w:left w:val="single" w:sz="8" w:space="0" w:color="B2B2B2"/>
              <w:right w:val="single" w:sz="8" w:space="0" w:color="B2B2B2"/>
            </w:tcBorders>
            <w:vAlign w:val="center"/>
          </w:tcPr>
          <w:p w14:paraId="44B505EF"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proofErr w:type="spellStart"/>
            <w:r w:rsidRPr="0018446E">
              <w:rPr>
                <w:rFonts w:ascii="Times New Roman" w:eastAsia="Times New Roman" w:hAnsi="Times New Roman"/>
                <w:b/>
                <w:color w:val="000000"/>
                <w:sz w:val="18"/>
                <w:szCs w:val="18"/>
                <w:lang w:val="ro-MD"/>
              </w:rPr>
              <w:t>Quintile</w:t>
            </w:r>
            <w:proofErr w:type="spellEnd"/>
            <w:r w:rsidRPr="0018446E">
              <w:rPr>
                <w:rFonts w:ascii="Times New Roman" w:eastAsia="Times New Roman" w:hAnsi="Times New Roman"/>
                <w:b/>
                <w:color w:val="000000"/>
                <w:sz w:val="18"/>
                <w:szCs w:val="18"/>
                <w:lang w:val="ro-MD"/>
              </w:rPr>
              <w:t xml:space="preserve"> după nivelul de dezvoltare a industriei</w:t>
            </w:r>
          </w:p>
        </w:tc>
        <w:tc>
          <w:tcPr>
            <w:tcW w:w="1903" w:type="dxa"/>
            <w:vMerge w:val="restart"/>
            <w:tcBorders>
              <w:top w:val="single" w:sz="8" w:space="0" w:color="B2B2B2"/>
              <w:left w:val="single" w:sz="8" w:space="0" w:color="B2B2B2"/>
              <w:right w:val="single" w:sz="8" w:space="0" w:color="B2B2B2"/>
            </w:tcBorders>
            <w:shd w:val="clear" w:color="auto" w:fill="auto"/>
            <w:vAlign w:val="center"/>
          </w:tcPr>
          <w:p w14:paraId="6FB1815B" w14:textId="77777777" w:rsidR="0018446E" w:rsidRPr="0018446E" w:rsidRDefault="0018446E" w:rsidP="0018446E">
            <w:pPr>
              <w:spacing w:after="0" w:line="240" w:lineRule="auto"/>
              <w:ind w:left="0"/>
              <w:jc w:val="center"/>
              <w:rPr>
                <w:rFonts w:ascii="Times New Roman" w:eastAsia="Times New Roman" w:hAnsi="Times New Roman"/>
                <w:b/>
                <w:sz w:val="18"/>
                <w:szCs w:val="18"/>
                <w:lang w:val="ro-MD"/>
              </w:rPr>
            </w:pPr>
            <w:r w:rsidRPr="0018446E">
              <w:rPr>
                <w:rFonts w:ascii="Times New Roman" w:eastAsia="Times New Roman" w:hAnsi="Times New Roman"/>
                <w:b/>
                <w:sz w:val="18"/>
                <w:szCs w:val="18"/>
                <w:lang w:val="ro-MD"/>
              </w:rPr>
              <w:t>Țări</w:t>
            </w:r>
          </w:p>
        </w:tc>
        <w:tc>
          <w:tcPr>
            <w:tcW w:w="2001" w:type="dxa"/>
            <w:gridSpan w:val="3"/>
            <w:tcBorders>
              <w:top w:val="single" w:sz="8" w:space="0" w:color="B2B2B2"/>
              <w:left w:val="single" w:sz="8" w:space="0" w:color="B2B2B2"/>
              <w:right w:val="single" w:sz="8" w:space="0" w:color="B2B2B2"/>
            </w:tcBorders>
            <w:vAlign w:val="center"/>
          </w:tcPr>
          <w:p w14:paraId="07BC709B"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CIP</w:t>
            </w:r>
          </w:p>
        </w:tc>
        <w:tc>
          <w:tcPr>
            <w:tcW w:w="3718" w:type="dxa"/>
            <w:gridSpan w:val="5"/>
            <w:tcBorders>
              <w:top w:val="single" w:sz="8" w:space="0" w:color="B2B2B2"/>
              <w:left w:val="single" w:sz="8" w:space="0" w:color="B2B2B2"/>
              <w:right w:val="single" w:sz="8" w:space="0" w:color="B2B2B2"/>
            </w:tcBorders>
            <w:shd w:val="clear" w:color="auto" w:fill="auto"/>
            <w:vAlign w:val="center"/>
          </w:tcPr>
          <w:p w14:paraId="63389730"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Structura tehnologică a exportului</w:t>
            </w:r>
          </w:p>
        </w:tc>
      </w:tr>
      <w:tr w:rsidR="0018446E" w:rsidRPr="0018446E" w14:paraId="6020C839" w14:textId="77777777" w:rsidTr="00B0372F">
        <w:trPr>
          <w:gridAfter w:val="1"/>
          <w:wAfter w:w="7" w:type="dxa"/>
          <w:trHeight w:val="542"/>
          <w:tblHeader/>
        </w:trPr>
        <w:tc>
          <w:tcPr>
            <w:tcW w:w="2040" w:type="dxa"/>
            <w:vMerge/>
            <w:tcBorders>
              <w:top w:val="single" w:sz="8" w:space="0" w:color="B2B2B2"/>
              <w:left w:val="single" w:sz="8" w:space="0" w:color="B2B2B2"/>
              <w:right w:val="single" w:sz="8" w:space="0" w:color="B2B2B2"/>
            </w:tcBorders>
            <w:vAlign w:val="center"/>
          </w:tcPr>
          <w:p w14:paraId="47886E50"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b/>
                <w:color w:val="000000"/>
                <w:sz w:val="18"/>
                <w:szCs w:val="18"/>
                <w:lang w:val="ro-MD"/>
              </w:rPr>
            </w:pPr>
          </w:p>
        </w:tc>
        <w:tc>
          <w:tcPr>
            <w:tcW w:w="1903" w:type="dxa"/>
            <w:vMerge/>
            <w:tcBorders>
              <w:top w:val="single" w:sz="8" w:space="0" w:color="B2B2B2"/>
              <w:left w:val="single" w:sz="8" w:space="0" w:color="B2B2B2"/>
              <w:right w:val="single" w:sz="8" w:space="0" w:color="B2B2B2"/>
            </w:tcBorders>
            <w:shd w:val="clear" w:color="auto" w:fill="auto"/>
            <w:vAlign w:val="center"/>
          </w:tcPr>
          <w:p w14:paraId="57FCC6AE"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b/>
                <w:color w:val="000000"/>
                <w:sz w:val="18"/>
                <w:szCs w:val="18"/>
                <w:lang w:val="ro-MD"/>
              </w:rPr>
            </w:pPr>
          </w:p>
        </w:tc>
        <w:tc>
          <w:tcPr>
            <w:tcW w:w="951" w:type="dxa"/>
            <w:vMerge w:val="restart"/>
            <w:tcBorders>
              <w:top w:val="single" w:sz="8" w:space="0" w:color="B2B2B2"/>
              <w:left w:val="single" w:sz="8" w:space="0" w:color="B2B2B2"/>
              <w:right w:val="single" w:sz="8" w:space="0" w:color="B2B2B2"/>
            </w:tcBorders>
            <w:vAlign w:val="center"/>
          </w:tcPr>
          <w:p w14:paraId="175EF654"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Scorul</w:t>
            </w:r>
          </w:p>
          <w:p w14:paraId="311CA452"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p>
        </w:tc>
        <w:tc>
          <w:tcPr>
            <w:tcW w:w="1043" w:type="dxa"/>
            <w:vMerge w:val="restart"/>
            <w:tcBorders>
              <w:top w:val="single" w:sz="8" w:space="0" w:color="B2B2B2"/>
              <w:left w:val="single" w:sz="8" w:space="0" w:color="B2B2B2"/>
              <w:right w:val="single" w:sz="8" w:space="0" w:color="B2B2B2"/>
            </w:tcBorders>
            <w:vAlign w:val="center"/>
          </w:tcPr>
          <w:p w14:paraId="32D8B349"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Rating</w:t>
            </w:r>
          </w:p>
          <w:p w14:paraId="3E62B4A9"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p>
        </w:tc>
        <w:tc>
          <w:tcPr>
            <w:tcW w:w="1054" w:type="dxa"/>
            <w:gridSpan w:val="2"/>
            <w:vMerge w:val="restart"/>
            <w:tcBorders>
              <w:top w:val="single" w:sz="8" w:space="0" w:color="B2B2B2"/>
              <w:left w:val="single" w:sz="8" w:space="0" w:color="B2B2B2"/>
              <w:right w:val="single" w:sz="8" w:space="0" w:color="B2B2B2"/>
            </w:tcBorders>
            <w:shd w:val="clear" w:color="auto" w:fill="auto"/>
            <w:vAlign w:val="center"/>
          </w:tcPr>
          <w:p w14:paraId="6BB999A0"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Bunuri bazate pe resurse</w:t>
            </w:r>
          </w:p>
        </w:tc>
        <w:tc>
          <w:tcPr>
            <w:tcW w:w="2664" w:type="dxa"/>
            <w:gridSpan w:val="3"/>
            <w:tcBorders>
              <w:top w:val="single" w:sz="8" w:space="0" w:color="B2B2B2"/>
              <w:left w:val="single" w:sz="8" w:space="0" w:color="B2B2B2"/>
              <w:bottom w:val="single" w:sz="8" w:space="0" w:color="B2B2B2"/>
              <w:right w:val="single" w:sz="8" w:space="0" w:color="B2B2B2"/>
            </w:tcBorders>
            <w:shd w:val="clear" w:color="auto" w:fill="auto"/>
            <w:vAlign w:val="center"/>
          </w:tcPr>
          <w:p w14:paraId="4A476DFC"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Gradul de tehnologizare</w:t>
            </w:r>
          </w:p>
          <w:p w14:paraId="315334E3"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p>
        </w:tc>
      </w:tr>
      <w:tr w:rsidR="0018446E" w:rsidRPr="0018446E" w14:paraId="14299E52" w14:textId="77777777" w:rsidTr="00B0372F">
        <w:trPr>
          <w:gridAfter w:val="1"/>
          <w:wAfter w:w="8" w:type="dxa"/>
          <w:trHeight w:val="542"/>
          <w:tblHeader/>
        </w:trPr>
        <w:tc>
          <w:tcPr>
            <w:tcW w:w="2040" w:type="dxa"/>
            <w:vMerge/>
            <w:tcBorders>
              <w:top w:val="single" w:sz="8" w:space="0" w:color="B2B2B2"/>
              <w:left w:val="single" w:sz="8" w:space="0" w:color="B2B2B2"/>
              <w:right w:val="single" w:sz="8" w:space="0" w:color="B2B2B2"/>
            </w:tcBorders>
            <w:vAlign w:val="center"/>
          </w:tcPr>
          <w:p w14:paraId="64AE11CA"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b/>
                <w:color w:val="000000"/>
                <w:sz w:val="18"/>
                <w:szCs w:val="18"/>
                <w:lang w:val="ro-MD"/>
              </w:rPr>
            </w:pPr>
          </w:p>
        </w:tc>
        <w:tc>
          <w:tcPr>
            <w:tcW w:w="1903" w:type="dxa"/>
            <w:vMerge/>
            <w:tcBorders>
              <w:top w:val="single" w:sz="8" w:space="0" w:color="B2B2B2"/>
              <w:left w:val="single" w:sz="8" w:space="0" w:color="B2B2B2"/>
              <w:right w:val="single" w:sz="8" w:space="0" w:color="B2B2B2"/>
            </w:tcBorders>
            <w:shd w:val="clear" w:color="auto" w:fill="auto"/>
            <w:vAlign w:val="center"/>
          </w:tcPr>
          <w:p w14:paraId="04ED5F7B"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b/>
                <w:color w:val="000000"/>
                <w:sz w:val="18"/>
                <w:szCs w:val="18"/>
                <w:lang w:val="ro-MD"/>
              </w:rPr>
            </w:pPr>
          </w:p>
        </w:tc>
        <w:tc>
          <w:tcPr>
            <w:tcW w:w="951" w:type="dxa"/>
            <w:vMerge/>
            <w:tcBorders>
              <w:top w:val="single" w:sz="8" w:space="0" w:color="B2B2B2"/>
              <w:left w:val="single" w:sz="8" w:space="0" w:color="B2B2B2"/>
              <w:right w:val="single" w:sz="8" w:space="0" w:color="B2B2B2"/>
            </w:tcBorders>
            <w:vAlign w:val="center"/>
          </w:tcPr>
          <w:p w14:paraId="2174B725"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b/>
                <w:color w:val="000000"/>
                <w:sz w:val="18"/>
                <w:szCs w:val="18"/>
                <w:lang w:val="ro-MD"/>
              </w:rPr>
            </w:pPr>
          </w:p>
        </w:tc>
        <w:tc>
          <w:tcPr>
            <w:tcW w:w="1043" w:type="dxa"/>
            <w:vMerge/>
            <w:tcBorders>
              <w:top w:val="single" w:sz="8" w:space="0" w:color="B2B2B2"/>
              <w:left w:val="single" w:sz="8" w:space="0" w:color="B2B2B2"/>
              <w:right w:val="single" w:sz="8" w:space="0" w:color="B2B2B2"/>
            </w:tcBorders>
            <w:vAlign w:val="center"/>
          </w:tcPr>
          <w:p w14:paraId="15A2C888"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b/>
                <w:color w:val="000000"/>
                <w:sz w:val="18"/>
                <w:szCs w:val="18"/>
                <w:lang w:val="ro-MD"/>
              </w:rPr>
            </w:pPr>
          </w:p>
        </w:tc>
        <w:tc>
          <w:tcPr>
            <w:tcW w:w="1054" w:type="dxa"/>
            <w:gridSpan w:val="2"/>
            <w:vMerge/>
            <w:tcBorders>
              <w:top w:val="single" w:sz="8" w:space="0" w:color="B2B2B2"/>
              <w:left w:val="single" w:sz="8" w:space="0" w:color="B2B2B2"/>
              <w:right w:val="single" w:sz="8" w:space="0" w:color="B2B2B2"/>
            </w:tcBorders>
            <w:shd w:val="clear" w:color="auto" w:fill="auto"/>
            <w:vAlign w:val="center"/>
          </w:tcPr>
          <w:p w14:paraId="20F3C4D4"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b/>
                <w:color w:val="000000"/>
                <w:sz w:val="18"/>
                <w:szCs w:val="18"/>
                <w:lang w:val="ro-MD"/>
              </w:rPr>
            </w:pPr>
          </w:p>
        </w:tc>
        <w:tc>
          <w:tcPr>
            <w:tcW w:w="863" w:type="dxa"/>
            <w:tcBorders>
              <w:top w:val="nil"/>
              <w:left w:val="single" w:sz="8" w:space="0" w:color="B2B2B2"/>
              <w:bottom w:val="single" w:sz="8" w:space="0" w:color="B2B2B2"/>
              <w:right w:val="single" w:sz="8" w:space="0" w:color="B2B2B2"/>
            </w:tcBorders>
            <w:shd w:val="clear" w:color="auto" w:fill="auto"/>
            <w:vAlign w:val="center"/>
          </w:tcPr>
          <w:p w14:paraId="42D2AE11"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scăzut</w:t>
            </w:r>
          </w:p>
        </w:tc>
        <w:tc>
          <w:tcPr>
            <w:tcW w:w="848" w:type="dxa"/>
            <w:tcBorders>
              <w:top w:val="single" w:sz="8" w:space="0" w:color="B2B2B2"/>
              <w:left w:val="single" w:sz="8" w:space="0" w:color="B2B2B2"/>
              <w:bottom w:val="single" w:sz="8" w:space="0" w:color="B2B2B2"/>
              <w:right w:val="single" w:sz="8" w:space="0" w:color="B2B2B2"/>
            </w:tcBorders>
            <w:shd w:val="clear" w:color="auto" w:fill="auto"/>
            <w:vAlign w:val="center"/>
          </w:tcPr>
          <w:p w14:paraId="276C8CBB"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mediu</w:t>
            </w:r>
          </w:p>
        </w:tc>
        <w:tc>
          <w:tcPr>
            <w:tcW w:w="952" w:type="dxa"/>
            <w:tcBorders>
              <w:top w:val="single" w:sz="8" w:space="0" w:color="B2B2B2"/>
              <w:left w:val="single" w:sz="8" w:space="0" w:color="B2B2B2"/>
              <w:bottom w:val="single" w:sz="8" w:space="0" w:color="B2B2B2"/>
              <w:right w:val="single" w:sz="8" w:space="0" w:color="B2B2B2"/>
            </w:tcBorders>
            <w:shd w:val="clear" w:color="auto" w:fill="auto"/>
            <w:vAlign w:val="center"/>
          </w:tcPr>
          <w:p w14:paraId="0A5FB183" w14:textId="77777777" w:rsidR="0018446E" w:rsidRPr="0018446E" w:rsidRDefault="0018446E" w:rsidP="0018446E">
            <w:pPr>
              <w:spacing w:after="0" w:line="240" w:lineRule="auto"/>
              <w:ind w:left="0"/>
              <w:jc w:val="center"/>
              <w:rPr>
                <w:rFonts w:ascii="Times New Roman" w:eastAsia="Times New Roman" w:hAnsi="Times New Roman"/>
                <w:b/>
                <w:color w:val="000000"/>
                <w:sz w:val="18"/>
                <w:szCs w:val="18"/>
                <w:lang w:val="ro-MD"/>
              </w:rPr>
            </w:pPr>
            <w:r w:rsidRPr="0018446E">
              <w:rPr>
                <w:rFonts w:ascii="Times New Roman" w:eastAsia="Times New Roman" w:hAnsi="Times New Roman"/>
                <w:b/>
                <w:color w:val="000000"/>
                <w:sz w:val="18"/>
                <w:szCs w:val="18"/>
                <w:lang w:val="ro-MD"/>
              </w:rPr>
              <w:t>înalt</w:t>
            </w:r>
          </w:p>
        </w:tc>
      </w:tr>
      <w:tr w:rsidR="0018446E" w:rsidRPr="0018446E" w14:paraId="026D30AC" w14:textId="77777777" w:rsidTr="00B0372F">
        <w:trPr>
          <w:gridAfter w:val="1"/>
          <w:wAfter w:w="8" w:type="dxa"/>
          <w:trHeight w:val="316"/>
        </w:trPr>
        <w:tc>
          <w:tcPr>
            <w:tcW w:w="2040" w:type="dxa"/>
            <w:vMerge w:val="restart"/>
            <w:tcBorders>
              <w:top w:val="single" w:sz="8" w:space="0" w:color="B2B2B2"/>
              <w:left w:val="single" w:sz="8" w:space="0" w:color="B2B2B2"/>
              <w:right w:val="single" w:sz="8" w:space="0" w:color="B2B2B2"/>
            </w:tcBorders>
            <w:shd w:val="clear" w:color="auto" w:fill="DDEBF7"/>
            <w:vAlign w:val="center"/>
          </w:tcPr>
          <w:p w14:paraId="1BAB7E51"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Ridicat</w:t>
            </w:r>
          </w:p>
        </w:tc>
        <w:tc>
          <w:tcPr>
            <w:tcW w:w="190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1D19AAB1"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Germania</w:t>
            </w:r>
          </w:p>
        </w:tc>
        <w:tc>
          <w:tcPr>
            <w:tcW w:w="951"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7CB603CA"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0.404</w:t>
            </w:r>
          </w:p>
        </w:tc>
        <w:tc>
          <w:tcPr>
            <w:tcW w:w="104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6DBC6520"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DDEBF7"/>
            <w:vAlign w:val="center"/>
          </w:tcPr>
          <w:p w14:paraId="6F80697E"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12.2</w:t>
            </w:r>
          </w:p>
        </w:tc>
        <w:tc>
          <w:tcPr>
            <w:tcW w:w="86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2C5C0421"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13.9</w:t>
            </w:r>
          </w:p>
        </w:tc>
        <w:tc>
          <w:tcPr>
            <w:tcW w:w="848"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61173B7B"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52.7</w:t>
            </w:r>
          </w:p>
        </w:tc>
        <w:tc>
          <w:tcPr>
            <w:tcW w:w="952"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5351C130"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21.2</w:t>
            </w:r>
          </w:p>
        </w:tc>
      </w:tr>
      <w:tr w:rsidR="0018446E" w:rsidRPr="0018446E" w14:paraId="29961208" w14:textId="77777777" w:rsidTr="00B0372F">
        <w:trPr>
          <w:gridAfter w:val="1"/>
          <w:wAfter w:w="8" w:type="dxa"/>
          <w:trHeight w:val="316"/>
        </w:trPr>
        <w:tc>
          <w:tcPr>
            <w:tcW w:w="2040" w:type="dxa"/>
            <w:vMerge/>
            <w:tcBorders>
              <w:top w:val="single" w:sz="8" w:space="0" w:color="B2B2B2"/>
              <w:left w:val="single" w:sz="8" w:space="0" w:color="B2B2B2"/>
              <w:right w:val="single" w:sz="8" w:space="0" w:color="B2B2B2"/>
            </w:tcBorders>
            <w:shd w:val="clear" w:color="auto" w:fill="DDEBF7"/>
            <w:vAlign w:val="center"/>
          </w:tcPr>
          <w:p w14:paraId="31F0EEFB"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000000"/>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030CEB61"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Polonia</w:t>
            </w:r>
          </w:p>
        </w:tc>
        <w:tc>
          <w:tcPr>
            <w:tcW w:w="951"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21AEAAB4"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0.141</w:t>
            </w:r>
          </w:p>
        </w:tc>
        <w:tc>
          <w:tcPr>
            <w:tcW w:w="104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44D7734A"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23</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DDEBF7"/>
            <w:vAlign w:val="center"/>
          </w:tcPr>
          <w:p w14:paraId="186EBBB2"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18.6</w:t>
            </w:r>
          </w:p>
        </w:tc>
        <w:tc>
          <w:tcPr>
            <w:tcW w:w="86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6B235F06"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28</w:t>
            </w:r>
          </w:p>
        </w:tc>
        <w:tc>
          <w:tcPr>
            <w:tcW w:w="848"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47014E55"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44.6</w:t>
            </w:r>
          </w:p>
        </w:tc>
        <w:tc>
          <w:tcPr>
            <w:tcW w:w="952"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1826F51D"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8.8</w:t>
            </w:r>
          </w:p>
        </w:tc>
      </w:tr>
      <w:tr w:rsidR="0018446E" w:rsidRPr="0018446E" w14:paraId="730411FE" w14:textId="77777777" w:rsidTr="00B0372F">
        <w:trPr>
          <w:gridAfter w:val="1"/>
          <w:wAfter w:w="8" w:type="dxa"/>
          <w:trHeight w:val="316"/>
        </w:trPr>
        <w:tc>
          <w:tcPr>
            <w:tcW w:w="2040" w:type="dxa"/>
            <w:vMerge/>
            <w:tcBorders>
              <w:top w:val="single" w:sz="8" w:space="0" w:color="B2B2B2"/>
              <w:left w:val="single" w:sz="8" w:space="0" w:color="B2B2B2"/>
              <w:right w:val="single" w:sz="8" w:space="0" w:color="B2B2B2"/>
            </w:tcBorders>
            <w:shd w:val="clear" w:color="auto" w:fill="DDEBF7"/>
            <w:vAlign w:val="center"/>
          </w:tcPr>
          <w:p w14:paraId="7D3E9518"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000000"/>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64EAB1E7"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Turcia</w:t>
            </w:r>
          </w:p>
        </w:tc>
        <w:tc>
          <w:tcPr>
            <w:tcW w:w="951"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1AB7D23F"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0.122</w:t>
            </w:r>
          </w:p>
        </w:tc>
        <w:tc>
          <w:tcPr>
            <w:tcW w:w="104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190980DF"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27</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DDEBF7"/>
            <w:vAlign w:val="center"/>
          </w:tcPr>
          <w:p w14:paraId="1CA1B784"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18.7</w:t>
            </w:r>
          </w:p>
        </w:tc>
        <w:tc>
          <w:tcPr>
            <w:tcW w:w="863"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030A07E4"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39.7</w:t>
            </w:r>
          </w:p>
        </w:tc>
        <w:tc>
          <w:tcPr>
            <w:tcW w:w="848"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32DD6D80"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37.5</w:t>
            </w:r>
          </w:p>
        </w:tc>
        <w:tc>
          <w:tcPr>
            <w:tcW w:w="952" w:type="dxa"/>
            <w:tcBorders>
              <w:top w:val="single" w:sz="8" w:space="0" w:color="B2B2B2"/>
              <w:left w:val="single" w:sz="8" w:space="0" w:color="B2B2B2"/>
              <w:bottom w:val="single" w:sz="8" w:space="0" w:color="B2B2B2"/>
              <w:right w:val="single" w:sz="8" w:space="0" w:color="B2B2B2"/>
            </w:tcBorders>
            <w:shd w:val="clear" w:color="auto" w:fill="DDEBF7"/>
            <w:vAlign w:val="center"/>
          </w:tcPr>
          <w:p w14:paraId="73BE9FC4"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4.1</w:t>
            </w:r>
          </w:p>
        </w:tc>
      </w:tr>
      <w:tr w:rsidR="0018446E" w:rsidRPr="0018446E" w14:paraId="5525626B" w14:textId="77777777" w:rsidTr="00B0372F">
        <w:trPr>
          <w:gridAfter w:val="1"/>
          <w:wAfter w:w="8" w:type="dxa"/>
          <w:trHeight w:val="316"/>
        </w:trPr>
        <w:tc>
          <w:tcPr>
            <w:tcW w:w="2040" w:type="dxa"/>
            <w:vMerge w:val="restart"/>
            <w:tcBorders>
              <w:top w:val="nil"/>
              <w:left w:val="single" w:sz="8" w:space="0" w:color="B2B2B2"/>
              <w:right w:val="single" w:sz="8" w:space="0" w:color="B2B2B2"/>
            </w:tcBorders>
            <w:shd w:val="clear" w:color="auto" w:fill="BDD7EE"/>
            <w:vAlign w:val="center"/>
          </w:tcPr>
          <w:p w14:paraId="7E333DC6"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Mediu ridicat</w:t>
            </w:r>
          </w:p>
        </w:tc>
        <w:tc>
          <w:tcPr>
            <w:tcW w:w="190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ED5C28E"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Federația Rusă</w:t>
            </w:r>
          </w:p>
        </w:tc>
        <w:tc>
          <w:tcPr>
            <w:tcW w:w="951"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39956B2C"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0.094</w:t>
            </w:r>
          </w:p>
        </w:tc>
        <w:tc>
          <w:tcPr>
            <w:tcW w:w="104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343D498E"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34</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BDD7EE"/>
            <w:vAlign w:val="center"/>
          </w:tcPr>
          <w:p w14:paraId="2E3BACDF"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59.7</w:t>
            </w:r>
          </w:p>
        </w:tc>
        <w:tc>
          <w:tcPr>
            <w:tcW w:w="86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4263AA26"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10.3</w:t>
            </w:r>
          </w:p>
        </w:tc>
        <w:tc>
          <w:tcPr>
            <w:tcW w:w="848"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483440F"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26.2</w:t>
            </w:r>
          </w:p>
        </w:tc>
        <w:tc>
          <w:tcPr>
            <w:tcW w:w="952"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3AD6952B"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3.8</w:t>
            </w:r>
          </w:p>
        </w:tc>
      </w:tr>
      <w:tr w:rsidR="0018446E" w:rsidRPr="0018446E" w14:paraId="02F029F6"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BDD7EE"/>
            <w:vAlign w:val="center"/>
          </w:tcPr>
          <w:p w14:paraId="163D8DDF"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000000"/>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5278662C"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România</w:t>
            </w:r>
          </w:p>
        </w:tc>
        <w:tc>
          <w:tcPr>
            <w:tcW w:w="951"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6FF48EBB"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0.090</w:t>
            </w:r>
          </w:p>
        </w:tc>
        <w:tc>
          <w:tcPr>
            <w:tcW w:w="104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14149997"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36</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BDD7EE"/>
            <w:vAlign w:val="center"/>
          </w:tcPr>
          <w:p w14:paraId="755500DB"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17.2</w:t>
            </w:r>
          </w:p>
        </w:tc>
        <w:tc>
          <w:tcPr>
            <w:tcW w:w="86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590ECAF1"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21</w:t>
            </w:r>
          </w:p>
        </w:tc>
        <w:tc>
          <w:tcPr>
            <w:tcW w:w="848"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278C6348"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53.3</w:t>
            </w:r>
          </w:p>
        </w:tc>
        <w:tc>
          <w:tcPr>
            <w:tcW w:w="952"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4FC991EE"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8.6</w:t>
            </w:r>
          </w:p>
        </w:tc>
      </w:tr>
      <w:tr w:rsidR="0018446E" w:rsidRPr="0018446E" w14:paraId="577C27F9"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BDD7EE"/>
            <w:vAlign w:val="center"/>
          </w:tcPr>
          <w:p w14:paraId="52867551"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000000"/>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B4F920D"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Belarus</w:t>
            </w:r>
          </w:p>
        </w:tc>
        <w:tc>
          <w:tcPr>
            <w:tcW w:w="951"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6A2BD3D"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0.047</w:t>
            </w:r>
          </w:p>
        </w:tc>
        <w:tc>
          <w:tcPr>
            <w:tcW w:w="104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2C428FB3"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53</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BDD7EE"/>
            <w:vAlign w:val="center"/>
          </w:tcPr>
          <w:p w14:paraId="108F84E5"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35.4</w:t>
            </w:r>
          </w:p>
        </w:tc>
        <w:tc>
          <w:tcPr>
            <w:tcW w:w="86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6CEA07E0"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28.3</w:t>
            </w:r>
          </w:p>
        </w:tc>
        <w:tc>
          <w:tcPr>
            <w:tcW w:w="848"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693D0F8A"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30.6</w:t>
            </w:r>
          </w:p>
        </w:tc>
        <w:tc>
          <w:tcPr>
            <w:tcW w:w="952"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668A0203"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5.7</w:t>
            </w:r>
          </w:p>
        </w:tc>
      </w:tr>
      <w:tr w:rsidR="0018446E" w:rsidRPr="0018446E" w14:paraId="0A9940FB"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BDD7EE"/>
            <w:vAlign w:val="center"/>
          </w:tcPr>
          <w:p w14:paraId="51165119"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000000"/>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60321D86"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Bulgaria</w:t>
            </w:r>
          </w:p>
        </w:tc>
        <w:tc>
          <w:tcPr>
            <w:tcW w:w="951"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7DA377AA"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0.047</w:t>
            </w:r>
          </w:p>
        </w:tc>
        <w:tc>
          <w:tcPr>
            <w:tcW w:w="104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332BABC"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54</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BDD7EE"/>
            <w:vAlign w:val="center"/>
          </w:tcPr>
          <w:p w14:paraId="4C326915"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27.1</w:t>
            </w:r>
          </w:p>
        </w:tc>
        <w:tc>
          <w:tcPr>
            <w:tcW w:w="86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44F6199B"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23.5</w:t>
            </w:r>
          </w:p>
        </w:tc>
        <w:tc>
          <w:tcPr>
            <w:tcW w:w="848"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30412B06"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36.9</w:t>
            </w:r>
          </w:p>
        </w:tc>
        <w:tc>
          <w:tcPr>
            <w:tcW w:w="952"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4F1C453E"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12.5</w:t>
            </w:r>
          </w:p>
        </w:tc>
      </w:tr>
      <w:tr w:rsidR="0018446E" w:rsidRPr="0018446E" w14:paraId="7685B20B"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BDD7EE"/>
            <w:vAlign w:val="center"/>
          </w:tcPr>
          <w:p w14:paraId="345E8E6A"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000000"/>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2A8A38F3"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Serbia</w:t>
            </w:r>
          </w:p>
        </w:tc>
        <w:tc>
          <w:tcPr>
            <w:tcW w:w="951"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13B77DD9"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0.041</w:t>
            </w:r>
          </w:p>
        </w:tc>
        <w:tc>
          <w:tcPr>
            <w:tcW w:w="104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163B0D2"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60</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BDD7EE"/>
            <w:vAlign w:val="center"/>
          </w:tcPr>
          <w:p w14:paraId="68832A99"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31.7</w:t>
            </w:r>
          </w:p>
        </w:tc>
        <w:tc>
          <w:tcPr>
            <w:tcW w:w="863"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B062646"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23.8</w:t>
            </w:r>
          </w:p>
        </w:tc>
        <w:tc>
          <w:tcPr>
            <w:tcW w:w="848"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05F6FF95"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35.9</w:t>
            </w:r>
          </w:p>
        </w:tc>
        <w:tc>
          <w:tcPr>
            <w:tcW w:w="952" w:type="dxa"/>
            <w:tcBorders>
              <w:top w:val="single" w:sz="8" w:space="0" w:color="B2B2B2"/>
              <w:left w:val="single" w:sz="8" w:space="0" w:color="B2B2B2"/>
              <w:bottom w:val="single" w:sz="8" w:space="0" w:color="B2B2B2"/>
              <w:right w:val="single" w:sz="8" w:space="0" w:color="B2B2B2"/>
            </w:tcBorders>
            <w:shd w:val="clear" w:color="auto" w:fill="BDD7EE"/>
            <w:vAlign w:val="center"/>
          </w:tcPr>
          <w:p w14:paraId="6FB7BAC9"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8.5</w:t>
            </w:r>
          </w:p>
        </w:tc>
      </w:tr>
      <w:tr w:rsidR="0018446E" w:rsidRPr="0018446E" w14:paraId="00B3137C" w14:textId="77777777" w:rsidTr="00B0372F">
        <w:trPr>
          <w:gridAfter w:val="1"/>
          <w:wAfter w:w="8" w:type="dxa"/>
          <w:trHeight w:val="316"/>
        </w:trPr>
        <w:tc>
          <w:tcPr>
            <w:tcW w:w="2040" w:type="dxa"/>
            <w:vMerge w:val="restart"/>
            <w:tcBorders>
              <w:top w:val="nil"/>
              <w:left w:val="single" w:sz="8" w:space="0" w:color="B2B2B2"/>
              <w:right w:val="single" w:sz="8" w:space="0" w:color="B2B2B2"/>
            </w:tcBorders>
            <w:shd w:val="clear" w:color="auto" w:fill="9BC2E6"/>
            <w:vAlign w:val="center"/>
          </w:tcPr>
          <w:p w14:paraId="020C481C"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Mediu</w:t>
            </w:r>
          </w:p>
        </w:tc>
        <w:tc>
          <w:tcPr>
            <w:tcW w:w="1903"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2C37143E"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proofErr w:type="spellStart"/>
            <w:r w:rsidRPr="0018446E">
              <w:rPr>
                <w:rFonts w:ascii="Times New Roman" w:eastAsia="Times New Roman" w:hAnsi="Times New Roman"/>
                <w:color w:val="000000"/>
                <w:sz w:val="18"/>
                <w:szCs w:val="18"/>
                <w:lang w:val="ro-MD"/>
              </w:rPr>
              <w:t>Kazakhstan</w:t>
            </w:r>
            <w:proofErr w:type="spellEnd"/>
          </w:p>
        </w:tc>
        <w:tc>
          <w:tcPr>
            <w:tcW w:w="951"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58105F99"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0.035</w:t>
            </w:r>
          </w:p>
        </w:tc>
        <w:tc>
          <w:tcPr>
            <w:tcW w:w="1043"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07304F98"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67</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9BC2E6"/>
            <w:vAlign w:val="center"/>
          </w:tcPr>
          <w:p w14:paraId="636A39FB"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49.9</w:t>
            </w:r>
          </w:p>
        </w:tc>
        <w:tc>
          <w:tcPr>
            <w:tcW w:w="863"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7D3F4220"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11.5</w:t>
            </w:r>
          </w:p>
        </w:tc>
        <w:tc>
          <w:tcPr>
            <w:tcW w:w="848"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7ED8ADB2"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22.1</w:t>
            </w:r>
          </w:p>
        </w:tc>
        <w:tc>
          <w:tcPr>
            <w:tcW w:w="952"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598C9167"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16.6</w:t>
            </w:r>
          </w:p>
        </w:tc>
      </w:tr>
      <w:tr w:rsidR="0018446E" w:rsidRPr="0018446E" w14:paraId="66779C40"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9BC2E6"/>
            <w:vAlign w:val="center"/>
          </w:tcPr>
          <w:p w14:paraId="70FF2135"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000000"/>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06A9F20F" w14:textId="77777777" w:rsidR="0018446E" w:rsidRPr="0018446E" w:rsidRDefault="0018446E" w:rsidP="0018446E">
            <w:pPr>
              <w:spacing w:after="0" w:line="240" w:lineRule="auto"/>
              <w:ind w:left="0"/>
              <w:jc w:val="center"/>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Bosnia și Herțegovina</w:t>
            </w:r>
          </w:p>
        </w:tc>
        <w:tc>
          <w:tcPr>
            <w:tcW w:w="951"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40B7D595"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0.025</w:t>
            </w:r>
          </w:p>
        </w:tc>
        <w:tc>
          <w:tcPr>
            <w:tcW w:w="1043"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67898E71"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77</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9BC2E6"/>
            <w:vAlign w:val="center"/>
          </w:tcPr>
          <w:p w14:paraId="232A72AC"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26.5</w:t>
            </w:r>
          </w:p>
        </w:tc>
        <w:tc>
          <w:tcPr>
            <w:tcW w:w="863"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2E7E005C"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44.5</w:t>
            </w:r>
          </w:p>
        </w:tc>
        <w:tc>
          <w:tcPr>
            <w:tcW w:w="848"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32E09507"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22.9</w:t>
            </w:r>
          </w:p>
        </w:tc>
        <w:tc>
          <w:tcPr>
            <w:tcW w:w="952" w:type="dxa"/>
            <w:tcBorders>
              <w:top w:val="single" w:sz="8" w:space="0" w:color="B2B2B2"/>
              <w:left w:val="single" w:sz="8" w:space="0" w:color="B2B2B2"/>
              <w:bottom w:val="single" w:sz="8" w:space="0" w:color="B2B2B2"/>
              <w:right w:val="single" w:sz="8" w:space="0" w:color="B2B2B2"/>
            </w:tcBorders>
            <w:shd w:val="clear" w:color="auto" w:fill="9BC2E6"/>
            <w:vAlign w:val="center"/>
          </w:tcPr>
          <w:p w14:paraId="6CC1EB95" w14:textId="77777777" w:rsidR="0018446E" w:rsidRPr="0018446E" w:rsidRDefault="0018446E" w:rsidP="0018446E">
            <w:pPr>
              <w:spacing w:after="0" w:line="240" w:lineRule="auto"/>
              <w:ind w:left="0"/>
              <w:jc w:val="right"/>
              <w:rPr>
                <w:rFonts w:ascii="Times New Roman" w:eastAsia="Times New Roman" w:hAnsi="Times New Roman"/>
                <w:color w:val="000000"/>
                <w:sz w:val="18"/>
                <w:szCs w:val="18"/>
                <w:lang w:val="ro-MD"/>
              </w:rPr>
            </w:pPr>
            <w:r w:rsidRPr="0018446E">
              <w:rPr>
                <w:rFonts w:ascii="Times New Roman" w:eastAsia="Times New Roman" w:hAnsi="Times New Roman"/>
                <w:color w:val="000000"/>
                <w:sz w:val="18"/>
                <w:szCs w:val="18"/>
                <w:lang w:val="ro-MD"/>
              </w:rPr>
              <w:t>6.1</w:t>
            </w:r>
          </w:p>
        </w:tc>
      </w:tr>
      <w:tr w:rsidR="0018446E" w:rsidRPr="0018446E" w14:paraId="26C94333" w14:textId="77777777" w:rsidTr="00B0372F">
        <w:trPr>
          <w:gridAfter w:val="1"/>
          <w:wAfter w:w="8" w:type="dxa"/>
          <w:trHeight w:val="316"/>
        </w:trPr>
        <w:tc>
          <w:tcPr>
            <w:tcW w:w="2040" w:type="dxa"/>
            <w:vMerge w:val="restart"/>
            <w:tcBorders>
              <w:top w:val="nil"/>
              <w:left w:val="single" w:sz="8" w:space="0" w:color="B2B2B2"/>
              <w:right w:val="single" w:sz="8" w:space="0" w:color="B2B2B2"/>
            </w:tcBorders>
            <w:shd w:val="clear" w:color="auto" w:fill="5B9BD5"/>
            <w:vAlign w:val="center"/>
          </w:tcPr>
          <w:p w14:paraId="15B23D76"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Mediu redus</w:t>
            </w:r>
          </w:p>
        </w:tc>
        <w:tc>
          <w:tcPr>
            <w:tcW w:w="190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71EC9528"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Armenia</w:t>
            </w:r>
          </w:p>
        </w:tc>
        <w:tc>
          <w:tcPr>
            <w:tcW w:w="951"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1C230FB4"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0.014</w:t>
            </w:r>
          </w:p>
        </w:tc>
        <w:tc>
          <w:tcPr>
            <w:tcW w:w="104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081E1CB9"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93</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5B9BD5"/>
            <w:vAlign w:val="center"/>
          </w:tcPr>
          <w:p w14:paraId="06409EC1"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75.2</w:t>
            </w:r>
          </w:p>
        </w:tc>
        <w:tc>
          <w:tcPr>
            <w:tcW w:w="86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781718C4"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8.6</w:t>
            </w:r>
          </w:p>
        </w:tc>
        <w:tc>
          <w:tcPr>
            <w:tcW w:w="848"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291E226C"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14.1</w:t>
            </w:r>
          </w:p>
        </w:tc>
        <w:tc>
          <w:tcPr>
            <w:tcW w:w="952"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041B4F99"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2</w:t>
            </w:r>
          </w:p>
        </w:tc>
      </w:tr>
      <w:tr w:rsidR="0018446E" w:rsidRPr="0018446E" w14:paraId="1C918E8E"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5B9BD5"/>
            <w:vAlign w:val="center"/>
          </w:tcPr>
          <w:p w14:paraId="1223D239"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FFFFFF"/>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03448E42"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Georgia</w:t>
            </w:r>
          </w:p>
        </w:tc>
        <w:tc>
          <w:tcPr>
            <w:tcW w:w="951"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78121A44"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0.014</w:t>
            </w:r>
          </w:p>
        </w:tc>
        <w:tc>
          <w:tcPr>
            <w:tcW w:w="104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6986ADEC"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95</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5B9BD5"/>
            <w:vAlign w:val="center"/>
          </w:tcPr>
          <w:p w14:paraId="6ECB1404"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63.3</w:t>
            </w:r>
          </w:p>
        </w:tc>
        <w:tc>
          <w:tcPr>
            <w:tcW w:w="86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7FCBE31F"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7.8</w:t>
            </w:r>
          </w:p>
        </w:tc>
        <w:tc>
          <w:tcPr>
            <w:tcW w:w="848"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4BD51E43"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27.5</w:t>
            </w:r>
          </w:p>
        </w:tc>
        <w:tc>
          <w:tcPr>
            <w:tcW w:w="952"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49F6CFE0"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1.4</w:t>
            </w:r>
          </w:p>
        </w:tc>
      </w:tr>
      <w:tr w:rsidR="0018446E" w:rsidRPr="0018446E" w14:paraId="1295FCE9"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5B9BD5"/>
            <w:vAlign w:val="center"/>
          </w:tcPr>
          <w:p w14:paraId="1716B0AF"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FFFFFF"/>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5C84EDE8"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Moldova</w:t>
            </w:r>
          </w:p>
        </w:tc>
        <w:tc>
          <w:tcPr>
            <w:tcW w:w="951"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72A7D04B"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0.011</w:t>
            </w:r>
          </w:p>
        </w:tc>
        <w:tc>
          <w:tcPr>
            <w:tcW w:w="104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2AEEC67B"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104</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5B9BD5"/>
            <w:vAlign w:val="center"/>
          </w:tcPr>
          <w:p w14:paraId="254132A1"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38.8</w:t>
            </w:r>
          </w:p>
        </w:tc>
        <w:tc>
          <w:tcPr>
            <w:tcW w:w="86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51400B13"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25.1</w:t>
            </w:r>
          </w:p>
        </w:tc>
        <w:tc>
          <w:tcPr>
            <w:tcW w:w="848"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20F5C7C6"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33.4</w:t>
            </w:r>
          </w:p>
        </w:tc>
        <w:tc>
          <w:tcPr>
            <w:tcW w:w="952"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0FFDB1AD"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2.7</w:t>
            </w:r>
          </w:p>
        </w:tc>
      </w:tr>
      <w:tr w:rsidR="0018446E" w:rsidRPr="0018446E" w14:paraId="0927CF57"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5B9BD5"/>
            <w:vAlign w:val="center"/>
          </w:tcPr>
          <w:p w14:paraId="1F143FED"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FFFFFF"/>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66E5334C"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proofErr w:type="spellStart"/>
            <w:r w:rsidRPr="0018446E">
              <w:rPr>
                <w:rFonts w:ascii="Times New Roman" w:eastAsia="Times New Roman" w:hAnsi="Times New Roman"/>
                <w:color w:val="FFFFFF"/>
                <w:sz w:val="18"/>
                <w:szCs w:val="18"/>
                <w:lang w:val="ro-MD"/>
              </w:rPr>
              <w:t>Azerbaijan</w:t>
            </w:r>
            <w:proofErr w:type="spellEnd"/>
          </w:p>
        </w:tc>
        <w:tc>
          <w:tcPr>
            <w:tcW w:w="951"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01EDE067"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0.011</w:t>
            </w:r>
          </w:p>
        </w:tc>
        <w:tc>
          <w:tcPr>
            <w:tcW w:w="104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1DC67137"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106</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5B9BD5"/>
            <w:vAlign w:val="center"/>
          </w:tcPr>
          <w:p w14:paraId="60F1FB63"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50.1</w:t>
            </w:r>
          </w:p>
        </w:tc>
        <w:tc>
          <w:tcPr>
            <w:tcW w:w="86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3E45DC7B"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9.8</w:t>
            </w:r>
          </w:p>
        </w:tc>
        <w:tc>
          <w:tcPr>
            <w:tcW w:w="848"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19283A85"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38.6</w:t>
            </w:r>
          </w:p>
        </w:tc>
        <w:tc>
          <w:tcPr>
            <w:tcW w:w="952"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3759C002"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1.5</w:t>
            </w:r>
          </w:p>
        </w:tc>
      </w:tr>
      <w:tr w:rsidR="0018446E" w:rsidRPr="0018446E" w14:paraId="0B794D46"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5B9BD5"/>
            <w:vAlign w:val="center"/>
          </w:tcPr>
          <w:p w14:paraId="574A0270"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FFFFFF"/>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4D4C679E"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Albania</w:t>
            </w:r>
          </w:p>
        </w:tc>
        <w:tc>
          <w:tcPr>
            <w:tcW w:w="951"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072FE594"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0.009</w:t>
            </w:r>
          </w:p>
        </w:tc>
        <w:tc>
          <w:tcPr>
            <w:tcW w:w="104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538715B0"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112</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5B9BD5"/>
            <w:vAlign w:val="center"/>
          </w:tcPr>
          <w:p w14:paraId="0057E040"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19.3</w:t>
            </w:r>
          </w:p>
        </w:tc>
        <w:tc>
          <w:tcPr>
            <w:tcW w:w="863"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4642AC86"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72.3</w:t>
            </w:r>
          </w:p>
        </w:tc>
        <w:tc>
          <w:tcPr>
            <w:tcW w:w="848"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06E17025"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6.1</w:t>
            </w:r>
          </w:p>
        </w:tc>
        <w:tc>
          <w:tcPr>
            <w:tcW w:w="952" w:type="dxa"/>
            <w:tcBorders>
              <w:top w:val="single" w:sz="8" w:space="0" w:color="B2B2B2"/>
              <w:left w:val="single" w:sz="8" w:space="0" w:color="B2B2B2"/>
              <w:bottom w:val="single" w:sz="8" w:space="0" w:color="B2B2B2"/>
              <w:right w:val="single" w:sz="8" w:space="0" w:color="B2B2B2"/>
            </w:tcBorders>
            <w:shd w:val="clear" w:color="auto" w:fill="5B9BD5"/>
            <w:vAlign w:val="center"/>
          </w:tcPr>
          <w:p w14:paraId="1197E6AE"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2.3</w:t>
            </w:r>
          </w:p>
        </w:tc>
      </w:tr>
      <w:tr w:rsidR="0018446E" w:rsidRPr="0018446E" w14:paraId="4C351B8C" w14:textId="77777777" w:rsidTr="00B0372F">
        <w:trPr>
          <w:gridAfter w:val="1"/>
          <w:wAfter w:w="8" w:type="dxa"/>
          <w:trHeight w:val="316"/>
        </w:trPr>
        <w:tc>
          <w:tcPr>
            <w:tcW w:w="2040" w:type="dxa"/>
            <w:vMerge w:val="restart"/>
            <w:tcBorders>
              <w:top w:val="nil"/>
              <w:left w:val="single" w:sz="8" w:space="0" w:color="B2B2B2"/>
              <w:right w:val="single" w:sz="8" w:space="0" w:color="B2B2B2"/>
            </w:tcBorders>
            <w:shd w:val="clear" w:color="auto" w:fill="2F75B5"/>
            <w:vAlign w:val="center"/>
          </w:tcPr>
          <w:p w14:paraId="4796226A"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Redus</w:t>
            </w:r>
          </w:p>
        </w:tc>
        <w:tc>
          <w:tcPr>
            <w:tcW w:w="1903"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65B307E2"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proofErr w:type="spellStart"/>
            <w:r w:rsidRPr="0018446E">
              <w:rPr>
                <w:rFonts w:ascii="Times New Roman" w:eastAsia="Times New Roman" w:hAnsi="Times New Roman"/>
                <w:color w:val="FFFFFF"/>
                <w:sz w:val="18"/>
                <w:szCs w:val="18"/>
                <w:lang w:val="ro-MD"/>
              </w:rPr>
              <w:t>Tajikistan</w:t>
            </w:r>
            <w:proofErr w:type="spellEnd"/>
          </w:p>
        </w:tc>
        <w:tc>
          <w:tcPr>
            <w:tcW w:w="951"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20425EF7"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0.006</w:t>
            </w:r>
          </w:p>
        </w:tc>
        <w:tc>
          <w:tcPr>
            <w:tcW w:w="1043"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2D41F8DB"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124</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2F75B5"/>
            <w:vAlign w:val="center"/>
          </w:tcPr>
          <w:p w14:paraId="56F4BC34"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80.7</w:t>
            </w:r>
          </w:p>
        </w:tc>
        <w:tc>
          <w:tcPr>
            <w:tcW w:w="863"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05E4FE25"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15.9</w:t>
            </w:r>
          </w:p>
        </w:tc>
        <w:tc>
          <w:tcPr>
            <w:tcW w:w="848"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3CF69075"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3.2</w:t>
            </w:r>
          </w:p>
        </w:tc>
        <w:tc>
          <w:tcPr>
            <w:tcW w:w="952"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5A10A920"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0.2</w:t>
            </w:r>
          </w:p>
        </w:tc>
      </w:tr>
      <w:tr w:rsidR="0018446E" w:rsidRPr="0018446E" w14:paraId="1D5A352D" w14:textId="77777777" w:rsidTr="00B0372F">
        <w:trPr>
          <w:gridAfter w:val="1"/>
          <w:wAfter w:w="8" w:type="dxa"/>
          <w:trHeight w:val="316"/>
        </w:trPr>
        <w:tc>
          <w:tcPr>
            <w:tcW w:w="2040" w:type="dxa"/>
            <w:vMerge/>
            <w:tcBorders>
              <w:top w:val="nil"/>
              <w:left w:val="single" w:sz="8" w:space="0" w:color="B2B2B2"/>
              <w:right w:val="single" w:sz="8" w:space="0" w:color="B2B2B2"/>
            </w:tcBorders>
            <w:shd w:val="clear" w:color="auto" w:fill="2F75B5"/>
            <w:vAlign w:val="center"/>
          </w:tcPr>
          <w:p w14:paraId="2C6EAB6B" w14:textId="77777777" w:rsidR="0018446E" w:rsidRPr="0018446E" w:rsidRDefault="0018446E" w:rsidP="0018446E">
            <w:pPr>
              <w:widowControl w:val="0"/>
              <w:pBdr>
                <w:top w:val="nil"/>
                <w:left w:val="nil"/>
                <w:bottom w:val="nil"/>
                <w:right w:val="nil"/>
                <w:between w:val="nil"/>
              </w:pBdr>
              <w:spacing w:after="0" w:line="276" w:lineRule="auto"/>
              <w:ind w:left="0"/>
              <w:rPr>
                <w:rFonts w:ascii="Times New Roman" w:eastAsia="Times New Roman" w:hAnsi="Times New Roman"/>
                <w:color w:val="FFFFFF"/>
                <w:sz w:val="18"/>
                <w:szCs w:val="18"/>
                <w:lang w:val="ro-MD"/>
              </w:rPr>
            </w:pPr>
          </w:p>
        </w:tc>
        <w:tc>
          <w:tcPr>
            <w:tcW w:w="1903"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2CB2EE61" w14:textId="77777777" w:rsidR="0018446E" w:rsidRPr="0018446E" w:rsidRDefault="0018446E" w:rsidP="0018446E">
            <w:pPr>
              <w:spacing w:after="0" w:line="240" w:lineRule="auto"/>
              <w:ind w:left="0"/>
              <w:jc w:val="center"/>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Muntenegru</w:t>
            </w:r>
          </w:p>
        </w:tc>
        <w:tc>
          <w:tcPr>
            <w:tcW w:w="951"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676FD627"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0.005</w:t>
            </w:r>
          </w:p>
        </w:tc>
        <w:tc>
          <w:tcPr>
            <w:tcW w:w="1043"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48778AFB"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128</w:t>
            </w:r>
          </w:p>
        </w:tc>
        <w:tc>
          <w:tcPr>
            <w:tcW w:w="1054" w:type="dxa"/>
            <w:gridSpan w:val="2"/>
            <w:tcBorders>
              <w:top w:val="single" w:sz="8" w:space="0" w:color="B2B2B2"/>
              <w:left w:val="single" w:sz="8" w:space="0" w:color="B2B2B2"/>
              <w:bottom w:val="single" w:sz="8" w:space="0" w:color="B2B2B2"/>
              <w:right w:val="single" w:sz="8" w:space="0" w:color="B2B2B2"/>
            </w:tcBorders>
            <w:shd w:val="clear" w:color="auto" w:fill="2F75B5"/>
            <w:vAlign w:val="center"/>
          </w:tcPr>
          <w:p w14:paraId="2D1B9FD8"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61.7</w:t>
            </w:r>
          </w:p>
        </w:tc>
        <w:tc>
          <w:tcPr>
            <w:tcW w:w="863"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17CFE116"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9.1</w:t>
            </w:r>
          </w:p>
        </w:tc>
        <w:tc>
          <w:tcPr>
            <w:tcW w:w="848"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1CFAC4A3"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16</w:t>
            </w:r>
          </w:p>
        </w:tc>
        <w:tc>
          <w:tcPr>
            <w:tcW w:w="952" w:type="dxa"/>
            <w:tcBorders>
              <w:top w:val="single" w:sz="8" w:space="0" w:color="B2B2B2"/>
              <w:left w:val="single" w:sz="8" w:space="0" w:color="B2B2B2"/>
              <w:bottom w:val="single" w:sz="8" w:space="0" w:color="B2B2B2"/>
              <w:right w:val="single" w:sz="8" w:space="0" w:color="B2B2B2"/>
            </w:tcBorders>
            <w:shd w:val="clear" w:color="auto" w:fill="2F75B5"/>
            <w:vAlign w:val="center"/>
          </w:tcPr>
          <w:p w14:paraId="5B566B2B" w14:textId="77777777" w:rsidR="0018446E" w:rsidRPr="0018446E" w:rsidRDefault="0018446E" w:rsidP="0018446E">
            <w:pPr>
              <w:spacing w:after="0" w:line="240" w:lineRule="auto"/>
              <w:ind w:left="0"/>
              <w:jc w:val="right"/>
              <w:rPr>
                <w:rFonts w:ascii="Times New Roman" w:eastAsia="Times New Roman" w:hAnsi="Times New Roman"/>
                <w:color w:val="FFFFFF"/>
                <w:sz w:val="18"/>
                <w:szCs w:val="18"/>
                <w:lang w:val="ro-MD"/>
              </w:rPr>
            </w:pPr>
            <w:r w:rsidRPr="0018446E">
              <w:rPr>
                <w:rFonts w:ascii="Times New Roman" w:eastAsia="Times New Roman" w:hAnsi="Times New Roman"/>
                <w:color w:val="FFFFFF"/>
                <w:sz w:val="18"/>
                <w:szCs w:val="18"/>
                <w:lang w:val="ro-MD"/>
              </w:rPr>
              <w:t>13.2</w:t>
            </w:r>
          </w:p>
        </w:tc>
      </w:tr>
    </w:tbl>
    <w:p w14:paraId="28B6D00C" w14:textId="77777777" w:rsidR="0018446E" w:rsidRPr="0018446E" w:rsidRDefault="0018446E" w:rsidP="0018446E">
      <w:pPr>
        <w:spacing w:after="160" w:line="240" w:lineRule="auto"/>
        <w:ind w:left="0" w:firstLine="709"/>
        <w:jc w:val="right"/>
        <w:rPr>
          <w:rFonts w:ascii="Times New Roman" w:eastAsia="Times New Roman" w:hAnsi="Times New Roman"/>
          <w:sz w:val="18"/>
          <w:szCs w:val="18"/>
          <w:lang w:val="ro-MD"/>
        </w:rPr>
      </w:pPr>
      <w:r w:rsidRPr="0018446E">
        <w:rPr>
          <w:rFonts w:ascii="Times New Roman" w:eastAsia="Times New Roman" w:hAnsi="Times New Roman"/>
          <w:i/>
          <w:iCs/>
          <w:sz w:val="18"/>
          <w:szCs w:val="18"/>
          <w:lang w:val="ro-MD"/>
        </w:rPr>
        <w:t>Sursa</w:t>
      </w:r>
      <w:r w:rsidRPr="0018446E">
        <w:rPr>
          <w:rFonts w:ascii="Times New Roman" w:eastAsia="Times New Roman" w:hAnsi="Times New Roman"/>
          <w:sz w:val="18"/>
          <w:szCs w:val="18"/>
          <w:lang w:val="ro-MD"/>
        </w:rPr>
        <w:t>: UNIDO</w:t>
      </w:r>
      <w:r w:rsidRPr="0018446E">
        <w:rPr>
          <w:rFonts w:ascii="Times New Roman" w:eastAsia="Times New Roman" w:hAnsi="Times New Roman"/>
          <w:sz w:val="28"/>
          <w:szCs w:val="28"/>
          <w:lang w:val="ro-MD"/>
        </w:rPr>
        <w:t xml:space="preserve">, </w:t>
      </w:r>
      <w:hyperlink r:id="rId39">
        <w:r w:rsidRPr="0018446E">
          <w:rPr>
            <w:rFonts w:ascii="Times New Roman" w:eastAsia="Times New Roman" w:hAnsi="Times New Roman"/>
            <w:color w:val="0563C1"/>
            <w:sz w:val="18"/>
            <w:szCs w:val="18"/>
            <w:u w:val="single"/>
            <w:lang w:val="ro-MD"/>
          </w:rPr>
          <w:t>https://stat.unido.org</w:t>
        </w:r>
      </w:hyperlink>
    </w:p>
    <w:p w14:paraId="085827E4" w14:textId="77777777" w:rsidR="0018446E" w:rsidRPr="0018446E" w:rsidRDefault="0018446E" w:rsidP="0018446E">
      <w:pPr>
        <w:spacing w:before="120" w:line="276" w:lineRule="auto"/>
        <w:ind w:left="0"/>
        <w:jc w:val="both"/>
        <w:rPr>
          <w:rFonts w:ascii="Times New Roman" w:eastAsia="Times New Roman" w:hAnsi="Times New Roman"/>
          <w:b/>
          <w:bCs/>
          <w:lang w:val="ro-MD"/>
        </w:rPr>
      </w:pPr>
      <w:r w:rsidRPr="0018446E">
        <w:rPr>
          <w:rFonts w:ascii="Times New Roman" w:eastAsia="Times New Roman" w:hAnsi="Times New Roman"/>
          <w:lang w:val="ro-MD"/>
        </w:rPr>
        <w:t xml:space="preserve">Realitățile din industria autohtonă, implicit problemele structurale asociate sectorului industrial și presiunea asupra producției industriale, sunt cauzate parțial de lipsa unor intervenții publice focusate, implicit de lipsa unui document de planificare strategică în domeniul dezvoltării industriei Republicii Moldova, în timp ce creșterea economică sustenabilă este dificilă în lipsa dezvoltării industriei prelucrătoare. Rapoartele periodice ale Organizației Națiunilor Unite pentru Dezvoltare Industrială (UNIDO), implicit </w:t>
      </w:r>
      <w:r w:rsidRPr="0018446E">
        <w:rPr>
          <w:rFonts w:ascii="Times New Roman" w:eastAsia="Times New Roman" w:hAnsi="Times New Roman"/>
          <w:i/>
          <w:iCs/>
          <w:lang w:val="ro-MD"/>
        </w:rPr>
        <w:t>Raportul de Dezvoltarea Industrială pentru anul 2022:</w:t>
      </w:r>
      <w:r w:rsidRPr="0018446E">
        <w:rPr>
          <w:rFonts w:ascii="Times New Roman" w:eastAsia="Times New Roman" w:hAnsi="Times New Roman"/>
          <w:lang w:val="ro-MD"/>
        </w:rPr>
        <w:t xml:space="preserve"> </w:t>
      </w:r>
      <w:r w:rsidRPr="0018446E">
        <w:rPr>
          <w:rFonts w:ascii="Times New Roman" w:eastAsia="Times New Roman" w:hAnsi="Times New Roman"/>
          <w:i/>
          <w:iCs/>
          <w:lang w:val="ro-MD"/>
        </w:rPr>
        <w:t>Viitorul industrializării în lumea post-pandemică</w:t>
      </w:r>
      <w:r w:rsidRPr="0018446E">
        <w:rPr>
          <w:rFonts w:ascii="Times New Roman" w:eastAsia="Times New Roman" w:hAnsi="Times New Roman"/>
          <w:lang w:val="ro-MD"/>
        </w:rPr>
        <w:t>, denotă faptul că, industria prelucrătoare devine critică pentru recuperarea post-pandemică și reziliența socioeconomică la nivel global</w:t>
      </w:r>
      <w:r w:rsidRPr="0018446E">
        <w:rPr>
          <w:rFonts w:ascii="Times New Roman" w:eastAsia="Times New Roman" w:hAnsi="Times New Roman"/>
          <w:vertAlign w:val="superscript"/>
          <w:lang w:val="ro-MD"/>
        </w:rPr>
        <w:footnoteReference w:id="5"/>
      </w:r>
      <w:r w:rsidRPr="0018446E">
        <w:rPr>
          <w:rFonts w:ascii="Times New Roman" w:eastAsia="Times New Roman" w:hAnsi="Times New Roman"/>
          <w:lang w:val="ro-MD"/>
        </w:rPr>
        <w:t xml:space="preserve">. </w:t>
      </w:r>
    </w:p>
    <w:p w14:paraId="38FF0CE7" w14:textId="77777777" w:rsidR="0018446E" w:rsidRPr="0018446E" w:rsidRDefault="0018446E" w:rsidP="0018446E">
      <w:pPr>
        <w:spacing w:before="120" w:line="269" w:lineRule="auto"/>
        <w:ind w:left="0"/>
        <w:jc w:val="both"/>
        <w:rPr>
          <w:rFonts w:ascii="Times New Roman" w:eastAsia="Times New Roman" w:hAnsi="Times New Roman"/>
          <w:b/>
          <w:bCs/>
          <w:lang w:val="ro-MD"/>
        </w:rPr>
      </w:pPr>
    </w:p>
    <w:p w14:paraId="2B9EC0CD" w14:textId="77777777" w:rsidR="0018446E" w:rsidRPr="0018446E" w:rsidRDefault="0018446E" w:rsidP="0018446E">
      <w:pPr>
        <w:spacing w:before="120" w:line="269" w:lineRule="auto"/>
        <w:ind w:left="0"/>
        <w:jc w:val="both"/>
        <w:rPr>
          <w:rFonts w:ascii="Times New Roman" w:eastAsia="Times New Roman" w:hAnsi="Times New Roman"/>
          <w:b/>
          <w:bCs/>
          <w:lang w:val="ro-MD"/>
        </w:rPr>
      </w:pPr>
    </w:p>
    <w:p w14:paraId="04574BDF" w14:textId="77777777" w:rsidR="0018446E" w:rsidRPr="0018446E" w:rsidRDefault="0018446E" w:rsidP="0018446E">
      <w:pPr>
        <w:spacing w:before="120" w:line="269" w:lineRule="auto"/>
        <w:ind w:left="0"/>
        <w:jc w:val="both"/>
        <w:rPr>
          <w:rFonts w:ascii="Times New Roman" w:eastAsia="Times New Roman" w:hAnsi="Times New Roman"/>
          <w:b/>
          <w:bCs/>
          <w:lang w:val="ro-MD"/>
        </w:rPr>
      </w:pPr>
    </w:p>
    <w:p w14:paraId="240663DC" w14:textId="77777777" w:rsidR="0018446E" w:rsidRPr="0018446E" w:rsidRDefault="0018446E" w:rsidP="0018446E">
      <w:pPr>
        <w:spacing w:before="120" w:line="269" w:lineRule="auto"/>
        <w:ind w:left="0"/>
        <w:jc w:val="both"/>
        <w:rPr>
          <w:rFonts w:ascii="Times New Roman" w:eastAsia="Times New Roman" w:hAnsi="Times New Roman"/>
          <w:b/>
          <w:bCs/>
          <w:lang w:val="ro-MD"/>
        </w:rPr>
      </w:pPr>
    </w:p>
    <w:p w14:paraId="2431AB17" w14:textId="77777777" w:rsidR="0018446E" w:rsidRPr="0018446E" w:rsidRDefault="0018446E" w:rsidP="0018446E">
      <w:pPr>
        <w:spacing w:before="120" w:line="269" w:lineRule="auto"/>
        <w:ind w:left="0"/>
        <w:jc w:val="both"/>
        <w:rPr>
          <w:rFonts w:ascii="Times New Roman" w:eastAsia="Times New Roman" w:hAnsi="Times New Roman"/>
          <w:b/>
          <w:bCs/>
          <w:lang w:val="ro-MD"/>
        </w:rPr>
      </w:pPr>
    </w:p>
    <w:p w14:paraId="207D65BA" w14:textId="77777777" w:rsidR="0018446E" w:rsidRPr="0018446E" w:rsidRDefault="0018446E" w:rsidP="0018446E">
      <w:pPr>
        <w:spacing w:after="0" w:line="240" w:lineRule="auto"/>
        <w:ind w:left="0"/>
        <w:jc w:val="center"/>
        <w:rPr>
          <w:rFonts w:ascii="Times New Roman" w:eastAsia="Times New Roman" w:hAnsi="Times New Roman"/>
          <w:b/>
          <w:sz w:val="28"/>
          <w:szCs w:val="28"/>
        </w:rPr>
      </w:pPr>
      <w:r w:rsidRPr="0018446E">
        <w:rPr>
          <w:rFonts w:ascii="Times New Roman" w:eastAsia="Times New Roman" w:hAnsi="Times New Roman"/>
          <w:b/>
          <w:sz w:val="28"/>
          <w:szCs w:val="28"/>
        </w:rPr>
        <w:t>III. SCOPUL ȘI OBIECTIVELE GENERALE</w:t>
      </w:r>
    </w:p>
    <w:p w14:paraId="05B45848" w14:textId="77777777" w:rsidR="0018446E" w:rsidRPr="0018446E" w:rsidRDefault="0018446E" w:rsidP="0018446E">
      <w:pPr>
        <w:spacing w:after="0" w:line="240" w:lineRule="auto"/>
        <w:ind w:left="0"/>
        <w:jc w:val="center"/>
        <w:rPr>
          <w:rFonts w:ascii="Times New Roman" w:eastAsia="Times New Roman" w:hAnsi="Times New Roman"/>
          <w:b/>
          <w:sz w:val="28"/>
          <w:szCs w:val="28"/>
        </w:rPr>
      </w:pPr>
    </w:p>
    <w:p w14:paraId="72AB6F1C" w14:textId="77777777" w:rsidR="0018446E" w:rsidRPr="0018446E" w:rsidRDefault="0018446E" w:rsidP="0018446E">
      <w:pPr>
        <w:spacing w:after="0" w:line="276" w:lineRule="auto"/>
        <w:ind w:left="0"/>
        <w:jc w:val="both"/>
        <w:rPr>
          <w:rFonts w:ascii="Times New Roman" w:eastAsia="Times New Roman" w:hAnsi="Times New Roman"/>
        </w:rPr>
      </w:pPr>
      <w:r w:rsidRPr="0018446E">
        <w:rPr>
          <w:rFonts w:ascii="Times New Roman" w:eastAsia="Times New Roman" w:hAnsi="Times New Roman"/>
          <w:b/>
          <w:bCs/>
          <w:i/>
          <w:iCs/>
        </w:rPr>
        <w:t>Scopul</w:t>
      </w:r>
      <w:r w:rsidRPr="0018446E">
        <w:rPr>
          <w:rFonts w:ascii="Times New Roman" w:eastAsia="Times New Roman" w:hAnsi="Times New Roman"/>
          <w:i/>
          <w:iCs/>
        </w:rPr>
        <w:t xml:space="preserve"> </w:t>
      </w:r>
      <w:r w:rsidRPr="0018446E">
        <w:rPr>
          <w:rFonts w:ascii="Times New Roman" w:eastAsia="Times New Roman" w:hAnsi="Times New Roman"/>
        </w:rPr>
        <w:t xml:space="preserve">Programului este accelerarea tranziției verzi și digitale a industriei din Republica Moldova și dezvoltarea unui sector industrial </w:t>
      </w:r>
      <w:proofErr w:type="spellStart"/>
      <w:r w:rsidRPr="0018446E">
        <w:rPr>
          <w:rFonts w:ascii="Times New Roman" w:eastAsia="Times New Roman" w:hAnsi="Times New Roman"/>
        </w:rPr>
        <w:t>rezilient</w:t>
      </w:r>
      <w:proofErr w:type="spellEnd"/>
      <w:r w:rsidRPr="0018446E">
        <w:rPr>
          <w:rFonts w:ascii="Times New Roman" w:eastAsia="Times New Roman" w:hAnsi="Times New Roman"/>
        </w:rPr>
        <w:t xml:space="preserve"> și competitiv, integrat în piața unică europeană. </w:t>
      </w:r>
    </w:p>
    <w:p w14:paraId="35D284C7" w14:textId="77777777" w:rsidR="0018446E" w:rsidRPr="0018446E" w:rsidRDefault="0018446E" w:rsidP="0018446E">
      <w:pPr>
        <w:spacing w:after="0" w:line="276" w:lineRule="auto"/>
        <w:ind w:left="0"/>
        <w:jc w:val="both"/>
        <w:rPr>
          <w:rFonts w:ascii="Times New Roman" w:eastAsia="Times New Roman" w:hAnsi="Times New Roman"/>
        </w:rPr>
      </w:pPr>
    </w:p>
    <w:p w14:paraId="683C86A7"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Obiective Generale (OG)</w:t>
      </w:r>
      <w:r w:rsidRPr="0018446E">
        <w:rPr>
          <w:rFonts w:ascii="Times New Roman" w:eastAsia="Times New Roman" w:hAnsi="Times New Roman"/>
          <w:lang w:val="ro-MD"/>
        </w:rPr>
        <w:t>. Pentru realizarea scopului Programului, sunt identificate trei Obiective Generale (priorități strategice), implicit:</w:t>
      </w:r>
    </w:p>
    <w:p w14:paraId="7506B5FE"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noProof/>
          <w:lang w:val="en-US"/>
        </w:rPr>
        <w:lastRenderedPageBreak/>
        <w:drawing>
          <wp:inline distT="0" distB="0" distL="0" distR="0" wp14:anchorId="63944743" wp14:editId="4A7ED385">
            <wp:extent cx="5985510" cy="1402080"/>
            <wp:effectExtent l="19050" t="38100" r="53340" b="4572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D80BEBF"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Teoriile contemporane ale industrializării și experiența industrializării economiilor emergente din ultima jumătate de secol, denotă faptul că, politicile de industrializare eficiente, care să permită realizarea scopului setat în Program, trebuie să conțină combinația dintre: intervențiile „orizontale”, care abordează dezechilibrele macroeconomice și reformele structurale și; intervențiile „verticale”, care presupun acțiuni și mecanisme proprii politicii industriale</w:t>
      </w:r>
      <w:r w:rsidRPr="0018446E">
        <w:rPr>
          <w:rFonts w:ascii="Times New Roman" w:eastAsia="Times New Roman" w:hAnsi="Times New Roman"/>
          <w:vertAlign w:val="superscript"/>
          <w:lang w:val="ro-MD"/>
        </w:rPr>
        <w:footnoteReference w:id="6"/>
      </w:r>
      <w:r w:rsidRPr="0018446E">
        <w:rPr>
          <w:rFonts w:ascii="Times New Roman" w:eastAsia="Times New Roman" w:hAnsi="Times New Roman"/>
          <w:lang w:val="ro-MD"/>
        </w:rPr>
        <w:t xml:space="preserve">. </w:t>
      </w:r>
    </w:p>
    <w:p w14:paraId="6F226765"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15E58EDF" w14:textId="77777777" w:rsidR="0018446E" w:rsidRPr="0018446E" w:rsidRDefault="0018446E" w:rsidP="0018446E">
      <w:pPr>
        <w:spacing w:after="0" w:line="240" w:lineRule="auto"/>
        <w:ind w:left="0"/>
        <w:jc w:val="both"/>
        <w:rPr>
          <w:rFonts w:ascii="Times New Roman" w:eastAsia="Times New Roman" w:hAnsi="Times New Roman"/>
          <w:lang w:val="ro-MD"/>
        </w:rPr>
      </w:pPr>
      <w:r w:rsidRPr="0018446E">
        <w:rPr>
          <w:rFonts w:ascii="Times New Roman" w:eastAsia="Times New Roman" w:hAnsi="Times New Roman"/>
          <w:bCs/>
        </w:rPr>
        <w:t xml:space="preserve">În această ordine de idei, </w:t>
      </w:r>
      <w:r w:rsidRPr="0018446E">
        <w:rPr>
          <w:rFonts w:ascii="Times New Roman" w:eastAsia="Times New Roman" w:hAnsi="Times New Roman"/>
          <w:lang w:val="ro-MD"/>
        </w:rPr>
        <w:t xml:space="preserve">cadrul de politici care să asigure realizarea scopului Programului, în noul context al crizelor suprapuse și accelerării procesului de integrare europeană, trebuie să fie unul complex și structurat pe trei niveluri: </w:t>
      </w:r>
    </w:p>
    <w:p w14:paraId="22A6BA2F"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71416740" w14:textId="77777777" w:rsidR="0018446E" w:rsidRPr="0018446E" w:rsidRDefault="0018446E" w:rsidP="0018446E">
      <w:pPr>
        <w:ind w:left="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Figura 3.1. Politici structurate pe trei niveluri</w:t>
      </w:r>
    </w:p>
    <w:p w14:paraId="7522FBB5" w14:textId="77777777" w:rsidR="0018446E" w:rsidRPr="0018446E" w:rsidRDefault="0018446E" w:rsidP="0018446E">
      <w:pPr>
        <w:spacing w:after="0"/>
        <w:ind w:left="0"/>
        <w:jc w:val="both"/>
        <w:rPr>
          <w:rFonts w:ascii="Times New Roman" w:eastAsia="Times New Roman" w:hAnsi="Times New Roman"/>
          <w:lang w:val="ro-MD"/>
        </w:rPr>
      </w:pPr>
      <w:r w:rsidRPr="0018446E">
        <w:rPr>
          <w:rFonts w:ascii="Times New Roman" w:eastAsia="Times New Roman" w:hAnsi="Times New Roman"/>
          <w:noProof/>
          <w:lang w:val="en-US"/>
        </w:rPr>
        <w:drawing>
          <wp:inline distT="0" distB="0" distL="0" distR="0" wp14:anchorId="7E856AA8" wp14:editId="5F59AAF6">
            <wp:extent cx="6126480" cy="3009900"/>
            <wp:effectExtent l="0" t="0" r="2667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A1F3987" w14:textId="77777777" w:rsidR="0018446E" w:rsidRPr="0018446E" w:rsidRDefault="0018446E" w:rsidP="0018446E">
      <w:pPr>
        <w:spacing w:after="0"/>
        <w:ind w:left="0"/>
        <w:jc w:val="both"/>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 xml:space="preserve">Sursa: </w:t>
      </w:r>
      <w:r w:rsidRPr="0018446E">
        <w:rPr>
          <w:rFonts w:ascii="Times New Roman" w:eastAsia="Times New Roman" w:hAnsi="Times New Roman"/>
          <w:i/>
          <w:iCs/>
          <w:sz w:val="20"/>
          <w:szCs w:val="20"/>
          <w:lang w:val="ro-MD"/>
        </w:rPr>
        <w:t>elaborat de autor (MDED).</w:t>
      </w:r>
    </w:p>
    <w:p w14:paraId="7AEEC3BC" w14:textId="77777777" w:rsidR="0018446E" w:rsidRPr="0018446E" w:rsidRDefault="0018446E" w:rsidP="0018446E">
      <w:pPr>
        <w:spacing w:after="0" w:line="276" w:lineRule="auto"/>
        <w:ind w:left="0"/>
        <w:jc w:val="both"/>
        <w:rPr>
          <w:rFonts w:ascii="Times New Roman" w:eastAsia="Times New Roman" w:hAnsi="Times New Roman"/>
          <w:bCs/>
          <w:lang w:val="ro-MD"/>
        </w:rPr>
      </w:pPr>
      <w:r w:rsidRPr="0018446E">
        <w:rPr>
          <w:rFonts w:ascii="Times New Roman" w:eastAsia="Times New Roman" w:hAnsi="Times New Roman"/>
          <w:bCs/>
          <w:lang w:val="ro-MD"/>
        </w:rPr>
        <w:t xml:space="preserve">Programul conține intervenții sectoriale/verticale din nivelul al treilea de politici – sintetizate în OG și definite în Obiectivele Specifice (OS) – , dar pornește de la premisa că, redresarea dezechilibrelor macroeconomice existente, implicit presiunea inflaționistă și deficitele gemene (bugetar și de cont curent), sau reformele structurale, implicit reforma justiției și a pieței forței de muncă, sunt definitorii pentru industrializarea Republicii Moldova. </w:t>
      </w:r>
    </w:p>
    <w:p w14:paraId="34D7FF61" w14:textId="77777777" w:rsidR="0018446E" w:rsidRPr="0018446E" w:rsidRDefault="0018446E" w:rsidP="0018446E">
      <w:pPr>
        <w:spacing w:after="0" w:line="276" w:lineRule="auto"/>
        <w:ind w:left="0"/>
        <w:jc w:val="both"/>
        <w:rPr>
          <w:rFonts w:ascii="Times New Roman" w:eastAsia="Times New Roman" w:hAnsi="Times New Roman"/>
          <w:color w:val="000000"/>
        </w:rPr>
      </w:pPr>
    </w:p>
    <w:p w14:paraId="5D6CFE49" w14:textId="77777777" w:rsidR="0018446E" w:rsidRPr="0018446E" w:rsidRDefault="0018446E" w:rsidP="0018446E">
      <w:pPr>
        <w:spacing w:after="0" w:line="276" w:lineRule="auto"/>
        <w:ind w:left="0"/>
        <w:jc w:val="both"/>
        <w:rPr>
          <w:rFonts w:ascii="Times New Roman" w:eastAsia="Times New Roman" w:hAnsi="Times New Roman"/>
          <w:color w:val="000000"/>
        </w:rPr>
      </w:pPr>
      <w:r w:rsidRPr="0018446E">
        <w:rPr>
          <w:rFonts w:ascii="Times New Roman" w:eastAsia="Times New Roman" w:hAnsi="Times New Roman"/>
          <w:color w:val="000000"/>
        </w:rPr>
        <w:lastRenderedPageBreak/>
        <w:t xml:space="preserve">Programul de dezvoltare a industriei este focusat pe </w:t>
      </w:r>
      <w:r w:rsidRPr="0018446E">
        <w:rPr>
          <w:rFonts w:ascii="Times New Roman" w:eastAsia="Times New Roman" w:hAnsi="Times New Roman"/>
          <w:b/>
          <w:bCs/>
          <w:color w:val="000000"/>
        </w:rPr>
        <w:t>trei priorități tematice</w:t>
      </w:r>
      <w:r w:rsidRPr="0018446E">
        <w:rPr>
          <w:rFonts w:ascii="Times New Roman" w:eastAsia="Times New Roman" w:hAnsi="Times New Roman"/>
          <w:color w:val="000000"/>
        </w:rPr>
        <w:t>:</w:t>
      </w:r>
    </w:p>
    <w:p w14:paraId="39640C63" w14:textId="77777777" w:rsidR="0018446E" w:rsidRPr="0018446E" w:rsidRDefault="0018446E" w:rsidP="0018446E">
      <w:pPr>
        <w:spacing w:after="0" w:line="276" w:lineRule="auto"/>
        <w:ind w:left="0"/>
        <w:jc w:val="both"/>
        <w:rPr>
          <w:rFonts w:ascii="Times New Roman" w:eastAsia="Times New Roman" w:hAnsi="Times New Roman"/>
          <w:color w:val="000000"/>
        </w:rPr>
      </w:pPr>
    </w:p>
    <w:p w14:paraId="4E3C11F3" w14:textId="77777777" w:rsidR="0018446E" w:rsidRPr="0018446E" w:rsidRDefault="0018446E" w:rsidP="0018446E">
      <w:pPr>
        <w:spacing w:after="0" w:line="276" w:lineRule="auto"/>
        <w:ind w:left="0"/>
        <w:jc w:val="both"/>
        <w:rPr>
          <w:rFonts w:ascii="Times New Roman" w:eastAsia="Times New Roman" w:hAnsi="Times New Roman"/>
          <w:color w:val="000000"/>
        </w:rPr>
      </w:pPr>
      <w:r w:rsidRPr="0018446E">
        <w:rPr>
          <w:rFonts w:ascii="Times New Roman" w:eastAsia="Times New Roman" w:hAnsi="Times New Roman"/>
          <w:b/>
          <w:bCs/>
          <w:sz w:val="20"/>
          <w:szCs w:val="20"/>
        </w:rPr>
        <w:t>Figura 3.2. Prioritățile tematice ale programului național de dezvoltare industrială.</w:t>
      </w:r>
    </w:p>
    <w:p w14:paraId="718964E6" w14:textId="77777777" w:rsidR="0018446E" w:rsidRPr="0018446E" w:rsidRDefault="0018446E" w:rsidP="0018446E">
      <w:pPr>
        <w:spacing w:after="0" w:line="276" w:lineRule="auto"/>
        <w:ind w:left="0"/>
        <w:jc w:val="both"/>
        <w:rPr>
          <w:rFonts w:ascii="Times New Roman" w:eastAsia="Times New Roman" w:hAnsi="Times New Roman"/>
          <w:color w:val="000000"/>
        </w:rPr>
      </w:pPr>
    </w:p>
    <w:p w14:paraId="3EF0D2A7" w14:textId="77777777" w:rsidR="0018446E" w:rsidRPr="0018446E" w:rsidRDefault="0018446E" w:rsidP="0018446E">
      <w:pPr>
        <w:tabs>
          <w:tab w:val="left" w:pos="1185"/>
        </w:tabs>
        <w:spacing w:after="0" w:line="240" w:lineRule="auto"/>
        <w:ind w:left="0"/>
        <w:rPr>
          <w:rFonts w:ascii="Times New Roman" w:eastAsia="Times New Roman" w:hAnsi="Times New Roman"/>
        </w:rPr>
      </w:pPr>
      <w:r w:rsidRPr="0018446E">
        <w:rPr>
          <w:rFonts w:ascii="Times New Roman" w:eastAsia="Times New Roman" w:hAnsi="Times New Roman"/>
          <w:noProof/>
          <w:lang w:val="en-US"/>
        </w:rPr>
        <w:drawing>
          <wp:inline distT="0" distB="0" distL="0" distR="0" wp14:anchorId="0E0089FE" wp14:editId="45BA9AF5">
            <wp:extent cx="5985510" cy="2266950"/>
            <wp:effectExtent l="57150" t="57150" r="53340" b="571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7CE1754" w14:textId="77777777" w:rsidR="0018446E" w:rsidRPr="0018446E" w:rsidRDefault="0018446E" w:rsidP="0018446E">
      <w:pPr>
        <w:tabs>
          <w:tab w:val="left" w:pos="1185"/>
        </w:tabs>
        <w:spacing w:after="0" w:line="240" w:lineRule="auto"/>
        <w:ind w:left="0"/>
        <w:rPr>
          <w:rFonts w:ascii="Times New Roman" w:eastAsia="Times New Roman" w:hAnsi="Times New Roman"/>
          <w:i/>
          <w:iCs/>
          <w:sz w:val="20"/>
          <w:szCs w:val="20"/>
        </w:rPr>
      </w:pPr>
      <w:r w:rsidRPr="0018446E">
        <w:rPr>
          <w:rFonts w:ascii="Times New Roman" w:eastAsia="Times New Roman" w:hAnsi="Times New Roman"/>
          <w:b/>
          <w:bCs/>
          <w:i/>
          <w:iCs/>
          <w:sz w:val="20"/>
          <w:szCs w:val="20"/>
        </w:rPr>
        <w:t>Sursa:</w:t>
      </w:r>
      <w:r w:rsidRPr="0018446E">
        <w:rPr>
          <w:rFonts w:ascii="Times New Roman" w:eastAsia="Times New Roman" w:hAnsi="Times New Roman"/>
          <w:i/>
          <w:iCs/>
          <w:sz w:val="20"/>
          <w:szCs w:val="20"/>
        </w:rPr>
        <w:t xml:space="preserve"> elaborat în conformitate cu realitățile/interesele naționale.</w:t>
      </w:r>
    </w:p>
    <w:p w14:paraId="7861B001" w14:textId="77777777" w:rsidR="0018446E" w:rsidRPr="0018446E" w:rsidRDefault="0018446E" w:rsidP="0018446E">
      <w:pPr>
        <w:spacing w:after="0" w:line="240" w:lineRule="auto"/>
        <w:ind w:left="0"/>
        <w:jc w:val="both"/>
        <w:rPr>
          <w:rFonts w:ascii="Times New Roman" w:eastAsia="Times New Roman" w:hAnsi="Times New Roman"/>
        </w:rPr>
      </w:pPr>
    </w:p>
    <w:p w14:paraId="56AA02EF" w14:textId="77777777" w:rsidR="0018446E" w:rsidRPr="0018446E" w:rsidRDefault="0018446E" w:rsidP="0018446E">
      <w:pPr>
        <w:spacing w:after="0" w:line="240" w:lineRule="auto"/>
        <w:ind w:left="0"/>
        <w:jc w:val="both"/>
        <w:rPr>
          <w:rFonts w:ascii="Times New Roman" w:eastAsia="Times New Roman" w:hAnsi="Times New Roman"/>
        </w:rPr>
      </w:pPr>
      <w:r w:rsidRPr="0018446E">
        <w:rPr>
          <w:rFonts w:ascii="Times New Roman" w:eastAsia="Times New Roman" w:hAnsi="Times New Roman"/>
        </w:rPr>
        <w:t xml:space="preserve">De asemenea, Programul și intervențiile publice conexe sunt focusate pe </w:t>
      </w:r>
      <w:r w:rsidRPr="0018446E">
        <w:rPr>
          <w:rFonts w:ascii="Times New Roman" w:eastAsia="Times New Roman" w:hAnsi="Times New Roman"/>
          <w:b/>
          <w:bCs/>
        </w:rPr>
        <w:t>șase priorități sectoriale</w:t>
      </w:r>
      <w:r w:rsidRPr="0018446E">
        <w:rPr>
          <w:rFonts w:ascii="Times New Roman" w:eastAsia="Times New Roman" w:hAnsi="Times New Roman"/>
        </w:rPr>
        <w:t>:</w:t>
      </w:r>
    </w:p>
    <w:p w14:paraId="533F6C4E" w14:textId="77777777" w:rsidR="0018446E" w:rsidRPr="0018446E" w:rsidRDefault="0018446E" w:rsidP="0018446E">
      <w:pPr>
        <w:tabs>
          <w:tab w:val="left" w:pos="1185"/>
        </w:tabs>
        <w:spacing w:after="0" w:line="240" w:lineRule="auto"/>
        <w:ind w:left="0"/>
        <w:rPr>
          <w:rFonts w:ascii="Times New Roman" w:eastAsia="Times New Roman" w:hAnsi="Times New Roman"/>
          <w:b/>
          <w:bCs/>
          <w:sz w:val="20"/>
          <w:szCs w:val="20"/>
        </w:rPr>
      </w:pPr>
    </w:p>
    <w:p w14:paraId="432AD23D" w14:textId="77777777" w:rsidR="0018446E" w:rsidRPr="0018446E" w:rsidRDefault="0018446E" w:rsidP="0018446E">
      <w:pPr>
        <w:tabs>
          <w:tab w:val="left" w:pos="1185"/>
        </w:tabs>
        <w:spacing w:after="0" w:line="240" w:lineRule="auto"/>
        <w:ind w:left="0"/>
        <w:rPr>
          <w:rFonts w:ascii="Times New Roman" w:eastAsia="Times New Roman" w:hAnsi="Times New Roman"/>
          <w:b/>
          <w:bCs/>
          <w:sz w:val="20"/>
          <w:szCs w:val="20"/>
        </w:rPr>
      </w:pPr>
      <w:r w:rsidRPr="0018446E">
        <w:rPr>
          <w:rFonts w:ascii="Times New Roman" w:eastAsia="Times New Roman" w:hAnsi="Times New Roman"/>
          <w:b/>
          <w:bCs/>
          <w:sz w:val="20"/>
          <w:szCs w:val="20"/>
        </w:rPr>
        <w:t>Figura 3.3. Prioritățile sectoriale ale programului național de dezvoltare industrială.</w:t>
      </w:r>
    </w:p>
    <w:p w14:paraId="5CD04932" w14:textId="77777777" w:rsidR="0018446E" w:rsidRPr="0018446E" w:rsidRDefault="0018446E" w:rsidP="0018446E">
      <w:pPr>
        <w:spacing w:after="0" w:line="240" w:lineRule="auto"/>
        <w:ind w:left="0"/>
        <w:jc w:val="both"/>
        <w:rPr>
          <w:rFonts w:ascii="Times New Roman" w:eastAsia="Times New Roman" w:hAnsi="Times New Roman"/>
          <w:b/>
          <w:bCs/>
        </w:rPr>
      </w:pPr>
    </w:p>
    <w:p w14:paraId="3D94F79A" w14:textId="77777777" w:rsidR="0018446E" w:rsidRPr="0018446E" w:rsidRDefault="0018446E" w:rsidP="0018446E">
      <w:pPr>
        <w:spacing w:after="0" w:line="240" w:lineRule="auto"/>
        <w:ind w:left="0"/>
        <w:jc w:val="both"/>
        <w:rPr>
          <w:rFonts w:ascii="Times New Roman" w:eastAsia="Times New Roman" w:hAnsi="Times New Roman"/>
        </w:rPr>
      </w:pPr>
      <w:r w:rsidRPr="0018446E">
        <w:rPr>
          <w:rFonts w:ascii="Times New Roman" w:eastAsia="Times New Roman" w:hAnsi="Times New Roman"/>
          <w:noProof/>
          <w:lang w:val="en-US"/>
        </w:rPr>
        <w:drawing>
          <wp:inline distT="0" distB="0" distL="0" distR="0" wp14:anchorId="22D77FFF" wp14:editId="40562F0E">
            <wp:extent cx="6118860" cy="3200400"/>
            <wp:effectExtent l="0" t="0" r="1524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6EBB321" w14:textId="77777777" w:rsidR="0018446E" w:rsidRPr="0018446E" w:rsidRDefault="0018446E" w:rsidP="0018446E">
      <w:pPr>
        <w:tabs>
          <w:tab w:val="left" w:pos="1185"/>
        </w:tabs>
        <w:spacing w:after="0" w:line="240" w:lineRule="auto"/>
        <w:ind w:left="0"/>
        <w:rPr>
          <w:rFonts w:ascii="Times New Roman" w:eastAsia="Times New Roman" w:hAnsi="Times New Roman"/>
          <w:i/>
          <w:iCs/>
          <w:sz w:val="20"/>
          <w:szCs w:val="20"/>
        </w:rPr>
      </w:pPr>
      <w:r w:rsidRPr="0018446E">
        <w:rPr>
          <w:rFonts w:ascii="Times New Roman" w:eastAsia="Times New Roman" w:hAnsi="Times New Roman"/>
          <w:b/>
          <w:bCs/>
          <w:i/>
          <w:iCs/>
          <w:sz w:val="20"/>
          <w:szCs w:val="20"/>
        </w:rPr>
        <w:t>Sursa:</w:t>
      </w:r>
      <w:r w:rsidRPr="0018446E">
        <w:rPr>
          <w:rFonts w:ascii="Times New Roman" w:eastAsia="Times New Roman" w:hAnsi="Times New Roman"/>
          <w:i/>
          <w:iCs/>
          <w:sz w:val="20"/>
          <w:szCs w:val="20"/>
        </w:rPr>
        <w:t xml:space="preserve"> elaborat în conformitate cu realitățile/interesele naționale.</w:t>
      </w:r>
    </w:p>
    <w:p w14:paraId="6B43A6D8" w14:textId="77777777" w:rsidR="0018446E" w:rsidRPr="0018446E" w:rsidRDefault="0018446E" w:rsidP="0018446E">
      <w:pPr>
        <w:tabs>
          <w:tab w:val="left" w:pos="1185"/>
        </w:tabs>
        <w:spacing w:after="0" w:line="240" w:lineRule="auto"/>
        <w:ind w:left="0"/>
        <w:rPr>
          <w:rFonts w:ascii="Times New Roman" w:eastAsia="Times New Roman" w:hAnsi="Times New Roman"/>
          <w:i/>
          <w:iCs/>
          <w:sz w:val="20"/>
          <w:szCs w:val="20"/>
        </w:rPr>
      </w:pPr>
    </w:p>
    <w:p w14:paraId="1D648C9B" w14:textId="77777777" w:rsidR="0018446E" w:rsidRPr="0018446E" w:rsidRDefault="0018446E" w:rsidP="0018446E">
      <w:pPr>
        <w:tabs>
          <w:tab w:val="left" w:pos="1185"/>
        </w:tabs>
        <w:spacing w:after="0" w:line="240" w:lineRule="auto"/>
        <w:ind w:left="0"/>
        <w:rPr>
          <w:rFonts w:ascii="Times New Roman" w:eastAsia="Times New Roman" w:hAnsi="Times New Roman"/>
          <w:i/>
          <w:iCs/>
          <w:sz w:val="20"/>
          <w:szCs w:val="20"/>
        </w:rPr>
      </w:pPr>
      <w:r w:rsidRPr="0018446E">
        <w:rPr>
          <w:rFonts w:ascii="Times New Roman" w:eastAsia="Times New Roman" w:hAnsi="Times New Roman"/>
        </w:rPr>
        <w:t xml:space="preserve">Dezvoltarea producției locale reprezintă dimensiunea trans-sectorială, drept pentru care intervențiile și acțiunile stimulatorii pentru dezvoltarea producției locale nu se vor limita la cele șase sectoare identificate drept prioritare. </w:t>
      </w:r>
    </w:p>
    <w:p w14:paraId="3572CB95" w14:textId="77777777" w:rsidR="0018446E" w:rsidRPr="0018446E" w:rsidRDefault="0018446E" w:rsidP="0018446E">
      <w:pPr>
        <w:spacing w:after="0" w:line="240" w:lineRule="auto"/>
        <w:ind w:left="0"/>
        <w:jc w:val="both"/>
        <w:rPr>
          <w:rFonts w:ascii="Times New Roman" w:eastAsia="Times New Roman" w:hAnsi="Times New Roman"/>
        </w:rPr>
      </w:pPr>
    </w:p>
    <w:p w14:paraId="0FF8F297" w14:textId="77777777" w:rsidR="0018446E" w:rsidRPr="0018446E" w:rsidRDefault="0018446E" w:rsidP="0018446E">
      <w:pPr>
        <w:spacing w:after="0" w:line="240" w:lineRule="auto"/>
        <w:ind w:left="0"/>
        <w:jc w:val="both"/>
        <w:rPr>
          <w:rFonts w:ascii="Times New Roman" w:eastAsia="Times New Roman" w:hAnsi="Times New Roman"/>
        </w:rPr>
      </w:pPr>
    </w:p>
    <w:p w14:paraId="5C7F4E11" w14:textId="77777777" w:rsidR="0018446E" w:rsidRPr="0018446E" w:rsidRDefault="0018446E" w:rsidP="0018446E">
      <w:pPr>
        <w:spacing w:after="0" w:line="240" w:lineRule="auto"/>
        <w:ind w:left="0"/>
        <w:jc w:val="center"/>
        <w:rPr>
          <w:rFonts w:ascii="Times New Roman" w:eastAsia="Times New Roman" w:hAnsi="Times New Roman"/>
          <w:b/>
          <w:sz w:val="28"/>
          <w:szCs w:val="28"/>
        </w:rPr>
      </w:pPr>
      <w:r w:rsidRPr="0018446E">
        <w:rPr>
          <w:rFonts w:ascii="Times New Roman" w:eastAsia="Times New Roman" w:hAnsi="Times New Roman"/>
          <w:b/>
          <w:sz w:val="28"/>
          <w:szCs w:val="28"/>
        </w:rPr>
        <w:t>IV. OBIECTIVELE SPECIFICE</w:t>
      </w:r>
    </w:p>
    <w:p w14:paraId="1AE2B965" w14:textId="77777777" w:rsidR="0018446E" w:rsidRPr="0018446E" w:rsidRDefault="0018446E" w:rsidP="0018446E">
      <w:pPr>
        <w:spacing w:after="0" w:line="240" w:lineRule="auto"/>
        <w:ind w:left="0"/>
        <w:jc w:val="both"/>
        <w:rPr>
          <w:rFonts w:ascii="Times New Roman" w:eastAsia="Times New Roman" w:hAnsi="Times New Roman"/>
          <w:bCs/>
          <w:lang w:val="ro-MD"/>
        </w:rPr>
      </w:pPr>
    </w:p>
    <w:p w14:paraId="06EF1BA8" w14:textId="77777777" w:rsidR="0018446E" w:rsidRPr="0018446E" w:rsidRDefault="0018446E" w:rsidP="0018446E">
      <w:pPr>
        <w:spacing w:after="0" w:line="240" w:lineRule="auto"/>
        <w:ind w:left="0"/>
        <w:jc w:val="both"/>
        <w:rPr>
          <w:rFonts w:ascii="Times New Roman" w:eastAsia="Times New Roman" w:hAnsi="Times New Roman"/>
          <w:bCs/>
          <w:lang w:val="ro-MD"/>
        </w:rPr>
      </w:pPr>
      <w:r w:rsidRPr="0018446E">
        <w:rPr>
          <w:rFonts w:ascii="Times New Roman" w:eastAsia="Times New Roman" w:hAnsi="Times New Roman"/>
          <w:bCs/>
          <w:lang w:val="ro-MD"/>
        </w:rPr>
        <w:lastRenderedPageBreak/>
        <w:t xml:space="preserve">Politicile și intervențiile Programului, sintetizate în OG și definite în OS, sunt fundamentate pe funcția neoclasică a producției – </w:t>
      </w:r>
      <w:r w:rsidRPr="0018446E">
        <w:rPr>
          <w:rFonts w:ascii="Times New Roman" w:eastAsia="Times New Roman" w:hAnsi="Times New Roman"/>
          <w:bCs/>
          <w:i/>
          <w:iCs/>
          <w:lang w:val="ro-MD"/>
        </w:rPr>
        <w:t>Y= AF(K, L)</w:t>
      </w:r>
      <w:r w:rsidRPr="0018446E">
        <w:rPr>
          <w:rFonts w:ascii="Times New Roman" w:eastAsia="Times New Roman" w:hAnsi="Times New Roman"/>
          <w:bCs/>
          <w:lang w:val="ro-MD"/>
        </w:rPr>
        <w:t xml:space="preserve"> – și completate cu asumpții proprii modelelor endogene și teoriilor contemporane ale creșterii. Astfel, OG 2 conține intervenții care consideră producția industrială totală (</w:t>
      </w:r>
      <m:oMath>
        <m:sSub>
          <m:sSubPr>
            <m:ctrlPr>
              <w:rPr>
                <w:rFonts w:ascii="Cambria Math" w:eastAsiaTheme="minorHAnsi" w:hAnsi="Cambria Math"/>
                <w:bCs/>
                <w:i/>
                <w:lang w:val="ro-MD"/>
              </w:rPr>
            </m:ctrlPr>
          </m:sSubPr>
          <m:e>
            <m:r>
              <w:rPr>
                <w:rFonts w:ascii="Cambria Math" w:eastAsia="Times New Roman" w:hAnsi="Cambria Math"/>
                <w:lang w:val="ro-MD"/>
              </w:rPr>
              <m:t>Y</m:t>
            </m:r>
          </m:e>
          <m:sub>
            <m:r>
              <w:rPr>
                <w:rFonts w:ascii="Cambria Math" w:eastAsia="Times New Roman" w:hAnsi="Cambria Math"/>
                <w:lang w:val="ro-MD"/>
              </w:rPr>
              <m:t>t</m:t>
            </m:r>
          </m:sub>
        </m:sSub>
      </m:oMath>
      <w:r w:rsidRPr="0018446E">
        <w:rPr>
          <w:rFonts w:ascii="Times New Roman" w:eastAsia="Times New Roman" w:hAnsi="Times New Roman"/>
          <w:bCs/>
          <w:lang w:val="ro-MD"/>
        </w:rPr>
        <w:t xml:space="preserve">) </w:t>
      </w:r>
      <w:r w:rsidRPr="0018446E">
        <w:rPr>
          <w:rFonts w:ascii="Times New Roman" w:eastAsia="Times New Roman" w:hAnsi="Times New Roman"/>
        </w:rPr>
        <w:t>în funcție de stocurile curente de capital (</w:t>
      </w:r>
      <m:oMath>
        <m:sSub>
          <m:sSubPr>
            <m:ctrlPr>
              <w:rPr>
                <w:rFonts w:ascii="Cambria Math" w:eastAsiaTheme="minorHAnsi" w:hAnsi="Cambria Math"/>
                <w:i/>
              </w:rPr>
            </m:ctrlPr>
          </m:sSubPr>
          <m:e>
            <m:r>
              <w:rPr>
                <w:rFonts w:ascii="Cambria Math" w:eastAsia="Times New Roman" w:hAnsi="Cambria Math"/>
              </w:rPr>
              <m:t>K</m:t>
            </m:r>
          </m:e>
          <m:sub>
            <m:r>
              <w:rPr>
                <w:rFonts w:ascii="Cambria Math" w:eastAsia="Times New Roman" w:hAnsi="Cambria Math"/>
              </w:rPr>
              <m:t>t</m:t>
            </m:r>
          </m:sub>
        </m:sSub>
      </m:oMath>
      <w:r w:rsidRPr="0018446E">
        <w:rPr>
          <w:rFonts w:ascii="Times New Roman" w:eastAsia="Times New Roman" w:hAnsi="Times New Roman"/>
        </w:rPr>
        <w:t>) și forță de muncă (</w:t>
      </w:r>
      <m:oMath>
        <m:sSub>
          <m:sSubPr>
            <m:ctrlPr>
              <w:rPr>
                <w:rFonts w:ascii="Cambria Math" w:eastAsiaTheme="minorHAnsi" w:hAnsi="Cambria Math"/>
                <w:i/>
              </w:rPr>
            </m:ctrlPr>
          </m:sSubPr>
          <m:e>
            <m:r>
              <w:rPr>
                <w:rFonts w:ascii="Cambria Math" w:eastAsia="Times New Roman" w:hAnsi="Cambria Math"/>
              </w:rPr>
              <m:t>L</m:t>
            </m:r>
          </m:e>
          <m:sub>
            <m:r>
              <w:rPr>
                <w:rFonts w:ascii="Cambria Math" w:eastAsia="Times New Roman" w:hAnsi="Cambria Math"/>
              </w:rPr>
              <m:t>t</m:t>
            </m:r>
          </m:sub>
        </m:sSub>
      </m:oMath>
      <w:r w:rsidRPr="0018446E">
        <w:rPr>
          <w:rFonts w:ascii="Times New Roman" w:eastAsia="Times New Roman" w:hAnsi="Times New Roman"/>
        </w:rPr>
        <w:t>), în timp ce OG 1 și OG 3 extind spec</w:t>
      </w:r>
      <w:proofErr w:type="spellStart"/>
      <w:r w:rsidRPr="0018446E">
        <w:rPr>
          <w:rFonts w:ascii="Times New Roman" w:eastAsia="Times New Roman" w:hAnsi="Times New Roman"/>
        </w:rPr>
        <w:t>trul</w:t>
      </w:r>
      <w:proofErr w:type="spellEnd"/>
      <w:r w:rsidRPr="0018446E">
        <w:rPr>
          <w:rFonts w:ascii="Times New Roman" w:eastAsia="Times New Roman" w:hAnsi="Times New Roman"/>
        </w:rPr>
        <w:t xml:space="preserve"> de intervenții, în conformitate cu noile modele ale creșterii </w:t>
      </w:r>
      <w:r w:rsidRPr="0018446E">
        <w:rPr>
          <w:rFonts w:ascii="Times New Roman" w:eastAsia="Times New Roman" w:hAnsi="Times New Roman"/>
          <w:bCs/>
          <w:lang w:val="ro-MD"/>
        </w:rPr>
        <w:t>care consideră capitalul uman (</w:t>
      </w:r>
      <m:oMath>
        <m:sSub>
          <m:sSubPr>
            <m:ctrlPr>
              <w:rPr>
                <w:rFonts w:ascii="Cambria Math" w:eastAsiaTheme="minorHAnsi" w:hAnsi="Cambria Math"/>
                <w:bCs/>
                <w:i/>
                <w:lang w:val="ro-MD"/>
              </w:rPr>
            </m:ctrlPr>
          </m:sSubPr>
          <m:e>
            <m:r>
              <w:rPr>
                <w:rFonts w:ascii="Cambria Math" w:eastAsia="Times New Roman" w:hAnsi="Cambria Math"/>
                <w:lang w:val="ro-MD"/>
              </w:rPr>
              <m:t>H</m:t>
            </m:r>
          </m:e>
          <m:sub>
            <m:r>
              <w:rPr>
                <w:rFonts w:ascii="Cambria Math" w:eastAsia="Times New Roman" w:hAnsi="Cambria Math"/>
                <w:lang w:val="ro-MD"/>
              </w:rPr>
              <m:t>t</m:t>
            </m:r>
          </m:sub>
        </m:sSub>
      </m:oMath>
      <w:r w:rsidRPr="0018446E">
        <w:rPr>
          <w:rFonts w:ascii="Times New Roman" w:eastAsia="Times New Roman" w:hAnsi="Times New Roman"/>
          <w:bCs/>
          <w:lang w:val="ro-MD"/>
        </w:rPr>
        <w:t>) și susțin că progresul tehnologic/productivitatea totală a factorilor (</w:t>
      </w:r>
      <m:oMath>
        <m:sSub>
          <m:sSubPr>
            <m:ctrlPr>
              <w:rPr>
                <w:rFonts w:ascii="Cambria Math" w:eastAsiaTheme="minorHAnsi" w:hAnsi="Cambria Math"/>
                <w:bCs/>
                <w:i/>
                <w:lang w:val="ro-MD"/>
              </w:rPr>
            </m:ctrlPr>
          </m:sSubPr>
          <m:e>
            <m:r>
              <w:rPr>
                <w:rFonts w:ascii="Cambria Math" w:eastAsia="Times New Roman" w:hAnsi="Cambria Math"/>
                <w:lang w:val="ro-MD"/>
              </w:rPr>
              <m:t>A</m:t>
            </m:r>
          </m:e>
          <m:sub>
            <m:r>
              <w:rPr>
                <w:rFonts w:ascii="Cambria Math" w:eastAsia="Times New Roman" w:hAnsi="Cambria Math"/>
                <w:lang w:val="ro-MD"/>
              </w:rPr>
              <m:t>t</m:t>
            </m:r>
          </m:sub>
        </m:sSub>
      </m:oMath>
      <w:r w:rsidRPr="0018446E">
        <w:rPr>
          <w:rFonts w:ascii="Times New Roman" w:eastAsia="Times New Roman" w:hAnsi="Times New Roman"/>
          <w:bCs/>
          <w:lang w:val="ro-MD"/>
        </w:rPr>
        <w:t>) sunt endogene și pot constitui obiectul politicilor publice sau în co</w:t>
      </w:r>
      <w:proofErr w:type="spellStart"/>
      <w:r w:rsidRPr="0018446E">
        <w:rPr>
          <w:rFonts w:ascii="Times New Roman" w:eastAsia="Times New Roman" w:hAnsi="Times New Roman"/>
          <w:bCs/>
          <w:lang w:val="ro-MD"/>
        </w:rPr>
        <w:t>nformitate</w:t>
      </w:r>
      <w:proofErr w:type="spellEnd"/>
      <w:r w:rsidRPr="0018446E">
        <w:rPr>
          <w:rFonts w:ascii="Times New Roman" w:eastAsia="Times New Roman" w:hAnsi="Times New Roman"/>
          <w:bCs/>
          <w:lang w:val="ro-MD"/>
        </w:rPr>
        <w:t xml:space="preserve"> cu asumpțiile care argumentează importanța instituțiilor și aspectelor de mediu în creșterea sustenabilă. </w:t>
      </w:r>
    </w:p>
    <w:p w14:paraId="1E04A5D8" w14:textId="77777777" w:rsidR="0018446E" w:rsidRPr="0018446E" w:rsidRDefault="0018446E" w:rsidP="0018446E">
      <w:pPr>
        <w:spacing w:after="0" w:line="240" w:lineRule="auto"/>
        <w:ind w:left="0"/>
        <w:jc w:val="both"/>
        <w:rPr>
          <w:rFonts w:ascii="Times New Roman" w:eastAsia="Times New Roman" w:hAnsi="Times New Roman"/>
          <w:bCs/>
          <w:lang w:val="ro-MD"/>
        </w:rPr>
      </w:pPr>
    </w:p>
    <w:p w14:paraId="335B1095" w14:textId="77777777" w:rsidR="0018446E" w:rsidRPr="0018446E" w:rsidRDefault="0018446E" w:rsidP="0018446E">
      <w:pPr>
        <w:spacing w:after="0" w:line="240" w:lineRule="auto"/>
        <w:ind w:left="0"/>
        <w:jc w:val="both"/>
        <w:rPr>
          <w:rFonts w:ascii="Times New Roman" w:eastAsia="Times New Roman" w:hAnsi="Times New Roman"/>
          <w:bCs/>
          <w:lang w:val="ro-MD"/>
        </w:rPr>
      </w:pPr>
      <w:r w:rsidRPr="0018446E">
        <w:rPr>
          <w:rFonts w:ascii="Times New Roman" w:eastAsia="Times New Roman" w:hAnsi="Times New Roman"/>
          <w:bCs/>
          <w:lang w:val="ro-MD"/>
        </w:rPr>
        <w:t xml:space="preserve">Programul conține </w:t>
      </w:r>
      <w:r w:rsidRPr="0018446E">
        <w:rPr>
          <w:rFonts w:ascii="Times New Roman" w:eastAsia="Times New Roman" w:hAnsi="Times New Roman"/>
          <w:bCs/>
          <w:i/>
          <w:iCs/>
          <w:lang w:val="ro-MD"/>
        </w:rPr>
        <w:t>6 Obiective Specifice</w:t>
      </w:r>
      <w:r w:rsidRPr="0018446E">
        <w:rPr>
          <w:rFonts w:ascii="Times New Roman" w:eastAsia="Times New Roman" w:hAnsi="Times New Roman"/>
          <w:bCs/>
          <w:lang w:val="ro-MD"/>
        </w:rPr>
        <w:t>, câte două pentru fiecare dintre Obiectivele Generale, după cum urmează:</w:t>
      </w:r>
    </w:p>
    <w:p w14:paraId="4797F80C" w14:textId="77777777" w:rsidR="0018446E" w:rsidRPr="0018446E" w:rsidRDefault="0018446E" w:rsidP="0018446E">
      <w:pPr>
        <w:numPr>
          <w:ilvl w:val="0"/>
          <w:numId w:val="28"/>
        </w:numPr>
        <w:spacing w:after="0" w:line="259" w:lineRule="auto"/>
        <w:contextualSpacing/>
        <w:jc w:val="both"/>
        <w:rPr>
          <w:rFonts w:ascii="Times New Roman" w:eastAsia="Times New Roman" w:hAnsi="Times New Roman"/>
          <w:bCs/>
          <w:lang w:val="ro-MD"/>
        </w:rPr>
      </w:pPr>
      <w:r w:rsidRPr="0018446E">
        <w:rPr>
          <w:rFonts w:ascii="Times New Roman" w:eastAsia="Times New Roman" w:hAnsi="Times New Roman"/>
          <w:b/>
          <w:lang w:val="ro-MD"/>
        </w:rPr>
        <w:t>Obiectivul General 1. Îmbunătățirea guvernanței și modernizarea instituțională.</w:t>
      </w:r>
    </w:p>
    <w:p w14:paraId="2C13CEFC" w14:textId="77777777" w:rsidR="0018446E" w:rsidRPr="0018446E" w:rsidRDefault="0018446E" w:rsidP="0018446E">
      <w:pPr>
        <w:numPr>
          <w:ilvl w:val="0"/>
          <w:numId w:val="29"/>
        </w:numPr>
        <w:spacing w:after="0" w:line="259" w:lineRule="auto"/>
        <w:contextualSpacing/>
        <w:jc w:val="both"/>
        <w:rPr>
          <w:rFonts w:ascii="Times New Roman" w:eastAsia="Times New Roman" w:hAnsi="Times New Roman"/>
          <w:bCs/>
          <w:i/>
          <w:iCs/>
          <w:lang w:val="ro-MD"/>
        </w:rPr>
      </w:pPr>
      <w:r w:rsidRPr="0018446E">
        <w:rPr>
          <w:rFonts w:ascii="Times New Roman" w:eastAsia="Times New Roman" w:hAnsi="Times New Roman"/>
          <w:bCs/>
          <w:i/>
          <w:iCs/>
          <w:lang w:val="ro-MD"/>
        </w:rPr>
        <w:t xml:space="preserve">Obiectivul Specific 1.1. Consolidarea cadrului normativ și eficientizarea guvernanței. </w:t>
      </w:r>
    </w:p>
    <w:p w14:paraId="0EF85F3C" w14:textId="77777777" w:rsidR="0018446E" w:rsidRPr="0018446E" w:rsidRDefault="0018446E" w:rsidP="0018446E">
      <w:pPr>
        <w:numPr>
          <w:ilvl w:val="0"/>
          <w:numId w:val="29"/>
        </w:numPr>
        <w:spacing w:after="0" w:line="259" w:lineRule="auto"/>
        <w:contextualSpacing/>
        <w:jc w:val="both"/>
        <w:rPr>
          <w:rFonts w:ascii="Times New Roman" w:eastAsia="Times New Roman" w:hAnsi="Times New Roman"/>
          <w:bCs/>
          <w:i/>
          <w:iCs/>
          <w:lang w:val="ro-MD"/>
        </w:rPr>
      </w:pPr>
      <w:r w:rsidRPr="0018446E">
        <w:rPr>
          <w:rFonts w:ascii="Times New Roman" w:eastAsia="Times New Roman" w:hAnsi="Times New Roman"/>
          <w:bCs/>
          <w:i/>
          <w:iCs/>
          <w:lang w:val="ro-MD"/>
        </w:rPr>
        <w:t>Obiectivul Specific 1.2. Dezvoltarea platformelor investiționale și infrastructurii de afaceri.</w:t>
      </w:r>
    </w:p>
    <w:p w14:paraId="696A316C" w14:textId="77777777" w:rsidR="0018446E" w:rsidRPr="0018446E" w:rsidRDefault="0018446E" w:rsidP="0018446E">
      <w:pPr>
        <w:numPr>
          <w:ilvl w:val="0"/>
          <w:numId w:val="28"/>
        </w:numPr>
        <w:spacing w:after="0" w:line="240" w:lineRule="auto"/>
        <w:contextualSpacing/>
        <w:jc w:val="both"/>
        <w:rPr>
          <w:rFonts w:ascii="Times New Roman" w:eastAsia="Times New Roman" w:hAnsi="Times New Roman"/>
          <w:b/>
          <w:bCs/>
          <w:lang w:val="ro-MD"/>
        </w:rPr>
      </w:pPr>
      <w:r w:rsidRPr="0018446E">
        <w:rPr>
          <w:rFonts w:ascii="Times New Roman" w:eastAsia="Times New Roman" w:hAnsi="Times New Roman"/>
          <w:b/>
          <w:lang w:val="ro-MD"/>
        </w:rPr>
        <w:t>Obiectivul General</w:t>
      </w:r>
      <w:r w:rsidRPr="0018446E">
        <w:rPr>
          <w:rFonts w:ascii="Times New Roman" w:eastAsia="Times New Roman" w:hAnsi="Times New Roman"/>
          <w:b/>
          <w:bCs/>
          <w:lang w:val="ro-MD"/>
        </w:rPr>
        <w:t xml:space="preserve"> 2. Mobilizarea capitalului și forței de muncă.</w:t>
      </w:r>
    </w:p>
    <w:p w14:paraId="29F6F805" w14:textId="77777777" w:rsidR="0018446E" w:rsidRPr="0018446E" w:rsidRDefault="0018446E" w:rsidP="0018446E">
      <w:pPr>
        <w:numPr>
          <w:ilvl w:val="0"/>
          <w:numId w:val="29"/>
        </w:numPr>
        <w:spacing w:after="0" w:line="259" w:lineRule="auto"/>
        <w:contextualSpacing/>
        <w:jc w:val="both"/>
        <w:rPr>
          <w:rFonts w:ascii="Times New Roman" w:eastAsia="Times New Roman" w:hAnsi="Times New Roman"/>
          <w:bCs/>
          <w:i/>
          <w:iCs/>
          <w:lang w:val="ro-MD"/>
        </w:rPr>
      </w:pPr>
      <w:r w:rsidRPr="0018446E">
        <w:rPr>
          <w:rFonts w:ascii="Times New Roman" w:eastAsia="Times New Roman" w:hAnsi="Times New Roman"/>
          <w:bCs/>
          <w:i/>
          <w:iCs/>
          <w:lang w:val="ro-MD"/>
        </w:rPr>
        <w:t>Obiectivul Specific 2.1. Stimularea investițiilor în industria prelucrătoare.</w:t>
      </w:r>
    </w:p>
    <w:p w14:paraId="02958DFE" w14:textId="77777777" w:rsidR="0018446E" w:rsidRPr="0018446E" w:rsidRDefault="0018446E" w:rsidP="0018446E">
      <w:pPr>
        <w:numPr>
          <w:ilvl w:val="0"/>
          <w:numId w:val="29"/>
        </w:numPr>
        <w:spacing w:after="0" w:line="259" w:lineRule="auto"/>
        <w:contextualSpacing/>
        <w:jc w:val="both"/>
        <w:rPr>
          <w:rFonts w:ascii="Times New Roman" w:eastAsia="Times New Roman" w:hAnsi="Times New Roman"/>
          <w:bCs/>
          <w:i/>
          <w:iCs/>
          <w:lang w:val="ro-MD"/>
        </w:rPr>
      </w:pPr>
      <w:r w:rsidRPr="0018446E">
        <w:rPr>
          <w:rFonts w:ascii="Times New Roman" w:eastAsia="Times New Roman" w:hAnsi="Times New Roman"/>
          <w:bCs/>
          <w:i/>
          <w:iCs/>
          <w:lang w:val="ro-MD"/>
        </w:rPr>
        <w:t>Obiectivul Specific 2.2. Facilitarea accesului la forța de muncă calificată.</w:t>
      </w:r>
    </w:p>
    <w:p w14:paraId="3E750943" w14:textId="77777777" w:rsidR="0018446E" w:rsidRPr="0018446E" w:rsidRDefault="0018446E" w:rsidP="0018446E">
      <w:pPr>
        <w:numPr>
          <w:ilvl w:val="0"/>
          <w:numId w:val="28"/>
        </w:numPr>
        <w:spacing w:after="0" w:line="240" w:lineRule="auto"/>
        <w:contextualSpacing/>
        <w:jc w:val="both"/>
        <w:rPr>
          <w:rFonts w:ascii="Times New Roman" w:eastAsia="Times New Roman" w:hAnsi="Times New Roman"/>
          <w:b/>
          <w:bCs/>
          <w:lang w:val="ro-MD"/>
        </w:rPr>
      </w:pPr>
      <w:r w:rsidRPr="0018446E">
        <w:rPr>
          <w:rFonts w:ascii="Times New Roman" w:eastAsia="Times New Roman" w:hAnsi="Times New Roman"/>
          <w:b/>
          <w:lang w:val="ro-MD"/>
        </w:rPr>
        <w:t>Obiectivul General</w:t>
      </w:r>
      <w:r w:rsidRPr="0018446E">
        <w:rPr>
          <w:rFonts w:ascii="Times New Roman" w:eastAsia="Times New Roman" w:hAnsi="Times New Roman"/>
          <w:b/>
          <w:bCs/>
          <w:lang w:val="ro-MD"/>
        </w:rPr>
        <w:t xml:space="preserve"> 3. Stimularea productivității și tranziției la economia verde.</w:t>
      </w:r>
    </w:p>
    <w:p w14:paraId="2AF12DD4" w14:textId="77777777" w:rsidR="0018446E" w:rsidRPr="0018446E" w:rsidRDefault="0018446E" w:rsidP="0018446E">
      <w:pPr>
        <w:numPr>
          <w:ilvl w:val="0"/>
          <w:numId w:val="29"/>
        </w:numPr>
        <w:spacing w:after="0" w:line="259" w:lineRule="auto"/>
        <w:contextualSpacing/>
        <w:jc w:val="both"/>
        <w:rPr>
          <w:rFonts w:ascii="Times New Roman" w:eastAsia="Times New Roman" w:hAnsi="Times New Roman"/>
          <w:bCs/>
          <w:i/>
          <w:iCs/>
          <w:lang w:val="ro-MD"/>
        </w:rPr>
      </w:pPr>
      <w:r w:rsidRPr="0018446E">
        <w:rPr>
          <w:rFonts w:ascii="Times New Roman" w:eastAsia="Times New Roman" w:hAnsi="Times New Roman"/>
          <w:bCs/>
          <w:i/>
          <w:iCs/>
          <w:lang w:val="ro-MD"/>
        </w:rPr>
        <w:t>Obiectivul Specific 3.1. Creșterea inovării și competitivității industriei prelucrătoare.</w:t>
      </w:r>
    </w:p>
    <w:p w14:paraId="0177EA5F" w14:textId="77777777" w:rsidR="0018446E" w:rsidRPr="0018446E" w:rsidRDefault="0018446E" w:rsidP="0018446E">
      <w:pPr>
        <w:numPr>
          <w:ilvl w:val="0"/>
          <w:numId w:val="29"/>
        </w:numPr>
        <w:spacing w:after="0" w:line="259" w:lineRule="auto"/>
        <w:contextualSpacing/>
        <w:jc w:val="both"/>
        <w:rPr>
          <w:rFonts w:ascii="Times New Roman" w:eastAsia="Times New Roman" w:hAnsi="Times New Roman"/>
          <w:bCs/>
          <w:i/>
          <w:iCs/>
          <w:lang w:val="ro-MD"/>
        </w:rPr>
      </w:pPr>
      <w:r w:rsidRPr="0018446E">
        <w:rPr>
          <w:rFonts w:ascii="Times New Roman" w:eastAsia="Times New Roman" w:hAnsi="Times New Roman"/>
          <w:bCs/>
          <w:i/>
          <w:iCs/>
          <w:lang w:val="ro-MD"/>
        </w:rPr>
        <w:t>Obiectivul Specific 3.2. Facilitarea tranziției la economia verde.</w:t>
      </w:r>
    </w:p>
    <w:p w14:paraId="7066F582" w14:textId="77777777" w:rsidR="0018446E" w:rsidRPr="0018446E" w:rsidRDefault="0018446E" w:rsidP="0018446E">
      <w:pPr>
        <w:spacing w:after="0" w:line="240" w:lineRule="auto"/>
        <w:ind w:left="0"/>
        <w:jc w:val="both"/>
        <w:rPr>
          <w:rFonts w:ascii="Times New Roman" w:eastAsia="Times New Roman" w:hAnsi="Times New Roman"/>
          <w:bCs/>
          <w:i/>
          <w:iCs/>
          <w:lang w:val="ro-MD"/>
        </w:rPr>
      </w:pPr>
    </w:p>
    <w:p w14:paraId="38E56281" w14:textId="77777777" w:rsidR="0018446E" w:rsidRPr="0018446E" w:rsidRDefault="0018446E" w:rsidP="0018446E">
      <w:pPr>
        <w:spacing w:after="0" w:line="240" w:lineRule="auto"/>
        <w:ind w:left="0"/>
        <w:jc w:val="both"/>
        <w:rPr>
          <w:rFonts w:ascii="Times New Roman" w:eastAsia="Times New Roman" w:hAnsi="Times New Roman"/>
          <w:bCs/>
          <w:lang w:val="ro-MD"/>
        </w:rPr>
      </w:pPr>
      <w:r w:rsidRPr="0018446E">
        <w:rPr>
          <w:rFonts w:ascii="Times New Roman" w:eastAsia="Times New Roman" w:hAnsi="Times New Roman"/>
          <w:bCs/>
          <w:lang w:val="ro-MD"/>
        </w:rPr>
        <w:t>Direcțiile strategice proprii fiecărui Obiectiv General este exprimată prin rațiunea intervențiilor Obiectivelor Specifice, în conformitate cu sinteza formulată infra.</w:t>
      </w:r>
    </w:p>
    <w:p w14:paraId="5300D1FE" w14:textId="77777777" w:rsidR="0018446E" w:rsidRPr="0018446E" w:rsidRDefault="0018446E" w:rsidP="0018446E">
      <w:pPr>
        <w:spacing w:after="0" w:line="240" w:lineRule="auto"/>
        <w:ind w:left="0"/>
        <w:jc w:val="both"/>
        <w:rPr>
          <w:rFonts w:ascii="Times New Roman" w:eastAsia="Times New Roman" w:hAnsi="Times New Roman"/>
          <w:bCs/>
          <w:i/>
          <w:iCs/>
          <w:lang w:val="ro-MD"/>
        </w:rPr>
      </w:pPr>
    </w:p>
    <w:tbl>
      <w:tblPr>
        <w:tblStyle w:val="-210"/>
        <w:tblW w:w="0" w:type="auto"/>
        <w:tblLook w:val="04A0" w:firstRow="1" w:lastRow="0" w:firstColumn="1" w:lastColumn="0" w:noHBand="0" w:noVBand="1"/>
      </w:tblPr>
      <w:tblGrid>
        <w:gridCol w:w="9345"/>
      </w:tblGrid>
      <w:tr w:rsidR="0018446E" w:rsidRPr="0018446E" w14:paraId="420650A5" w14:textId="77777777" w:rsidTr="00B03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6184E306" w14:textId="77777777" w:rsidR="0018446E" w:rsidRPr="0018446E" w:rsidRDefault="0018446E" w:rsidP="0018446E">
            <w:pPr>
              <w:spacing w:after="0" w:line="240" w:lineRule="auto"/>
              <w:ind w:left="0"/>
              <w:jc w:val="center"/>
              <w:rPr>
                <w:rFonts w:ascii="Times New Roman" w:eastAsia="Times New Roman" w:hAnsi="Times New Roman"/>
                <w:lang w:val="ro-MD"/>
              </w:rPr>
            </w:pPr>
            <w:r w:rsidRPr="0018446E">
              <w:rPr>
                <w:rFonts w:ascii="Times New Roman" w:eastAsia="Times New Roman" w:hAnsi="Times New Roman"/>
                <w:i/>
                <w:iCs/>
                <w:lang w:val="ro-MD"/>
              </w:rPr>
              <w:t>Obiectivul Specific 1.1. Îmbunătățirea cadrului normativ și eficientizarea guvernanței</w:t>
            </w:r>
          </w:p>
        </w:tc>
      </w:tr>
    </w:tbl>
    <w:p w14:paraId="0750A043" w14:textId="77777777" w:rsidR="0018446E" w:rsidRPr="0018446E" w:rsidRDefault="0018446E" w:rsidP="0018446E">
      <w:pPr>
        <w:spacing w:after="0" w:line="240" w:lineRule="auto"/>
        <w:ind w:left="0"/>
        <w:jc w:val="both"/>
        <w:rPr>
          <w:rFonts w:ascii="Times New Roman" w:eastAsia="Times New Roman" w:hAnsi="Times New Roman"/>
          <w:bCs/>
          <w:lang w:val="ro-MD"/>
        </w:rPr>
      </w:pPr>
    </w:p>
    <w:p w14:paraId="3B20E768" w14:textId="77777777" w:rsidR="0018446E" w:rsidRPr="0018446E" w:rsidRDefault="0018446E" w:rsidP="0018446E">
      <w:pPr>
        <w:spacing w:after="0" w:line="240"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Rațiunea intervenției</w:t>
      </w:r>
      <w:r w:rsidRPr="0018446E">
        <w:rPr>
          <w:rFonts w:ascii="Times New Roman" w:eastAsia="Times New Roman" w:hAnsi="Times New Roman"/>
          <w:lang w:val="ro-MD"/>
        </w:rPr>
        <w:t>. Instituțiile sunt considerate fundamentale în teoriile contemporane ale creșterii</w:t>
      </w:r>
      <w:r w:rsidRPr="0018446E">
        <w:rPr>
          <w:rFonts w:ascii="Times New Roman" w:eastAsia="Times New Roman" w:hAnsi="Times New Roman"/>
          <w:vertAlign w:val="superscript"/>
          <w:lang w:val="ro-MD"/>
        </w:rPr>
        <w:footnoteReference w:id="7"/>
      </w:r>
      <w:r w:rsidRPr="0018446E">
        <w:rPr>
          <w:rFonts w:ascii="Times New Roman" w:eastAsia="Times New Roman" w:hAnsi="Times New Roman"/>
          <w:lang w:val="ro-MD"/>
        </w:rPr>
        <w:t xml:space="preserve">, drept pentru care politicile și măsurile aferente îmbunătățirii guvernanței și modernizării instituționale se conțin în OG 1. De asemenea, ODD 16 conține angajamentul internațional de </w:t>
      </w:r>
      <w:r w:rsidRPr="0018446E">
        <w:rPr>
          <w:rFonts w:ascii="Times New Roman" w:eastAsia="Times New Roman" w:hAnsi="Times New Roman"/>
          <w:i/>
          <w:iCs/>
          <w:lang w:val="ro-MD"/>
        </w:rPr>
        <w:t>creare a unor instituții eficiente, responsabile și incluzive la toate nivelurile.</w:t>
      </w:r>
      <w:r w:rsidRPr="0018446E">
        <w:rPr>
          <w:rFonts w:ascii="Times New Roman" w:eastAsia="Times New Roman" w:hAnsi="Times New Roman"/>
          <w:lang w:val="en-US"/>
        </w:rPr>
        <w:t xml:space="preserve"> </w:t>
      </w:r>
      <w:r w:rsidRPr="0018446E">
        <w:rPr>
          <w:rFonts w:ascii="Times New Roman" w:eastAsia="Times New Roman" w:hAnsi="Times New Roman"/>
          <w:lang w:val="ro-MD"/>
        </w:rPr>
        <w:t xml:space="preserve">Determinismul instituțional care se articulează în macroeconomia contemporană converge în Republica Moldova cu modernizarea instituțională conexă procesului de integrare europeană, implicit cu angajamentele de transpunere a </w:t>
      </w:r>
      <w:r w:rsidRPr="0018446E">
        <w:rPr>
          <w:rFonts w:ascii="Times New Roman" w:eastAsia="Times New Roman" w:hAnsi="Times New Roman"/>
          <w:i/>
          <w:iCs/>
          <w:lang w:val="ro-MD"/>
        </w:rPr>
        <w:t>aquis</w:t>
      </w:r>
      <w:r w:rsidRPr="0018446E">
        <w:rPr>
          <w:rFonts w:ascii="Times New Roman" w:eastAsia="Times New Roman" w:hAnsi="Times New Roman"/>
          <w:lang w:val="ro-MD"/>
        </w:rPr>
        <w:t xml:space="preserve">-ului Uniunii Europene (UE) în cadrul normativ național. Totodată, instituțiile reprezintă o categorie complexă în teoriile creșterii economice – </w:t>
      </w:r>
      <w:r w:rsidRPr="0018446E">
        <w:rPr>
          <w:rFonts w:ascii="Times New Roman" w:eastAsia="Times New Roman" w:hAnsi="Times New Roman"/>
          <w:i/>
          <w:iCs/>
          <w:lang w:val="ro-MD"/>
        </w:rPr>
        <w:t>regulile jocului într-o societate sau constrângerile create de om pentru a da formă interacțiunii umane</w:t>
      </w:r>
      <w:r w:rsidRPr="0018446E">
        <w:rPr>
          <w:rFonts w:ascii="Times New Roman" w:eastAsia="Times New Roman" w:hAnsi="Times New Roman"/>
          <w:vertAlign w:val="superscript"/>
          <w:lang w:val="ro-MD"/>
        </w:rPr>
        <w:footnoteReference w:id="8"/>
      </w:r>
      <w:r w:rsidRPr="0018446E">
        <w:rPr>
          <w:rFonts w:ascii="Times New Roman" w:eastAsia="Times New Roman" w:hAnsi="Times New Roman"/>
          <w:lang w:val="ro-MD"/>
        </w:rPr>
        <w:t xml:space="preserve"> – , în timp ce cadrul normativ și modernizarea instituțională asociate procesului de integrare europeană reprezintă un proces complex de reforme care depășesc obiectivele unui singur document de politici. Indicatorii internaționali relevanți – Indicatori Globali ai Guvernanței (</w:t>
      </w:r>
      <w:r w:rsidRPr="0018446E">
        <w:rPr>
          <w:rFonts w:ascii="Times New Roman" w:eastAsia="Times New Roman" w:hAnsi="Times New Roman"/>
          <w:i/>
          <w:iCs/>
          <w:lang w:val="en-US"/>
        </w:rPr>
        <w:t>Worldwide Governance Indicators</w:t>
      </w:r>
      <w:r w:rsidRPr="0018446E">
        <w:rPr>
          <w:rFonts w:ascii="Times New Roman" w:eastAsia="Times New Roman" w:hAnsi="Times New Roman"/>
          <w:lang w:val="ro-MD"/>
        </w:rPr>
        <w:t>) – , de asemenea reprezintă agregarea unui număr tot mai mare de indicatori care măsoară diferitele elemente ale guvernanței</w:t>
      </w:r>
      <w:r w:rsidRPr="0018446E">
        <w:rPr>
          <w:rFonts w:ascii="Times New Roman" w:eastAsia="Times New Roman" w:hAnsi="Times New Roman"/>
          <w:vertAlign w:val="superscript"/>
          <w:lang w:val="ro-MD"/>
        </w:rPr>
        <w:footnoteReference w:id="9"/>
      </w:r>
      <w:r w:rsidRPr="0018446E">
        <w:rPr>
          <w:rFonts w:ascii="Times New Roman" w:eastAsia="Times New Roman" w:hAnsi="Times New Roman"/>
          <w:lang w:val="ro-MD"/>
        </w:rPr>
        <w:t xml:space="preserve">. </w:t>
      </w:r>
    </w:p>
    <w:p w14:paraId="785A5C0A"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3D89F4FA"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lastRenderedPageBreak/>
        <w:t xml:space="preserve">Politicile și măsurile aferente </w:t>
      </w:r>
      <w:r w:rsidRPr="0018446E">
        <w:rPr>
          <w:rFonts w:ascii="Times New Roman" w:eastAsia="Times New Roman" w:hAnsi="Times New Roman"/>
          <w:i/>
          <w:iCs/>
          <w:lang w:val="ro-MD"/>
        </w:rPr>
        <w:t>Obiectivului Specific 1.1.</w:t>
      </w:r>
      <w:r w:rsidRPr="0018446E">
        <w:rPr>
          <w:rFonts w:ascii="Times New Roman" w:eastAsia="Times New Roman" w:hAnsi="Times New Roman"/>
          <w:lang w:val="ro-MD"/>
        </w:rPr>
        <w:t xml:space="preserve"> sunt concepute, în acest context, pornind de la distincția dintre diferitele instituții realizată în cadrul teoriilor creșterii economice</w:t>
      </w:r>
      <w:r w:rsidRPr="0018446E">
        <w:rPr>
          <w:rFonts w:ascii="Times New Roman" w:eastAsia="Times New Roman" w:hAnsi="Times New Roman"/>
          <w:vertAlign w:val="superscript"/>
          <w:lang w:val="ro-MD"/>
        </w:rPr>
        <w:footnoteReference w:id="10"/>
      </w:r>
      <w:r w:rsidRPr="0018446E">
        <w:rPr>
          <w:rFonts w:ascii="Times New Roman" w:eastAsia="Times New Roman" w:hAnsi="Times New Roman"/>
          <w:lang w:val="ro-MD"/>
        </w:rPr>
        <w:t xml:space="preserve">, sunt raportate la distincția sectorială a </w:t>
      </w:r>
      <w:r w:rsidRPr="0018446E">
        <w:rPr>
          <w:rFonts w:ascii="Times New Roman" w:eastAsia="Times New Roman" w:hAnsi="Times New Roman"/>
          <w:i/>
          <w:iCs/>
          <w:lang w:val="ro-MD"/>
        </w:rPr>
        <w:t>aquis</w:t>
      </w:r>
      <w:r w:rsidRPr="0018446E">
        <w:rPr>
          <w:rFonts w:ascii="Times New Roman" w:eastAsia="Times New Roman" w:hAnsi="Times New Roman"/>
          <w:lang w:val="ro-MD"/>
        </w:rPr>
        <w:t>-ului UE și vor fi măsurate prin indicatorul – Calitatea Reglementărilor (</w:t>
      </w:r>
      <w:proofErr w:type="spellStart"/>
      <w:r w:rsidRPr="0018446E">
        <w:rPr>
          <w:rFonts w:ascii="Times New Roman" w:eastAsia="Times New Roman" w:hAnsi="Times New Roman"/>
          <w:i/>
          <w:iCs/>
          <w:lang w:val="ro-MD"/>
        </w:rPr>
        <w:t>Regulatory</w:t>
      </w:r>
      <w:proofErr w:type="spellEnd"/>
      <w:r w:rsidRPr="0018446E">
        <w:rPr>
          <w:rFonts w:ascii="Times New Roman" w:eastAsia="Times New Roman" w:hAnsi="Times New Roman"/>
          <w:i/>
          <w:iCs/>
          <w:lang w:val="ro-MD"/>
        </w:rPr>
        <w:t xml:space="preserve"> Quality</w:t>
      </w:r>
      <w:r w:rsidRPr="0018446E">
        <w:rPr>
          <w:rFonts w:ascii="Times New Roman" w:eastAsia="Times New Roman" w:hAnsi="Times New Roman"/>
          <w:lang w:val="ro-MD"/>
        </w:rPr>
        <w:t xml:space="preserve">) – , care măsoară capacitatea guvernului de a formula și implementa politici și reglementări pentru dezvoltarea sectorului privat în cadrul Indicatorilor Globali ai Guvernanței, prin Indexul Infrastructurii Calității pentru Dezvoltare Sustenabilă (QI4SD), precum și prin progresele constatate în Rapoartele anuale ale Comisiei Europene privind pachetul pentru extinderea UE. Direcțiile prioritare și acțiunile conexe vizează trei dimensiuni: </w:t>
      </w:r>
    </w:p>
    <w:p w14:paraId="7087F2B5" w14:textId="77777777" w:rsidR="0018446E" w:rsidRPr="0018446E" w:rsidRDefault="0018446E" w:rsidP="0018446E">
      <w:pPr>
        <w:spacing w:after="0" w:line="240" w:lineRule="auto"/>
        <w:ind w:left="0"/>
        <w:jc w:val="both"/>
        <w:rPr>
          <w:rFonts w:ascii="Times New Roman" w:eastAsia="Times New Roman" w:hAnsi="Times New Roman"/>
          <w:i/>
          <w:iCs/>
          <w:lang w:val="ro-MD"/>
        </w:rPr>
      </w:pPr>
    </w:p>
    <w:p w14:paraId="2A770C6E" w14:textId="77777777" w:rsidR="0018446E" w:rsidRPr="0018446E" w:rsidRDefault="0018446E" w:rsidP="0018446E">
      <w:pPr>
        <w:spacing w:after="0" w:line="240"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 xml:space="preserve">Modificarea cadrului normativ relevant dezvoltării sectorului industrial. </w:t>
      </w:r>
    </w:p>
    <w:p w14:paraId="3424A969"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7D83E5A0" w14:textId="77777777" w:rsidR="0018446E" w:rsidRPr="0018446E" w:rsidRDefault="0018446E" w:rsidP="0018446E">
      <w:pPr>
        <w:spacing w:after="0" w:line="240"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Intervențiile vizează transpunerea </w:t>
      </w:r>
      <w:r w:rsidRPr="0018446E">
        <w:rPr>
          <w:rFonts w:ascii="Times New Roman" w:eastAsia="Times New Roman" w:hAnsi="Times New Roman"/>
          <w:i/>
          <w:iCs/>
          <w:lang w:val="ro-MD"/>
        </w:rPr>
        <w:t>aquis</w:t>
      </w:r>
      <w:r w:rsidRPr="0018446E">
        <w:rPr>
          <w:rFonts w:ascii="Times New Roman" w:eastAsia="Times New Roman" w:hAnsi="Times New Roman"/>
          <w:lang w:val="ro-MD"/>
        </w:rPr>
        <w:t xml:space="preserve">-ului UE, implicit Directive și Regulamente aferente Capitolelor de negociere nr. 8 și nr. 20.  Cadrul normativ, instituțiile și guvernanța sunt definitorii pentru dezvoltarea economică a Republicii Moldova, implicit pentru modernizarea mediului de afaceri național în contextul integrării europene. Modificările normative vizate nu acoperă, totuși, întregul proces de transpunere a </w:t>
      </w:r>
      <w:r w:rsidRPr="0018446E">
        <w:rPr>
          <w:rFonts w:ascii="Times New Roman" w:eastAsia="Times New Roman" w:hAnsi="Times New Roman"/>
          <w:i/>
          <w:iCs/>
          <w:lang w:val="ro-MD"/>
        </w:rPr>
        <w:t>aquis</w:t>
      </w:r>
      <w:r w:rsidRPr="0018446E">
        <w:rPr>
          <w:rFonts w:ascii="Times New Roman" w:eastAsia="Times New Roman" w:hAnsi="Times New Roman"/>
          <w:lang w:val="ro-MD"/>
        </w:rPr>
        <w:t xml:space="preserve">-ului UE și/sau totalitatea (de)reglementărilor mediului de afaceri. Programul țintește doar legile și normele speciale, relevante pentru sectoarele industriale, preponderent măsuri îndreptate spre raționalizarea activității platformelor investiționale din Republica Moldova din perspectiva reglementării, implicit modificări la cadrul normativ care reglementează activitatea zonelor economice libere (ZEL), parcurilor industriale (PI) și platformelor industriale multifuncționale (PIM). </w:t>
      </w:r>
    </w:p>
    <w:p w14:paraId="480D2C14" w14:textId="77777777" w:rsidR="0018446E" w:rsidRPr="0018446E" w:rsidRDefault="0018446E" w:rsidP="0018446E">
      <w:pPr>
        <w:spacing w:after="0" w:line="240" w:lineRule="auto"/>
        <w:ind w:left="720"/>
        <w:contextualSpacing/>
        <w:jc w:val="both"/>
        <w:rPr>
          <w:rFonts w:ascii="Times New Roman" w:eastAsia="Times New Roman" w:hAnsi="Times New Roman"/>
          <w:lang w:val="ro-MD"/>
        </w:rPr>
      </w:pPr>
    </w:p>
    <w:p w14:paraId="3C60C5F8" w14:textId="77777777" w:rsidR="0018446E" w:rsidRPr="0018446E" w:rsidRDefault="0018446E" w:rsidP="0018446E">
      <w:pPr>
        <w:spacing w:after="0" w:line="240"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 xml:space="preserve">Consolidarea infrastructurii calității în industria prelucrătoare. </w:t>
      </w:r>
    </w:p>
    <w:p w14:paraId="6797989A"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3DC64029" w14:textId="77777777" w:rsidR="0018446E" w:rsidRPr="0018446E" w:rsidRDefault="0018446E" w:rsidP="0018446E">
      <w:pPr>
        <w:spacing w:after="0" w:line="240" w:lineRule="auto"/>
        <w:ind w:left="0"/>
        <w:jc w:val="both"/>
        <w:rPr>
          <w:rFonts w:ascii="Times New Roman" w:eastAsia="Times New Roman" w:hAnsi="Times New Roman"/>
          <w:i/>
          <w:iCs/>
          <w:lang w:val="ro-MD"/>
        </w:rPr>
      </w:pPr>
      <w:r w:rsidRPr="0018446E">
        <w:rPr>
          <w:rFonts w:ascii="Times New Roman" w:eastAsia="Times New Roman" w:hAnsi="Times New Roman"/>
          <w:lang w:val="ro-MD"/>
        </w:rPr>
        <w:t xml:space="preserve">Consolidarea infrastructurii calității este crucială pentru sporirea competitivității și accesul pe piața europeană și globală a bunurilor și serviciilor originare din Republica Moldova prin eliminarea barierelor non-tarifare, pentru protecția cetățenilor în calitatea lor de consumatori, precum și pentru cultivarea unei culturi a calității. Republica Moldova dispune de un sistem al infrastructurii calității rezonabil și aliniat în mare măsură la </w:t>
      </w:r>
      <w:r w:rsidRPr="0018446E">
        <w:rPr>
          <w:rFonts w:ascii="Times New Roman" w:eastAsia="Times New Roman" w:hAnsi="Times New Roman"/>
          <w:i/>
          <w:iCs/>
          <w:lang w:val="ro-MD"/>
        </w:rPr>
        <w:t>aquis</w:t>
      </w:r>
      <w:r w:rsidRPr="0018446E">
        <w:rPr>
          <w:rFonts w:ascii="Times New Roman" w:eastAsia="Times New Roman" w:hAnsi="Times New Roman"/>
          <w:lang w:val="ro-MD"/>
        </w:rPr>
        <w:t>-</w:t>
      </w:r>
      <w:proofErr w:type="spellStart"/>
      <w:r w:rsidRPr="0018446E">
        <w:rPr>
          <w:rFonts w:ascii="Times New Roman" w:eastAsia="Times New Roman" w:hAnsi="Times New Roman"/>
          <w:lang w:val="ro-MD"/>
        </w:rPr>
        <w:t>ul</w:t>
      </w:r>
      <w:proofErr w:type="spellEnd"/>
      <w:r w:rsidRPr="0018446E">
        <w:rPr>
          <w:rFonts w:ascii="Times New Roman" w:eastAsia="Times New Roman" w:hAnsi="Times New Roman"/>
          <w:lang w:val="ro-MD"/>
        </w:rPr>
        <w:t xml:space="preserve"> UE</w:t>
      </w:r>
      <w:r w:rsidRPr="0018446E">
        <w:rPr>
          <w:rFonts w:ascii="Times New Roman" w:eastAsia="Times New Roman" w:hAnsi="Times New Roman"/>
          <w:vertAlign w:val="superscript"/>
          <w:lang w:val="ro-MD"/>
        </w:rPr>
        <w:footnoteReference w:id="11"/>
      </w:r>
      <w:r w:rsidRPr="0018446E">
        <w:rPr>
          <w:rFonts w:ascii="Times New Roman" w:eastAsia="Times New Roman" w:hAnsi="Times New Roman"/>
          <w:lang w:val="ro-MD"/>
        </w:rPr>
        <w:t xml:space="preserve">, sistemul infrastructurii calității (IC) clasându-se pe poziția 77-ea din 137 de țări </w:t>
      </w:r>
      <w:proofErr w:type="spellStart"/>
      <w:r w:rsidRPr="0018446E">
        <w:rPr>
          <w:rFonts w:ascii="Times New Roman" w:eastAsia="Times New Roman" w:hAnsi="Times New Roman"/>
          <w:lang w:val="ro-MD"/>
        </w:rPr>
        <w:t>țări</w:t>
      </w:r>
      <w:proofErr w:type="spellEnd"/>
      <w:r w:rsidRPr="0018446E">
        <w:rPr>
          <w:rFonts w:ascii="Times New Roman" w:eastAsia="Times New Roman" w:hAnsi="Times New Roman"/>
          <w:lang w:val="ro-MD"/>
        </w:rPr>
        <w:t xml:space="preserve"> în Indexul Infrastructurii Calității pentru Dezvoltare Sustenabilă (QI4SD) în anul 2021</w:t>
      </w:r>
      <w:r w:rsidRPr="0018446E">
        <w:rPr>
          <w:rFonts w:ascii="Times New Roman" w:eastAsia="Times New Roman" w:hAnsi="Times New Roman"/>
          <w:vertAlign w:val="superscript"/>
          <w:lang w:val="ro-MD"/>
        </w:rPr>
        <w:footnoteReference w:id="12"/>
      </w:r>
      <w:r w:rsidRPr="0018446E">
        <w:rPr>
          <w:rFonts w:ascii="Times New Roman" w:eastAsia="Times New Roman" w:hAnsi="Times New Roman"/>
          <w:lang w:val="ro-MD"/>
        </w:rPr>
        <w:t>,  dar există spațiu de îmbunătățire pe mai mulți piloni care definesc sistemul IC unei țări, implicit la nivelul industriei prelucrătoare. Programul și intervențiile aferente nu abordează măsurile și acțiunile trans-sectoriale necesare pentru consolidarea infrastructurii calității în Republica Moldova, dar sunt limitate la acțiunile și măsurile specifice pentru cele șase sectoare industriale prioritare și vizează</w:t>
      </w:r>
      <w:r w:rsidRPr="0018446E">
        <w:rPr>
          <w:rFonts w:ascii="Times New Roman" w:eastAsia="Times New Roman" w:hAnsi="Times New Roman"/>
          <w:i/>
          <w:iCs/>
          <w:lang w:val="ro-MD"/>
        </w:rPr>
        <w:t xml:space="preserve"> inter alia</w:t>
      </w:r>
      <w:r w:rsidRPr="0018446E">
        <w:rPr>
          <w:rFonts w:ascii="Times New Roman" w:eastAsia="Times New Roman" w:hAnsi="Times New Roman"/>
          <w:lang w:val="ro-MD"/>
        </w:rPr>
        <w:t>:</w:t>
      </w:r>
    </w:p>
    <w:p w14:paraId="7998342A" w14:textId="77777777" w:rsidR="0018446E" w:rsidRPr="0018446E" w:rsidRDefault="0018446E" w:rsidP="0018446E">
      <w:pPr>
        <w:numPr>
          <w:ilvl w:val="0"/>
          <w:numId w:val="30"/>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i/>
          <w:iCs/>
          <w:lang w:val="ro-MD"/>
        </w:rPr>
        <w:t>Standardizarea</w:t>
      </w:r>
      <w:r w:rsidRPr="0018446E">
        <w:rPr>
          <w:rFonts w:ascii="Times New Roman" w:eastAsia="Times New Roman" w:hAnsi="Times New Roman"/>
          <w:lang w:val="ro-MD"/>
        </w:rPr>
        <w:t>. Instituirea și consolidarea Comitetelor Tehnice (CT) pentru industriile chimică și farmaceutică, electronică, industria componentelor auto și textilă, precum și consolidarea acestora  la CT europene și internaționale.</w:t>
      </w:r>
    </w:p>
    <w:p w14:paraId="5F163634" w14:textId="77777777" w:rsidR="0018446E" w:rsidRPr="0018446E" w:rsidRDefault="0018446E" w:rsidP="0018446E">
      <w:pPr>
        <w:numPr>
          <w:ilvl w:val="0"/>
          <w:numId w:val="30"/>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i/>
          <w:iCs/>
          <w:lang w:val="ro-MD"/>
        </w:rPr>
        <w:t>Metrologia</w:t>
      </w:r>
      <w:r w:rsidRPr="0018446E">
        <w:rPr>
          <w:rFonts w:ascii="Times New Roman" w:eastAsia="Times New Roman" w:hAnsi="Times New Roman"/>
          <w:lang w:val="ro-MD"/>
        </w:rPr>
        <w:t>. Consolidarea capacităților Organismelor de Evaluare a Conformității (OEC) în domeniul trasabilității măsurătorilor, în măsurătorile chimice și farmaceutice, și consolidarea capacităților de a asigura calibrarea în industria electronică.</w:t>
      </w:r>
    </w:p>
    <w:p w14:paraId="722A47F9" w14:textId="77777777" w:rsidR="0018446E" w:rsidRPr="0018446E" w:rsidRDefault="0018446E" w:rsidP="0018446E">
      <w:pPr>
        <w:numPr>
          <w:ilvl w:val="0"/>
          <w:numId w:val="30"/>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i/>
          <w:iCs/>
          <w:lang w:val="ro-MD"/>
        </w:rPr>
        <w:t>Reglementările tehnice</w:t>
      </w:r>
      <w:r w:rsidRPr="0018446E">
        <w:rPr>
          <w:rFonts w:ascii="Times New Roman" w:eastAsia="Times New Roman" w:hAnsi="Times New Roman"/>
          <w:lang w:val="ro-MD"/>
        </w:rPr>
        <w:t xml:space="preserve">. Transpunerea deplină a </w:t>
      </w:r>
      <w:r w:rsidRPr="0018446E">
        <w:rPr>
          <w:rFonts w:ascii="Times New Roman" w:eastAsia="Times New Roman" w:hAnsi="Times New Roman"/>
          <w:i/>
          <w:iCs/>
          <w:lang w:val="ro-MD"/>
        </w:rPr>
        <w:t>aquis</w:t>
      </w:r>
      <w:r w:rsidRPr="0018446E">
        <w:rPr>
          <w:rFonts w:ascii="Times New Roman" w:eastAsia="Times New Roman" w:hAnsi="Times New Roman"/>
          <w:lang w:val="ro-MD"/>
        </w:rPr>
        <w:t xml:space="preserve">-ului UE în domeniul reglementărilor tehnice, în particular în industriile textilă, electronică și a materialelor de construcții. De </w:t>
      </w:r>
      <w:r w:rsidRPr="0018446E">
        <w:rPr>
          <w:rFonts w:ascii="Times New Roman" w:eastAsia="Times New Roman" w:hAnsi="Times New Roman"/>
          <w:lang w:val="ro-MD"/>
        </w:rPr>
        <w:lastRenderedPageBreak/>
        <w:t xml:space="preserve">asemenea, consolidarea capacităților administrative în vederea alinierii la </w:t>
      </w:r>
      <w:r w:rsidRPr="0018446E">
        <w:rPr>
          <w:rFonts w:ascii="Times New Roman" w:eastAsia="Times New Roman" w:hAnsi="Times New Roman"/>
          <w:i/>
          <w:iCs/>
          <w:lang w:val="ro-MD"/>
        </w:rPr>
        <w:t>aquis</w:t>
      </w:r>
      <w:r w:rsidRPr="0018446E">
        <w:rPr>
          <w:rFonts w:ascii="Times New Roman" w:eastAsia="Times New Roman" w:hAnsi="Times New Roman"/>
          <w:lang w:val="ro-MD"/>
        </w:rPr>
        <w:t xml:space="preserve">-ului UE privind substanțele chimice și administrării </w:t>
      </w:r>
      <w:proofErr w:type="spellStart"/>
      <w:r w:rsidRPr="0018446E">
        <w:rPr>
          <w:rFonts w:ascii="Times New Roman" w:eastAsia="Times New Roman" w:hAnsi="Times New Roman"/>
          <w:lang w:val="ro-MD"/>
        </w:rPr>
        <w:t>labortoarelor</w:t>
      </w:r>
      <w:proofErr w:type="spellEnd"/>
      <w:r w:rsidRPr="0018446E">
        <w:rPr>
          <w:rFonts w:ascii="Times New Roman" w:eastAsia="Times New Roman" w:hAnsi="Times New Roman"/>
          <w:lang w:val="ro-MD"/>
        </w:rPr>
        <w:t>.</w:t>
      </w:r>
    </w:p>
    <w:p w14:paraId="5B18088D" w14:textId="77777777" w:rsidR="0018446E" w:rsidRPr="0018446E" w:rsidRDefault="0018446E" w:rsidP="0018446E">
      <w:pPr>
        <w:numPr>
          <w:ilvl w:val="0"/>
          <w:numId w:val="30"/>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i/>
          <w:iCs/>
          <w:lang w:val="ro-MD"/>
        </w:rPr>
        <w:t>Evaluarea conformității</w:t>
      </w:r>
      <w:r w:rsidRPr="0018446E">
        <w:rPr>
          <w:rFonts w:ascii="Times New Roman" w:eastAsia="Times New Roman" w:hAnsi="Times New Roman"/>
          <w:lang w:val="ro-MD"/>
        </w:rPr>
        <w:t>. Stimularea trecerii de la GOST-uri spre standarde UE și dotarea cu laboratoare a instituțiilor care asigură testele.</w:t>
      </w:r>
    </w:p>
    <w:p w14:paraId="440CF50B" w14:textId="77777777" w:rsidR="0018446E" w:rsidRPr="0018446E" w:rsidRDefault="0018446E" w:rsidP="0018446E">
      <w:pPr>
        <w:spacing w:after="0" w:line="240" w:lineRule="auto"/>
        <w:ind w:left="720"/>
        <w:contextualSpacing/>
        <w:jc w:val="both"/>
        <w:rPr>
          <w:rFonts w:ascii="Times New Roman" w:eastAsia="Times New Roman" w:hAnsi="Times New Roman"/>
          <w:lang w:val="ro-MD"/>
        </w:rPr>
      </w:pPr>
    </w:p>
    <w:p w14:paraId="40218F72" w14:textId="77777777" w:rsidR="0018446E" w:rsidRPr="0018446E" w:rsidRDefault="0018446E" w:rsidP="0018446E">
      <w:pPr>
        <w:spacing w:after="0" w:line="240"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Consolidarea rezilienței și capacităților manageriale ale întreprinderilor din sectorul industrial.</w:t>
      </w:r>
    </w:p>
    <w:p w14:paraId="6288EA32"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398D5B94" w14:textId="77777777" w:rsidR="0018446E" w:rsidRPr="0018446E" w:rsidRDefault="0018446E" w:rsidP="0018446E">
      <w:pPr>
        <w:spacing w:after="0" w:line="240" w:lineRule="auto"/>
        <w:ind w:left="0"/>
        <w:jc w:val="both"/>
        <w:rPr>
          <w:rFonts w:ascii="Times New Roman" w:eastAsia="Times New Roman" w:hAnsi="Times New Roman"/>
          <w:i/>
          <w:iCs/>
          <w:lang w:val="ro-MD"/>
        </w:rPr>
      </w:pPr>
      <w:r w:rsidRPr="0018446E">
        <w:rPr>
          <w:rFonts w:ascii="Times New Roman" w:eastAsia="Times New Roman" w:hAnsi="Times New Roman"/>
          <w:lang w:val="ro-MD"/>
        </w:rPr>
        <w:t>Guvernanța și managementul sunt la fel de importante în microeconomie, dovadă că știința managerială se dezvoltă preponderent în sectorul privat. În această ordine de idei, intervențiile Programului sunt orientate asupra dezvoltării capacităților managerilor de nivel mediu (directorilor tehnici) în sectoarele industriei prelucrătoare, implicit consolidarea capacităților de planificare, de organizare a activității, de control al calității și de internaționalizare a activităților întreprinderilor. De asemenea, sunt vizate măsuri de sporire a rezilienței prin crearea unor rețele pe lanțurile valorice.</w:t>
      </w:r>
    </w:p>
    <w:p w14:paraId="7EFF0751" w14:textId="77777777" w:rsidR="0018446E" w:rsidRPr="0018446E" w:rsidRDefault="0018446E" w:rsidP="0018446E">
      <w:pPr>
        <w:spacing w:after="160" w:line="259" w:lineRule="auto"/>
        <w:ind w:left="0"/>
        <w:jc w:val="both"/>
        <w:rPr>
          <w:rFonts w:ascii="Times New Roman" w:eastAsia="Times New Roman" w:hAnsi="Times New Roman"/>
          <w:bCs/>
          <w:lang w:val="ro-MD"/>
        </w:rPr>
      </w:pPr>
    </w:p>
    <w:tbl>
      <w:tblPr>
        <w:tblStyle w:val="-210"/>
        <w:tblW w:w="0" w:type="auto"/>
        <w:tblLook w:val="04A0" w:firstRow="1" w:lastRow="0" w:firstColumn="1" w:lastColumn="0" w:noHBand="0" w:noVBand="1"/>
      </w:tblPr>
      <w:tblGrid>
        <w:gridCol w:w="9345"/>
      </w:tblGrid>
      <w:tr w:rsidR="0018446E" w:rsidRPr="0018446E" w14:paraId="64565A07" w14:textId="77777777" w:rsidTr="00B03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18C8A45E" w14:textId="77777777" w:rsidR="0018446E" w:rsidRPr="0018446E" w:rsidRDefault="0018446E" w:rsidP="0018446E">
            <w:pPr>
              <w:spacing w:after="0" w:line="240" w:lineRule="auto"/>
              <w:ind w:left="0"/>
              <w:jc w:val="center"/>
              <w:rPr>
                <w:rFonts w:ascii="Times New Roman" w:eastAsia="Times New Roman" w:hAnsi="Times New Roman"/>
                <w:i/>
                <w:iCs/>
                <w:lang w:val="ro-MD"/>
              </w:rPr>
            </w:pPr>
            <w:r w:rsidRPr="0018446E">
              <w:rPr>
                <w:rFonts w:ascii="Times New Roman" w:eastAsia="Times New Roman" w:hAnsi="Times New Roman"/>
                <w:i/>
                <w:iCs/>
                <w:lang w:val="ro-MD"/>
              </w:rPr>
              <w:t>Obiectivul Specific 1.2. Dezvoltarea platformelor investiționale și infrastructurii de afaceri</w:t>
            </w:r>
          </w:p>
        </w:tc>
      </w:tr>
    </w:tbl>
    <w:p w14:paraId="5FC89B01" w14:textId="77777777" w:rsidR="0018446E" w:rsidRPr="0018446E" w:rsidRDefault="0018446E" w:rsidP="0018446E">
      <w:pPr>
        <w:spacing w:after="0" w:line="259" w:lineRule="auto"/>
        <w:ind w:left="0"/>
        <w:jc w:val="both"/>
        <w:rPr>
          <w:rFonts w:ascii="Times New Roman" w:eastAsia="Times New Roman" w:hAnsi="Times New Roman"/>
          <w:lang w:val="ro-MD"/>
        </w:rPr>
      </w:pPr>
    </w:p>
    <w:p w14:paraId="2DEF54C0" w14:textId="77777777" w:rsidR="0018446E" w:rsidRPr="0018446E" w:rsidRDefault="0018446E" w:rsidP="0018446E">
      <w:pPr>
        <w:spacing w:after="160" w:line="259"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Rațiunea intervenției</w:t>
      </w:r>
      <w:r w:rsidRPr="0018446E">
        <w:rPr>
          <w:rFonts w:ascii="Times New Roman" w:eastAsia="Times New Roman" w:hAnsi="Times New Roman"/>
          <w:lang w:val="ro-MD"/>
        </w:rPr>
        <w:t xml:space="preserve">. Politicile și măsurile aferente </w:t>
      </w:r>
      <w:r w:rsidRPr="0018446E">
        <w:rPr>
          <w:rFonts w:ascii="Times New Roman" w:eastAsia="Times New Roman" w:hAnsi="Times New Roman"/>
          <w:i/>
          <w:iCs/>
          <w:lang w:val="ro-MD"/>
        </w:rPr>
        <w:t>Obiectivului Specific 1.2.</w:t>
      </w:r>
      <w:r w:rsidRPr="0018446E">
        <w:rPr>
          <w:rFonts w:ascii="Times New Roman" w:eastAsia="Times New Roman" w:hAnsi="Times New Roman"/>
          <w:lang w:val="ro-MD"/>
        </w:rPr>
        <w:t xml:space="preserve"> vizează platformele investiționale și infrastructura de afaceri din sectoarele industriale, considerate în Program parte a consolidării guvernanței și modernizării instituționale. În această ordine de idei, Programul integrează ODD 9.1 – </w:t>
      </w:r>
      <w:r w:rsidRPr="0018446E">
        <w:rPr>
          <w:rFonts w:ascii="Times New Roman" w:eastAsia="Times New Roman" w:hAnsi="Times New Roman"/>
          <w:i/>
          <w:iCs/>
          <w:lang w:val="ro-MD"/>
        </w:rPr>
        <w:t>Dezvoltarea infrastructurii fizice și de afaceri în regiuni, în scopul de a sprijini creșterea economică și bunăstarea populației</w:t>
      </w:r>
      <w:r w:rsidRPr="0018446E">
        <w:rPr>
          <w:rFonts w:ascii="Times New Roman" w:eastAsia="Times New Roman" w:hAnsi="Times New Roman"/>
          <w:lang w:val="ro-MD"/>
        </w:rPr>
        <w:t xml:space="preserve"> – considerată o țintă națională centrală. Denumirea sugerează două dimensiuni ale intervențiilor, implicit:</w:t>
      </w:r>
    </w:p>
    <w:p w14:paraId="519305FE" w14:textId="77777777" w:rsidR="0018446E" w:rsidRPr="0018446E" w:rsidRDefault="0018446E" w:rsidP="0018446E">
      <w:pPr>
        <w:spacing w:after="0" w:line="240"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Dezvoltarea platformelor investiționale.</w:t>
      </w:r>
    </w:p>
    <w:p w14:paraId="1059BC9D"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5DA5969E" w14:textId="77777777" w:rsidR="0018446E" w:rsidRPr="0018446E" w:rsidRDefault="0018446E" w:rsidP="0018446E">
      <w:pPr>
        <w:spacing w:after="0" w:line="240"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Platformele investiționale, implicit Zonele Economice Speciale (ZES) – zone delimitate geografic în care guvernele facilitează diferite activități economice, preponderant producție industrială, prin stimulente fiscale sau sprijin pentru infrastructură – sunt utilizate pe scară largă în majoritatea economiilor în curs de dezvoltare și în multe economii dezvoltate. Platformele investiționale prenotate se dezvoltă în perioada postbelică în vederea reindustrializării economiilor dezvoltate și se extind, după crizele succesive ale petrolului și stagflației din anii 1970, în economiile emergente în contextul </w:t>
      </w:r>
      <w:proofErr w:type="spellStart"/>
      <w:r w:rsidRPr="0018446E">
        <w:rPr>
          <w:rFonts w:ascii="Times New Roman" w:eastAsia="Times New Roman" w:hAnsi="Times New Roman"/>
          <w:lang w:val="ro-MD"/>
        </w:rPr>
        <w:t>delocalizării</w:t>
      </w:r>
      <w:proofErr w:type="spellEnd"/>
      <w:r w:rsidRPr="0018446E">
        <w:rPr>
          <w:rFonts w:ascii="Times New Roman" w:eastAsia="Times New Roman" w:hAnsi="Times New Roman"/>
          <w:lang w:val="ro-MD"/>
        </w:rPr>
        <w:t xml:space="preserve"> industriilor prelucrătoare și cresc exponențial la începutul secolului XXI odată cu dezvoltarea lanțurilor valorice globale și programelor de industrializare implementate în diferitele regiuni ale lumii. </w:t>
      </w:r>
    </w:p>
    <w:p w14:paraId="34902575" w14:textId="77777777" w:rsidR="0018446E" w:rsidRPr="0018446E" w:rsidRDefault="0018446E" w:rsidP="0018446E">
      <w:pPr>
        <w:spacing w:after="0" w:line="240" w:lineRule="auto"/>
        <w:ind w:left="0"/>
        <w:jc w:val="both"/>
        <w:rPr>
          <w:rFonts w:ascii="Times New Roman" w:eastAsia="Times New Roman" w:hAnsi="Times New Roman"/>
          <w:b/>
          <w:bCs/>
          <w:sz w:val="20"/>
          <w:szCs w:val="20"/>
          <w:lang w:val="ro-MD"/>
        </w:rPr>
        <w:sectPr w:rsidR="0018446E" w:rsidRPr="0018446E" w:rsidSect="0018446E">
          <w:footerReference w:type="default" r:id="rId60"/>
          <w:pgSz w:w="11907" w:h="16839" w:code="9"/>
          <w:pgMar w:top="993" w:right="850" w:bottom="142" w:left="1418" w:header="720" w:footer="720" w:gutter="0"/>
          <w:cols w:space="720"/>
          <w:titlePg/>
          <w:docGrid w:linePitch="360"/>
        </w:sectPr>
      </w:pPr>
    </w:p>
    <w:p w14:paraId="18F9CF39" w14:textId="77777777" w:rsidR="0018446E" w:rsidRPr="0018446E" w:rsidRDefault="0018446E" w:rsidP="0018446E">
      <w:pPr>
        <w:spacing w:after="0" w:line="240" w:lineRule="auto"/>
        <w:ind w:left="0"/>
        <w:jc w:val="both"/>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Tabel 4. 1. Numărul ZES în anul 2019, pe regiuni.</w:t>
      </w:r>
    </w:p>
    <w:tbl>
      <w:tblPr>
        <w:tblStyle w:val="-65"/>
        <w:tblW w:w="4619" w:type="dxa"/>
        <w:tblLook w:val="04A0" w:firstRow="1" w:lastRow="0" w:firstColumn="1" w:lastColumn="0" w:noHBand="0" w:noVBand="1"/>
      </w:tblPr>
      <w:tblGrid>
        <w:gridCol w:w="1948"/>
        <w:gridCol w:w="1213"/>
        <w:gridCol w:w="1458"/>
      </w:tblGrid>
      <w:tr w:rsidR="0018446E" w:rsidRPr="0018446E" w14:paraId="72C3FC3E" w14:textId="77777777" w:rsidTr="00B0372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948" w:type="dxa"/>
          </w:tcPr>
          <w:p w14:paraId="428F8FC1" w14:textId="77777777" w:rsidR="0018446E" w:rsidRPr="0018446E" w:rsidRDefault="0018446E" w:rsidP="0018446E">
            <w:pPr>
              <w:spacing w:after="0" w:line="240" w:lineRule="auto"/>
              <w:ind w:left="0"/>
              <w:contextualSpacing/>
              <w:jc w:val="both"/>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 xml:space="preserve">Regiuni </w:t>
            </w:r>
          </w:p>
        </w:tc>
        <w:tc>
          <w:tcPr>
            <w:tcW w:w="1213" w:type="dxa"/>
          </w:tcPr>
          <w:p w14:paraId="188AB4FC" w14:textId="77777777" w:rsidR="0018446E" w:rsidRPr="0018446E" w:rsidRDefault="0018446E" w:rsidP="0018446E">
            <w:pPr>
              <w:spacing w:after="0" w:line="240"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ZES existente</w:t>
            </w:r>
          </w:p>
        </w:tc>
        <w:tc>
          <w:tcPr>
            <w:tcW w:w="1458" w:type="dxa"/>
          </w:tcPr>
          <w:p w14:paraId="1C4DE12B" w14:textId="77777777" w:rsidR="0018446E" w:rsidRPr="0018446E" w:rsidRDefault="0018446E" w:rsidP="0018446E">
            <w:pPr>
              <w:spacing w:after="0" w:line="240"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ZES construcție</w:t>
            </w:r>
          </w:p>
        </w:tc>
      </w:tr>
      <w:tr w:rsidR="0018446E" w:rsidRPr="0018446E" w14:paraId="4163F9C7" w14:textId="77777777" w:rsidTr="00B0372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48" w:type="dxa"/>
          </w:tcPr>
          <w:p w14:paraId="63B0DD9E"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Total Global</w:t>
            </w:r>
          </w:p>
        </w:tc>
        <w:tc>
          <w:tcPr>
            <w:tcW w:w="1213" w:type="dxa"/>
          </w:tcPr>
          <w:p w14:paraId="1332E36C"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5383</w:t>
            </w:r>
          </w:p>
        </w:tc>
        <w:tc>
          <w:tcPr>
            <w:tcW w:w="1458" w:type="dxa"/>
          </w:tcPr>
          <w:p w14:paraId="224B64BA"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507</w:t>
            </w:r>
          </w:p>
        </w:tc>
      </w:tr>
      <w:tr w:rsidR="0018446E" w:rsidRPr="0018446E" w14:paraId="356C15BF" w14:textId="77777777" w:rsidTr="00B0372F">
        <w:trPr>
          <w:trHeight w:val="175"/>
        </w:trPr>
        <w:tc>
          <w:tcPr>
            <w:cnfStyle w:val="001000000000" w:firstRow="0" w:lastRow="0" w:firstColumn="1" w:lastColumn="0" w:oddVBand="0" w:evenVBand="0" w:oddHBand="0" w:evenHBand="0" w:firstRowFirstColumn="0" w:firstRowLastColumn="0" w:lastRowFirstColumn="0" w:lastRowLastColumn="0"/>
            <w:tcW w:w="1948" w:type="dxa"/>
          </w:tcPr>
          <w:p w14:paraId="337228B3"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Economii dezvoltate</w:t>
            </w:r>
          </w:p>
        </w:tc>
        <w:tc>
          <w:tcPr>
            <w:tcW w:w="1213" w:type="dxa"/>
          </w:tcPr>
          <w:p w14:paraId="3D9039F6"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b/>
                <w:bCs/>
                <w:sz w:val="20"/>
                <w:szCs w:val="20"/>
                <w:lang w:val="ro-MD"/>
              </w:rPr>
              <w:t>374</w:t>
            </w:r>
          </w:p>
        </w:tc>
        <w:tc>
          <w:tcPr>
            <w:tcW w:w="1458" w:type="dxa"/>
          </w:tcPr>
          <w:p w14:paraId="610C7186"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b/>
                <w:bCs/>
                <w:sz w:val="20"/>
                <w:szCs w:val="20"/>
                <w:lang w:val="ro-MD"/>
              </w:rPr>
              <w:t>-</w:t>
            </w:r>
          </w:p>
        </w:tc>
      </w:tr>
      <w:tr w:rsidR="0018446E" w:rsidRPr="0018446E" w14:paraId="6AB59C6D" w14:textId="77777777" w:rsidTr="00B0372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948" w:type="dxa"/>
          </w:tcPr>
          <w:p w14:paraId="0E8B01BA"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   Europa</w:t>
            </w:r>
          </w:p>
        </w:tc>
        <w:tc>
          <w:tcPr>
            <w:tcW w:w="1213" w:type="dxa"/>
          </w:tcPr>
          <w:p w14:paraId="05CDFF09"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sz w:val="20"/>
                <w:szCs w:val="20"/>
                <w:lang w:val="ro-MD"/>
              </w:rPr>
              <w:t>105</w:t>
            </w:r>
          </w:p>
        </w:tc>
        <w:tc>
          <w:tcPr>
            <w:tcW w:w="1458" w:type="dxa"/>
          </w:tcPr>
          <w:p w14:paraId="4ABDB42A"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sz w:val="20"/>
                <w:szCs w:val="20"/>
                <w:lang w:val="ro-MD"/>
              </w:rPr>
              <w:t>-</w:t>
            </w:r>
          </w:p>
        </w:tc>
      </w:tr>
      <w:tr w:rsidR="0018446E" w:rsidRPr="0018446E" w14:paraId="7E6B584E" w14:textId="77777777" w:rsidTr="00B0372F">
        <w:trPr>
          <w:trHeight w:val="236"/>
        </w:trPr>
        <w:tc>
          <w:tcPr>
            <w:cnfStyle w:val="001000000000" w:firstRow="0" w:lastRow="0" w:firstColumn="1" w:lastColumn="0" w:oddVBand="0" w:evenVBand="0" w:oddHBand="0" w:evenHBand="0" w:firstRowFirstColumn="0" w:firstRowLastColumn="0" w:lastRowFirstColumn="0" w:lastRowLastColumn="0"/>
            <w:tcW w:w="1948" w:type="dxa"/>
          </w:tcPr>
          <w:p w14:paraId="543EF463"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   America de Nord</w:t>
            </w:r>
          </w:p>
        </w:tc>
        <w:tc>
          <w:tcPr>
            <w:tcW w:w="1213" w:type="dxa"/>
          </w:tcPr>
          <w:p w14:paraId="0E325E4C"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sz w:val="20"/>
                <w:szCs w:val="20"/>
                <w:lang w:val="ro-MD"/>
              </w:rPr>
              <w:t>262</w:t>
            </w:r>
          </w:p>
        </w:tc>
        <w:tc>
          <w:tcPr>
            <w:tcW w:w="1458" w:type="dxa"/>
          </w:tcPr>
          <w:p w14:paraId="3D584567"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sz w:val="20"/>
                <w:szCs w:val="20"/>
                <w:lang w:val="ro-MD"/>
              </w:rPr>
              <w:t>-</w:t>
            </w:r>
          </w:p>
        </w:tc>
      </w:tr>
      <w:tr w:rsidR="0018446E" w:rsidRPr="0018446E" w14:paraId="74368CDB" w14:textId="77777777" w:rsidTr="00B0372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48" w:type="dxa"/>
          </w:tcPr>
          <w:p w14:paraId="7727AB02"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Economii în dezvoltare</w:t>
            </w:r>
          </w:p>
        </w:tc>
        <w:tc>
          <w:tcPr>
            <w:tcW w:w="1213" w:type="dxa"/>
          </w:tcPr>
          <w:p w14:paraId="47D86389"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4772</w:t>
            </w:r>
          </w:p>
        </w:tc>
        <w:tc>
          <w:tcPr>
            <w:tcW w:w="1458" w:type="dxa"/>
          </w:tcPr>
          <w:p w14:paraId="536F69B1"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502</w:t>
            </w:r>
          </w:p>
        </w:tc>
      </w:tr>
      <w:tr w:rsidR="0018446E" w:rsidRPr="0018446E" w14:paraId="1FE86DDC" w14:textId="77777777" w:rsidTr="00B0372F">
        <w:trPr>
          <w:trHeight w:val="242"/>
        </w:trPr>
        <w:tc>
          <w:tcPr>
            <w:cnfStyle w:val="001000000000" w:firstRow="0" w:lastRow="0" w:firstColumn="1" w:lastColumn="0" w:oddVBand="0" w:evenVBand="0" w:oddHBand="0" w:evenHBand="0" w:firstRowFirstColumn="0" w:firstRowLastColumn="0" w:lastRowFirstColumn="0" w:lastRowLastColumn="0"/>
            <w:tcW w:w="1948" w:type="dxa"/>
          </w:tcPr>
          <w:p w14:paraId="6BC69A6D"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   Asia</w:t>
            </w:r>
          </w:p>
        </w:tc>
        <w:tc>
          <w:tcPr>
            <w:tcW w:w="1213" w:type="dxa"/>
          </w:tcPr>
          <w:p w14:paraId="3D1F44F4"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4046</w:t>
            </w:r>
          </w:p>
        </w:tc>
        <w:tc>
          <w:tcPr>
            <w:tcW w:w="1458" w:type="dxa"/>
          </w:tcPr>
          <w:p w14:paraId="73A51A22"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419</w:t>
            </w:r>
          </w:p>
        </w:tc>
      </w:tr>
      <w:tr w:rsidR="0018446E" w:rsidRPr="0018446E" w14:paraId="3B0A584E" w14:textId="77777777" w:rsidTr="00B0372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48" w:type="dxa"/>
          </w:tcPr>
          <w:p w14:paraId="32CB4CCA"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   Africa</w:t>
            </w:r>
          </w:p>
        </w:tc>
        <w:tc>
          <w:tcPr>
            <w:tcW w:w="1213" w:type="dxa"/>
          </w:tcPr>
          <w:p w14:paraId="3C4DC03E"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237</w:t>
            </w:r>
          </w:p>
        </w:tc>
        <w:tc>
          <w:tcPr>
            <w:tcW w:w="1458" w:type="dxa"/>
          </w:tcPr>
          <w:p w14:paraId="0DD4E2B8"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53</w:t>
            </w:r>
          </w:p>
        </w:tc>
      </w:tr>
      <w:tr w:rsidR="0018446E" w:rsidRPr="0018446E" w14:paraId="1E93EB2A" w14:textId="77777777" w:rsidTr="00B0372F">
        <w:trPr>
          <w:trHeight w:val="195"/>
        </w:trPr>
        <w:tc>
          <w:tcPr>
            <w:cnfStyle w:val="001000000000" w:firstRow="0" w:lastRow="0" w:firstColumn="1" w:lastColumn="0" w:oddVBand="0" w:evenVBand="0" w:oddHBand="0" w:evenHBand="0" w:firstRowFirstColumn="0" w:firstRowLastColumn="0" w:lastRowFirstColumn="0" w:lastRowLastColumn="0"/>
            <w:tcW w:w="1948" w:type="dxa"/>
          </w:tcPr>
          <w:p w14:paraId="16EA694D"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   America Latină</w:t>
            </w:r>
          </w:p>
        </w:tc>
        <w:tc>
          <w:tcPr>
            <w:tcW w:w="1213" w:type="dxa"/>
          </w:tcPr>
          <w:p w14:paraId="39D674F5"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486</w:t>
            </w:r>
          </w:p>
        </w:tc>
        <w:tc>
          <w:tcPr>
            <w:tcW w:w="1458" w:type="dxa"/>
          </w:tcPr>
          <w:p w14:paraId="7351A781" w14:textId="77777777" w:rsidR="0018446E" w:rsidRPr="0018446E" w:rsidRDefault="0018446E" w:rsidP="0018446E">
            <w:pPr>
              <w:spacing w:after="0" w:line="240" w:lineRule="auto"/>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24</w:t>
            </w:r>
          </w:p>
        </w:tc>
      </w:tr>
      <w:tr w:rsidR="0018446E" w:rsidRPr="0018446E" w14:paraId="0C847BA1" w14:textId="77777777" w:rsidTr="00B0372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48" w:type="dxa"/>
          </w:tcPr>
          <w:p w14:paraId="2BB161EE" w14:textId="77777777" w:rsidR="0018446E" w:rsidRPr="0018446E" w:rsidRDefault="0018446E" w:rsidP="0018446E">
            <w:pPr>
              <w:spacing w:after="0" w:line="240" w:lineRule="auto"/>
              <w:ind w:left="0"/>
              <w:contextualSpacing/>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Economii în tranziție</w:t>
            </w:r>
          </w:p>
        </w:tc>
        <w:tc>
          <w:tcPr>
            <w:tcW w:w="1213" w:type="dxa"/>
          </w:tcPr>
          <w:p w14:paraId="4F06BFBA"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237</w:t>
            </w:r>
          </w:p>
        </w:tc>
        <w:tc>
          <w:tcPr>
            <w:tcW w:w="1458" w:type="dxa"/>
          </w:tcPr>
          <w:p w14:paraId="50F61B5C" w14:textId="77777777" w:rsidR="0018446E" w:rsidRPr="0018446E" w:rsidRDefault="0018446E" w:rsidP="0018446E">
            <w:pPr>
              <w:spacing w:after="0" w:line="240" w:lineRule="auto"/>
              <w:ind w:left="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5</w:t>
            </w:r>
          </w:p>
        </w:tc>
      </w:tr>
    </w:tbl>
    <w:p w14:paraId="518795D8" w14:textId="77777777" w:rsidR="0018446E" w:rsidRPr="0018446E" w:rsidRDefault="0018446E" w:rsidP="0018446E">
      <w:pPr>
        <w:spacing w:before="240" w:after="0" w:line="240" w:lineRule="auto"/>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Sursa: UNCTAD (2019), p. 136.</w:t>
      </w:r>
    </w:p>
    <w:p w14:paraId="598C6ED0" w14:textId="77777777" w:rsidR="0018446E" w:rsidRPr="0018446E" w:rsidRDefault="0018446E" w:rsidP="0018446E">
      <w:pPr>
        <w:spacing w:after="0" w:line="240" w:lineRule="auto"/>
        <w:ind w:left="0"/>
        <w:jc w:val="both"/>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Tabel4.  2. Tipul SEZ pe regiuni/grupe, %.</w:t>
      </w:r>
    </w:p>
    <w:tbl>
      <w:tblPr>
        <w:tblStyle w:val="-61"/>
        <w:tblW w:w="4562" w:type="dxa"/>
        <w:tblLook w:val="04A0" w:firstRow="1" w:lastRow="0" w:firstColumn="1" w:lastColumn="0" w:noHBand="0" w:noVBand="1"/>
      </w:tblPr>
      <w:tblGrid>
        <w:gridCol w:w="1888"/>
        <w:gridCol w:w="668"/>
        <w:gridCol w:w="668"/>
        <w:gridCol w:w="668"/>
        <w:gridCol w:w="670"/>
      </w:tblGrid>
      <w:tr w:rsidR="0018446E" w:rsidRPr="0018446E" w14:paraId="49665D4A" w14:textId="77777777" w:rsidTr="00B0372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88" w:type="dxa"/>
          </w:tcPr>
          <w:p w14:paraId="7B83F840" w14:textId="77777777" w:rsidR="0018446E" w:rsidRPr="0018446E" w:rsidRDefault="0018446E" w:rsidP="0018446E">
            <w:pPr>
              <w:spacing w:after="0" w:line="240" w:lineRule="auto"/>
              <w:ind w:left="0"/>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Regiuni/Grupe</w:t>
            </w:r>
          </w:p>
        </w:tc>
        <w:tc>
          <w:tcPr>
            <w:tcW w:w="668" w:type="dxa"/>
          </w:tcPr>
          <w:p w14:paraId="10D7B586"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H</w:t>
            </w:r>
          </w:p>
        </w:tc>
        <w:tc>
          <w:tcPr>
            <w:tcW w:w="668" w:type="dxa"/>
          </w:tcPr>
          <w:p w14:paraId="3E5B9C56"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M</w:t>
            </w:r>
          </w:p>
        </w:tc>
        <w:tc>
          <w:tcPr>
            <w:tcW w:w="668" w:type="dxa"/>
          </w:tcPr>
          <w:p w14:paraId="5B897418"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S</w:t>
            </w:r>
          </w:p>
        </w:tc>
        <w:tc>
          <w:tcPr>
            <w:tcW w:w="670" w:type="dxa"/>
          </w:tcPr>
          <w:p w14:paraId="4337A94A"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lang w:val="ro-MD"/>
              </w:rPr>
            </w:pPr>
            <w:r w:rsidRPr="0018446E">
              <w:rPr>
                <w:rFonts w:ascii="Times New Roman" w:eastAsia="Times New Roman" w:hAnsi="Times New Roman"/>
                <w:i/>
                <w:iCs/>
                <w:sz w:val="20"/>
                <w:szCs w:val="20"/>
                <w:lang w:val="ro-MD"/>
              </w:rPr>
              <w:t>T</w:t>
            </w:r>
          </w:p>
        </w:tc>
      </w:tr>
      <w:tr w:rsidR="0018446E" w:rsidRPr="0018446E" w14:paraId="075D2752" w14:textId="77777777" w:rsidTr="00B0372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88" w:type="dxa"/>
          </w:tcPr>
          <w:p w14:paraId="7715BED0" w14:textId="77777777" w:rsidR="0018446E" w:rsidRPr="0018446E" w:rsidRDefault="0018446E" w:rsidP="0018446E">
            <w:pPr>
              <w:spacing w:after="0" w:line="240" w:lineRule="auto"/>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Total Global</w:t>
            </w:r>
          </w:p>
        </w:tc>
        <w:tc>
          <w:tcPr>
            <w:tcW w:w="668" w:type="dxa"/>
          </w:tcPr>
          <w:p w14:paraId="18463716"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8</w:t>
            </w:r>
          </w:p>
        </w:tc>
        <w:tc>
          <w:tcPr>
            <w:tcW w:w="668" w:type="dxa"/>
          </w:tcPr>
          <w:p w14:paraId="58BC14D7"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62</w:t>
            </w:r>
          </w:p>
        </w:tc>
        <w:tc>
          <w:tcPr>
            <w:tcW w:w="668" w:type="dxa"/>
          </w:tcPr>
          <w:p w14:paraId="427871BE"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24</w:t>
            </w:r>
          </w:p>
        </w:tc>
        <w:tc>
          <w:tcPr>
            <w:tcW w:w="670" w:type="dxa"/>
          </w:tcPr>
          <w:p w14:paraId="21B0669C"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5</w:t>
            </w:r>
          </w:p>
        </w:tc>
      </w:tr>
      <w:tr w:rsidR="0018446E" w:rsidRPr="0018446E" w14:paraId="4200089D" w14:textId="77777777" w:rsidTr="00B0372F">
        <w:trPr>
          <w:trHeight w:val="665"/>
        </w:trPr>
        <w:tc>
          <w:tcPr>
            <w:cnfStyle w:val="001000000000" w:firstRow="0" w:lastRow="0" w:firstColumn="1" w:lastColumn="0" w:oddVBand="0" w:evenVBand="0" w:oddHBand="0" w:evenHBand="0" w:firstRowFirstColumn="0" w:firstRowLastColumn="0" w:lastRowFirstColumn="0" w:lastRowLastColumn="0"/>
            <w:tcW w:w="1888" w:type="dxa"/>
          </w:tcPr>
          <w:p w14:paraId="1BBA348E" w14:textId="77777777" w:rsidR="0018446E" w:rsidRPr="0018446E" w:rsidRDefault="0018446E" w:rsidP="0018446E">
            <w:pPr>
              <w:spacing w:after="0" w:line="240" w:lineRule="auto"/>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Economii dezvoltate</w:t>
            </w:r>
          </w:p>
        </w:tc>
        <w:tc>
          <w:tcPr>
            <w:tcW w:w="668" w:type="dxa"/>
          </w:tcPr>
          <w:p w14:paraId="517EF52A"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90</w:t>
            </w:r>
          </w:p>
        </w:tc>
        <w:tc>
          <w:tcPr>
            <w:tcW w:w="668" w:type="dxa"/>
          </w:tcPr>
          <w:p w14:paraId="0E903456"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9</w:t>
            </w:r>
          </w:p>
        </w:tc>
        <w:tc>
          <w:tcPr>
            <w:tcW w:w="668" w:type="dxa"/>
          </w:tcPr>
          <w:p w14:paraId="4D34862E"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1</w:t>
            </w:r>
          </w:p>
        </w:tc>
        <w:tc>
          <w:tcPr>
            <w:tcW w:w="670" w:type="dxa"/>
          </w:tcPr>
          <w:p w14:paraId="730C82BA"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0</w:t>
            </w:r>
          </w:p>
        </w:tc>
      </w:tr>
      <w:tr w:rsidR="0018446E" w:rsidRPr="0018446E" w14:paraId="55E10F06" w14:textId="77777777" w:rsidTr="00B0372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88" w:type="dxa"/>
          </w:tcPr>
          <w:p w14:paraId="1657505F" w14:textId="77777777" w:rsidR="0018446E" w:rsidRPr="0018446E" w:rsidRDefault="0018446E" w:rsidP="0018446E">
            <w:pPr>
              <w:spacing w:after="0" w:line="240" w:lineRule="auto"/>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Africa</w:t>
            </w:r>
          </w:p>
        </w:tc>
        <w:tc>
          <w:tcPr>
            <w:tcW w:w="668" w:type="dxa"/>
          </w:tcPr>
          <w:p w14:paraId="2EB2FE1E"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1</w:t>
            </w:r>
          </w:p>
        </w:tc>
        <w:tc>
          <w:tcPr>
            <w:tcW w:w="668" w:type="dxa"/>
          </w:tcPr>
          <w:p w14:paraId="23CB81D1"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89</w:t>
            </w:r>
          </w:p>
        </w:tc>
        <w:tc>
          <w:tcPr>
            <w:tcW w:w="668" w:type="dxa"/>
          </w:tcPr>
          <w:p w14:paraId="513FFC40"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10</w:t>
            </w:r>
          </w:p>
        </w:tc>
        <w:tc>
          <w:tcPr>
            <w:tcW w:w="670" w:type="dxa"/>
          </w:tcPr>
          <w:p w14:paraId="1EBD0E7A"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0</w:t>
            </w:r>
          </w:p>
        </w:tc>
      </w:tr>
      <w:tr w:rsidR="0018446E" w:rsidRPr="0018446E" w14:paraId="723FBF73" w14:textId="77777777" w:rsidTr="00B0372F">
        <w:trPr>
          <w:trHeight w:val="349"/>
        </w:trPr>
        <w:tc>
          <w:tcPr>
            <w:cnfStyle w:val="001000000000" w:firstRow="0" w:lastRow="0" w:firstColumn="1" w:lastColumn="0" w:oddVBand="0" w:evenVBand="0" w:oddHBand="0" w:evenHBand="0" w:firstRowFirstColumn="0" w:firstRowLastColumn="0" w:lastRowFirstColumn="0" w:lastRowLastColumn="0"/>
            <w:tcW w:w="1888" w:type="dxa"/>
          </w:tcPr>
          <w:p w14:paraId="360A3591" w14:textId="77777777" w:rsidR="0018446E" w:rsidRPr="0018446E" w:rsidRDefault="0018446E" w:rsidP="0018446E">
            <w:pPr>
              <w:spacing w:after="0" w:line="240" w:lineRule="auto"/>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America Latină</w:t>
            </w:r>
          </w:p>
        </w:tc>
        <w:tc>
          <w:tcPr>
            <w:tcW w:w="668" w:type="dxa"/>
          </w:tcPr>
          <w:p w14:paraId="40B5D417"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9</w:t>
            </w:r>
          </w:p>
        </w:tc>
        <w:tc>
          <w:tcPr>
            <w:tcW w:w="668" w:type="dxa"/>
          </w:tcPr>
          <w:p w14:paraId="1A965D16"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77</w:t>
            </w:r>
          </w:p>
        </w:tc>
        <w:tc>
          <w:tcPr>
            <w:tcW w:w="668" w:type="dxa"/>
          </w:tcPr>
          <w:p w14:paraId="157DC998"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13</w:t>
            </w:r>
          </w:p>
        </w:tc>
        <w:tc>
          <w:tcPr>
            <w:tcW w:w="670" w:type="dxa"/>
          </w:tcPr>
          <w:p w14:paraId="15AB9354"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1</w:t>
            </w:r>
          </w:p>
        </w:tc>
      </w:tr>
      <w:tr w:rsidR="0018446E" w:rsidRPr="0018446E" w14:paraId="4115663B" w14:textId="77777777" w:rsidTr="00B0372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88" w:type="dxa"/>
          </w:tcPr>
          <w:p w14:paraId="12A098FD" w14:textId="77777777" w:rsidR="0018446E" w:rsidRPr="0018446E" w:rsidRDefault="0018446E" w:rsidP="0018446E">
            <w:pPr>
              <w:spacing w:after="0" w:line="240" w:lineRule="auto"/>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Asia</w:t>
            </w:r>
          </w:p>
        </w:tc>
        <w:tc>
          <w:tcPr>
            <w:tcW w:w="668" w:type="dxa"/>
          </w:tcPr>
          <w:p w14:paraId="3619DF47"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2</w:t>
            </w:r>
          </w:p>
        </w:tc>
        <w:tc>
          <w:tcPr>
            <w:tcW w:w="668" w:type="dxa"/>
          </w:tcPr>
          <w:p w14:paraId="19977791"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65</w:t>
            </w:r>
          </w:p>
        </w:tc>
        <w:tc>
          <w:tcPr>
            <w:tcW w:w="668" w:type="dxa"/>
          </w:tcPr>
          <w:p w14:paraId="62D2C82C"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26</w:t>
            </w:r>
          </w:p>
        </w:tc>
        <w:tc>
          <w:tcPr>
            <w:tcW w:w="670" w:type="dxa"/>
          </w:tcPr>
          <w:p w14:paraId="4B56194C" w14:textId="77777777" w:rsidR="0018446E" w:rsidRPr="0018446E" w:rsidRDefault="0018446E" w:rsidP="0018446E">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7</w:t>
            </w:r>
          </w:p>
        </w:tc>
      </w:tr>
      <w:tr w:rsidR="0018446E" w:rsidRPr="0018446E" w14:paraId="4456FE88" w14:textId="77777777" w:rsidTr="00B0372F">
        <w:trPr>
          <w:trHeight w:val="709"/>
        </w:trPr>
        <w:tc>
          <w:tcPr>
            <w:cnfStyle w:val="001000000000" w:firstRow="0" w:lastRow="0" w:firstColumn="1" w:lastColumn="0" w:oddVBand="0" w:evenVBand="0" w:oddHBand="0" w:evenHBand="0" w:firstRowFirstColumn="0" w:firstRowLastColumn="0" w:lastRowFirstColumn="0" w:lastRowLastColumn="0"/>
            <w:tcW w:w="1888" w:type="dxa"/>
          </w:tcPr>
          <w:p w14:paraId="6CFFB54E" w14:textId="77777777" w:rsidR="0018446E" w:rsidRPr="0018446E" w:rsidRDefault="0018446E" w:rsidP="0018446E">
            <w:pPr>
              <w:spacing w:after="0" w:line="240" w:lineRule="auto"/>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Economii în tranziție</w:t>
            </w:r>
          </w:p>
        </w:tc>
        <w:tc>
          <w:tcPr>
            <w:tcW w:w="668" w:type="dxa"/>
          </w:tcPr>
          <w:p w14:paraId="28DB634E"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3</w:t>
            </w:r>
          </w:p>
        </w:tc>
        <w:tc>
          <w:tcPr>
            <w:tcW w:w="668" w:type="dxa"/>
          </w:tcPr>
          <w:p w14:paraId="037D6575"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34</w:t>
            </w:r>
          </w:p>
        </w:tc>
        <w:tc>
          <w:tcPr>
            <w:tcW w:w="668" w:type="dxa"/>
          </w:tcPr>
          <w:p w14:paraId="7CA9DCDE"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59</w:t>
            </w:r>
          </w:p>
        </w:tc>
        <w:tc>
          <w:tcPr>
            <w:tcW w:w="670" w:type="dxa"/>
          </w:tcPr>
          <w:p w14:paraId="1B8B26AA" w14:textId="77777777" w:rsidR="0018446E" w:rsidRPr="0018446E" w:rsidRDefault="0018446E" w:rsidP="0018446E">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5</w:t>
            </w:r>
          </w:p>
        </w:tc>
      </w:tr>
    </w:tbl>
    <w:p w14:paraId="586F78C7" w14:textId="77777777" w:rsidR="0018446E" w:rsidRPr="0018446E" w:rsidRDefault="0018446E" w:rsidP="0018446E">
      <w:pPr>
        <w:spacing w:after="0" w:line="240" w:lineRule="auto"/>
        <w:ind w:left="0"/>
        <w:jc w:val="both"/>
        <w:rPr>
          <w:rFonts w:ascii="Times New Roman" w:eastAsia="Times New Roman" w:hAnsi="Times New Roman"/>
          <w:sz w:val="18"/>
          <w:szCs w:val="18"/>
          <w:lang w:val="ro-MD"/>
        </w:rPr>
        <w:sectPr w:rsidR="0018446E" w:rsidRPr="0018446E" w:rsidSect="005A111D">
          <w:type w:val="continuous"/>
          <w:pgSz w:w="11907" w:h="16839" w:code="9"/>
          <w:pgMar w:top="993" w:right="850" w:bottom="142" w:left="1418" w:header="720" w:footer="720" w:gutter="0"/>
          <w:cols w:num="2" w:space="720"/>
          <w:titlePg/>
          <w:docGrid w:linePitch="360"/>
        </w:sectPr>
      </w:pPr>
    </w:p>
    <w:p w14:paraId="47794E2C" w14:textId="77777777" w:rsidR="0018446E" w:rsidRPr="0018446E" w:rsidRDefault="0018446E" w:rsidP="0018446E">
      <w:pPr>
        <w:spacing w:after="0" w:line="240" w:lineRule="auto"/>
        <w:ind w:left="0"/>
        <w:jc w:val="both"/>
        <w:rPr>
          <w:rFonts w:ascii="Times New Roman" w:eastAsia="Times New Roman" w:hAnsi="Times New Roman"/>
          <w:sz w:val="18"/>
          <w:szCs w:val="18"/>
          <w:lang w:val="ro-MD"/>
        </w:rPr>
      </w:pPr>
    </w:p>
    <w:p w14:paraId="13B8CCB2" w14:textId="77777777" w:rsidR="0018446E" w:rsidRPr="0018446E" w:rsidRDefault="0018446E" w:rsidP="0018446E">
      <w:pPr>
        <w:spacing w:before="100" w:beforeAutospacing="1" w:after="0" w:line="240" w:lineRule="auto"/>
        <w:ind w:left="0"/>
        <w:jc w:val="both"/>
        <w:rPr>
          <w:rFonts w:ascii="Times New Roman" w:eastAsia="Times New Roman" w:hAnsi="Times New Roman"/>
          <w:sz w:val="18"/>
          <w:szCs w:val="18"/>
          <w:lang w:val="ro-MD"/>
        </w:rPr>
      </w:pPr>
    </w:p>
    <w:p w14:paraId="339192EB" w14:textId="77777777" w:rsidR="0018446E" w:rsidRPr="0018446E" w:rsidRDefault="0018446E" w:rsidP="0018446E">
      <w:pPr>
        <w:spacing w:after="0" w:line="240" w:lineRule="auto"/>
        <w:ind w:left="0"/>
        <w:jc w:val="right"/>
        <w:rPr>
          <w:rFonts w:ascii="Times New Roman" w:eastAsia="Times New Roman" w:hAnsi="Times New Roman"/>
          <w:sz w:val="18"/>
          <w:szCs w:val="18"/>
          <w:lang w:val="ro-MD"/>
        </w:rPr>
      </w:pPr>
      <w:r w:rsidRPr="0018446E">
        <w:rPr>
          <w:rFonts w:ascii="Times New Roman" w:eastAsia="Times New Roman" w:hAnsi="Times New Roman"/>
          <w:sz w:val="18"/>
          <w:szCs w:val="18"/>
          <w:lang w:val="ro-MD"/>
        </w:rPr>
        <w:t xml:space="preserve">* H – Hub-uri Logistice; M – Multifuncționale; </w:t>
      </w:r>
    </w:p>
    <w:p w14:paraId="72BE1B6F" w14:textId="77777777" w:rsidR="0018446E" w:rsidRPr="0018446E" w:rsidRDefault="0018446E" w:rsidP="0018446E">
      <w:pPr>
        <w:spacing w:after="0" w:line="240" w:lineRule="auto"/>
        <w:ind w:left="0"/>
        <w:jc w:val="right"/>
        <w:rPr>
          <w:rFonts w:ascii="Times New Roman" w:eastAsia="Times New Roman" w:hAnsi="Times New Roman"/>
          <w:sz w:val="18"/>
          <w:szCs w:val="18"/>
          <w:lang w:val="ro-MD"/>
        </w:rPr>
      </w:pPr>
      <w:r w:rsidRPr="0018446E">
        <w:rPr>
          <w:rFonts w:ascii="Times New Roman" w:eastAsia="Times New Roman" w:hAnsi="Times New Roman"/>
          <w:sz w:val="18"/>
          <w:szCs w:val="18"/>
          <w:lang w:val="ro-MD"/>
        </w:rPr>
        <w:t xml:space="preserve">   S – Specializate; T – Tehnologice.</w:t>
      </w:r>
    </w:p>
    <w:p w14:paraId="022F57E8" w14:textId="77777777" w:rsidR="0018446E" w:rsidRPr="0018446E" w:rsidRDefault="0018446E" w:rsidP="0018446E">
      <w:pPr>
        <w:spacing w:after="0" w:line="240" w:lineRule="auto"/>
        <w:ind w:left="0"/>
        <w:jc w:val="right"/>
        <w:rPr>
          <w:rFonts w:ascii="Times New Roman" w:eastAsia="Times New Roman" w:hAnsi="Times New Roman"/>
          <w:sz w:val="20"/>
          <w:szCs w:val="20"/>
          <w:lang w:val="ro-MD"/>
        </w:rPr>
      </w:pPr>
      <w:r w:rsidRPr="0018446E">
        <w:rPr>
          <w:rFonts w:ascii="Times New Roman" w:eastAsia="Times New Roman" w:hAnsi="Times New Roman"/>
          <w:i/>
          <w:iCs/>
          <w:sz w:val="20"/>
          <w:szCs w:val="20"/>
          <w:lang w:val="ro-MD"/>
        </w:rPr>
        <w:t>Sursa</w:t>
      </w:r>
      <w:r w:rsidRPr="0018446E">
        <w:rPr>
          <w:rFonts w:ascii="Times New Roman" w:eastAsia="Times New Roman" w:hAnsi="Times New Roman"/>
          <w:sz w:val="20"/>
          <w:szCs w:val="20"/>
          <w:lang w:val="ro-MD"/>
        </w:rPr>
        <w:t>: UNCTAD (2019), p. 140.</w:t>
      </w:r>
    </w:p>
    <w:p w14:paraId="6D4C0604" w14:textId="77777777" w:rsidR="0018446E" w:rsidRPr="0018446E" w:rsidRDefault="0018446E" w:rsidP="0018446E">
      <w:pPr>
        <w:spacing w:after="0" w:line="276" w:lineRule="auto"/>
        <w:ind w:left="0"/>
        <w:jc w:val="both"/>
        <w:rPr>
          <w:rFonts w:ascii="Times New Roman" w:eastAsia="Times New Roman" w:hAnsi="Times New Roman"/>
          <w:lang w:val="ro-MD"/>
        </w:rPr>
        <w:sectPr w:rsidR="0018446E" w:rsidRPr="0018446E" w:rsidSect="005A111D">
          <w:type w:val="continuous"/>
          <w:pgSz w:w="11907" w:h="16839" w:code="9"/>
          <w:pgMar w:top="993" w:right="850" w:bottom="142" w:left="1418" w:header="720" w:footer="720" w:gutter="0"/>
          <w:cols w:num="2" w:space="720"/>
          <w:titlePg/>
          <w:docGrid w:linePitch="360"/>
        </w:sectPr>
      </w:pPr>
    </w:p>
    <w:p w14:paraId="188FC424" w14:textId="77777777" w:rsidR="0018446E" w:rsidRPr="0018446E" w:rsidRDefault="0018446E" w:rsidP="0018446E">
      <w:pPr>
        <w:spacing w:after="0" w:line="240" w:lineRule="auto"/>
        <w:ind w:left="0"/>
        <w:jc w:val="both"/>
        <w:rPr>
          <w:rFonts w:ascii="Times New Roman" w:eastAsia="Times New Roman" w:hAnsi="Times New Roman"/>
          <w:lang w:val="ro-MD"/>
        </w:rPr>
      </w:pPr>
    </w:p>
    <w:p w14:paraId="5E6446DC" w14:textId="77777777" w:rsidR="0018446E" w:rsidRPr="0018446E" w:rsidRDefault="0018446E" w:rsidP="0018446E">
      <w:pPr>
        <w:spacing w:after="0" w:line="240" w:lineRule="auto"/>
        <w:ind w:left="0"/>
        <w:jc w:val="both"/>
        <w:rPr>
          <w:rFonts w:ascii="Times New Roman" w:eastAsia="Times New Roman" w:hAnsi="Times New Roman"/>
          <w:lang w:val="ro-MD"/>
        </w:rPr>
      </w:pPr>
      <w:r w:rsidRPr="0018446E">
        <w:rPr>
          <w:rFonts w:ascii="Times New Roman" w:eastAsia="Times New Roman" w:hAnsi="Times New Roman"/>
          <w:lang w:val="ro-MD"/>
        </w:rPr>
        <w:t>Conform datelor Conferinței Națiunilor Unite pentru Comerț și Dezvoltare (UNCTAD), în anul 2019, existau cca 5.400 de ZES în 147 de țări și alte aproximativ 500 de ZES în proces de creare, sub diferite denumiri (Zone Libere, Zone Economice Libere, Zone Orientate spre Export, Parcuri Industriale sau Parcuri Eco-Industriale) și de diferite tipuri (hub-uri logistice, multifuncționale, specializate, tehnologice)</w:t>
      </w:r>
      <w:r w:rsidRPr="0018446E">
        <w:rPr>
          <w:rFonts w:ascii="Times New Roman" w:eastAsia="Times New Roman" w:hAnsi="Times New Roman"/>
          <w:vertAlign w:val="superscript"/>
          <w:lang w:val="ro-MD"/>
        </w:rPr>
        <w:footnoteReference w:id="13"/>
      </w:r>
      <w:r w:rsidRPr="0018446E">
        <w:rPr>
          <w:rFonts w:ascii="Times New Roman" w:eastAsia="Times New Roman" w:hAnsi="Times New Roman"/>
          <w:lang w:val="ro-MD"/>
        </w:rPr>
        <w:t>.</w:t>
      </w:r>
    </w:p>
    <w:p w14:paraId="47FF3F16"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26240EAD"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Republica Moldova are instituite asemenea platforme investiționale – Zone Economice Libere (ZEL) și Parcuri Industriale (PI) – , dezvoltate preponderent în ultimul deceniu. Datele privind activitatea ZEL-urilor și PI denotă importanța acestora pentru sectorul industrial din Republica Moldova și economie în ansamblu, odată ce la data de 31.12.2022 platformele investiționale prenotate erau populate de cca 350 agenți economici care aveau investite aproximativ 750 milioane USD, angajau 20.000 de oameni și aveau o cifră de afaceri de aproape 19 miliarde MDL (Tabelul 3).   </w:t>
      </w:r>
    </w:p>
    <w:p w14:paraId="5053DAF6" w14:textId="77777777" w:rsidR="0018446E" w:rsidRPr="0018446E" w:rsidRDefault="0018446E" w:rsidP="0018446E">
      <w:pPr>
        <w:spacing w:after="0" w:line="276" w:lineRule="auto"/>
        <w:ind w:left="0"/>
        <w:jc w:val="both"/>
        <w:rPr>
          <w:rFonts w:ascii="Times New Roman" w:eastAsia="Times New Roman" w:hAnsi="Times New Roman"/>
        </w:rPr>
      </w:pPr>
    </w:p>
    <w:p w14:paraId="3C040096" w14:textId="77777777" w:rsidR="0018446E" w:rsidRPr="0018446E" w:rsidRDefault="0018446E" w:rsidP="0018446E">
      <w:pPr>
        <w:spacing w:after="0" w:line="240" w:lineRule="auto"/>
        <w:ind w:left="0"/>
        <w:jc w:val="both"/>
        <w:rPr>
          <w:rFonts w:ascii="Times New Roman" w:eastAsia="Times New Roman" w:hAnsi="Times New Roman"/>
          <w:b/>
          <w:bCs/>
          <w:sz w:val="20"/>
          <w:szCs w:val="20"/>
        </w:rPr>
      </w:pPr>
      <w:r w:rsidRPr="0018446E">
        <w:rPr>
          <w:rFonts w:ascii="Times New Roman" w:eastAsia="Times New Roman" w:hAnsi="Times New Roman"/>
          <w:b/>
          <w:bCs/>
          <w:sz w:val="20"/>
          <w:szCs w:val="20"/>
        </w:rPr>
        <w:t>Tabel 4. 3. Platformele investiționale în Republica Moldova, anul 2022.</w:t>
      </w:r>
    </w:p>
    <w:tbl>
      <w:tblPr>
        <w:tblStyle w:val="-66"/>
        <w:tblW w:w="0" w:type="auto"/>
        <w:tblLook w:val="04A0" w:firstRow="1" w:lastRow="0" w:firstColumn="1" w:lastColumn="0" w:noHBand="0" w:noVBand="1"/>
      </w:tblPr>
      <w:tblGrid>
        <w:gridCol w:w="1710"/>
        <w:gridCol w:w="1072"/>
        <w:gridCol w:w="1323"/>
        <w:gridCol w:w="1757"/>
        <w:gridCol w:w="2107"/>
        <w:gridCol w:w="1670"/>
      </w:tblGrid>
      <w:tr w:rsidR="0018446E" w:rsidRPr="0018446E" w14:paraId="3B385946" w14:textId="77777777" w:rsidTr="00B03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0973F95" w14:textId="77777777" w:rsidR="0018446E" w:rsidRPr="0018446E" w:rsidRDefault="0018446E" w:rsidP="0018446E">
            <w:pPr>
              <w:spacing w:after="0" w:line="240" w:lineRule="auto"/>
              <w:ind w:left="0"/>
              <w:jc w:val="both"/>
              <w:rPr>
                <w:rFonts w:ascii="Times New Roman" w:eastAsia="Times New Roman" w:hAnsi="Times New Roman"/>
                <w:sz w:val="20"/>
                <w:szCs w:val="20"/>
              </w:rPr>
            </w:pPr>
            <w:r w:rsidRPr="0018446E">
              <w:rPr>
                <w:rFonts w:ascii="Times New Roman" w:eastAsia="Times New Roman" w:hAnsi="Times New Roman"/>
                <w:sz w:val="20"/>
                <w:szCs w:val="20"/>
              </w:rPr>
              <w:t xml:space="preserve">Tipul </w:t>
            </w:r>
          </w:p>
        </w:tc>
        <w:tc>
          <w:tcPr>
            <w:tcW w:w="1072" w:type="dxa"/>
          </w:tcPr>
          <w:p w14:paraId="456ED660"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Platforme</w:t>
            </w:r>
          </w:p>
          <w:p w14:paraId="4822F0E6"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Nr.</w:t>
            </w:r>
          </w:p>
        </w:tc>
        <w:tc>
          <w:tcPr>
            <w:tcW w:w="1323" w:type="dxa"/>
          </w:tcPr>
          <w:p w14:paraId="7F808C8E"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Rezidenți</w:t>
            </w:r>
          </w:p>
          <w:p w14:paraId="019D1E19"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Nr.</w:t>
            </w:r>
          </w:p>
        </w:tc>
        <w:tc>
          <w:tcPr>
            <w:tcW w:w="1757" w:type="dxa"/>
          </w:tcPr>
          <w:p w14:paraId="039857F6"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Stoc Investiții</w:t>
            </w:r>
          </w:p>
          <w:p w14:paraId="067338A9"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r w:rsidRPr="0018446E">
              <w:rPr>
                <w:rFonts w:ascii="Times New Roman" w:eastAsia="Times New Roman" w:hAnsi="Times New Roman"/>
                <w:i/>
                <w:iCs/>
                <w:sz w:val="20"/>
                <w:szCs w:val="20"/>
              </w:rPr>
              <w:t>mil. USD</w:t>
            </w:r>
          </w:p>
        </w:tc>
        <w:tc>
          <w:tcPr>
            <w:tcW w:w="2107" w:type="dxa"/>
          </w:tcPr>
          <w:p w14:paraId="0D516487"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Angajați</w:t>
            </w:r>
          </w:p>
          <w:p w14:paraId="068A3AEE"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Nr.</w:t>
            </w:r>
          </w:p>
        </w:tc>
        <w:tc>
          <w:tcPr>
            <w:tcW w:w="1670" w:type="dxa"/>
          </w:tcPr>
          <w:p w14:paraId="00038119"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 xml:space="preserve">Producție </w:t>
            </w:r>
          </w:p>
          <w:p w14:paraId="217C5E3F" w14:textId="77777777" w:rsidR="0018446E" w:rsidRPr="0018446E" w:rsidRDefault="0018446E" w:rsidP="0018446E">
            <w:pPr>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r w:rsidRPr="0018446E">
              <w:rPr>
                <w:rFonts w:ascii="Times New Roman" w:eastAsia="Times New Roman" w:hAnsi="Times New Roman"/>
                <w:i/>
                <w:iCs/>
                <w:sz w:val="20"/>
                <w:szCs w:val="20"/>
              </w:rPr>
              <w:t>mil. MDL</w:t>
            </w:r>
          </w:p>
        </w:tc>
      </w:tr>
      <w:tr w:rsidR="0018446E" w:rsidRPr="0018446E" w14:paraId="21FFBFB8" w14:textId="77777777" w:rsidTr="00B03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BC5B78B" w14:textId="77777777" w:rsidR="0018446E" w:rsidRPr="0018446E" w:rsidRDefault="0018446E" w:rsidP="0018446E">
            <w:pPr>
              <w:spacing w:after="0" w:line="240" w:lineRule="auto"/>
              <w:ind w:left="0"/>
              <w:jc w:val="both"/>
              <w:rPr>
                <w:rFonts w:ascii="Times New Roman" w:eastAsia="Times New Roman" w:hAnsi="Times New Roman"/>
                <w:sz w:val="20"/>
                <w:szCs w:val="20"/>
              </w:rPr>
            </w:pPr>
            <w:r w:rsidRPr="0018446E">
              <w:rPr>
                <w:rFonts w:ascii="Times New Roman" w:eastAsia="Times New Roman" w:hAnsi="Times New Roman"/>
                <w:sz w:val="20"/>
                <w:szCs w:val="20"/>
              </w:rPr>
              <w:t>ZEL-uri</w:t>
            </w:r>
          </w:p>
        </w:tc>
        <w:tc>
          <w:tcPr>
            <w:tcW w:w="1072" w:type="dxa"/>
          </w:tcPr>
          <w:p w14:paraId="6B1F413C" w14:textId="77777777" w:rsidR="0018446E" w:rsidRPr="0018446E" w:rsidRDefault="0018446E" w:rsidP="0018446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7</w:t>
            </w:r>
            <w:r w:rsidRPr="0018446E">
              <w:rPr>
                <w:rFonts w:ascii="Times New Roman" w:eastAsia="Times New Roman" w:hAnsi="Times New Roman"/>
                <w:sz w:val="20"/>
                <w:szCs w:val="20"/>
                <w:vertAlign w:val="superscript"/>
              </w:rPr>
              <w:t>*</w:t>
            </w:r>
          </w:p>
        </w:tc>
        <w:tc>
          <w:tcPr>
            <w:tcW w:w="1323" w:type="dxa"/>
          </w:tcPr>
          <w:p w14:paraId="291690D0" w14:textId="77777777" w:rsidR="0018446E" w:rsidRPr="0018446E" w:rsidRDefault="0018446E" w:rsidP="0018446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244</w:t>
            </w:r>
          </w:p>
        </w:tc>
        <w:tc>
          <w:tcPr>
            <w:tcW w:w="1757" w:type="dxa"/>
          </w:tcPr>
          <w:p w14:paraId="61BE3255" w14:textId="77777777" w:rsidR="0018446E" w:rsidRPr="0018446E" w:rsidRDefault="0018446E" w:rsidP="0018446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549</w:t>
            </w:r>
          </w:p>
        </w:tc>
        <w:tc>
          <w:tcPr>
            <w:tcW w:w="2107" w:type="dxa"/>
          </w:tcPr>
          <w:p w14:paraId="589DDE9D" w14:textId="77777777" w:rsidR="0018446E" w:rsidRPr="0018446E" w:rsidRDefault="0018446E" w:rsidP="0018446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15.878</w:t>
            </w:r>
          </w:p>
        </w:tc>
        <w:tc>
          <w:tcPr>
            <w:tcW w:w="1670" w:type="dxa"/>
          </w:tcPr>
          <w:p w14:paraId="3B7210EA" w14:textId="77777777" w:rsidR="0018446E" w:rsidRPr="0018446E" w:rsidRDefault="0018446E" w:rsidP="0018446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11.740</w:t>
            </w:r>
          </w:p>
        </w:tc>
      </w:tr>
      <w:tr w:rsidR="0018446E" w:rsidRPr="0018446E" w14:paraId="5B9C5F39" w14:textId="77777777" w:rsidTr="00B0372F">
        <w:tc>
          <w:tcPr>
            <w:cnfStyle w:val="001000000000" w:firstRow="0" w:lastRow="0" w:firstColumn="1" w:lastColumn="0" w:oddVBand="0" w:evenVBand="0" w:oddHBand="0" w:evenHBand="0" w:firstRowFirstColumn="0" w:firstRowLastColumn="0" w:lastRowFirstColumn="0" w:lastRowLastColumn="0"/>
            <w:tcW w:w="1710" w:type="dxa"/>
          </w:tcPr>
          <w:p w14:paraId="6B6AC018" w14:textId="77777777" w:rsidR="0018446E" w:rsidRPr="0018446E" w:rsidRDefault="0018446E" w:rsidP="0018446E">
            <w:pPr>
              <w:spacing w:after="0" w:line="240" w:lineRule="auto"/>
              <w:ind w:left="0"/>
              <w:jc w:val="both"/>
              <w:rPr>
                <w:rFonts w:ascii="Times New Roman" w:eastAsia="Times New Roman" w:hAnsi="Times New Roman"/>
                <w:sz w:val="20"/>
                <w:szCs w:val="20"/>
              </w:rPr>
            </w:pPr>
            <w:r w:rsidRPr="0018446E">
              <w:rPr>
                <w:rFonts w:ascii="Times New Roman" w:eastAsia="Times New Roman" w:hAnsi="Times New Roman"/>
                <w:sz w:val="20"/>
                <w:szCs w:val="20"/>
              </w:rPr>
              <w:t>PI</w:t>
            </w:r>
          </w:p>
        </w:tc>
        <w:tc>
          <w:tcPr>
            <w:tcW w:w="1072" w:type="dxa"/>
          </w:tcPr>
          <w:p w14:paraId="79585925" w14:textId="77777777" w:rsidR="0018446E" w:rsidRPr="0018446E" w:rsidRDefault="0018446E" w:rsidP="0018446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10</w:t>
            </w:r>
          </w:p>
        </w:tc>
        <w:tc>
          <w:tcPr>
            <w:tcW w:w="1323" w:type="dxa"/>
          </w:tcPr>
          <w:p w14:paraId="4D60C72B" w14:textId="77777777" w:rsidR="0018446E" w:rsidRPr="0018446E" w:rsidRDefault="0018446E" w:rsidP="0018446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105</w:t>
            </w:r>
          </w:p>
        </w:tc>
        <w:tc>
          <w:tcPr>
            <w:tcW w:w="1757" w:type="dxa"/>
          </w:tcPr>
          <w:p w14:paraId="14C597A9" w14:textId="77777777" w:rsidR="0018446E" w:rsidRPr="0018446E" w:rsidRDefault="0018446E" w:rsidP="0018446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209</w:t>
            </w:r>
            <w:r w:rsidRPr="0018446E">
              <w:rPr>
                <w:rFonts w:ascii="Times New Roman" w:eastAsia="Times New Roman" w:hAnsi="Times New Roman"/>
                <w:sz w:val="20"/>
                <w:szCs w:val="20"/>
                <w:vertAlign w:val="superscript"/>
              </w:rPr>
              <w:t>**</w:t>
            </w:r>
          </w:p>
        </w:tc>
        <w:tc>
          <w:tcPr>
            <w:tcW w:w="2107" w:type="dxa"/>
          </w:tcPr>
          <w:p w14:paraId="7B57FC77" w14:textId="77777777" w:rsidR="0018446E" w:rsidRPr="0018446E" w:rsidRDefault="0018446E" w:rsidP="0018446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 xml:space="preserve">  4.202</w:t>
            </w:r>
          </w:p>
        </w:tc>
        <w:tc>
          <w:tcPr>
            <w:tcW w:w="1670" w:type="dxa"/>
          </w:tcPr>
          <w:p w14:paraId="797D6BC5" w14:textId="77777777" w:rsidR="0018446E" w:rsidRPr="0018446E" w:rsidRDefault="0018446E" w:rsidP="0018446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8446E">
              <w:rPr>
                <w:rFonts w:ascii="Times New Roman" w:eastAsia="Times New Roman" w:hAnsi="Times New Roman"/>
                <w:sz w:val="20"/>
                <w:szCs w:val="20"/>
              </w:rPr>
              <w:t xml:space="preserve">  6.916</w:t>
            </w:r>
          </w:p>
        </w:tc>
      </w:tr>
    </w:tbl>
    <w:p w14:paraId="18FDF4E3" w14:textId="77777777" w:rsidR="0018446E" w:rsidRPr="0018446E" w:rsidRDefault="0018446E" w:rsidP="0018446E">
      <w:pPr>
        <w:spacing w:after="0" w:line="240" w:lineRule="auto"/>
        <w:ind w:left="0"/>
        <w:jc w:val="both"/>
        <w:rPr>
          <w:rFonts w:ascii="Times New Roman" w:eastAsia="Times New Roman" w:hAnsi="Times New Roman"/>
          <w:sz w:val="20"/>
          <w:szCs w:val="20"/>
        </w:rPr>
      </w:pPr>
      <w:r w:rsidRPr="0018446E">
        <w:rPr>
          <w:rFonts w:ascii="Times New Roman" w:eastAsia="Times New Roman" w:hAnsi="Times New Roman"/>
          <w:sz w:val="20"/>
          <w:szCs w:val="20"/>
          <w:vertAlign w:val="superscript"/>
        </w:rPr>
        <w:t>*</w:t>
      </w:r>
      <w:r w:rsidRPr="0018446E">
        <w:rPr>
          <w:rFonts w:ascii="Times New Roman" w:eastAsia="Times New Roman" w:hAnsi="Times New Roman"/>
          <w:sz w:val="20"/>
          <w:szCs w:val="20"/>
        </w:rPr>
        <w:t xml:space="preserve"> În anul 2023 sunt 6 ZEL-uri, odată cu expirarea termenului de activitate a ZAL PP „Otaci-Business”.</w:t>
      </w:r>
    </w:p>
    <w:p w14:paraId="61A86082" w14:textId="77777777" w:rsidR="0018446E" w:rsidRPr="0018446E" w:rsidRDefault="0018446E" w:rsidP="0018446E">
      <w:pPr>
        <w:spacing w:after="0" w:line="240" w:lineRule="auto"/>
        <w:ind w:left="0"/>
        <w:jc w:val="both"/>
        <w:rPr>
          <w:rFonts w:ascii="Times New Roman" w:eastAsia="Times New Roman" w:hAnsi="Times New Roman"/>
          <w:sz w:val="20"/>
          <w:szCs w:val="20"/>
        </w:rPr>
      </w:pPr>
      <w:r w:rsidRPr="0018446E">
        <w:rPr>
          <w:rFonts w:ascii="Times New Roman" w:eastAsia="Times New Roman" w:hAnsi="Times New Roman"/>
          <w:sz w:val="20"/>
          <w:szCs w:val="20"/>
          <w:vertAlign w:val="superscript"/>
        </w:rPr>
        <w:t>**</w:t>
      </w:r>
      <w:r w:rsidRPr="0018446E">
        <w:rPr>
          <w:rFonts w:ascii="Times New Roman" w:eastAsia="Times New Roman" w:hAnsi="Times New Roman"/>
          <w:sz w:val="20"/>
          <w:szCs w:val="20"/>
        </w:rPr>
        <w:t>La cursul USD din anul 2022.</w:t>
      </w:r>
    </w:p>
    <w:p w14:paraId="138B5656" w14:textId="77777777" w:rsidR="0018446E" w:rsidRPr="0018446E" w:rsidRDefault="0018446E" w:rsidP="0018446E">
      <w:pPr>
        <w:spacing w:after="0" w:line="240" w:lineRule="auto"/>
        <w:ind w:left="0"/>
        <w:jc w:val="both"/>
        <w:rPr>
          <w:rFonts w:ascii="Times New Roman" w:eastAsia="Times New Roman" w:hAnsi="Times New Roman"/>
          <w:sz w:val="20"/>
          <w:szCs w:val="20"/>
        </w:rPr>
      </w:pPr>
      <w:r w:rsidRPr="0018446E">
        <w:rPr>
          <w:rFonts w:ascii="Times New Roman" w:eastAsia="Times New Roman" w:hAnsi="Times New Roman"/>
          <w:i/>
          <w:iCs/>
          <w:sz w:val="20"/>
          <w:szCs w:val="20"/>
        </w:rPr>
        <w:t>Sursa:</w:t>
      </w:r>
      <w:r w:rsidRPr="0018446E">
        <w:rPr>
          <w:rFonts w:ascii="Times New Roman" w:eastAsia="Times New Roman" w:hAnsi="Times New Roman"/>
          <w:sz w:val="20"/>
          <w:szCs w:val="20"/>
        </w:rPr>
        <w:t xml:space="preserve"> datele MDED.</w:t>
      </w:r>
    </w:p>
    <w:p w14:paraId="637BE56D" w14:textId="77777777" w:rsidR="0018446E" w:rsidRPr="0018446E" w:rsidRDefault="0018446E" w:rsidP="0018446E">
      <w:pPr>
        <w:spacing w:after="0" w:line="240" w:lineRule="auto"/>
        <w:ind w:left="0"/>
        <w:jc w:val="both"/>
        <w:rPr>
          <w:rFonts w:ascii="Times New Roman" w:eastAsia="Times New Roman" w:hAnsi="Times New Roman"/>
          <w:sz w:val="18"/>
          <w:szCs w:val="18"/>
        </w:rPr>
      </w:pPr>
    </w:p>
    <w:p w14:paraId="231D6BAE"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rPr>
        <w:t xml:space="preserve">Totodată, dincolo de realizările menționate supra, există spațiu de eficientizare a platformelor investiționale din Republica Moldova și aliniere plenitudinară a acestora </w:t>
      </w:r>
      <w:r w:rsidRPr="0018446E">
        <w:rPr>
          <w:rFonts w:ascii="Times New Roman" w:eastAsia="Times New Roman" w:hAnsi="Times New Roman"/>
          <w:lang w:val="ro-MD"/>
        </w:rPr>
        <w:t xml:space="preserve">la cerințele proprii Industriei 4.0, implicit la cerințele și criteriile de mediu. Dezvoltarea platformelor investiționale presupune </w:t>
      </w:r>
      <w:r w:rsidRPr="0018446E">
        <w:rPr>
          <w:rFonts w:ascii="Times New Roman" w:eastAsia="Times New Roman" w:hAnsi="Times New Roman"/>
          <w:i/>
          <w:iCs/>
          <w:lang w:val="ro-MD"/>
        </w:rPr>
        <w:t>inter alia</w:t>
      </w:r>
      <w:r w:rsidRPr="0018446E">
        <w:rPr>
          <w:rFonts w:ascii="Times New Roman" w:eastAsia="Times New Roman" w:hAnsi="Times New Roman"/>
          <w:lang w:val="ro-MD"/>
        </w:rPr>
        <w:t>:</w:t>
      </w:r>
    </w:p>
    <w:p w14:paraId="3AB8A6F6" w14:textId="77777777" w:rsidR="0018446E" w:rsidRPr="0018446E" w:rsidRDefault="0018446E" w:rsidP="0018446E">
      <w:pPr>
        <w:numPr>
          <w:ilvl w:val="0"/>
          <w:numId w:val="31"/>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Consolidarea guvernanței ZEL-urilor și PI. Eficientizarea mecanismelor de administrare, monitorizare și raportare proprii platformelor investiționale.</w:t>
      </w:r>
    </w:p>
    <w:p w14:paraId="58EA0069" w14:textId="77777777" w:rsidR="0018446E" w:rsidRPr="0018446E" w:rsidRDefault="0018446E" w:rsidP="0018446E">
      <w:pPr>
        <w:numPr>
          <w:ilvl w:val="0"/>
          <w:numId w:val="31"/>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Raționalizarea și optimizarea platformelor investiționale. Cartografierea ZEL-urilor și PI în funcție de performanță, optimizarea după caz (unde există PI sau subzone economice libere nefuncționale) și delimitarea clară a celor două regimuri de activitate (unde cele două regimuri sunt create pe aceeași suprafață).</w:t>
      </w:r>
    </w:p>
    <w:p w14:paraId="241E9C34" w14:textId="77777777" w:rsidR="0018446E" w:rsidRPr="0018446E" w:rsidRDefault="0018446E" w:rsidP="0018446E">
      <w:pPr>
        <w:numPr>
          <w:ilvl w:val="0"/>
          <w:numId w:val="31"/>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 xml:space="preserve">Consolidarea infrastructurii </w:t>
      </w:r>
      <w:proofErr w:type="spellStart"/>
      <w:r w:rsidRPr="0018446E">
        <w:rPr>
          <w:rFonts w:ascii="Times New Roman" w:eastAsia="Times New Roman" w:hAnsi="Times New Roman"/>
          <w:lang w:val="ro-MD"/>
        </w:rPr>
        <w:t>tehnico</w:t>
      </w:r>
      <w:proofErr w:type="spellEnd"/>
      <w:r w:rsidRPr="0018446E">
        <w:rPr>
          <w:rFonts w:ascii="Times New Roman" w:eastAsia="Times New Roman" w:hAnsi="Times New Roman"/>
          <w:lang w:val="ro-MD"/>
        </w:rPr>
        <w:t xml:space="preserve">-edilitare. Dezvoltarea infrastructurii </w:t>
      </w:r>
      <w:proofErr w:type="spellStart"/>
      <w:r w:rsidRPr="0018446E">
        <w:rPr>
          <w:rFonts w:ascii="Times New Roman" w:eastAsia="Times New Roman" w:hAnsi="Times New Roman"/>
          <w:lang w:val="ro-MD"/>
        </w:rPr>
        <w:t>tehnico</w:t>
      </w:r>
      <w:proofErr w:type="spellEnd"/>
      <w:r w:rsidRPr="0018446E">
        <w:rPr>
          <w:rFonts w:ascii="Times New Roman" w:eastAsia="Times New Roman" w:hAnsi="Times New Roman"/>
          <w:lang w:val="ro-MD"/>
        </w:rPr>
        <w:t>-edilitare și infrastructurii productive în cadrul zonelor economice libere (ZEL), parcurilor industriale (PI) și platformelor industriale multifuncționale (PIM).</w:t>
      </w:r>
    </w:p>
    <w:p w14:paraId="455B4B7C" w14:textId="77777777" w:rsidR="0018446E" w:rsidRPr="0018446E" w:rsidRDefault="0018446E" w:rsidP="0018446E">
      <w:pPr>
        <w:numPr>
          <w:ilvl w:val="0"/>
          <w:numId w:val="31"/>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Crearea noilor PI. Stimularea creării noilor Eco-Parcuri Industriale specializate și crearea PIM-urilor, unde să fie desfășurate mai multe tipuri de activități economice, preponderent mică producție industrială la nivel local.</w:t>
      </w:r>
    </w:p>
    <w:p w14:paraId="5A6BB0A8" w14:textId="77777777" w:rsidR="0018446E" w:rsidRPr="0018446E" w:rsidRDefault="0018446E" w:rsidP="0018446E">
      <w:pPr>
        <w:spacing w:after="0" w:line="276" w:lineRule="auto"/>
        <w:ind w:left="0"/>
        <w:jc w:val="both"/>
        <w:rPr>
          <w:rFonts w:ascii="Times New Roman" w:eastAsia="Times New Roman" w:hAnsi="Times New Roman"/>
          <w:i/>
          <w:iCs/>
          <w:lang w:val="ro-MD"/>
        </w:rPr>
      </w:pPr>
    </w:p>
    <w:p w14:paraId="70650A59" w14:textId="77777777" w:rsidR="0018446E" w:rsidRPr="0018446E" w:rsidRDefault="0018446E" w:rsidP="0018446E">
      <w:pPr>
        <w:spacing w:after="0" w:line="276"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Consolidarea infrastructurii de afaceri-stimularea dezvoltării clusterelor din sectorul industrial</w:t>
      </w:r>
    </w:p>
    <w:p w14:paraId="6F4AF90E"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2A4190B0"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Consolidarea infrastructurii de afaceri poate lua diferite forme în economiile contemporane, de la capacitarea asociațiilor sectoriale de business până la dezvoltarea de rețele digitale și piețe sofisticate internaționale de instrumente financiare, demersuri care depășesc mandatul Programului. Stimularea dezvoltării </w:t>
      </w:r>
      <w:proofErr w:type="spellStart"/>
      <w:r w:rsidRPr="0018446E">
        <w:rPr>
          <w:rFonts w:ascii="Times New Roman" w:eastAsia="Times New Roman" w:hAnsi="Times New Roman"/>
          <w:lang w:val="ro-MD"/>
        </w:rPr>
        <w:t>clusterilor</w:t>
      </w:r>
      <w:proofErr w:type="spellEnd"/>
      <w:r w:rsidRPr="0018446E">
        <w:rPr>
          <w:rFonts w:ascii="Times New Roman" w:eastAsia="Times New Roman" w:hAnsi="Times New Roman"/>
          <w:lang w:val="ro-MD"/>
        </w:rPr>
        <w:t xml:space="preserve"> în sectorul industrial este direcția strategică prioritară a secțiunii respective. </w:t>
      </w:r>
    </w:p>
    <w:p w14:paraId="30587A7E"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4D600359"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Teoriile </w:t>
      </w:r>
      <w:proofErr w:type="spellStart"/>
      <w:r w:rsidRPr="0018446E">
        <w:rPr>
          <w:rFonts w:ascii="Times New Roman" w:eastAsia="Times New Roman" w:hAnsi="Times New Roman"/>
          <w:lang w:val="ro-MD"/>
        </w:rPr>
        <w:t>clusterizării</w:t>
      </w:r>
      <w:proofErr w:type="spellEnd"/>
      <w:r w:rsidRPr="0018446E">
        <w:rPr>
          <w:rFonts w:ascii="Times New Roman" w:eastAsia="Times New Roman" w:hAnsi="Times New Roman"/>
          <w:lang w:val="ro-MD"/>
        </w:rPr>
        <w:t xml:space="preserve"> sunt lansate în cadrul economiei clasice, dar </w:t>
      </w:r>
      <w:proofErr w:type="spellStart"/>
      <w:r w:rsidRPr="0018446E">
        <w:rPr>
          <w:rFonts w:ascii="Times New Roman" w:eastAsia="Times New Roman" w:hAnsi="Times New Roman"/>
          <w:lang w:val="ro-MD"/>
        </w:rPr>
        <w:t>clusterizarea</w:t>
      </w:r>
      <w:proofErr w:type="spellEnd"/>
      <w:r w:rsidRPr="0018446E">
        <w:rPr>
          <w:rFonts w:ascii="Times New Roman" w:eastAsia="Times New Roman" w:hAnsi="Times New Roman"/>
          <w:lang w:val="ro-MD"/>
        </w:rPr>
        <w:t xml:space="preserve"> devine cu adevărat semnificativă la nivel global după popularizarea modelului prin prisma avantajului competitiv. Astfel, </w:t>
      </w:r>
      <w:proofErr w:type="spellStart"/>
      <w:r w:rsidRPr="0018446E">
        <w:rPr>
          <w:rFonts w:ascii="Times New Roman" w:eastAsia="Times New Roman" w:hAnsi="Times New Roman"/>
          <w:lang w:val="ro-MD"/>
        </w:rPr>
        <w:t>clusterizarea</w:t>
      </w:r>
      <w:proofErr w:type="spellEnd"/>
      <w:r w:rsidRPr="0018446E">
        <w:rPr>
          <w:rFonts w:ascii="Times New Roman" w:eastAsia="Times New Roman" w:hAnsi="Times New Roman"/>
          <w:lang w:val="ro-MD"/>
        </w:rPr>
        <w:t xml:space="preserve"> este înțeleasă ca o concentrare geografică a companiilor și activităților de inovare [dar </w:t>
      </w:r>
      <w:r w:rsidRPr="0018446E">
        <w:rPr>
          <w:rFonts w:ascii="Times New Roman" w:eastAsia="Times New Roman" w:hAnsi="Times New Roman"/>
          <w:lang w:val="ro-MD"/>
        </w:rPr>
        <w:lastRenderedPageBreak/>
        <w:t>poate însemna și rețele de interconectate a diferitor areale în era digitalizării], care oferă avantaje competitive pe care nu le-ar fi avut în mod separat entitățile membre ale clusterului</w:t>
      </w:r>
      <w:r w:rsidRPr="0018446E">
        <w:rPr>
          <w:rFonts w:ascii="Times New Roman" w:eastAsia="Times New Roman" w:hAnsi="Times New Roman"/>
          <w:vertAlign w:val="superscript"/>
          <w:lang w:val="ro-MD"/>
        </w:rPr>
        <w:footnoteReference w:id="14"/>
      </w:r>
      <w:r w:rsidRPr="0018446E">
        <w:rPr>
          <w:rFonts w:ascii="Times New Roman" w:eastAsia="Times New Roman" w:hAnsi="Times New Roman"/>
          <w:lang w:val="ro-MD"/>
        </w:rPr>
        <w:t>.</w:t>
      </w:r>
      <w:r w:rsidRPr="0018446E">
        <w:rPr>
          <w:rFonts w:ascii="Times New Roman" w:eastAsia="Times New Roman" w:hAnsi="Times New Roman"/>
        </w:rPr>
        <w:t xml:space="preserve"> Astfel, proximitatea geografică determină efecte pozitive de aglomerație care pot fi valorificate pentru a spori competitivitatea clusterului. Clusterele pot fi prezente atât ca conglomerate de firme integrate pe verticală, cât și pe orizontală, și pot reprezenta un instrument viabil pentru implementarea proiectelor de economie circulară.</w:t>
      </w:r>
    </w:p>
    <w:p w14:paraId="776D436C"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35C07B20"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Dezvoltarea clusterelor în Republica Moldova este limitată la introducerea noțiunii de „cluster industrial” în </w:t>
      </w:r>
      <w:r w:rsidRPr="0018446E">
        <w:rPr>
          <w:rFonts w:ascii="Times New Roman" w:eastAsia="Times New Roman" w:hAnsi="Times New Roman"/>
          <w:i/>
          <w:iCs/>
          <w:lang w:val="ro-MD"/>
        </w:rPr>
        <w:t xml:space="preserve">Concepția dezvoltării </w:t>
      </w:r>
      <w:proofErr w:type="spellStart"/>
      <w:r w:rsidRPr="0018446E">
        <w:rPr>
          <w:rFonts w:ascii="Times New Roman" w:eastAsia="Times New Roman" w:hAnsi="Times New Roman"/>
          <w:i/>
          <w:iCs/>
          <w:lang w:val="ro-MD"/>
        </w:rPr>
        <w:t>clusteriale</w:t>
      </w:r>
      <w:proofErr w:type="spellEnd"/>
      <w:r w:rsidRPr="0018446E">
        <w:rPr>
          <w:rFonts w:ascii="Times New Roman" w:eastAsia="Times New Roman" w:hAnsi="Times New Roman"/>
          <w:i/>
          <w:iCs/>
          <w:lang w:val="ro-MD"/>
        </w:rPr>
        <w:t xml:space="preserve"> a sectorului industrial al Republicii Moldova</w:t>
      </w:r>
      <w:r w:rsidRPr="0018446E">
        <w:rPr>
          <w:rFonts w:ascii="Times New Roman" w:eastAsia="Times New Roman" w:hAnsi="Times New Roman"/>
          <w:lang w:val="ro-MD"/>
        </w:rPr>
        <w:t xml:space="preserve">, aprobată prin HG nr. 614/2013, precum și tentativele modeste de instituire a unor clustere, cum este cazul sectorului </w:t>
      </w:r>
      <w:proofErr w:type="spellStart"/>
      <w:r w:rsidRPr="0018446E">
        <w:rPr>
          <w:rFonts w:ascii="Times New Roman" w:eastAsia="Times New Roman" w:hAnsi="Times New Roman"/>
          <w:lang w:val="ro-MD"/>
        </w:rPr>
        <w:t>automotiv</w:t>
      </w:r>
      <w:proofErr w:type="spellEnd"/>
      <w:r w:rsidRPr="0018446E">
        <w:rPr>
          <w:rFonts w:ascii="Times New Roman" w:eastAsia="Times New Roman" w:hAnsi="Times New Roman"/>
          <w:lang w:val="ro-MD"/>
        </w:rPr>
        <w:t xml:space="preserve">. Cultivarea dificilă a clusterelor industriale, este cauzată preponderent de abordarea </w:t>
      </w:r>
      <w:r w:rsidRPr="0018446E">
        <w:rPr>
          <w:rFonts w:ascii="Times New Roman" w:eastAsia="Times New Roman" w:hAnsi="Times New Roman"/>
          <w:i/>
          <w:iCs/>
          <w:lang w:val="ro-MD"/>
        </w:rPr>
        <w:t>top-</w:t>
      </w:r>
      <w:proofErr w:type="spellStart"/>
      <w:r w:rsidRPr="0018446E">
        <w:rPr>
          <w:rFonts w:ascii="Times New Roman" w:eastAsia="Times New Roman" w:hAnsi="Times New Roman"/>
          <w:i/>
          <w:iCs/>
          <w:lang w:val="ro-MD"/>
        </w:rPr>
        <w:t>down</w:t>
      </w:r>
      <w:proofErr w:type="spellEnd"/>
      <w:r w:rsidRPr="0018446E">
        <w:rPr>
          <w:rFonts w:ascii="Times New Roman" w:eastAsia="Times New Roman" w:hAnsi="Times New Roman"/>
          <w:i/>
          <w:iCs/>
          <w:lang w:val="ro-MD"/>
        </w:rPr>
        <w:t xml:space="preserve"> </w:t>
      </w:r>
      <w:r w:rsidRPr="0018446E">
        <w:rPr>
          <w:rFonts w:ascii="Times New Roman" w:eastAsia="Times New Roman" w:hAnsi="Times New Roman"/>
          <w:lang w:val="ro-MD"/>
        </w:rPr>
        <w:t xml:space="preserve">și, în egală măsură, de lipsa stimulentelor într-un demers sistemic privind </w:t>
      </w:r>
      <w:proofErr w:type="spellStart"/>
      <w:r w:rsidRPr="0018446E">
        <w:rPr>
          <w:rFonts w:ascii="Times New Roman" w:eastAsia="Times New Roman" w:hAnsi="Times New Roman"/>
          <w:lang w:val="ro-MD"/>
        </w:rPr>
        <w:t>clusterizarea</w:t>
      </w:r>
      <w:proofErr w:type="spellEnd"/>
      <w:r w:rsidRPr="0018446E">
        <w:rPr>
          <w:rFonts w:ascii="Times New Roman" w:eastAsia="Times New Roman" w:hAnsi="Times New Roman"/>
          <w:lang w:val="ro-MD"/>
        </w:rPr>
        <w:t xml:space="preserve">. </w:t>
      </w:r>
    </w:p>
    <w:p w14:paraId="34403BE3"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1F465553"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În acest context, Programul prevede regândirea abordării cu privire la </w:t>
      </w:r>
      <w:proofErr w:type="spellStart"/>
      <w:r w:rsidRPr="0018446E">
        <w:rPr>
          <w:rFonts w:ascii="Times New Roman" w:eastAsia="Times New Roman" w:hAnsi="Times New Roman"/>
          <w:lang w:val="ro-MD"/>
        </w:rPr>
        <w:t>clusterizare</w:t>
      </w:r>
      <w:proofErr w:type="spellEnd"/>
      <w:r w:rsidRPr="0018446E">
        <w:rPr>
          <w:rFonts w:ascii="Times New Roman" w:eastAsia="Times New Roman" w:hAnsi="Times New Roman"/>
          <w:lang w:val="ro-MD"/>
        </w:rPr>
        <w:t xml:space="preserve">, care devine una preponderent </w:t>
      </w:r>
      <w:proofErr w:type="spellStart"/>
      <w:r w:rsidRPr="0018446E">
        <w:rPr>
          <w:rFonts w:ascii="Times New Roman" w:eastAsia="Times New Roman" w:hAnsi="Times New Roman"/>
          <w:i/>
          <w:iCs/>
          <w:lang w:val="ro-MD"/>
        </w:rPr>
        <w:t>bottom-up</w:t>
      </w:r>
      <w:proofErr w:type="spellEnd"/>
      <w:r w:rsidRPr="0018446E">
        <w:rPr>
          <w:rFonts w:ascii="Times New Roman" w:eastAsia="Times New Roman" w:hAnsi="Times New Roman"/>
          <w:lang w:val="ro-MD"/>
        </w:rPr>
        <w:t>, poate cu excepția etapei inițiale când instituții publice, instituții publice de învățământ superior sau parteneri de dezvoltare pot iniția crearea unui cluster industrial</w:t>
      </w:r>
      <w:r w:rsidRPr="0018446E">
        <w:rPr>
          <w:rFonts w:ascii="Times New Roman" w:eastAsia="Times New Roman" w:hAnsi="Times New Roman"/>
          <w:vertAlign w:val="superscript"/>
          <w:lang w:val="ro-MD"/>
        </w:rPr>
        <w:footnoteReference w:id="15"/>
      </w:r>
      <w:r w:rsidRPr="0018446E">
        <w:rPr>
          <w:rFonts w:ascii="Times New Roman" w:eastAsia="Times New Roman" w:hAnsi="Times New Roman"/>
          <w:lang w:val="ro-MD"/>
        </w:rPr>
        <w:t>. De asemenea, intervențiile de dezvoltare a clusterelor sunt setate pe trei niveluri, în conformitate cu scrierile și practicile internaționale relevante</w:t>
      </w:r>
      <w:r w:rsidRPr="0018446E">
        <w:rPr>
          <w:rFonts w:ascii="Times New Roman" w:eastAsia="Times New Roman" w:hAnsi="Times New Roman"/>
          <w:vertAlign w:val="superscript"/>
          <w:lang w:val="ro-MD"/>
        </w:rPr>
        <w:footnoteReference w:id="16"/>
      </w:r>
      <w:r w:rsidRPr="0018446E">
        <w:rPr>
          <w:rFonts w:ascii="Times New Roman" w:eastAsia="Times New Roman" w:hAnsi="Times New Roman"/>
          <w:lang w:val="ro-MD"/>
        </w:rPr>
        <w:t>, și anume:</w:t>
      </w:r>
    </w:p>
    <w:p w14:paraId="68440D2B" w14:textId="77777777" w:rsidR="0018446E" w:rsidRPr="0018446E" w:rsidRDefault="0018446E" w:rsidP="0018446E">
      <w:pPr>
        <w:numPr>
          <w:ilvl w:val="0"/>
          <w:numId w:val="33"/>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 xml:space="preserve">Cadrul regulator (macro-economic). Sunt considerate Parcurile Industriale ca platforme  care să faciliteze </w:t>
      </w:r>
      <w:proofErr w:type="spellStart"/>
      <w:r w:rsidRPr="0018446E">
        <w:rPr>
          <w:rFonts w:ascii="Times New Roman" w:eastAsia="Times New Roman" w:hAnsi="Times New Roman"/>
          <w:lang w:val="ro-MD"/>
        </w:rPr>
        <w:t>clusterizarea</w:t>
      </w:r>
      <w:proofErr w:type="spellEnd"/>
      <w:r w:rsidRPr="0018446E">
        <w:rPr>
          <w:rFonts w:ascii="Times New Roman" w:eastAsia="Times New Roman" w:hAnsi="Times New Roman"/>
          <w:lang w:val="ro-MD"/>
        </w:rPr>
        <w:t xml:space="preserve"> și, în această ordine de idei, vor fi operate modificări la cadrul normativ prin introducerea categoriei de parcuri industriale specializate, unde să fie desfășurate activități economice din sectoare conexe, preponderent din domeniul tehnologiilor digitale și creative, informației și telecomunicațiilor, cercetării și dezvoltării, ingineriei și inovaționale.</w:t>
      </w:r>
    </w:p>
    <w:p w14:paraId="15BA176B" w14:textId="77777777" w:rsidR="0018446E" w:rsidRPr="0018446E" w:rsidRDefault="0018446E" w:rsidP="0018446E">
      <w:pPr>
        <w:numPr>
          <w:ilvl w:val="0"/>
          <w:numId w:val="33"/>
        </w:numPr>
        <w:spacing w:after="160" w:line="276" w:lineRule="auto"/>
        <w:contextualSpacing/>
        <w:jc w:val="both"/>
        <w:rPr>
          <w:rFonts w:ascii="Times New Roman" w:eastAsia="Times New Roman" w:hAnsi="Times New Roman"/>
          <w:lang w:val="ro-MD"/>
        </w:rPr>
      </w:pPr>
      <w:r w:rsidRPr="0018446E">
        <w:rPr>
          <w:rFonts w:ascii="Times New Roman" w:eastAsia="Times New Roman" w:hAnsi="Times New Roman"/>
        </w:rPr>
        <w:t>Nivelul sectorial (</w:t>
      </w:r>
      <w:proofErr w:type="spellStart"/>
      <w:r w:rsidRPr="0018446E">
        <w:rPr>
          <w:rFonts w:ascii="Times New Roman" w:eastAsia="Times New Roman" w:hAnsi="Times New Roman"/>
        </w:rPr>
        <w:t>mezo</w:t>
      </w:r>
      <w:proofErr w:type="spellEnd"/>
      <w:r w:rsidRPr="0018446E">
        <w:rPr>
          <w:rFonts w:ascii="Times New Roman" w:eastAsia="Times New Roman" w:hAnsi="Times New Roman"/>
        </w:rPr>
        <w:t xml:space="preserve">-economic). Integrarea susținerii clusterelor ca forme de suport în Programele de suport ale IMM-urilor implementate prin Organizația pentru Dezvoltarea </w:t>
      </w:r>
      <w:proofErr w:type="spellStart"/>
      <w:r w:rsidRPr="0018446E">
        <w:rPr>
          <w:rFonts w:ascii="Times New Roman" w:eastAsia="Times New Roman" w:hAnsi="Times New Roman"/>
        </w:rPr>
        <w:t>Antreprenoriatului</w:t>
      </w:r>
      <w:proofErr w:type="spellEnd"/>
      <w:r w:rsidRPr="0018446E">
        <w:rPr>
          <w:rFonts w:ascii="Times New Roman" w:eastAsia="Times New Roman" w:hAnsi="Times New Roman"/>
        </w:rPr>
        <w:t xml:space="preserve"> (ODA).</w:t>
      </w:r>
    </w:p>
    <w:p w14:paraId="1F2133D2" w14:textId="77777777" w:rsidR="0018446E" w:rsidRPr="0018446E" w:rsidRDefault="0018446E" w:rsidP="0018446E">
      <w:pPr>
        <w:numPr>
          <w:ilvl w:val="0"/>
          <w:numId w:val="33"/>
        </w:numPr>
        <w:spacing w:after="160" w:line="276" w:lineRule="auto"/>
        <w:contextualSpacing/>
        <w:jc w:val="both"/>
        <w:rPr>
          <w:rFonts w:ascii="Times New Roman" w:eastAsia="Times New Roman" w:hAnsi="Times New Roman"/>
          <w:lang w:val="ro-MD"/>
        </w:rPr>
      </w:pPr>
      <w:r w:rsidRPr="0018446E">
        <w:rPr>
          <w:rFonts w:ascii="Times New Roman" w:eastAsia="Times New Roman" w:hAnsi="Times New Roman"/>
        </w:rPr>
        <w:t>Nivelul întreprinderilor (micro-economic). Creșterea eligibilității la Programele ODA a întreprinderilor membre a clusterelor.</w:t>
      </w:r>
    </w:p>
    <w:p w14:paraId="57CDD1DC" w14:textId="77777777" w:rsidR="0018446E" w:rsidRPr="0018446E" w:rsidRDefault="0018446E" w:rsidP="0018446E">
      <w:pPr>
        <w:spacing w:after="0" w:line="276" w:lineRule="auto"/>
        <w:ind w:left="720"/>
        <w:contextualSpacing/>
        <w:jc w:val="both"/>
        <w:rPr>
          <w:rFonts w:ascii="Times New Roman" w:eastAsia="Times New Roman" w:hAnsi="Times New Roman"/>
          <w:lang w:val="ro-MD"/>
        </w:rPr>
      </w:pPr>
    </w:p>
    <w:tbl>
      <w:tblPr>
        <w:tblStyle w:val="-210"/>
        <w:tblW w:w="0" w:type="auto"/>
        <w:tblLook w:val="04A0" w:firstRow="1" w:lastRow="0" w:firstColumn="1" w:lastColumn="0" w:noHBand="0" w:noVBand="1"/>
      </w:tblPr>
      <w:tblGrid>
        <w:gridCol w:w="9345"/>
      </w:tblGrid>
      <w:tr w:rsidR="0018446E" w:rsidRPr="0018446E" w14:paraId="1BB24564" w14:textId="77777777" w:rsidTr="00B03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0DF8C535" w14:textId="77777777" w:rsidR="0018446E" w:rsidRPr="0018446E" w:rsidRDefault="0018446E" w:rsidP="0018446E">
            <w:pPr>
              <w:spacing w:after="0" w:line="240" w:lineRule="auto"/>
              <w:ind w:left="0"/>
              <w:jc w:val="center"/>
              <w:rPr>
                <w:rFonts w:ascii="Times New Roman" w:eastAsia="Times New Roman" w:hAnsi="Times New Roman"/>
                <w:i/>
                <w:iCs/>
                <w:lang w:val="ro-MD"/>
              </w:rPr>
            </w:pPr>
            <w:r w:rsidRPr="0018446E">
              <w:rPr>
                <w:rFonts w:ascii="Times New Roman" w:eastAsia="Times New Roman" w:hAnsi="Times New Roman"/>
                <w:i/>
                <w:iCs/>
                <w:lang w:val="ro-MD"/>
              </w:rPr>
              <w:t>Obiectivul Specific 2.1. Stimularea investițiilor în industria prelucrătoare</w:t>
            </w:r>
          </w:p>
        </w:tc>
      </w:tr>
    </w:tbl>
    <w:p w14:paraId="211CDD94" w14:textId="77777777" w:rsidR="0018446E" w:rsidRPr="0018446E" w:rsidRDefault="0018446E" w:rsidP="0018446E">
      <w:pPr>
        <w:spacing w:after="0"/>
        <w:ind w:left="0"/>
        <w:jc w:val="both"/>
        <w:rPr>
          <w:rFonts w:ascii="Times New Roman" w:eastAsia="Times New Roman" w:hAnsi="Times New Roman"/>
        </w:rPr>
      </w:pPr>
    </w:p>
    <w:p w14:paraId="6B6D3ED8" w14:textId="77777777" w:rsidR="0018446E" w:rsidRPr="0018446E" w:rsidRDefault="0018446E" w:rsidP="0018446E">
      <w:pPr>
        <w:spacing w:after="0" w:line="276" w:lineRule="auto"/>
        <w:ind w:left="0"/>
        <w:jc w:val="both"/>
        <w:rPr>
          <w:rFonts w:ascii="Times New Roman" w:eastAsia="Times New Roman" w:hAnsi="Times New Roman"/>
        </w:rPr>
      </w:pPr>
      <w:r w:rsidRPr="0018446E">
        <w:rPr>
          <w:rFonts w:ascii="Times New Roman" w:eastAsia="Times New Roman" w:hAnsi="Times New Roman"/>
          <w:b/>
          <w:i/>
          <w:iCs/>
          <w:lang w:val="ro-MD"/>
        </w:rPr>
        <w:t>Rațiunea intervenției.</w:t>
      </w:r>
      <w:r w:rsidRPr="0018446E">
        <w:rPr>
          <w:rFonts w:ascii="Times New Roman" w:eastAsia="Times New Roman" w:hAnsi="Times New Roman"/>
          <w:bCs/>
          <w:lang w:val="ro-MD"/>
        </w:rPr>
        <w:t xml:space="preserve"> Dincolo de ecuația producției, care exprimă producția totală </w:t>
      </w:r>
      <w:r w:rsidRPr="0018446E">
        <w:rPr>
          <w:rFonts w:ascii="Times New Roman" w:eastAsia="Times New Roman" w:hAnsi="Times New Roman"/>
        </w:rPr>
        <w:t>în funcție de stocurile curente de capital (</w:t>
      </w:r>
      <m:oMath>
        <m:sSub>
          <m:sSubPr>
            <m:ctrlPr>
              <w:rPr>
                <w:rFonts w:ascii="Cambria Math" w:eastAsiaTheme="minorHAnsi" w:hAnsi="Cambria Math"/>
                <w:i/>
              </w:rPr>
            </m:ctrlPr>
          </m:sSubPr>
          <m:e>
            <m:r>
              <w:rPr>
                <w:rFonts w:ascii="Cambria Math" w:eastAsia="Times New Roman" w:hAnsi="Cambria Math"/>
              </w:rPr>
              <m:t>K</m:t>
            </m:r>
          </m:e>
          <m:sub>
            <m:r>
              <w:rPr>
                <w:rFonts w:ascii="Cambria Math" w:eastAsia="Times New Roman" w:hAnsi="Cambria Math"/>
              </w:rPr>
              <m:t>t</m:t>
            </m:r>
          </m:sub>
        </m:sSub>
      </m:oMath>
      <w:r w:rsidRPr="0018446E">
        <w:rPr>
          <w:rFonts w:ascii="Times New Roman" w:eastAsia="Times New Roman" w:hAnsi="Times New Roman"/>
        </w:rPr>
        <w:t>) și forță de muncă (</w:t>
      </w:r>
      <m:oMath>
        <m:sSub>
          <m:sSubPr>
            <m:ctrlPr>
              <w:rPr>
                <w:rFonts w:ascii="Cambria Math" w:eastAsiaTheme="minorHAnsi" w:hAnsi="Cambria Math"/>
                <w:i/>
              </w:rPr>
            </m:ctrlPr>
          </m:sSubPr>
          <m:e>
            <m:r>
              <w:rPr>
                <w:rFonts w:ascii="Cambria Math" w:eastAsia="Times New Roman" w:hAnsi="Cambria Math"/>
              </w:rPr>
              <m:t>L</m:t>
            </m:r>
          </m:e>
          <m:sub>
            <m:r>
              <w:rPr>
                <w:rFonts w:ascii="Cambria Math" w:eastAsia="Times New Roman" w:hAnsi="Cambria Math"/>
              </w:rPr>
              <m:t>t</m:t>
            </m:r>
          </m:sub>
        </m:sSub>
      </m:oMath>
      <w:r w:rsidRPr="0018446E">
        <w:rPr>
          <w:rFonts w:ascii="Times New Roman" w:eastAsia="Times New Roman" w:hAnsi="Times New Roman"/>
        </w:rPr>
        <w:t xml:space="preserve">), modelul neoclasic de creștere economică conține și ecuația dinamicii acumulării capitalului, care exprimă acumularea capitalului în funcție de investiții (egale cu economiile agregate, </w:t>
      </w:r>
      <w:r w:rsidRPr="0018446E">
        <w:rPr>
          <w:rFonts w:ascii="Times New Roman" w:eastAsia="Times New Roman" w:hAnsi="Times New Roman"/>
          <w:i/>
          <w:iCs/>
        </w:rPr>
        <w:t xml:space="preserve">I = </w:t>
      </w:r>
      <w:proofErr w:type="spellStart"/>
      <w:r w:rsidRPr="0018446E">
        <w:rPr>
          <w:rFonts w:ascii="Times New Roman" w:eastAsia="Times New Roman" w:hAnsi="Times New Roman"/>
          <w:i/>
          <w:iCs/>
        </w:rPr>
        <w:t>sY</w:t>
      </w:r>
      <w:proofErr w:type="spellEnd"/>
      <w:r w:rsidRPr="0018446E">
        <w:rPr>
          <w:rFonts w:ascii="Times New Roman" w:eastAsia="Times New Roman" w:hAnsi="Times New Roman"/>
        </w:rPr>
        <w:t>) și de deprecierea capitalului (</w:t>
      </w:r>
      <w:r w:rsidRPr="0018446E">
        <w:rPr>
          <w:rFonts w:ascii="Times New Roman" w:eastAsia="Times New Roman" w:hAnsi="Times New Roman"/>
          <w:i/>
          <w:iCs/>
        </w:rPr>
        <w:t xml:space="preserve">K= </w:t>
      </w:r>
      <w:proofErr w:type="spellStart"/>
      <w:r w:rsidRPr="0018446E">
        <w:rPr>
          <w:rFonts w:ascii="Times New Roman" w:eastAsia="Times New Roman" w:hAnsi="Times New Roman"/>
          <w:i/>
          <w:iCs/>
        </w:rPr>
        <w:t>sY</w:t>
      </w:r>
      <w:proofErr w:type="spellEnd"/>
      <w:r w:rsidRPr="0018446E">
        <w:rPr>
          <w:rFonts w:ascii="Times New Roman" w:eastAsia="Times New Roman" w:hAnsi="Times New Roman"/>
          <w:i/>
          <w:iCs/>
        </w:rPr>
        <w:t xml:space="preserve"> – </w:t>
      </w:r>
      <w:proofErr w:type="spellStart"/>
      <w:r w:rsidRPr="0018446E">
        <w:rPr>
          <w:rFonts w:ascii="Times New Roman" w:eastAsia="Times New Roman" w:hAnsi="Times New Roman"/>
          <w:i/>
          <w:iCs/>
        </w:rPr>
        <w:t>δK</w:t>
      </w:r>
      <w:proofErr w:type="spellEnd"/>
      <w:r w:rsidRPr="0018446E">
        <w:rPr>
          <w:rFonts w:ascii="Times New Roman" w:eastAsia="Times New Roman" w:hAnsi="Times New Roman"/>
        </w:rPr>
        <w:t xml:space="preserve">). Asumpția neoclasică a fost preluată și de către modele endogene ale creșterii, care recunosc că creșterea </w:t>
      </w:r>
      <w:r w:rsidRPr="0018446E">
        <w:rPr>
          <w:rFonts w:ascii="Times New Roman" w:eastAsia="Times New Roman" w:hAnsi="Times New Roman"/>
        </w:rPr>
        <w:lastRenderedPageBreak/>
        <w:t>economică depinde de investiții, deși tipul de investiții variază în funcție de paradigmă – investiții în capital fizic și uman, investiții în cercetare și tehnologie sau combinații ale acestora</w:t>
      </w:r>
      <w:r w:rsidRPr="0018446E">
        <w:rPr>
          <w:rFonts w:ascii="Times New Roman" w:eastAsia="Times New Roman" w:hAnsi="Times New Roman"/>
          <w:vertAlign w:val="superscript"/>
        </w:rPr>
        <w:footnoteReference w:id="17"/>
      </w:r>
      <w:r w:rsidRPr="0018446E">
        <w:rPr>
          <w:rFonts w:ascii="Times New Roman" w:eastAsia="Times New Roman" w:hAnsi="Times New Roman"/>
        </w:rPr>
        <w:t>.</w:t>
      </w:r>
    </w:p>
    <w:p w14:paraId="5910DAA1" w14:textId="77777777" w:rsidR="0018446E" w:rsidRPr="0018446E" w:rsidRDefault="0018446E" w:rsidP="0018446E">
      <w:pPr>
        <w:spacing w:before="120" w:line="288" w:lineRule="auto"/>
        <w:ind w:left="0"/>
        <w:jc w:val="both"/>
        <w:rPr>
          <w:rFonts w:ascii="Times New Roman" w:eastAsia="Times New Roman" w:hAnsi="Times New Roman"/>
          <w:bCs/>
          <w:lang w:val="ro-MD"/>
        </w:rPr>
      </w:pPr>
      <w:r w:rsidRPr="0018446E">
        <w:rPr>
          <w:rFonts w:ascii="Times New Roman" w:eastAsia="Times New Roman" w:hAnsi="Times New Roman"/>
          <w:bCs/>
          <w:lang w:val="ro-MD"/>
        </w:rPr>
        <w:t xml:space="preserve">Investițiile în industrie sunt în descreștere în Republica Moldova. Astfel, dinamica investițiilor în activele imobilizate în industria prelucrătoare în anul 2022 a constituit 72,8% față de anul 2017 (Figura 4.1). Dincolo de factorii obiectivi care fac mai dificile investițiile în proiecte industriale, cum sunt riscurile crescute a investițiilor capitale pe termen lung, reducerea investițiilor în active imobilizate este în mare măsură determinată de contextul regional și structura industriei prelucrătoare din Republica Moldova. </w:t>
      </w:r>
    </w:p>
    <w:p w14:paraId="76A03D8F" w14:textId="77777777" w:rsidR="0018446E" w:rsidRPr="0018446E" w:rsidRDefault="0018446E" w:rsidP="0018446E">
      <w:pPr>
        <w:spacing w:after="0" w:line="276" w:lineRule="auto"/>
        <w:ind w:left="0"/>
        <w:jc w:val="both"/>
        <w:rPr>
          <w:rFonts w:ascii="Times New Roman" w:eastAsia="Times New Roman" w:hAnsi="Times New Roman"/>
        </w:rPr>
      </w:pPr>
      <w:r w:rsidRPr="0018446E">
        <w:rPr>
          <w:rFonts w:ascii="Times New Roman" w:eastAsia="Times New Roman" w:hAnsi="Times New Roman"/>
        </w:rPr>
        <w:t xml:space="preserve"> </w:t>
      </w:r>
    </w:p>
    <w:p w14:paraId="7C668670" w14:textId="77777777" w:rsidR="0018446E" w:rsidRPr="0018446E" w:rsidRDefault="0018446E" w:rsidP="0018446E">
      <w:pPr>
        <w:spacing w:after="0" w:line="240" w:lineRule="auto"/>
        <w:ind w:left="391" w:right="96" w:hanging="11"/>
        <w:jc w:val="center"/>
        <w:rPr>
          <w:rFonts w:ascii="Times New Roman" w:eastAsia="Times New Roman" w:hAnsi="Times New Roman"/>
          <w:b/>
          <w:sz w:val="20"/>
          <w:szCs w:val="20"/>
          <w:lang w:val="ro-MD"/>
        </w:rPr>
      </w:pPr>
    </w:p>
    <w:p w14:paraId="044081AF" w14:textId="77777777" w:rsidR="0018446E" w:rsidRPr="0018446E" w:rsidRDefault="0018446E" w:rsidP="0018446E">
      <w:pPr>
        <w:spacing w:after="0" w:line="240" w:lineRule="auto"/>
        <w:ind w:left="391" w:right="96" w:hanging="11"/>
        <w:jc w:val="center"/>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4.1 Dinamica investițiilor  în active imobilizate în industria prelucrătoare (2017=100%)</w:t>
      </w:r>
    </w:p>
    <w:p w14:paraId="39BBC7F4" w14:textId="77777777" w:rsidR="0018446E" w:rsidRPr="0018446E" w:rsidRDefault="0018446E" w:rsidP="0018446E">
      <w:pPr>
        <w:spacing w:after="0" w:line="240" w:lineRule="auto"/>
        <w:ind w:left="391" w:right="96" w:hanging="11"/>
        <w:jc w:val="center"/>
        <w:rPr>
          <w:rFonts w:ascii="Times New Roman" w:eastAsia="Times New Roman" w:hAnsi="Times New Roman"/>
          <w:noProof/>
          <w:lang w:val="ro-MD"/>
        </w:rPr>
      </w:pPr>
    </w:p>
    <w:p w14:paraId="73F2AA03" w14:textId="77777777" w:rsidR="0018446E" w:rsidRPr="0018446E" w:rsidRDefault="0018446E" w:rsidP="0018446E">
      <w:pPr>
        <w:spacing w:after="0" w:line="240" w:lineRule="auto"/>
        <w:ind w:left="0"/>
        <w:jc w:val="center"/>
        <w:rPr>
          <w:rFonts w:ascii="Times New Roman" w:eastAsia="Times New Roman" w:hAnsi="Times New Roman"/>
          <w:b/>
          <w:sz w:val="20"/>
          <w:szCs w:val="20"/>
          <w:lang w:val="en-US"/>
        </w:rPr>
      </w:pPr>
      <w:r w:rsidRPr="0018446E">
        <w:rPr>
          <w:rFonts w:ascii="Times New Roman" w:eastAsia="Times New Roman" w:hAnsi="Times New Roman"/>
          <w:noProof/>
          <w:lang w:val="en-US"/>
        </w:rPr>
        <w:drawing>
          <wp:inline distT="0" distB="0" distL="0" distR="0" wp14:anchorId="4558089F" wp14:editId="5D4FA21D">
            <wp:extent cx="4953000" cy="220027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713525" w14:textId="77777777" w:rsidR="0018446E" w:rsidRPr="0018446E" w:rsidRDefault="0018446E" w:rsidP="0018446E">
      <w:pPr>
        <w:spacing w:before="120" w:line="288" w:lineRule="auto"/>
        <w:ind w:left="0"/>
        <w:jc w:val="both"/>
        <w:rPr>
          <w:rFonts w:ascii="Times New Roman" w:eastAsia="Times New Roman" w:hAnsi="Times New Roman"/>
          <w:bCs/>
          <w:lang w:val="ro-MD"/>
        </w:rPr>
      </w:pPr>
      <w:r w:rsidRPr="0018446E">
        <w:rPr>
          <w:rFonts w:ascii="Times New Roman" w:eastAsia="Times New Roman" w:hAnsi="Times New Roman"/>
          <w:i/>
          <w:iCs/>
          <w:sz w:val="18"/>
          <w:szCs w:val="18"/>
          <w:lang w:val="ro-MD"/>
        </w:rPr>
        <w:t xml:space="preserve">                     Sursa:</w:t>
      </w:r>
      <w:r w:rsidRPr="0018446E">
        <w:rPr>
          <w:rFonts w:ascii="Times New Roman" w:eastAsia="Times New Roman" w:hAnsi="Times New Roman"/>
          <w:sz w:val="18"/>
          <w:szCs w:val="18"/>
          <w:lang w:val="ro-MD"/>
        </w:rPr>
        <w:t xml:space="preserve"> Biroul Național de Statistică, calculele MDED.</w:t>
      </w:r>
    </w:p>
    <w:p w14:paraId="75109040" w14:textId="77777777" w:rsidR="0018446E" w:rsidRPr="0018446E" w:rsidRDefault="0018446E" w:rsidP="0018446E">
      <w:pPr>
        <w:spacing w:before="120" w:line="288" w:lineRule="auto"/>
        <w:ind w:left="0"/>
        <w:jc w:val="both"/>
        <w:rPr>
          <w:rFonts w:ascii="Times New Roman" w:eastAsia="Times New Roman" w:hAnsi="Times New Roman"/>
          <w:lang w:val="en-US"/>
        </w:rPr>
      </w:pPr>
      <w:r w:rsidRPr="0018446E">
        <w:rPr>
          <w:rFonts w:ascii="Times New Roman" w:eastAsia="Times New Roman" w:hAnsi="Times New Roman"/>
          <w:lang w:val="ro-MD"/>
        </w:rPr>
        <w:t>Pornind de la (</w:t>
      </w:r>
      <w:proofErr w:type="spellStart"/>
      <w:r w:rsidRPr="0018446E">
        <w:rPr>
          <w:rFonts w:ascii="Times New Roman" w:eastAsia="Times New Roman" w:hAnsi="Times New Roman"/>
          <w:lang w:val="ro-MD"/>
        </w:rPr>
        <w:t>ipo</w:t>
      </w:r>
      <w:proofErr w:type="spellEnd"/>
      <w:r w:rsidRPr="0018446E">
        <w:rPr>
          <w:rFonts w:ascii="Times New Roman" w:eastAsia="Times New Roman" w:hAnsi="Times New Roman"/>
          <w:lang w:val="ro-MD"/>
        </w:rPr>
        <w:t xml:space="preserve">)teza că, capitalul se depreciază – </w:t>
      </w:r>
      <w:proofErr w:type="spellStart"/>
      <w:r w:rsidRPr="0018446E">
        <w:rPr>
          <w:rFonts w:ascii="Times New Roman" w:eastAsia="Times New Roman" w:hAnsi="Times New Roman"/>
          <w:i/>
          <w:iCs/>
          <w:lang w:val="ro-MD"/>
        </w:rPr>
        <w:t>δK</w:t>
      </w:r>
      <w:proofErr w:type="spellEnd"/>
      <w:r w:rsidRPr="0018446E">
        <w:rPr>
          <w:rFonts w:ascii="Times New Roman" w:eastAsia="Times New Roman" w:hAnsi="Times New Roman"/>
          <w:lang w:val="ro-MD"/>
        </w:rPr>
        <w:t xml:space="preserve"> – la o rată constantă de amortizare, diminuarea constantă a investițiilor în termeni relativi, conduce la diminuarea stocului de capital și, pe cale de consecință, la contracția producției industriale. Altfel spus, industria Republicii Moldova se îndreaptă </w:t>
      </w:r>
      <w:proofErr w:type="spellStart"/>
      <w:r w:rsidRPr="0018446E">
        <w:rPr>
          <w:rFonts w:ascii="Times New Roman" w:eastAsia="Times New Roman" w:hAnsi="Times New Roman"/>
          <w:lang w:val="ro-MD"/>
        </w:rPr>
        <w:t>spe</w:t>
      </w:r>
      <w:proofErr w:type="spellEnd"/>
      <w:r w:rsidRPr="0018446E">
        <w:rPr>
          <w:rFonts w:ascii="Times New Roman" w:eastAsia="Times New Roman" w:hAnsi="Times New Roman"/>
          <w:lang w:val="ro-MD"/>
        </w:rPr>
        <w:t xml:space="preserve"> un nou echilibru – stare staționară – , în care </w:t>
      </w:r>
      <w:r w:rsidRPr="0018446E">
        <w:rPr>
          <w:rFonts w:ascii="Times New Roman" w:eastAsia="Times New Roman" w:hAnsi="Times New Roman"/>
          <w:i/>
          <w:iCs/>
          <w:lang w:val="ro-MD"/>
        </w:rPr>
        <w:t>output</w:t>
      </w:r>
      <w:r w:rsidRPr="0018446E">
        <w:rPr>
          <w:rFonts w:ascii="Times New Roman" w:eastAsia="Times New Roman" w:hAnsi="Times New Roman"/>
          <w:lang w:val="ro-MD"/>
        </w:rPr>
        <w:t>-</w:t>
      </w:r>
      <w:proofErr w:type="spellStart"/>
      <w:r w:rsidRPr="0018446E">
        <w:rPr>
          <w:rFonts w:ascii="Times New Roman" w:eastAsia="Times New Roman" w:hAnsi="Times New Roman"/>
          <w:lang w:val="ro-MD"/>
        </w:rPr>
        <w:t>ul</w:t>
      </w:r>
      <w:proofErr w:type="spellEnd"/>
      <w:r w:rsidRPr="0018446E">
        <w:rPr>
          <w:rFonts w:ascii="Times New Roman" w:eastAsia="Times New Roman" w:hAnsi="Times New Roman"/>
          <w:lang w:val="ro-MD"/>
        </w:rPr>
        <w:t xml:space="preserve"> se va diminua. Prin urmare, schimbarea direcției trendului investițional este definitorie pentru menținerea și creșterea stocului de capital, implicit pentru creșterea producției industriale, în timp ce faptul că investițiile sunt mai mici decât economiile agregate (</w:t>
      </w:r>
      <w:r w:rsidRPr="0018446E">
        <w:rPr>
          <w:rFonts w:ascii="Times New Roman" w:eastAsia="Times New Roman" w:hAnsi="Times New Roman"/>
          <w:i/>
          <w:iCs/>
          <w:lang w:val="ro-MD"/>
        </w:rPr>
        <w:t xml:space="preserve">I &lt; </w:t>
      </w:r>
      <w:proofErr w:type="spellStart"/>
      <w:r w:rsidRPr="0018446E">
        <w:rPr>
          <w:rFonts w:ascii="Times New Roman" w:eastAsia="Times New Roman" w:hAnsi="Times New Roman"/>
          <w:i/>
          <w:iCs/>
          <w:lang w:val="ro-MD"/>
        </w:rPr>
        <w:t>sY</w:t>
      </w:r>
      <w:proofErr w:type="spellEnd"/>
      <w:r w:rsidRPr="0018446E">
        <w:rPr>
          <w:rFonts w:ascii="Times New Roman" w:eastAsia="Times New Roman" w:hAnsi="Times New Roman"/>
          <w:lang w:val="ro-MD"/>
        </w:rPr>
        <w:t xml:space="preserve">) impune intervenții ale Guvernului pentru stimularea acestora. De asemenea, cele intervențiile proprii OS 2.1, de rând cu intervențiile conexe OS 2.2, sunt relevante pentru ODD 9.2 și anume – </w:t>
      </w:r>
      <w:r w:rsidRPr="0018446E">
        <w:rPr>
          <w:rFonts w:ascii="Times New Roman" w:eastAsia="Times New Roman" w:hAnsi="Times New Roman"/>
          <w:i/>
          <w:iCs/>
          <w:lang w:val="ro-MD"/>
        </w:rPr>
        <w:t>Promovarea industrializării incluzive și durabile și până în 2030, sporirea semnificativă a ratei de ocupare și a ponderii industriei în Produsul Intern Brut.</w:t>
      </w:r>
      <w:r w:rsidRPr="0018446E">
        <w:rPr>
          <w:rFonts w:ascii="Times New Roman" w:eastAsia="Times New Roman" w:hAnsi="Times New Roman"/>
          <w:lang w:val="ro-MD"/>
        </w:rPr>
        <w:t xml:space="preserve"> </w:t>
      </w:r>
      <w:r w:rsidRPr="0018446E">
        <w:rPr>
          <w:rFonts w:ascii="Times New Roman" w:eastAsia="Times New Roman" w:hAnsi="Times New Roman"/>
        </w:rPr>
        <w:t>Direcțiile strategice de intervenție sunt focusate pe trei dimensiuni:</w:t>
      </w:r>
    </w:p>
    <w:p w14:paraId="177ACFDA" w14:textId="77777777" w:rsidR="0018446E" w:rsidRPr="0018446E" w:rsidRDefault="0018446E" w:rsidP="0018446E">
      <w:pPr>
        <w:spacing w:after="0" w:line="276" w:lineRule="auto"/>
        <w:ind w:left="0"/>
        <w:jc w:val="both"/>
        <w:rPr>
          <w:rFonts w:ascii="Times New Roman" w:eastAsia="Times New Roman" w:hAnsi="Times New Roman"/>
        </w:rPr>
      </w:pPr>
    </w:p>
    <w:p w14:paraId="5D84A78C" w14:textId="77777777" w:rsidR="0018446E" w:rsidRPr="0018446E" w:rsidRDefault="0018446E" w:rsidP="0018446E">
      <w:pPr>
        <w:spacing w:after="0" w:line="276" w:lineRule="auto"/>
        <w:ind w:left="0"/>
        <w:jc w:val="both"/>
        <w:rPr>
          <w:rFonts w:ascii="Times New Roman" w:eastAsia="Times New Roman" w:hAnsi="Times New Roman"/>
          <w:i/>
          <w:iCs/>
        </w:rPr>
      </w:pPr>
      <w:r w:rsidRPr="0018446E">
        <w:rPr>
          <w:rFonts w:ascii="Times New Roman" w:eastAsia="Times New Roman" w:hAnsi="Times New Roman"/>
          <w:i/>
          <w:iCs/>
        </w:rPr>
        <w:t>Instituirea unei scheme de ajutor de stat regionale pentru investițiile din industria prelucrătoare</w:t>
      </w:r>
    </w:p>
    <w:p w14:paraId="451C9F65" w14:textId="77777777" w:rsidR="0018446E" w:rsidRPr="0018446E" w:rsidRDefault="0018446E" w:rsidP="0018446E">
      <w:pPr>
        <w:spacing w:after="0" w:line="276" w:lineRule="auto"/>
        <w:ind w:left="0"/>
        <w:jc w:val="both"/>
        <w:rPr>
          <w:rFonts w:ascii="Times New Roman" w:eastAsia="Times New Roman" w:hAnsi="Times New Roman"/>
        </w:rPr>
      </w:pPr>
    </w:p>
    <w:p w14:paraId="761BB0FE"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Normele UE în materie de concurență și ajutoare de stat, transpuse parțial în cadrul normativ național cu privire la ajutorul de stat, conțin prevederi cu privire la ajutoarele de stat care pot fi compatibile cu piața concurențială, inclusiv ajutoarele de stat regionale. Schema de ajutor de stat pentru industria </w:t>
      </w:r>
      <w:r w:rsidRPr="0018446E">
        <w:rPr>
          <w:rFonts w:ascii="Times New Roman" w:eastAsia="Times New Roman" w:hAnsi="Times New Roman"/>
          <w:lang w:val="ro-MD"/>
        </w:rPr>
        <w:lastRenderedPageBreak/>
        <w:t>prelucrătoare va fi stimulatorie și presupune fie a) acordarea unei scutiri de 50% la impozitul pe venit sau b) subvenții directe respectând intensitatea de până la 50%, pentru întreprinderile din ramurile prioritare ale industriei prelucrătoare, conform Anexei la Program, care vor realiza investiții de capital de cel puțin 500 mii EUR. Perioada de valabilitate a scutirii este determinată de atingerea de către firma-beneficiar a pragului admisibil de intensitate a ajutorului.</w:t>
      </w:r>
    </w:p>
    <w:p w14:paraId="1F61EF2B" w14:textId="77777777" w:rsidR="0018446E" w:rsidRPr="0018446E" w:rsidRDefault="0018446E" w:rsidP="0018446E">
      <w:pPr>
        <w:spacing w:after="0" w:line="276" w:lineRule="auto"/>
        <w:ind w:left="0"/>
        <w:jc w:val="both"/>
        <w:rPr>
          <w:rFonts w:ascii="Times New Roman" w:eastAsia="Times New Roman" w:hAnsi="Times New Roman"/>
          <w:lang w:val="en-US"/>
        </w:rPr>
      </w:pPr>
    </w:p>
    <w:p w14:paraId="0B2117DF" w14:textId="77777777" w:rsidR="0018446E" w:rsidRPr="0018446E" w:rsidRDefault="0018446E" w:rsidP="0018446E">
      <w:pPr>
        <w:spacing w:after="0" w:line="276" w:lineRule="auto"/>
        <w:ind w:left="0"/>
        <w:jc w:val="both"/>
        <w:rPr>
          <w:rFonts w:ascii="Times New Roman" w:eastAsia="Times New Roman" w:hAnsi="Times New Roman"/>
          <w:i/>
          <w:iCs/>
        </w:rPr>
      </w:pPr>
      <w:r w:rsidRPr="0018446E">
        <w:rPr>
          <w:rFonts w:ascii="Times New Roman" w:eastAsia="Times New Roman" w:hAnsi="Times New Roman"/>
          <w:i/>
          <w:iCs/>
        </w:rPr>
        <w:t>Valorificarea instrumentelor ODA în industria prelucrătoare</w:t>
      </w:r>
    </w:p>
    <w:p w14:paraId="0F9D71EC" w14:textId="77777777" w:rsidR="0018446E" w:rsidRPr="0018446E" w:rsidRDefault="0018446E" w:rsidP="0018446E">
      <w:pPr>
        <w:spacing w:after="0" w:line="276" w:lineRule="auto"/>
        <w:ind w:left="0"/>
        <w:jc w:val="both"/>
        <w:rPr>
          <w:rFonts w:ascii="Times New Roman" w:eastAsia="Times New Roman" w:hAnsi="Times New Roman"/>
          <w:lang w:val="en-US"/>
        </w:rPr>
      </w:pPr>
    </w:p>
    <w:p w14:paraId="26282F25"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Guvernul are concepute două instrumente de facilitare a accesului la finanțare, în mod special pentru IMM-uri, implementate prin intermediul ODA și anume: Fondul de Garantare a Creditelor (FGC) și Programul „373”. FGC facilitează accesul IMM-urilor la finanțare prin partajarea riscului de credit și avea înregistrate 845 garanții financiare active la sfârșitul anului 2022, în valoare de cca 1,8 miliarde MDL, care au generat investiții directe în economie de aproximativ 2,1 miliarde MDL. Totodată, distribuția în funcție de domeniile de activitate, denotă că doar 42 dintre aceste garanții au fost emise pentru companiile din industria prelucrătoare, în timp ce ponderea industriei prelucrătoare în volumul garanțiilor emise este de cca 10% MDL</w:t>
      </w:r>
      <w:r w:rsidRPr="0018446E">
        <w:rPr>
          <w:rFonts w:ascii="Times New Roman" w:eastAsia="Times New Roman" w:hAnsi="Times New Roman"/>
          <w:vertAlign w:val="superscript"/>
          <w:lang w:val="ro-MD"/>
        </w:rPr>
        <w:footnoteReference w:id="18"/>
      </w:r>
      <w:r w:rsidRPr="0018446E">
        <w:rPr>
          <w:rFonts w:ascii="Times New Roman" w:eastAsia="Times New Roman" w:hAnsi="Times New Roman"/>
          <w:lang w:val="ro-MD"/>
        </w:rPr>
        <w:t xml:space="preserve">. Chiar dacă ponderea este comparabilă cu ponderea industriei prelucrătoare la formarea PIB-ului, valorile absolute sunt nesemnificative pentru sector (aproximativ 180 milioane MDL), chiar în ipoteza că toate creditele sunt pentru investiții capitale. De cealaltă parte, Programul „373” este lansat în anul 2023 și nu există deocamdată date statistice reprezentative, dar tendința de creditare nu poate să devieze semnificativ de la ponderea industriei prelucrătoare în formarea PIB-ului, în creditele acordate persoanelor juridice și în volumul garanțiilor emise de FGC.  </w:t>
      </w:r>
    </w:p>
    <w:p w14:paraId="6EA5720F"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5C159E90"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Direcții strategice:</w:t>
      </w:r>
    </w:p>
    <w:p w14:paraId="4470D08E" w14:textId="77777777" w:rsidR="0018446E" w:rsidRPr="0018446E" w:rsidRDefault="0018446E" w:rsidP="0018446E">
      <w:pPr>
        <w:numPr>
          <w:ilvl w:val="0"/>
          <w:numId w:val="34"/>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Promovarea FGC și Programului „373” în cadrul asociațiilor de business din industria prelucrătoare.</w:t>
      </w:r>
    </w:p>
    <w:p w14:paraId="36FDB40C" w14:textId="77777777" w:rsidR="0018446E" w:rsidRPr="0018446E" w:rsidRDefault="0018446E" w:rsidP="0018446E">
      <w:pPr>
        <w:numPr>
          <w:ilvl w:val="0"/>
          <w:numId w:val="34"/>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Diversificarea instrumentelor FGC.</w:t>
      </w:r>
    </w:p>
    <w:p w14:paraId="3DF10FBE" w14:textId="77777777" w:rsidR="0018446E" w:rsidRPr="0018446E" w:rsidRDefault="0018446E" w:rsidP="0018446E">
      <w:pPr>
        <w:numPr>
          <w:ilvl w:val="0"/>
          <w:numId w:val="34"/>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Operaționalizarea FACEM.</w:t>
      </w:r>
    </w:p>
    <w:p w14:paraId="63F5CEA1" w14:textId="77777777" w:rsidR="0018446E" w:rsidRPr="0018446E" w:rsidRDefault="0018446E" w:rsidP="0018446E">
      <w:pPr>
        <w:spacing w:after="0" w:line="276" w:lineRule="auto"/>
        <w:ind w:left="0"/>
        <w:jc w:val="both"/>
        <w:rPr>
          <w:rFonts w:ascii="Times New Roman" w:eastAsia="Times New Roman" w:hAnsi="Times New Roman"/>
        </w:rPr>
      </w:pPr>
    </w:p>
    <w:p w14:paraId="6804D1D3" w14:textId="77777777" w:rsidR="0018446E" w:rsidRPr="0018446E" w:rsidRDefault="0018446E" w:rsidP="0018446E">
      <w:pPr>
        <w:spacing w:after="0" w:line="276" w:lineRule="auto"/>
        <w:ind w:left="0"/>
        <w:jc w:val="both"/>
        <w:rPr>
          <w:rFonts w:ascii="Times New Roman" w:eastAsia="Times New Roman" w:hAnsi="Times New Roman"/>
          <w:i/>
          <w:iCs/>
        </w:rPr>
      </w:pPr>
      <w:r w:rsidRPr="0018446E">
        <w:rPr>
          <w:rFonts w:ascii="Times New Roman" w:eastAsia="Times New Roman" w:hAnsi="Times New Roman"/>
          <w:i/>
          <w:iCs/>
        </w:rPr>
        <w:t>Facilitarea ISD în sectorul industrial.</w:t>
      </w:r>
    </w:p>
    <w:p w14:paraId="1BF2759A" w14:textId="77777777" w:rsidR="0018446E" w:rsidRPr="0018446E" w:rsidRDefault="0018446E" w:rsidP="0018446E">
      <w:pPr>
        <w:spacing w:after="0" w:line="259" w:lineRule="auto"/>
        <w:ind w:left="0"/>
        <w:jc w:val="both"/>
        <w:rPr>
          <w:rFonts w:ascii="Times New Roman" w:eastAsia="Times New Roman" w:hAnsi="Times New Roman"/>
          <w:lang w:val="ro-MD"/>
        </w:rPr>
      </w:pPr>
    </w:p>
    <w:p w14:paraId="3F9668A4" w14:textId="77777777" w:rsidR="0018446E" w:rsidRPr="0018446E" w:rsidRDefault="0018446E" w:rsidP="0018446E">
      <w:pPr>
        <w:spacing w:after="16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Investițiile străine directe (ISD) nu se conțin în modelele de creștere cu economii închise, odată ce sunt economii agregate ale nerezidenților, dar acestea au un rol semnificativ în creșterea stocului de capital și creșterea economică în secolul XXI. Deși cu o dinamică sub media regională, fluxul de ISD a crescut ciclic în Republica Moldova (Figura 4.2). </w:t>
      </w:r>
    </w:p>
    <w:p w14:paraId="0839314D" w14:textId="77777777" w:rsidR="0018446E" w:rsidRPr="0018446E" w:rsidRDefault="0018446E" w:rsidP="0018446E">
      <w:pPr>
        <w:spacing w:after="0"/>
        <w:ind w:left="0"/>
        <w:jc w:val="both"/>
        <w:rPr>
          <w:rFonts w:ascii="Times New Roman" w:eastAsia="Times New Roman" w:hAnsi="Times New Roman"/>
          <w:b/>
          <w:bCs/>
          <w:sz w:val="20"/>
          <w:szCs w:val="20"/>
          <w:lang w:val="ro-MD"/>
        </w:rPr>
        <w:sectPr w:rsidR="0018446E" w:rsidRPr="0018446E" w:rsidSect="00307A65">
          <w:type w:val="continuous"/>
          <w:pgSz w:w="11907" w:h="16839" w:code="9"/>
          <w:pgMar w:top="993" w:right="850" w:bottom="142" w:left="1418" w:header="720" w:footer="720" w:gutter="0"/>
          <w:cols w:space="720"/>
          <w:titlePg/>
          <w:docGrid w:linePitch="360"/>
        </w:sectPr>
      </w:pPr>
    </w:p>
    <w:p w14:paraId="152502A9"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47E3BCE6"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06D2A38B"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59D8B2C2"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694E9D35"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07F1E734"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663F6D69"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2A5545D7" w14:textId="77777777" w:rsidR="0018446E" w:rsidRPr="0018446E" w:rsidRDefault="0018446E" w:rsidP="0018446E">
      <w:pPr>
        <w:spacing w:after="0"/>
        <w:ind w:left="0"/>
        <w:jc w:val="both"/>
        <w:rPr>
          <w:rFonts w:ascii="Times New Roman" w:eastAsia="Times New Roman" w:hAnsi="Times New Roman"/>
          <w:b/>
          <w:bCs/>
          <w:sz w:val="20"/>
          <w:szCs w:val="20"/>
          <w:lang w:val="ro-MD"/>
        </w:rPr>
      </w:pPr>
    </w:p>
    <w:p w14:paraId="246503C7" w14:textId="77777777" w:rsidR="0018446E" w:rsidRPr="0018446E" w:rsidRDefault="0018446E" w:rsidP="0018446E">
      <w:pPr>
        <w:spacing w:after="0"/>
        <w:ind w:left="0"/>
        <w:jc w:val="both"/>
        <w:rPr>
          <w:rFonts w:ascii="Times New Roman" w:eastAsia="Times New Roman" w:hAnsi="Times New Roman"/>
          <w:b/>
          <w:bCs/>
          <w:lang w:val="ro-MD"/>
        </w:rPr>
      </w:pPr>
      <w:r w:rsidRPr="0018446E">
        <w:rPr>
          <w:rFonts w:ascii="Times New Roman" w:eastAsia="Times New Roman" w:hAnsi="Times New Roman"/>
          <w:b/>
          <w:bCs/>
          <w:sz w:val="20"/>
          <w:szCs w:val="20"/>
          <w:lang w:val="ro-MD"/>
        </w:rPr>
        <w:t xml:space="preserve">Figura 4.2 Fluxurile ISD în RM, mil. USD.                          </w:t>
      </w:r>
    </w:p>
    <w:p w14:paraId="524EA562" w14:textId="77777777" w:rsidR="0018446E" w:rsidRPr="0018446E" w:rsidRDefault="0018446E" w:rsidP="0018446E">
      <w:pPr>
        <w:spacing w:after="0"/>
        <w:ind w:left="0"/>
        <w:jc w:val="both"/>
        <w:rPr>
          <w:rFonts w:ascii="Times New Roman" w:eastAsia="Times New Roman" w:hAnsi="Times New Roman"/>
          <w:lang w:val="ro-MD"/>
        </w:rPr>
      </w:pPr>
      <w:r w:rsidRPr="0018446E">
        <w:rPr>
          <w:rFonts w:ascii="Times New Roman" w:eastAsia="Times New Roman" w:hAnsi="Times New Roman"/>
          <w:noProof/>
          <w:lang w:val="en-US"/>
        </w:rPr>
        <w:lastRenderedPageBreak/>
        <w:drawing>
          <wp:inline distT="0" distB="0" distL="0" distR="0" wp14:anchorId="530B1105" wp14:editId="6A98C887">
            <wp:extent cx="3078480" cy="2339975"/>
            <wp:effectExtent l="0" t="0" r="7620" b="3175"/>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92BB88CC-47E7-4653-B97F-49CA6488E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E2B945E" w14:textId="77777777" w:rsidR="0018446E" w:rsidRPr="0018446E" w:rsidRDefault="0018446E" w:rsidP="0018446E">
      <w:pPr>
        <w:spacing w:after="0"/>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Sursa: UNCTAD.</w:t>
      </w:r>
    </w:p>
    <w:p w14:paraId="58E7A5FA" w14:textId="77777777" w:rsidR="0018446E" w:rsidRPr="0018446E" w:rsidRDefault="0018446E" w:rsidP="0018446E">
      <w:pPr>
        <w:spacing w:after="0"/>
        <w:ind w:left="0"/>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Figura 4.3. Stocul de ISD, pe activități economice.</w:t>
      </w:r>
    </w:p>
    <w:p w14:paraId="49D73AC4" w14:textId="77777777" w:rsidR="0018446E" w:rsidRPr="0018446E" w:rsidRDefault="0018446E" w:rsidP="0018446E">
      <w:pPr>
        <w:spacing w:after="0"/>
        <w:ind w:left="0"/>
        <w:jc w:val="both"/>
        <w:rPr>
          <w:rFonts w:ascii="Times New Roman" w:eastAsia="Times New Roman" w:hAnsi="Times New Roman"/>
          <w:lang w:val="ro-MD"/>
        </w:rPr>
      </w:pPr>
      <w:r w:rsidRPr="0018446E">
        <w:rPr>
          <w:rFonts w:ascii="Times New Roman" w:eastAsia="Times New Roman" w:hAnsi="Times New Roman"/>
          <w:noProof/>
          <w:lang w:val="en-US"/>
        </w:rPr>
        <w:drawing>
          <wp:inline distT="0" distB="0" distL="0" distR="0" wp14:anchorId="0251C979" wp14:editId="16AAE60D">
            <wp:extent cx="2834640" cy="2331720"/>
            <wp:effectExtent l="0" t="0" r="3810"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F64DF6" w14:textId="77777777" w:rsidR="0018446E" w:rsidRPr="0018446E" w:rsidRDefault="0018446E" w:rsidP="0018446E">
      <w:pPr>
        <w:spacing w:after="0"/>
        <w:ind w:left="0"/>
        <w:jc w:val="both"/>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Sursa: BNM.</w:t>
      </w:r>
    </w:p>
    <w:p w14:paraId="6419D19F" w14:textId="77777777" w:rsidR="0018446E" w:rsidRPr="0018446E" w:rsidRDefault="0018446E" w:rsidP="0018446E">
      <w:pPr>
        <w:spacing w:after="0" w:line="276" w:lineRule="auto"/>
        <w:ind w:left="0"/>
        <w:jc w:val="both"/>
        <w:rPr>
          <w:rFonts w:ascii="Times New Roman" w:eastAsia="Times New Roman" w:hAnsi="Times New Roman"/>
          <w:lang w:val="ro-MD"/>
        </w:rPr>
        <w:sectPr w:rsidR="0018446E" w:rsidRPr="0018446E" w:rsidSect="00563FB7">
          <w:type w:val="continuous"/>
          <w:pgSz w:w="11907" w:h="16839" w:code="9"/>
          <w:pgMar w:top="993" w:right="850" w:bottom="142" w:left="1418" w:header="720" w:footer="720" w:gutter="0"/>
          <w:cols w:num="2" w:space="720"/>
          <w:titlePg/>
          <w:docGrid w:linePitch="360"/>
        </w:sectPr>
      </w:pPr>
    </w:p>
    <w:p w14:paraId="4D8BB93F"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Conform datelor BNM, la data de 31.12.2022, pasivele sub forma de investiții directe au constituit cca 4.93 miliarde USD în Republica Moldova, dintre care aproximativ 3 miliarde USD înseamnă poziția investițiilor directe în capitalul propriu și 1,9 miliarde USD instrumente de natura datoriei</w:t>
      </w:r>
      <w:r w:rsidRPr="0018446E">
        <w:rPr>
          <w:rFonts w:ascii="Times New Roman" w:eastAsia="Times New Roman" w:hAnsi="Times New Roman"/>
          <w:vertAlign w:val="superscript"/>
          <w:lang w:val="ro-MD"/>
        </w:rPr>
        <w:footnoteReference w:id="19"/>
      </w:r>
      <w:r w:rsidRPr="0018446E">
        <w:rPr>
          <w:rFonts w:ascii="Times New Roman" w:eastAsia="Times New Roman" w:hAnsi="Times New Roman"/>
          <w:lang w:val="ro-MD"/>
        </w:rPr>
        <w:t>. Totodată, mai relevantă pentru sectorul industrial este distribuția ISD pe activitățile economice, unde industriei prelucrătoare îi revine 21% din stocuri.</w:t>
      </w:r>
    </w:p>
    <w:p w14:paraId="044E82BA"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52F9CF11"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Intervențiile și măsurile aferente atragerii ISD în sectorul industrial sunt implicite, din moment ce acestea se vor conține în Programul de atragere a investițiilor și promovare a exportului, dar toate politicile și acțiunile setate în cele trei OG sunt adresate și facilitării creșterii stocului de pasive sub formă de investiții directe în Republica Moldova. De asemenea, vor fi întreprinse măsuri care să stimuleze </w:t>
      </w:r>
      <w:r w:rsidRPr="0018446E">
        <w:rPr>
          <w:rFonts w:ascii="Times New Roman" w:eastAsia="Times New Roman" w:hAnsi="Times New Roman"/>
          <w:lang w:val="ro-MD" w:eastAsia="en-GB"/>
        </w:rPr>
        <w:t>investițiilor străine directe în industria prelucrătoare din lanțurile valorice superioare.</w:t>
      </w:r>
    </w:p>
    <w:p w14:paraId="5489B38A"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41B99258" w14:textId="77777777" w:rsidR="0018446E" w:rsidRPr="0018446E" w:rsidRDefault="0018446E" w:rsidP="0018446E">
      <w:pPr>
        <w:spacing w:after="0" w:line="259" w:lineRule="auto"/>
        <w:ind w:left="0"/>
        <w:jc w:val="both"/>
        <w:rPr>
          <w:rFonts w:ascii="Times New Roman" w:eastAsia="Times New Roman" w:hAnsi="Times New Roman"/>
          <w:lang w:val="ro-MD"/>
        </w:rPr>
      </w:pPr>
    </w:p>
    <w:tbl>
      <w:tblPr>
        <w:tblStyle w:val="-210"/>
        <w:tblW w:w="0" w:type="auto"/>
        <w:tblLook w:val="04A0" w:firstRow="1" w:lastRow="0" w:firstColumn="1" w:lastColumn="0" w:noHBand="0" w:noVBand="1"/>
      </w:tblPr>
      <w:tblGrid>
        <w:gridCol w:w="9345"/>
      </w:tblGrid>
      <w:tr w:rsidR="0018446E" w:rsidRPr="0018446E" w14:paraId="5A3B4075" w14:textId="77777777" w:rsidTr="00B03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07301250" w14:textId="77777777" w:rsidR="0018446E" w:rsidRPr="0018446E" w:rsidRDefault="0018446E" w:rsidP="0018446E">
            <w:pPr>
              <w:spacing w:after="0" w:line="240" w:lineRule="auto"/>
              <w:ind w:left="0"/>
              <w:jc w:val="center"/>
              <w:rPr>
                <w:rFonts w:ascii="Times New Roman" w:eastAsia="Times New Roman" w:hAnsi="Times New Roman"/>
                <w:i/>
                <w:iCs/>
                <w:lang w:val="ro-MD"/>
              </w:rPr>
            </w:pPr>
            <w:r w:rsidRPr="0018446E">
              <w:rPr>
                <w:rFonts w:ascii="Times New Roman" w:eastAsia="Times New Roman" w:hAnsi="Times New Roman"/>
                <w:i/>
                <w:iCs/>
                <w:lang w:val="ro-MD"/>
              </w:rPr>
              <w:t>Obiectivul Specific 2.2. Facilitarea accesului la forța de muncă calificată</w:t>
            </w:r>
          </w:p>
        </w:tc>
      </w:tr>
    </w:tbl>
    <w:p w14:paraId="2E24A797" w14:textId="77777777" w:rsidR="0018446E" w:rsidRPr="0018446E" w:rsidRDefault="0018446E" w:rsidP="0018446E">
      <w:pPr>
        <w:spacing w:after="160" w:line="259" w:lineRule="auto"/>
        <w:ind w:left="0"/>
        <w:jc w:val="both"/>
        <w:rPr>
          <w:rFonts w:ascii="Times New Roman" w:eastAsia="Times New Roman" w:hAnsi="Times New Roman"/>
          <w:lang w:val="ro-MD"/>
        </w:rPr>
      </w:pPr>
    </w:p>
    <w:p w14:paraId="4F3E1296"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Rațiunea intervenției.</w:t>
      </w:r>
      <w:r w:rsidRPr="0018446E">
        <w:rPr>
          <w:rFonts w:ascii="Times New Roman" w:eastAsia="Times New Roman" w:hAnsi="Times New Roman"/>
          <w:lang w:val="ro-MD"/>
        </w:rPr>
        <w:t xml:space="preserve"> Forța de muncă (</w:t>
      </w:r>
      <w:r w:rsidRPr="0018446E">
        <w:rPr>
          <w:rFonts w:ascii="Times New Roman" w:eastAsia="Times New Roman" w:hAnsi="Times New Roman"/>
          <w:i/>
          <w:iCs/>
          <w:lang w:val="ro-MD"/>
        </w:rPr>
        <w:t>L</w:t>
      </w:r>
      <w:r w:rsidRPr="0018446E">
        <w:rPr>
          <w:rFonts w:ascii="Times New Roman" w:eastAsia="Times New Roman" w:hAnsi="Times New Roman"/>
          <w:lang w:val="ro-MD"/>
        </w:rPr>
        <w:t>) a fost de cele mai multe ori constantă sau exogenă în teoriile creșterii economice, în timp ce migrația internațională a fost preponderent studiată prin prisma cauzelor care determină munca să migreze și mai puțin din perspectiva efectelor mobilității internaționale a muncii asupra economiilor de origine ale muncitorilor. Doar o serie de studii empirice cercetează piața muncii și efectele macroeconomice ale migrației în economiile est-europene</w:t>
      </w:r>
      <w:r w:rsidRPr="0018446E">
        <w:rPr>
          <w:rFonts w:ascii="Times New Roman" w:eastAsia="Times New Roman" w:hAnsi="Times New Roman"/>
          <w:vertAlign w:val="superscript"/>
          <w:lang w:val="ro-MD"/>
        </w:rPr>
        <w:footnoteReference w:id="20"/>
      </w:r>
      <w:r w:rsidRPr="0018446E">
        <w:rPr>
          <w:rFonts w:ascii="Times New Roman" w:eastAsia="Times New Roman" w:hAnsi="Times New Roman"/>
          <w:lang w:val="ro-MD"/>
        </w:rPr>
        <w:t xml:space="preserve">. </w:t>
      </w:r>
    </w:p>
    <w:p w14:paraId="1B5BF051"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311F1584"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Studiile empirice autohtone constată că emigrația este responsabilă pentru 90% din reducerea populației din Republica Moldova</w:t>
      </w:r>
      <w:r w:rsidRPr="0018446E">
        <w:rPr>
          <w:rFonts w:ascii="Times New Roman" w:eastAsia="Times New Roman" w:hAnsi="Times New Roman"/>
          <w:vertAlign w:val="superscript"/>
          <w:lang w:val="ro-MD"/>
        </w:rPr>
        <w:footnoteReference w:id="21"/>
      </w:r>
      <w:r w:rsidRPr="0018446E">
        <w:rPr>
          <w:rFonts w:ascii="Times New Roman" w:eastAsia="Times New Roman" w:hAnsi="Times New Roman"/>
          <w:lang w:val="ro-MD"/>
        </w:rPr>
        <w:t xml:space="preserve"> și, pe cale de </w:t>
      </w:r>
      <w:proofErr w:type="spellStart"/>
      <w:r w:rsidRPr="0018446E">
        <w:rPr>
          <w:rFonts w:ascii="Times New Roman" w:eastAsia="Times New Roman" w:hAnsi="Times New Roman"/>
          <w:lang w:val="ro-MD"/>
        </w:rPr>
        <w:t>consecinșă</w:t>
      </w:r>
      <w:proofErr w:type="spellEnd"/>
      <w:r w:rsidRPr="0018446E">
        <w:rPr>
          <w:rFonts w:ascii="Times New Roman" w:eastAsia="Times New Roman" w:hAnsi="Times New Roman"/>
          <w:lang w:val="ro-MD"/>
        </w:rPr>
        <w:t xml:space="preserve">, este responsabilă pentru </w:t>
      </w:r>
      <w:r w:rsidRPr="0018446E">
        <w:rPr>
          <w:rFonts w:ascii="Times New Roman" w:eastAsia="Times New Roman" w:hAnsi="Times New Roman"/>
          <w:i/>
          <w:iCs/>
          <w:lang w:val="ro-MD"/>
        </w:rPr>
        <w:t>cel mai mare dezechilibru existent pe piața muncii – deficitul de forță de muncă (calificate)</w:t>
      </w:r>
      <w:r w:rsidRPr="0018446E">
        <w:rPr>
          <w:rFonts w:ascii="Times New Roman" w:eastAsia="Times New Roman" w:hAnsi="Times New Roman"/>
          <w:lang w:val="ro-MD"/>
        </w:rPr>
        <w:t xml:space="preserve">. Conform Raportului – Prognoza pieței muncii pentru anul 2023 din perspectiva angajatorilor – , elaborat de către Agenția </w:t>
      </w:r>
      <w:r w:rsidRPr="0018446E">
        <w:rPr>
          <w:rFonts w:ascii="Times New Roman" w:eastAsia="Times New Roman" w:hAnsi="Times New Roman"/>
          <w:lang w:val="ro-MD"/>
        </w:rPr>
        <w:lastRenderedPageBreak/>
        <w:t>Națională pentru Ocuparea Forței de Muncă (ANOFM), principalele motive a deficitului de forță de muncă din perspectiva angajatorilor sunt lipsa personalului calificat cu experiență (37,6%) și numărul redus de solicitanți (30,0%)</w:t>
      </w:r>
      <w:r w:rsidRPr="0018446E">
        <w:rPr>
          <w:rFonts w:ascii="Times New Roman" w:eastAsia="Times New Roman" w:hAnsi="Times New Roman"/>
          <w:vertAlign w:val="superscript"/>
          <w:lang w:val="ro-MD"/>
        </w:rPr>
        <w:footnoteReference w:id="22"/>
      </w:r>
      <w:r w:rsidRPr="0018446E">
        <w:rPr>
          <w:rFonts w:ascii="Times New Roman" w:eastAsia="Times New Roman" w:hAnsi="Times New Roman"/>
          <w:lang w:val="ro-MD"/>
        </w:rPr>
        <w:t xml:space="preserve">.  </w:t>
      </w:r>
    </w:p>
    <w:p w14:paraId="10892460"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78452BEC" w14:textId="77777777" w:rsidR="0018446E" w:rsidRPr="0018446E" w:rsidRDefault="0018446E" w:rsidP="0018446E">
      <w:pPr>
        <w:tabs>
          <w:tab w:val="left" w:pos="246"/>
        </w:tabs>
        <w:spacing w:line="276" w:lineRule="auto"/>
        <w:ind w:left="0"/>
        <w:jc w:val="both"/>
        <w:rPr>
          <w:rFonts w:ascii="Times New Roman" w:eastAsia="Times New Roman" w:hAnsi="Times New Roman"/>
          <w:lang w:val="en-US"/>
        </w:rPr>
      </w:pPr>
      <w:r w:rsidRPr="0018446E">
        <w:rPr>
          <w:rFonts w:ascii="Times New Roman" w:eastAsia="Times New Roman" w:hAnsi="Times New Roman"/>
          <w:lang w:val="ro-MD"/>
        </w:rPr>
        <w:t xml:space="preserve">Din punct de vedere statistic, sursa potențială de mobilizare a forței de muncă se regăsește în principal, în rândul populației </w:t>
      </w:r>
      <w:proofErr w:type="spellStart"/>
      <w:r w:rsidRPr="0018446E">
        <w:rPr>
          <w:rFonts w:ascii="Times New Roman" w:eastAsia="Times New Roman" w:hAnsi="Times New Roman"/>
          <w:lang w:val="ro-MD"/>
        </w:rPr>
        <w:t>subutilizate</w:t>
      </w:r>
      <w:proofErr w:type="spellEnd"/>
      <w:r w:rsidRPr="0018446E">
        <w:rPr>
          <w:rFonts w:ascii="Times New Roman" w:eastAsia="Times New Roman" w:hAnsi="Times New Roman"/>
          <w:lang w:val="ro-MD"/>
        </w:rPr>
        <w:t xml:space="preserve">, care cuprinde 2 categorii de populație activă: 1) șomeri și 2) populația </w:t>
      </w:r>
      <w:proofErr w:type="spellStart"/>
      <w:r w:rsidRPr="0018446E">
        <w:rPr>
          <w:rFonts w:ascii="Times New Roman" w:eastAsia="Times New Roman" w:hAnsi="Times New Roman"/>
          <w:lang w:val="ro-MD"/>
        </w:rPr>
        <w:t>subocupată</w:t>
      </w:r>
      <w:proofErr w:type="spellEnd"/>
      <w:r w:rsidRPr="0018446E">
        <w:rPr>
          <w:rFonts w:ascii="Times New Roman" w:eastAsia="Times New Roman" w:hAnsi="Times New Roman"/>
          <w:lang w:val="ro-MD"/>
        </w:rPr>
        <w:t xml:space="preserve">, precum și în 1 categorie de populație inactivă - forța de muncă potențială (persoane inactive care caută un loc de muncă, dar nu sunt disponibile să înceapă lucrul </w:t>
      </w:r>
      <w:proofErr w:type="spellStart"/>
      <w:r w:rsidRPr="0018446E">
        <w:rPr>
          <w:rFonts w:ascii="Times New Roman" w:eastAsia="Times New Roman" w:hAnsi="Times New Roman"/>
          <w:lang w:val="ro-MD"/>
        </w:rPr>
        <w:t>şi</w:t>
      </w:r>
      <w:proofErr w:type="spellEnd"/>
      <w:r w:rsidRPr="0018446E">
        <w:rPr>
          <w:rFonts w:ascii="Times New Roman" w:eastAsia="Times New Roman" w:hAnsi="Times New Roman"/>
          <w:lang w:val="ro-MD"/>
        </w:rPr>
        <w:t xml:space="preserve"> persoane inactive care nu caută un loc de muncă, dar sunt disponibile să înceapă lucrul). Un anumit potențial greu de mobilizat, însă, ar exista și în alte 3 categorii de populație inactivă: 1) persoane care îngrijesc de familie (casnice), cu vârsta aptă de muncă; 2) persoane inactive în alte situații decât cele casnice, cu vârsta aptă de muncă; 3) persoane care au un loc de muncă peste hotare sau care intenționează să plece la lucru peste hotare și; 4) persoane ocupate în agricultură. De asemenea, un anumit potențial de mobilizare ar putea în regiunea transnistreană a Republicii Moldova, a străinilor care ar putea migra în căutarea unui loc de muncă, precum și în diaspora moldovenească.</w:t>
      </w:r>
      <w:r w:rsidRPr="0018446E">
        <w:rPr>
          <w:rFonts w:ascii="Times New Roman" w:eastAsia="Times New Roman" w:hAnsi="Times New Roman"/>
          <w:lang w:val="en-US"/>
        </w:rPr>
        <w:t xml:space="preserve"> </w:t>
      </w:r>
    </w:p>
    <w:p w14:paraId="10B2EDA8" w14:textId="77777777" w:rsidR="0018446E" w:rsidRPr="0018446E" w:rsidRDefault="0018446E" w:rsidP="0018446E">
      <w:pPr>
        <w:tabs>
          <w:tab w:val="left" w:pos="246"/>
        </w:tabs>
        <w:spacing w:after="0" w:line="240" w:lineRule="auto"/>
        <w:ind w:left="0"/>
        <w:jc w:val="both"/>
        <w:rPr>
          <w:rFonts w:ascii="Times New Roman" w:eastAsia="Times New Roman" w:hAnsi="Times New Roman"/>
          <w:lang w:val="ro-MD"/>
        </w:rPr>
      </w:pPr>
    </w:p>
    <w:p w14:paraId="3B53EF51" w14:textId="77777777" w:rsidR="0018446E" w:rsidRPr="0018446E" w:rsidRDefault="0018446E" w:rsidP="0018446E">
      <w:pPr>
        <w:tabs>
          <w:tab w:val="left" w:pos="246"/>
        </w:tabs>
        <w:spacing w:after="0" w:line="240" w:lineRule="auto"/>
        <w:ind w:left="0"/>
        <w:jc w:val="both"/>
        <w:rPr>
          <w:rFonts w:ascii="Times New Roman" w:eastAsia="Times New Roman" w:hAnsi="Times New Roman"/>
          <w:b/>
          <w:bCs/>
          <w:i/>
          <w:iCs/>
          <w:sz w:val="20"/>
          <w:szCs w:val="20"/>
        </w:rPr>
      </w:pPr>
      <w:r w:rsidRPr="0018446E">
        <w:rPr>
          <w:rFonts w:ascii="Times New Roman" w:eastAsia="Times New Roman" w:hAnsi="Times New Roman"/>
          <w:lang w:val="ro-MD"/>
        </w:rPr>
        <w:t xml:space="preserve"> </w:t>
      </w:r>
      <w:r w:rsidRPr="0018446E">
        <w:rPr>
          <w:rFonts w:ascii="Times New Roman" w:eastAsia="Times New Roman" w:hAnsi="Times New Roman"/>
          <w:b/>
          <w:bCs/>
          <w:sz w:val="20"/>
          <w:szCs w:val="20"/>
        </w:rPr>
        <w:t xml:space="preserve">Tabel 4.3: </w:t>
      </w:r>
      <w:r w:rsidRPr="0018446E">
        <w:rPr>
          <w:rFonts w:ascii="Times New Roman" w:eastAsia="Times New Roman" w:hAnsi="Times New Roman"/>
          <w:b/>
          <w:bCs/>
          <w:i/>
          <w:iCs/>
          <w:sz w:val="20"/>
          <w:szCs w:val="20"/>
        </w:rPr>
        <w:t xml:space="preserve"> Potențialul de mobilizare al forței de muncă, mii persoane</w:t>
      </w:r>
    </w:p>
    <w:tbl>
      <w:tblPr>
        <w:tblStyle w:val="-660"/>
        <w:tblW w:w="9634" w:type="dxa"/>
        <w:tblLayout w:type="fixed"/>
        <w:tblLook w:val="04A0" w:firstRow="1" w:lastRow="0" w:firstColumn="1" w:lastColumn="0" w:noHBand="0" w:noVBand="1"/>
      </w:tblPr>
      <w:tblGrid>
        <w:gridCol w:w="4400"/>
        <w:gridCol w:w="855"/>
        <w:gridCol w:w="855"/>
        <w:gridCol w:w="855"/>
        <w:gridCol w:w="855"/>
        <w:gridCol w:w="1814"/>
      </w:tblGrid>
      <w:tr w:rsidR="0018446E" w:rsidRPr="0018446E" w14:paraId="5484A545" w14:textId="77777777" w:rsidTr="00B0372F">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400" w:type="dxa"/>
            <w:noWrap/>
            <w:hideMark/>
          </w:tcPr>
          <w:p w14:paraId="1E10D37D" w14:textId="77777777" w:rsidR="0018446E" w:rsidRPr="0018446E" w:rsidRDefault="0018446E" w:rsidP="0018446E">
            <w:pPr>
              <w:spacing w:after="0" w:line="240" w:lineRule="auto"/>
              <w:ind w:left="0"/>
              <w:jc w:val="center"/>
              <w:rPr>
                <w:rFonts w:ascii="Arial" w:eastAsia="Times New Roman" w:hAnsi="Arial" w:cs="Arial"/>
                <w:sz w:val="16"/>
                <w:szCs w:val="16"/>
              </w:rPr>
            </w:pPr>
            <w:r w:rsidRPr="0018446E">
              <w:rPr>
                <w:rFonts w:ascii="Arial" w:eastAsia="Times New Roman" w:hAnsi="Arial" w:cs="Arial"/>
                <w:sz w:val="16"/>
                <w:szCs w:val="16"/>
              </w:rPr>
              <w:t>Categoria</w:t>
            </w:r>
          </w:p>
        </w:tc>
        <w:tc>
          <w:tcPr>
            <w:tcW w:w="855" w:type="dxa"/>
            <w:hideMark/>
          </w:tcPr>
          <w:p w14:paraId="068E2CD1"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2019</w:t>
            </w:r>
          </w:p>
        </w:tc>
        <w:tc>
          <w:tcPr>
            <w:tcW w:w="855" w:type="dxa"/>
            <w:hideMark/>
          </w:tcPr>
          <w:p w14:paraId="175A0F91"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2020</w:t>
            </w:r>
          </w:p>
        </w:tc>
        <w:tc>
          <w:tcPr>
            <w:tcW w:w="855" w:type="dxa"/>
            <w:hideMark/>
          </w:tcPr>
          <w:p w14:paraId="7513E5A5"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2021</w:t>
            </w:r>
          </w:p>
        </w:tc>
        <w:tc>
          <w:tcPr>
            <w:tcW w:w="855" w:type="dxa"/>
            <w:hideMark/>
          </w:tcPr>
          <w:p w14:paraId="175DDF15" w14:textId="77777777" w:rsidR="0018446E" w:rsidRPr="0018446E" w:rsidRDefault="0018446E" w:rsidP="0018446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2022</w:t>
            </w:r>
          </w:p>
        </w:tc>
        <w:tc>
          <w:tcPr>
            <w:tcW w:w="1814" w:type="dxa"/>
            <w:hideMark/>
          </w:tcPr>
          <w:p w14:paraId="0743F117" w14:textId="77777777" w:rsidR="0018446E" w:rsidRPr="0018446E" w:rsidRDefault="0018446E" w:rsidP="0018446E">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18446E">
              <w:rPr>
                <w:rFonts w:ascii="Arial" w:eastAsia="Times New Roman" w:hAnsi="Arial" w:cs="Arial"/>
                <w:sz w:val="16"/>
                <w:szCs w:val="16"/>
              </w:rPr>
              <w:t>Gradul de mobilizare</w:t>
            </w:r>
          </w:p>
        </w:tc>
      </w:tr>
      <w:tr w:rsidR="0018446E" w:rsidRPr="0018446E" w14:paraId="316D50CD" w14:textId="77777777" w:rsidTr="00B0372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7FC51E75"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 xml:space="preserve">Persoane </w:t>
            </w:r>
            <w:proofErr w:type="spellStart"/>
            <w:r w:rsidRPr="0018446E">
              <w:rPr>
                <w:rFonts w:ascii="Arial" w:eastAsia="Times New Roman" w:hAnsi="Arial" w:cs="Arial"/>
                <w:sz w:val="16"/>
                <w:szCs w:val="16"/>
              </w:rPr>
              <w:t>subocupate</w:t>
            </w:r>
            <w:proofErr w:type="spellEnd"/>
          </w:p>
        </w:tc>
        <w:tc>
          <w:tcPr>
            <w:tcW w:w="855" w:type="dxa"/>
            <w:noWrap/>
            <w:hideMark/>
          </w:tcPr>
          <w:p w14:paraId="482E58E7"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34.1</w:t>
            </w:r>
          </w:p>
        </w:tc>
        <w:tc>
          <w:tcPr>
            <w:tcW w:w="855" w:type="dxa"/>
            <w:noWrap/>
            <w:hideMark/>
          </w:tcPr>
          <w:p w14:paraId="35156D10"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41.2</w:t>
            </w:r>
          </w:p>
        </w:tc>
        <w:tc>
          <w:tcPr>
            <w:tcW w:w="855" w:type="dxa"/>
            <w:noWrap/>
            <w:hideMark/>
          </w:tcPr>
          <w:p w14:paraId="1205BBCF"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25.1</w:t>
            </w:r>
          </w:p>
        </w:tc>
        <w:tc>
          <w:tcPr>
            <w:tcW w:w="855" w:type="dxa"/>
            <w:noWrap/>
            <w:hideMark/>
          </w:tcPr>
          <w:p w14:paraId="0102A222"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22.9</w:t>
            </w:r>
          </w:p>
        </w:tc>
        <w:tc>
          <w:tcPr>
            <w:tcW w:w="1814" w:type="dxa"/>
            <w:hideMark/>
          </w:tcPr>
          <w:p w14:paraId="5D12B317" w14:textId="77777777" w:rsidR="0018446E" w:rsidRPr="0018446E" w:rsidRDefault="0018446E" w:rsidP="0018446E">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18446E">
              <w:rPr>
                <w:rFonts w:ascii="Arial" w:eastAsia="Times New Roman" w:hAnsi="Arial" w:cs="Arial"/>
                <w:sz w:val="16"/>
                <w:szCs w:val="16"/>
              </w:rPr>
              <w:t>Relativ ușor</w:t>
            </w:r>
          </w:p>
        </w:tc>
      </w:tr>
      <w:tr w:rsidR="0018446E" w:rsidRPr="0018446E" w14:paraId="6D05A899" w14:textId="77777777" w:rsidTr="00B0372F">
        <w:trPr>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49C18670" w14:textId="77777777" w:rsidR="0018446E" w:rsidRPr="0018446E" w:rsidRDefault="0018446E" w:rsidP="0018446E">
            <w:pPr>
              <w:spacing w:after="0" w:line="240" w:lineRule="auto"/>
              <w:ind w:left="0"/>
              <w:rPr>
                <w:rFonts w:ascii="Arial" w:eastAsia="Times New Roman" w:hAnsi="Arial" w:cs="Arial"/>
                <w:sz w:val="16"/>
                <w:szCs w:val="16"/>
              </w:rPr>
            </w:pPr>
            <w:proofErr w:type="spellStart"/>
            <w:r w:rsidRPr="0018446E">
              <w:rPr>
                <w:rFonts w:ascii="Arial" w:eastAsia="Times New Roman" w:hAnsi="Arial" w:cs="Arial"/>
                <w:sz w:val="16"/>
                <w:szCs w:val="16"/>
              </w:rPr>
              <w:t>Şomeri</w:t>
            </w:r>
            <w:proofErr w:type="spellEnd"/>
            <w:r w:rsidRPr="0018446E">
              <w:rPr>
                <w:rFonts w:ascii="Arial" w:eastAsia="Times New Roman" w:hAnsi="Arial" w:cs="Arial"/>
                <w:sz w:val="16"/>
                <w:szCs w:val="16"/>
              </w:rPr>
              <w:t xml:space="preserve"> BIM</w:t>
            </w:r>
          </w:p>
        </w:tc>
        <w:tc>
          <w:tcPr>
            <w:tcW w:w="855" w:type="dxa"/>
            <w:noWrap/>
            <w:hideMark/>
          </w:tcPr>
          <w:p w14:paraId="204F58D9"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46.9</w:t>
            </w:r>
          </w:p>
        </w:tc>
        <w:tc>
          <w:tcPr>
            <w:tcW w:w="855" w:type="dxa"/>
            <w:noWrap/>
            <w:hideMark/>
          </w:tcPr>
          <w:p w14:paraId="1F102E5D"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33.1</w:t>
            </w:r>
          </w:p>
        </w:tc>
        <w:tc>
          <w:tcPr>
            <w:tcW w:w="855" w:type="dxa"/>
            <w:noWrap/>
            <w:hideMark/>
          </w:tcPr>
          <w:p w14:paraId="4ACF5BBC"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28.2</w:t>
            </w:r>
          </w:p>
        </w:tc>
        <w:tc>
          <w:tcPr>
            <w:tcW w:w="855" w:type="dxa"/>
            <w:noWrap/>
            <w:hideMark/>
          </w:tcPr>
          <w:p w14:paraId="0FFF0CBF"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27.7</w:t>
            </w:r>
          </w:p>
        </w:tc>
        <w:tc>
          <w:tcPr>
            <w:tcW w:w="1814" w:type="dxa"/>
            <w:hideMark/>
          </w:tcPr>
          <w:p w14:paraId="4698BFDF" w14:textId="77777777" w:rsidR="0018446E" w:rsidRPr="0018446E" w:rsidRDefault="0018446E" w:rsidP="0018446E">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18446E">
              <w:rPr>
                <w:rFonts w:ascii="Arial" w:eastAsia="Times New Roman" w:hAnsi="Arial" w:cs="Arial"/>
                <w:sz w:val="16"/>
                <w:szCs w:val="16"/>
              </w:rPr>
              <w:t>Relativ ușor</w:t>
            </w:r>
          </w:p>
        </w:tc>
      </w:tr>
      <w:tr w:rsidR="0018446E" w:rsidRPr="0018446E" w14:paraId="4FD01086" w14:textId="77777777" w:rsidTr="00B0372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0D21E694"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Forța de muncă potențială</w:t>
            </w:r>
          </w:p>
        </w:tc>
        <w:tc>
          <w:tcPr>
            <w:tcW w:w="855" w:type="dxa"/>
            <w:noWrap/>
            <w:hideMark/>
          </w:tcPr>
          <w:p w14:paraId="68976BF1"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16.9</w:t>
            </w:r>
          </w:p>
        </w:tc>
        <w:tc>
          <w:tcPr>
            <w:tcW w:w="855" w:type="dxa"/>
            <w:noWrap/>
            <w:hideMark/>
          </w:tcPr>
          <w:p w14:paraId="1414F4E3"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10.1</w:t>
            </w:r>
          </w:p>
        </w:tc>
        <w:tc>
          <w:tcPr>
            <w:tcW w:w="855" w:type="dxa"/>
            <w:noWrap/>
            <w:hideMark/>
          </w:tcPr>
          <w:p w14:paraId="0303775E"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8.8</w:t>
            </w:r>
          </w:p>
        </w:tc>
        <w:tc>
          <w:tcPr>
            <w:tcW w:w="855" w:type="dxa"/>
            <w:noWrap/>
            <w:hideMark/>
          </w:tcPr>
          <w:p w14:paraId="37070EE4"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9.8</w:t>
            </w:r>
          </w:p>
        </w:tc>
        <w:tc>
          <w:tcPr>
            <w:tcW w:w="1814" w:type="dxa"/>
            <w:hideMark/>
          </w:tcPr>
          <w:p w14:paraId="24D30E15" w14:textId="77777777" w:rsidR="0018446E" w:rsidRPr="0018446E" w:rsidRDefault="0018446E" w:rsidP="0018446E">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18446E">
              <w:rPr>
                <w:rFonts w:ascii="Arial" w:eastAsia="Times New Roman" w:hAnsi="Arial" w:cs="Arial"/>
                <w:sz w:val="16"/>
                <w:szCs w:val="16"/>
              </w:rPr>
              <w:t>Relativ ușor</w:t>
            </w:r>
          </w:p>
        </w:tc>
      </w:tr>
      <w:tr w:rsidR="0018446E" w:rsidRPr="0018446E" w14:paraId="19C7EE59" w14:textId="77777777" w:rsidTr="00B0372F">
        <w:trPr>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7C16B6CC"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 xml:space="preserve">Forța de muncă </w:t>
            </w:r>
            <w:proofErr w:type="spellStart"/>
            <w:r w:rsidRPr="0018446E">
              <w:rPr>
                <w:rFonts w:ascii="Arial" w:eastAsia="Times New Roman" w:hAnsi="Arial" w:cs="Arial"/>
                <w:sz w:val="16"/>
                <w:szCs w:val="16"/>
              </w:rPr>
              <w:t>subutilizată</w:t>
            </w:r>
            <w:proofErr w:type="spellEnd"/>
            <w:r w:rsidRPr="0018446E">
              <w:rPr>
                <w:rFonts w:ascii="Arial" w:eastAsia="Times New Roman" w:hAnsi="Arial" w:cs="Arial"/>
                <w:sz w:val="16"/>
                <w:szCs w:val="16"/>
              </w:rPr>
              <w:t>, total</w:t>
            </w:r>
          </w:p>
        </w:tc>
        <w:tc>
          <w:tcPr>
            <w:tcW w:w="855" w:type="dxa"/>
            <w:noWrap/>
            <w:hideMark/>
          </w:tcPr>
          <w:p w14:paraId="0E6FB350"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97.8</w:t>
            </w:r>
          </w:p>
        </w:tc>
        <w:tc>
          <w:tcPr>
            <w:tcW w:w="855" w:type="dxa"/>
            <w:noWrap/>
            <w:hideMark/>
          </w:tcPr>
          <w:p w14:paraId="6E3EB9A2"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84.4</w:t>
            </w:r>
          </w:p>
        </w:tc>
        <w:tc>
          <w:tcPr>
            <w:tcW w:w="855" w:type="dxa"/>
            <w:noWrap/>
            <w:hideMark/>
          </w:tcPr>
          <w:p w14:paraId="7764772E"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62.1</w:t>
            </w:r>
          </w:p>
        </w:tc>
        <w:tc>
          <w:tcPr>
            <w:tcW w:w="855" w:type="dxa"/>
            <w:noWrap/>
            <w:hideMark/>
          </w:tcPr>
          <w:p w14:paraId="643D1F50"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60.4</w:t>
            </w:r>
          </w:p>
        </w:tc>
        <w:tc>
          <w:tcPr>
            <w:tcW w:w="1814" w:type="dxa"/>
            <w:hideMark/>
          </w:tcPr>
          <w:p w14:paraId="17E726CB" w14:textId="77777777" w:rsidR="0018446E" w:rsidRPr="0018446E" w:rsidRDefault="0018446E" w:rsidP="0018446E">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18446E">
              <w:rPr>
                <w:rFonts w:ascii="Arial" w:eastAsia="Times New Roman" w:hAnsi="Arial" w:cs="Arial"/>
                <w:b/>
                <w:bCs/>
                <w:sz w:val="16"/>
                <w:szCs w:val="16"/>
              </w:rPr>
              <w:t>Relativ ușor</w:t>
            </w:r>
          </w:p>
        </w:tc>
      </w:tr>
      <w:tr w:rsidR="0018446E" w:rsidRPr="0018446E" w14:paraId="29832FB6" w14:textId="77777777" w:rsidTr="00B0372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260F9371"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Persoane care îngrijesc de familie/lucru casnic</w:t>
            </w:r>
          </w:p>
        </w:tc>
        <w:tc>
          <w:tcPr>
            <w:tcW w:w="855" w:type="dxa"/>
            <w:noWrap/>
            <w:hideMark/>
          </w:tcPr>
          <w:p w14:paraId="3E9817FD"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161.7</w:t>
            </w:r>
          </w:p>
        </w:tc>
        <w:tc>
          <w:tcPr>
            <w:tcW w:w="855" w:type="dxa"/>
            <w:noWrap/>
            <w:hideMark/>
          </w:tcPr>
          <w:p w14:paraId="6BDD18C1"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166.7</w:t>
            </w:r>
          </w:p>
        </w:tc>
        <w:tc>
          <w:tcPr>
            <w:tcW w:w="855" w:type="dxa"/>
            <w:noWrap/>
            <w:hideMark/>
          </w:tcPr>
          <w:p w14:paraId="1C0B87C5"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166.5</w:t>
            </w:r>
          </w:p>
        </w:tc>
        <w:tc>
          <w:tcPr>
            <w:tcW w:w="855" w:type="dxa"/>
            <w:noWrap/>
            <w:hideMark/>
          </w:tcPr>
          <w:p w14:paraId="01645A86"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161.8</w:t>
            </w:r>
          </w:p>
        </w:tc>
        <w:tc>
          <w:tcPr>
            <w:tcW w:w="1814" w:type="dxa"/>
            <w:hideMark/>
          </w:tcPr>
          <w:p w14:paraId="01F184E0" w14:textId="77777777" w:rsidR="0018446E" w:rsidRPr="0018446E" w:rsidRDefault="0018446E" w:rsidP="0018446E">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18446E">
              <w:rPr>
                <w:rFonts w:ascii="Arial" w:eastAsia="Times New Roman" w:hAnsi="Arial" w:cs="Arial"/>
                <w:sz w:val="16"/>
                <w:szCs w:val="16"/>
              </w:rPr>
              <w:t>Greu de mobilizat</w:t>
            </w:r>
          </w:p>
        </w:tc>
      </w:tr>
      <w:tr w:rsidR="0018446E" w:rsidRPr="0018446E" w14:paraId="11082869" w14:textId="77777777" w:rsidTr="00B0372F">
        <w:trPr>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28CA3025"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Persoane inactive în alte situații decât cele casnice</w:t>
            </w:r>
          </w:p>
        </w:tc>
        <w:tc>
          <w:tcPr>
            <w:tcW w:w="855" w:type="dxa"/>
            <w:noWrap/>
            <w:hideMark/>
          </w:tcPr>
          <w:p w14:paraId="6FA5D085"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96.7</w:t>
            </w:r>
          </w:p>
        </w:tc>
        <w:tc>
          <w:tcPr>
            <w:tcW w:w="855" w:type="dxa"/>
            <w:noWrap/>
            <w:hideMark/>
          </w:tcPr>
          <w:p w14:paraId="473D750A"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112.2</w:t>
            </w:r>
          </w:p>
        </w:tc>
        <w:tc>
          <w:tcPr>
            <w:tcW w:w="855" w:type="dxa"/>
            <w:noWrap/>
            <w:hideMark/>
          </w:tcPr>
          <w:p w14:paraId="1BBFE677"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113.1</w:t>
            </w:r>
          </w:p>
        </w:tc>
        <w:tc>
          <w:tcPr>
            <w:tcW w:w="855" w:type="dxa"/>
            <w:noWrap/>
            <w:hideMark/>
          </w:tcPr>
          <w:p w14:paraId="2BF910F0"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99.1</w:t>
            </w:r>
          </w:p>
        </w:tc>
        <w:tc>
          <w:tcPr>
            <w:tcW w:w="1814" w:type="dxa"/>
            <w:hideMark/>
          </w:tcPr>
          <w:p w14:paraId="0D0B9963" w14:textId="77777777" w:rsidR="0018446E" w:rsidRPr="0018446E" w:rsidRDefault="0018446E" w:rsidP="0018446E">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18446E">
              <w:rPr>
                <w:rFonts w:ascii="Arial" w:eastAsia="Times New Roman" w:hAnsi="Arial" w:cs="Arial"/>
                <w:sz w:val="16"/>
                <w:szCs w:val="16"/>
              </w:rPr>
              <w:t>Greu de mobilizat</w:t>
            </w:r>
          </w:p>
        </w:tc>
      </w:tr>
      <w:tr w:rsidR="0018446E" w:rsidRPr="0018446E" w14:paraId="0A40517A" w14:textId="77777777" w:rsidTr="00B0372F">
        <w:trPr>
          <w:cnfStyle w:val="000000100000" w:firstRow="0" w:lastRow="0" w:firstColumn="0" w:lastColumn="0" w:oddVBand="0" w:evenVBand="0" w:oddHBand="1" w:evenHBand="0" w:firstRowFirstColumn="0" w:firstRowLastColumn="0" w:lastRowFirstColumn="0" w:lastRowLastColumn="0"/>
          <w:trHeight w:hRule="exact" w:val="361"/>
        </w:trPr>
        <w:tc>
          <w:tcPr>
            <w:cnfStyle w:val="001000000000" w:firstRow="0" w:lastRow="0" w:firstColumn="1" w:lastColumn="0" w:oddVBand="0" w:evenVBand="0" w:oddHBand="0" w:evenHBand="0" w:firstRowFirstColumn="0" w:firstRowLastColumn="0" w:lastRowFirstColumn="0" w:lastRowLastColumn="0"/>
            <w:tcW w:w="4400" w:type="dxa"/>
            <w:hideMark/>
          </w:tcPr>
          <w:p w14:paraId="0102F587"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Persoane care un loc de muncă peste hotare sau care intenționează să plece la lucru peste hotare</w:t>
            </w:r>
          </w:p>
        </w:tc>
        <w:tc>
          <w:tcPr>
            <w:tcW w:w="855" w:type="dxa"/>
            <w:noWrap/>
            <w:hideMark/>
          </w:tcPr>
          <w:p w14:paraId="6991E40D"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140.6</w:t>
            </w:r>
          </w:p>
        </w:tc>
        <w:tc>
          <w:tcPr>
            <w:tcW w:w="855" w:type="dxa"/>
            <w:noWrap/>
            <w:hideMark/>
          </w:tcPr>
          <w:p w14:paraId="1CE6C6C7"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151.1</w:t>
            </w:r>
          </w:p>
        </w:tc>
        <w:tc>
          <w:tcPr>
            <w:tcW w:w="855" w:type="dxa"/>
            <w:noWrap/>
            <w:hideMark/>
          </w:tcPr>
          <w:p w14:paraId="5C648F7E"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129.0</w:t>
            </w:r>
          </w:p>
        </w:tc>
        <w:tc>
          <w:tcPr>
            <w:tcW w:w="855" w:type="dxa"/>
            <w:noWrap/>
            <w:hideMark/>
          </w:tcPr>
          <w:p w14:paraId="18E1AE64"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18446E">
              <w:rPr>
                <w:rFonts w:ascii="Arial" w:eastAsia="Times New Roman" w:hAnsi="Arial" w:cs="Arial"/>
                <w:color w:val="000000"/>
                <w:sz w:val="16"/>
                <w:szCs w:val="16"/>
              </w:rPr>
              <w:t>126.0</w:t>
            </w:r>
          </w:p>
        </w:tc>
        <w:tc>
          <w:tcPr>
            <w:tcW w:w="1814" w:type="dxa"/>
            <w:hideMark/>
          </w:tcPr>
          <w:p w14:paraId="24EBEF19" w14:textId="77777777" w:rsidR="0018446E" w:rsidRPr="0018446E" w:rsidRDefault="0018446E" w:rsidP="0018446E">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18446E">
              <w:rPr>
                <w:rFonts w:ascii="Arial" w:eastAsia="Times New Roman" w:hAnsi="Arial" w:cs="Arial"/>
                <w:sz w:val="16"/>
                <w:szCs w:val="16"/>
              </w:rPr>
              <w:t>Greu de mobilizat</w:t>
            </w:r>
          </w:p>
        </w:tc>
      </w:tr>
      <w:tr w:rsidR="0018446E" w:rsidRPr="0018446E" w14:paraId="53E969E9" w14:textId="77777777" w:rsidTr="00B0372F">
        <w:trPr>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60825C0E"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Forța de muncă inactivă cu potențial de mobilizare, total</w:t>
            </w:r>
          </w:p>
        </w:tc>
        <w:tc>
          <w:tcPr>
            <w:tcW w:w="855" w:type="dxa"/>
            <w:noWrap/>
            <w:hideMark/>
          </w:tcPr>
          <w:p w14:paraId="041281C5"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399.0</w:t>
            </w:r>
          </w:p>
        </w:tc>
        <w:tc>
          <w:tcPr>
            <w:tcW w:w="855" w:type="dxa"/>
            <w:noWrap/>
            <w:hideMark/>
          </w:tcPr>
          <w:p w14:paraId="55091FA2"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430.1</w:t>
            </w:r>
          </w:p>
        </w:tc>
        <w:tc>
          <w:tcPr>
            <w:tcW w:w="855" w:type="dxa"/>
            <w:noWrap/>
            <w:hideMark/>
          </w:tcPr>
          <w:p w14:paraId="5A0F651D"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408.6</w:t>
            </w:r>
          </w:p>
        </w:tc>
        <w:tc>
          <w:tcPr>
            <w:tcW w:w="855" w:type="dxa"/>
            <w:noWrap/>
            <w:hideMark/>
          </w:tcPr>
          <w:p w14:paraId="1BA6EC85" w14:textId="77777777" w:rsidR="0018446E" w:rsidRPr="0018446E" w:rsidRDefault="0018446E" w:rsidP="0018446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387.0</w:t>
            </w:r>
          </w:p>
        </w:tc>
        <w:tc>
          <w:tcPr>
            <w:tcW w:w="1814" w:type="dxa"/>
            <w:hideMark/>
          </w:tcPr>
          <w:p w14:paraId="6DCC5BC4" w14:textId="77777777" w:rsidR="0018446E" w:rsidRPr="0018446E" w:rsidRDefault="0018446E" w:rsidP="0018446E">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r w:rsidRPr="0018446E">
              <w:rPr>
                <w:rFonts w:ascii="Arial" w:eastAsia="Times New Roman" w:hAnsi="Arial" w:cs="Arial"/>
                <w:b/>
                <w:bCs/>
                <w:sz w:val="14"/>
                <w:szCs w:val="14"/>
              </w:rPr>
              <w:t>Greu de mobilizat</w:t>
            </w:r>
          </w:p>
        </w:tc>
      </w:tr>
      <w:tr w:rsidR="0018446E" w:rsidRPr="0018446E" w14:paraId="04908CDC" w14:textId="77777777" w:rsidTr="00B0372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400" w:type="dxa"/>
            <w:hideMark/>
          </w:tcPr>
          <w:p w14:paraId="3C90E54A" w14:textId="77777777" w:rsidR="0018446E" w:rsidRPr="0018446E" w:rsidRDefault="0018446E" w:rsidP="0018446E">
            <w:pPr>
              <w:spacing w:after="0" w:line="240" w:lineRule="auto"/>
              <w:ind w:left="0"/>
              <w:rPr>
                <w:rFonts w:ascii="Arial" w:eastAsia="Times New Roman" w:hAnsi="Arial" w:cs="Arial"/>
                <w:sz w:val="16"/>
                <w:szCs w:val="16"/>
              </w:rPr>
            </w:pPr>
            <w:r w:rsidRPr="0018446E">
              <w:rPr>
                <w:rFonts w:ascii="Arial" w:eastAsia="Times New Roman" w:hAnsi="Arial" w:cs="Arial"/>
                <w:sz w:val="16"/>
                <w:szCs w:val="16"/>
              </w:rPr>
              <w:t xml:space="preserve">Populația ocupată în agricultură, silvicultură </w:t>
            </w:r>
            <w:proofErr w:type="spellStart"/>
            <w:r w:rsidRPr="0018446E">
              <w:rPr>
                <w:rFonts w:ascii="Arial" w:eastAsia="Times New Roman" w:hAnsi="Arial" w:cs="Arial"/>
                <w:sz w:val="16"/>
                <w:szCs w:val="16"/>
              </w:rPr>
              <w:t>şi</w:t>
            </w:r>
            <w:proofErr w:type="spellEnd"/>
            <w:r w:rsidRPr="0018446E">
              <w:rPr>
                <w:rFonts w:ascii="Arial" w:eastAsia="Times New Roman" w:hAnsi="Arial" w:cs="Arial"/>
                <w:sz w:val="16"/>
                <w:szCs w:val="16"/>
              </w:rPr>
              <w:t xml:space="preserve"> pescuit</w:t>
            </w:r>
          </w:p>
        </w:tc>
        <w:tc>
          <w:tcPr>
            <w:tcW w:w="855" w:type="dxa"/>
            <w:noWrap/>
            <w:hideMark/>
          </w:tcPr>
          <w:p w14:paraId="1DB912F7"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182.8</w:t>
            </w:r>
          </w:p>
        </w:tc>
        <w:tc>
          <w:tcPr>
            <w:tcW w:w="855" w:type="dxa"/>
            <w:noWrap/>
            <w:hideMark/>
          </w:tcPr>
          <w:p w14:paraId="6019415B"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175.9</w:t>
            </w:r>
          </w:p>
        </w:tc>
        <w:tc>
          <w:tcPr>
            <w:tcW w:w="855" w:type="dxa"/>
            <w:noWrap/>
            <w:hideMark/>
          </w:tcPr>
          <w:p w14:paraId="43ED1FAB"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181.2</w:t>
            </w:r>
          </w:p>
        </w:tc>
        <w:tc>
          <w:tcPr>
            <w:tcW w:w="855" w:type="dxa"/>
            <w:noWrap/>
            <w:hideMark/>
          </w:tcPr>
          <w:p w14:paraId="7AE4B444" w14:textId="77777777" w:rsidR="0018446E" w:rsidRPr="0018446E" w:rsidRDefault="0018446E" w:rsidP="0018446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18446E">
              <w:rPr>
                <w:rFonts w:ascii="Arial" w:eastAsia="Times New Roman" w:hAnsi="Arial" w:cs="Arial"/>
                <w:b/>
                <w:bCs/>
                <w:color w:val="000000"/>
                <w:sz w:val="16"/>
                <w:szCs w:val="16"/>
              </w:rPr>
              <w:t>179.3</w:t>
            </w:r>
          </w:p>
        </w:tc>
        <w:tc>
          <w:tcPr>
            <w:tcW w:w="1814" w:type="dxa"/>
            <w:hideMark/>
          </w:tcPr>
          <w:p w14:paraId="32E48A0B" w14:textId="77777777" w:rsidR="0018446E" w:rsidRPr="0018446E" w:rsidRDefault="0018446E" w:rsidP="0018446E">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4"/>
                <w:szCs w:val="144"/>
              </w:rPr>
            </w:pPr>
            <w:r w:rsidRPr="0018446E">
              <w:rPr>
                <w:rFonts w:ascii="Arial" w:eastAsia="Times New Roman" w:hAnsi="Arial" w:cs="Arial"/>
                <w:b/>
                <w:bCs/>
                <w:sz w:val="14"/>
                <w:szCs w:val="14"/>
              </w:rPr>
              <w:t>Greu de mobilizat</w:t>
            </w:r>
            <w:r w:rsidRPr="0018446E">
              <w:rPr>
                <w:rFonts w:ascii="Arial" w:eastAsia="Times New Roman" w:hAnsi="Arial" w:cs="Arial"/>
                <w:b/>
                <w:bCs/>
                <w:sz w:val="144"/>
                <w:szCs w:val="144"/>
              </w:rPr>
              <w:t xml:space="preserve"> Greu de mobilizat</w:t>
            </w:r>
          </w:p>
        </w:tc>
      </w:tr>
    </w:tbl>
    <w:p w14:paraId="387884A0" w14:textId="77777777" w:rsidR="0018446E" w:rsidRPr="0018446E" w:rsidRDefault="0018446E" w:rsidP="0018446E">
      <w:pPr>
        <w:tabs>
          <w:tab w:val="left" w:pos="246"/>
        </w:tabs>
        <w:spacing w:line="240" w:lineRule="auto"/>
        <w:ind w:left="0"/>
        <w:jc w:val="both"/>
        <w:rPr>
          <w:rFonts w:ascii="Times New Roman" w:hAnsi="Times New Roman"/>
          <w:i/>
          <w:iCs/>
          <w:sz w:val="18"/>
          <w:szCs w:val="18"/>
        </w:rPr>
      </w:pPr>
      <w:r w:rsidRPr="0018446E">
        <w:rPr>
          <w:rFonts w:ascii="Times New Roman" w:eastAsia="Times New Roman" w:hAnsi="Times New Roman"/>
          <w:b/>
          <w:bCs/>
          <w:sz w:val="18"/>
          <w:szCs w:val="18"/>
          <w:lang w:val="ro-MD"/>
        </w:rPr>
        <w:t>Sursa:</w:t>
      </w:r>
      <w:r w:rsidRPr="0018446E">
        <w:rPr>
          <w:rFonts w:ascii="Times New Roman" w:eastAsia="Times New Roman" w:hAnsi="Times New Roman"/>
          <w:sz w:val="18"/>
          <w:szCs w:val="18"/>
          <w:lang w:val="ro-MD"/>
        </w:rPr>
        <w:t xml:space="preserve"> </w:t>
      </w:r>
      <w:r w:rsidRPr="0018446E">
        <w:rPr>
          <w:rFonts w:ascii="Times New Roman" w:hAnsi="Times New Roman"/>
          <w:i/>
          <w:iCs/>
          <w:sz w:val="18"/>
          <w:szCs w:val="18"/>
        </w:rPr>
        <w:t>elaborat conform datelor BNS</w:t>
      </w:r>
    </w:p>
    <w:p w14:paraId="0284CA84" w14:textId="77777777" w:rsidR="0018446E" w:rsidRPr="0018446E" w:rsidRDefault="0018446E" w:rsidP="0018446E">
      <w:pPr>
        <w:tabs>
          <w:tab w:val="left" w:pos="246"/>
        </w:tabs>
        <w:spacing w:after="240" w:line="276" w:lineRule="auto"/>
        <w:ind w:left="0"/>
        <w:jc w:val="both"/>
        <w:rPr>
          <w:rFonts w:ascii="Times New Roman" w:hAnsi="Times New Roman"/>
        </w:rPr>
      </w:pPr>
      <w:r w:rsidRPr="0018446E">
        <w:rPr>
          <w:rFonts w:ascii="Times New Roman" w:eastAsia="Times New Roman" w:hAnsi="Times New Roman"/>
          <w:lang w:val="ro-MD"/>
        </w:rPr>
        <w:t xml:space="preserve">Din analiza potențialului de mobilizare a forței de muncă se vede că rezervele de mobilizare relativ ușoară la scara întregii economii sunt relativ reduse (60,4 mii persoane în 2022). Cea mai mare parte a potențialului de mobilizare se regăsește în categoriile greu de mobilizat, precum și în categoriile de muncitori din afara țării (diaspora și muncitorii străini), cea ce înseamnă că acoperirea deficitului pe piața muncii din contul acestor categorii necesită eforturi sporite și țintite, </w:t>
      </w:r>
      <w:proofErr w:type="spellStart"/>
      <w:r w:rsidRPr="0018446E">
        <w:rPr>
          <w:rFonts w:ascii="Times New Roman" w:eastAsia="Times New Roman" w:hAnsi="Times New Roman"/>
          <w:lang w:val="ro-MD"/>
        </w:rPr>
        <w:t>accentuiază</w:t>
      </w:r>
      <w:proofErr w:type="spellEnd"/>
      <w:r w:rsidRPr="0018446E">
        <w:rPr>
          <w:rFonts w:ascii="Times New Roman" w:eastAsia="Times New Roman" w:hAnsi="Times New Roman"/>
          <w:lang w:val="ro-MD"/>
        </w:rPr>
        <w:t xml:space="preserve"> nevoia unor reforme structurale la nivelul sectoarelor economiei.</w:t>
      </w:r>
      <w:r w:rsidRPr="0018446E">
        <w:rPr>
          <w:rFonts w:ascii="Times New Roman" w:hAnsi="Times New Roman"/>
        </w:rPr>
        <w:t xml:space="preserve"> </w:t>
      </w:r>
    </w:p>
    <w:p w14:paraId="3B59DC01" w14:textId="77777777" w:rsidR="0018446E" w:rsidRPr="0018446E" w:rsidRDefault="0018446E" w:rsidP="0018446E">
      <w:pPr>
        <w:tabs>
          <w:tab w:val="left" w:pos="246"/>
        </w:tabs>
        <w:spacing w:after="240" w:line="276" w:lineRule="auto"/>
        <w:ind w:left="0"/>
        <w:jc w:val="both"/>
        <w:rPr>
          <w:rFonts w:ascii="Times New Roman" w:eastAsia="Times New Roman" w:hAnsi="Times New Roman"/>
        </w:rPr>
      </w:pPr>
      <w:r w:rsidRPr="0018446E">
        <w:rPr>
          <w:rFonts w:ascii="Times New Roman" w:eastAsia="Times New Roman" w:hAnsi="Times New Roman"/>
          <w:lang w:val="ro-MD"/>
        </w:rPr>
        <w:t>Măsurile de intervenție din acest document nu acoperă întregul spectrul de politici care se impun, sunt complementare cu obiectivele altor documente de politici care abordează intervenții structurale pe piața forței de muncă</w:t>
      </w:r>
      <w:r w:rsidRPr="0018446E">
        <w:rPr>
          <w:rFonts w:ascii="Times New Roman" w:eastAsia="Times New Roman" w:hAnsi="Times New Roman"/>
          <w:vertAlign w:val="superscript"/>
          <w:lang w:val="ro-MD"/>
        </w:rPr>
        <w:footnoteReference w:id="23"/>
      </w:r>
      <w:r w:rsidRPr="0018446E">
        <w:rPr>
          <w:rFonts w:ascii="Times New Roman" w:eastAsia="Times New Roman" w:hAnsi="Times New Roman"/>
          <w:lang w:val="ro-MD"/>
        </w:rPr>
        <w:t xml:space="preserve">, respectiv se focusează pe schimbarea calitativă a cererii forței de muncă stimulând sectoare industriale ce pot asigura salarii competitive, precum și pe </w:t>
      </w:r>
      <w:r w:rsidRPr="0018446E">
        <w:rPr>
          <w:rFonts w:ascii="Times New Roman" w:eastAsia="Times New Roman" w:hAnsi="Times New Roman"/>
        </w:rPr>
        <w:t>anumite intervenții care să completeze politicile dedicate și complexe, implicit:</w:t>
      </w:r>
    </w:p>
    <w:p w14:paraId="0159F919" w14:textId="77777777" w:rsidR="0018446E" w:rsidRPr="0018446E" w:rsidRDefault="0018446E" w:rsidP="0018446E">
      <w:pPr>
        <w:tabs>
          <w:tab w:val="left" w:pos="246"/>
        </w:tabs>
        <w:spacing w:line="240"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Îmbunătățirea politicilor și a capacităților pentru un acces mai bun la piața muncii</w:t>
      </w:r>
    </w:p>
    <w:p w14:paraId="73B5D952" w14:textId="77777777" w:rsidR="0018446E" w:rsidRPr="0018446E" w:rsidRDefault="0018446E" w:rsidP="0018446E">
      <w:pPr>
        <w:tabs>
          <w:tab w:val="left" w:pos="246"/>
          <w:tab w:val="left" w:pos="990"/>
        </w:tabs>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lastRenderedPageBreak/>
        <w:t xml:space="preserve">Acțiunile din cadrul acestei măsuri au ca scop o mai mare flexibilitate a pieței muncii, reducerea barierelor birocratice ce însoțesc procesul de angajare/muncă, stimularea angajării anumitor grupuri din categoria forței de muncă </w:t>
      </w:r>
      <w:proofErr w:type="spellStart"/>
      <w:r w:rsidRPr="0018446E">
        <w:rPr>
          <w:rFonts w:ascii="Times New Roman" w:eastAsia="Times New Roman" w:hAnsi="Times New Roman"/>
          <w:lang w:val="ro-MD"/>
        </w:rPr>
        <w:t>subutilizate</w:t>
      </w:r>
      <w:proofErr w:type="spellEnd"/>
      <w:r w:rsidRPr="0018446E">
        <w:rPr>
          <w:rFonts w:ascii="Times New Roman" w:eastAsia="Times New Roman" w:hAnsi="Times New Roman"/>
          <w:lang w:val="ro-MD"/>
        </w:rPr>
        <w:t xml:space="preserve"> și/sau inactive cu potențial de mobilizare, precum și eficientizarea unor mecanisme de stimulare a angajării forței de muncă. Promovarea politicilor educaționale la toate nivelurile în vederea sporirii calității forței de muncă, așa ca  ajustarea continuă a </w:t>
      </w:r>
      <w:proofErr w:type="spellStart"/>
      <w:r w:rsidRPr="0018446E">
        <w:rPr>
          <w:rFonts w:ascii="Times New Roman" w:eastAsia="Times New Roman" w:hAnsi="Times New Roman"/>
          <w:lang w:val="ro-MD"/>
        </w:rPr>
        <w:t>curiculei</w:t>
      </w:r>
      <w:proofErr w:type="spellEnd"/>
      <w:r w:rsidRPr="0018446E">
        <w:rPr>
          <w:rFonts w:ascii="Times New Roman" w:eastAsia="Times New Roman" w:hAnsi="Times New Roman"/>
          <w:lang w:val="ro-MD"/>
        </w:rPr>
        <w:t xml:space="preserve">, îmbunătățirea procesului de predare în instituții și promovarea cooperării mai strânse cu sectorul real al economiei reprezintă o prioritate a documentelor de politici ale </w:t>
      </w:r>
      <w:proofErr w:type="spellStart"/>
      <w:r w:rsidRPr="0018446E">
        <w:rPr>
          <w:rFonts w:ascii="Times New Roman" w:eastAsia="Times New Roman" w:hAnsi="Times New Roman"/>
          <w:lang w:val="ro-MD"/>
        </w:rPr>
        <w:t>instițuțiilor</w:t>
      </w:r>
      <w:proofErr w:type="spellEnd"/>
      <w:r w:rsidRPr="0018446E">
        <w:rPr>
          <w:rFonts w:ascii="Times New Roman" w:eastAsia="Times New Roman" w:hAnsi="Times New Roman"/>
          <w:lang w:val="ro-MD"/>
        </w:rPr>
        <w:t xml:space="preserve"> de stat din domeniul educației. Acțiunile din documentul de față au menirea să completeze eforturile de politici de mai sus cu măsuri țintite pentru piața muncii și necesitățile sectoarelor prioritare. Totodată, intervenția vizează acțiuni și măsuri care să pună la dispoziția angajatorilor mai multe opțiuni de angajare a lucrătorilor, prin crearea/modificarea cadrului legal necesar angajării cetățenilor străini:</w:t>
      </w:r>
    </w:p>
    <w:p w14:paraId="225F0332" w14:textId="77777777" w:rsidR="0018446E" w:rsidRPr="0018446E" w:rsidRDefault="0018446E" w:rsidP="0018446E">
      <w:pPr>
        <w:numPr>
          <w:ilvl w:val="0"/>
          <w:numId w:val="36"/>
        </w:numPr>
        <w:tabs>
          <w:tab w:val="left" w:pos="246"/>
          <w:tab w:val="left" w:pos="990"/>
        </w:tabs>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Perfecționarea legislației în vederea pregătirii forței de muncă și facilitării accesului la piața muncii.</w:t>
      </w:r>
    </w:p>
    <w:p w14:paraId="320A6377" w14:textId="77777777" w:rsidR="0018446E" w:rsidRPr="0018446E" w:rsidRDefault="0018446E" w:rsidP="0018446E">
      <w:pPr>
        <w:numPr>
          <w:ilvl w:val="0"/>
          <w:numId w:val="36"/>
        </w:numPr>
        <w:tabs>
          <w:tab w:val="left" w:pos="246"/>
          <w:tab w:val="left" w:pos="990"/>
        </w:tabs>
        <w:spacing w:after="0" w:line="276" w:lineRule="auto"/>
        <w:contextualSpacing/>
        <w:jc w:val="both"/>
        <w:rPr>
          <w:rFonts w:ascii="Times New Roman" w:eastAsiaTheme="minorHAnsi" w:hAnsi="Times New Roman"/>
          <w:lang w:val="ro-MD"/>
        </w:rPr>
      </w:pPr>
      <w:r w:rsidRPr="0018446E">
        <w:rPr>
          <w:rFonts w:ascii="Times New Roman" w:eastAsia="Times New Roman" w:hAnsi="Times New Roman"/>
          <w:lang w:val="ro-MD"/>
        </w:rPr>
        <w:t>Accesul etapizat și reglementat a cetățenilor străini la piața muncii din Republica Moldova.</w:t>
      </w:r>
    </w:p>
    <w:p w14:paraId="53969EF3" w14:textId="77777777" w:rsidR="0018446E" w:rsidRPr="0018446E" w:rsidRDefault="0018446E" w:rsidP="0018446E">
      <w:pPr>
        <w:tabs>
          <w:tab w:val="left" w:pos="246"/>
        </w:tabs>
        <w:spacing w:line="240" w:lineRule="auto"/>
        <w:ind w:left="0"/>
        <w:jc w:val="both"/>
        <w:rPr>
          <w:rFonts w:ascii="Times New Roman" w:eastAsia="Times New Roman" w:hAnsi="Times New Roman"/>
          <w:i/>
          <w:iCs/>
          <w:lang w:val="ro-MD"/>
        </w:rPr>
      </w:pPr>
    </w:p>
    <w:p w14:paraId="545CBE7F" w14:textId="77777777" w:rsidR="0018446E" w:rsidRPr="0018446E" w:rsidRDefault="0018446E" w:rsidP="0018446E">
      <w:pPr>
        <w:tabs>
          <w:tab w:val="left" w:pos="246"/>
        </w:tabs>
        <w:spacing w:line="240"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Sporirea calității și relevanței educației și a oportunităților de învățare pe tot parcursul vieții</w:t>
      </w:r>
    </w:p>
    <w:p w14:paraId="0504EF66" w14:textId="77777777" w:rsidR="0018446E" w:rsidRPr="0018446E" w:rsidRDefault="0018446E" w:rsidP="0018446E">
      <w:pPr>
        <w:tabs>
          <w:tab w:val="left" w:pos="246"/>
        </w:tabs>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În cadrul acestui obiectiv, accentul se va pune pe adaptarea dezvoltării competențelor </w:t>
      </w:r>
      <w:r w:rsidRPr="0018446E">
        <w:rPr>
          <w:rFonts w:ascii="Times New Roman" w:eastAsia="Times New Roman" w:hAnsi="Times New Roman"/>
        </w:rPr>
        <w:t xml:space="preserve">și abilităților </w:t>
      </w:r>
      <w:r w:rsidRPr="0018446E">
        <w:rPr>
          <w:rFonts w:ascii="Times New Roman" w:eastAsia="Times New Roman" w:hAnsi="Times New Roman"/>
          <w:lang w:val="ro-MD"/>
        </w:rPr>
        <w:t xml:space="preserve">în cadrul instituțiilor de educație și formare profesională la cererea de pe piața muncii, precum și pe măsurile de facilitare a accesului la piața muncii pentru diverse grupuri de persoane. De asemenea, acțiunile din cadrul acestei măsuri se vor axa, în principal, pe crearea și/sau îmbunătățirea înzestrării tehnice a unor instituții de formare continuă, care să presteze servicii de educație </w:t>
      </w:r>
      <w:proofErr w:type="spellStart"/>
      <w:r w:rsidRPr="0018446E">
        <w:rPr>
          <w:rFonts w:ascii="Times New Roman" w:eastAsia="Times New Roman" w:hAnsi="Times New Roman"/>
          <w:lang w:val="ro-MD"/>
        </w:rPr>
        <w:t>nonformală</w:t>
      </w:r>
      <w:proofErr w:type="spellEnd"/>
      <w:r w:rsidRPr="0018446E">
        <w:rPr>
          <w:rFonts w:ascii="Times New Roman" w:eastAsia="Times New Roman" w:hAnsi="Times New Roman"/>
          <w:lang w:val="ro-MD"/>
        </w:rPr>
        <w:t xml:space="preserve"> (ciclu de 2-3 luni), în strânsă legătură cu mediul de afaceri, pentru a putea răspunde rapid cererii de forță de muncă cu abilitățile necesare în sectoarele-cheie. De asemenea, </w:t>
      </w:r>
      <w:proofErr w:type="spellStart"/>
      <w:r w:rsidRPr="0018446E">
        <w:rPr>
          <w:rFonts w:ascii="Times New Roman" w:eastAsia="Times New Roman" w:hAnsi="Times New Roman"/>
          <w:lang w:val="ro-MD"/>
        </w:rPr>
        <w:t>ccțiunile</w:t>
      </w:r>
      <w:proofErr w:type="spellEnd"/>
      <w:r w:rsidRPr="0018446E">
        <w:rPr>
          <w:rFonts w:ascii="Times New Roman" w:eastAsia="Times New Roman" w:hAnsi="Times New Roman"/>
          <w:lang w:val="ro-MD"/>
        </w:rPr>
        <w:t xml:space="preserve"> din cadrul măsurii respective vor fi îndreptate la identificarea necesităților de înzestrare tehnică a instituțiilor ÎPT din domeniul educației formale, precum și la echiparea lor tehnică corespunzătoare, pentru a apropia cât mai mult procesul educațional din aceste instituții la necesitățile reale ale agenților economici:</w:t>
      </w:r>
    </w:p>
    <w:p w14:paraId="2960C6B1" w14:textId="77777777" w:rsidR="0018446E" w:rsidRPr="0018446E" w:rsidRDefault="0018446E" w:rsidP="0018446E">
      <w:pPr>
        <w:numPr>
          <w:ilvl w:val="0"/>
          <w:numId w:val="35"/>
        </w:numPr>
        <w:tabs>
          <w:tab w:val="left" w:pos="246"/>
        </w:tabs>
        <w:spacing w:after="0" w:line="276" w:lineRule="auto"/>
        <w:jc w:val="both"/>
        <w:rPr>
          <w:rFonts w:ascii="Times New Roman" w:eastAsia="Times New Roman" w:hAnsi="Times New Roman"/>
          <w:lang w:val="ro-MD"/>
        </w:rPr>
      </w:pPr>
      <w:r w:rsidRPr="0018446E">
        <w:rPr>
          <w:rFonts w:ascii="Times New Roman" w:eastAsia="Times New Roman" w:hAnsi="Times New Roman"/>
          <w:lang w:val="ro-MD"/>
        </w:rPr>
        <w:t>Îmbunătățirea infrastructurii de formare continuă și conectarea mai bună a acesteia la necesitățile industriei</w:t>
      </w:r>
    </w:p>
    <w:p w14:paraId="00B33558" w14:textId="77777777" w:rsidR="0018446E" w:rsidRPr="0018446E" w:rsidRDefault="0018446E" w:rsidP="0018446E">
      <w:pPr>
        <w:numPr>
          <w:ilvl w:val="0"/>
          <w:numId w:val="35"/>
        </w:numPr>
        <w:tabs>
          <w:tab w:val="left" w:pos="246"/>
        </w:tabs>
        <w:spacing w:after="0" w:line="276" w:lineRule="auto"/>
        <w:jc w:val="both"/>
        <w:rPr>
          <w:rFonts w:ascii="Times New Roman" w:eastAsia="Times New Roman" w:hAnsi="Times New Roman"/>
          <w:lang w:val="ro-MD"/>
        </w:rPr>
      </w:pPr>
      <w:r w:rsidRPr="0018446E">
        <w:rPr>
          <w:rFonts w:ascii="Times New Roman" w:eastAsia="Times New Roman" w:hAnsi="Times New Roman"/>
          <w:lang w:val="ro-MD"/>
        </w:rPr>
        <w:t>Sporirea calității înzestrării tehnice și a educației în instituțiile de învățământ profesional-tehnic</w:t>
      </w:r>
    </w:p>
    <w:p w14:paraId="7612178E" w14:textId="77777777" w:rsidR="0018446E" w:rsidRPr="0018446E" w:rsidRDefault="0018446E" w:rsidP="0018446E">
      <w:pPr>
        <w:spacing w:after="0" w:line="259" w:lineRule="auto"/>
        <w:ind w:left="0"/>
        <w:jc w:val="both"/>
        <w:rPr>
          <w:rFonts w:ascii="Times New Roman" w:eastAsia="Times New Roman" w:hAnsi="Times New Roman"/>
          <w:lang w:val="ro-MD"/>
        </w:rPr>
      </w:pPr>
    </w:p>
    <w:tbl>
      <w:tblPr>
        <w:tblStyle w:val="-210"/>
        <w:tblW w:w="0" w:type="auto"/>
        <w:tblLook w:val="04A0" w:firstRow="1" w:lastRow="0" w:firstColumn="1" w:lastColumn="0" w:noHBand="0" w:noVBand="1"/>
      </w:tblPr>
      <w:tblGrid>
        <w:gridCol w:w="9345"/>
      </w:tblGrid>
      <w:tr w:rsidR="0018446E" w:rsidRPr="0018446E" w14:paraId="42BA3ABA" w14:textId="77777777" w:rsidTr="00B03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F1E9155" w14:textId="77777777" w:rsidR="0018446E" w:rsidRPr="0018446E" w:rsidRDefault="0018446E" w:rsidP="0018446E">
            <w:pPr>
              <w:spacing w:after="0" w:line="240" w:lineRule="auto"/>
              <w:ind w:left="0"/>
              <w:jc w:val="center"/>
              <w:rPr>
                <w:rFonts w:ascii="Times New Roman" w:eastAsia="Times New Roman" w:hAnsi="Times New Roman"/>
                <w:i/>
                <w:iCs/>
                <w:lang w:val="ro-MD"/>
              </w:rPr>
            </w:pPr>
            <w:r w:rsidRPr="0018446E">
              <w:rPr>
                <w:rFonts w:ascii="Times New Roman" w:eastAsia="Times New Roman" w:hAnsi="Times New Roman"/>
                <w:i/>
                <w:iCs/>
                <w:lang w:val="ro-MD"/>
              </w:rPr>
              <w:t>Obiectivul Specific 3.1. Creșterea inovării și competitivității industriei prelucrătoare</w:t>
            </w:r>
          </w:p>
        </w:tc>
      </w:tr>
    </w:tbl>
    <w:p w14:paraId="7D6BCB08" w14:textId="77777777" w:rsidR="0018446E" w:rsidRPr="0018446E" w:rsidRDefault="0018446E" w:rsidP="0018446E">
      <w:pPr>
        <w:spacing w:after="160" w:line="259" w:lineRule="auto"/>
        <w:ind w:left="0"/>
        <w:jc w:val="center"/>
        <w:rPr>
          <w:rFonts w:ascii="Times New Roman" w:eastAsia="Times New Roman" w:hAnsi="Times New Roman"/>
          <w:i/>
          <w:iCs/>
          <w:lang w:val="ro-MD"/>
        </w:rPr>
      </w:pPr>
    </w:p>
    <w:p w14:paraId="2B58ED77"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b/>
          <w:bCs/>
          <w:i/>
          <w:iCs/>
          <w:lang w:val="ro-MD"/>
        </w:rPr>
        <w:t>Rațiunea intervenției.</w:t>
      </w:r>
      <w:r w:rsidRPr="0018446E">
        <w:rPr>
          <w:rFonts w:ascii="Times New Roman" w:eastAsia="Times New Roman" w:hAnsi="Times New Roman"/>
          <w:lang w:val="ro-MD"/>
        </w:rPr>
        <w:t xml:space="preserve"> Paradigmele endogene introduc în modelele de creștere capitalul uman (</w:t>
      </w:r>
      <w:r w:rsidRPr="0018446E">
        <w:rPr>
          <w:rFonts w:ascii="Times New Roman" w:eastAsia="Times New Roman" w:hAnsi="Times New Roman"/>
          <w:i/>
          <w:iCs/>
          <w:lang w:val="ro-MD"/>
        </w:rPr>
        <w:t>H</w:t>
      </w:r>
      <w:r w:rsidRPr="0018446E">
        <w:rPr>
          <w:rFonts w:ascii="Times New Roman" w:eastAsia="Times New Roman" w:hAnsi="Times New Roman"/>
          <w:lang w:val="ro-MD"/>
        </w:rPr>
        <w:t xml:space="preserve">) și un sector economic separat de cercetare (R&amp;D) unde sunt dezvoltate noile idei și productivitatea totală a factorilor de producție, asumpții teoretice care fac inovarea inteligibilă și, pe cale de </w:t>
      </w:r>
      <w:proofErr w:type="spellStart"/>
      <w:r w:rsidRPr="0018446E">
        <w:rPr>
          <w:rFonts w:ascii="Times New Roman" w:eastAsia="Times New Roman" w:hAnsi="Times New Roman"/>
          <w:lang w:val="ro-MD"/>
        </w:rPr>
        <w:t>consecinșă</w:t>
      </w:r>
      <w:proofErr w:type="spellEnd"/>
      <w:r w:rsidRPr="0018446E">
        <w:rPr>
          <w:rFonts w:ascii="Times New Roman" w:eastAsia="Times New Roman" w:hAnsi="Times New Roman"/>
          <w:lang w:val="ro-MD"/>
        </w:rPr>
        <w:t xml:space="preserve">, justifică politicile de stimulare a inovării. De asemenea, ținta națională pentru </w:t>
      </w:r>
      <w:r w:rsidRPr="0018446E">
        <w:rPr>
          <w:rFonts w:ascii="Times New Roman" w:eastAsia="Times New Roman" w:hAnsi="Times New Roman"/>
          <w:i/>
          <w:iCs/>
          <w:lang w:val="ro-MD"/>
        </w:rPr>
        <w:t>ODD 9.5</w:t>
      </w:r>
      <w:r w:rsidRPr="0018446E">
        <w:rPr>
          <w:rFonts w:ascii="Times New Roman" w:eastAsia="Times New Roman" w:hAnsi="Times New Roman"/>
          <w:lang w:val="ro-MD"/>
        </w:rPr>
        <w:t xml:space="preserve"> presupune – </w:t>
      </w:r>
      <w:r w:rsidRPr="0018446E">
        <w:rPr>
          <w:rFonts w:ascii="Times New Roman" w:eastAsia="Times New Roman" w:hAnsi="Times New Roman"/>
          <w:i/>
          <w:iCs/>
          <w:lang w:val="ro-MD"/>
        </w:rPr>
        <w:t xml:space="preserve">Fortificarea cercetării științifice, modernizarea capacităților tehnologice ale sectoarelor industriale, precum și încurajarea inovațiilor în vederea creșterii competitivității economiei </w:t>
      </w:r>
      <w:proofErr w:type="spellStart"/>
      <w:r w:rsidRPr="0018446E">
        <w:rPr>
          <w:rFonts w:ascii="Times New Roman" w:eastAsia="Times New Roman" w:hAnsi="Times New Roman"/>
          <w:i/>
          <w:iCs/>
          <w:lang w:val="ro-MD"/>
        </w:rPr>
        <w:t>naţionale</w:t>
      </w:r>
      <w:proofErr w:type="spellEnd"/>
      <w:r w:rsidRPr="0018446E">
        <w:rPr>
          <w:rFonts w:ascii="Times New Roman" w:eastAsia="Times New Roman" w:hAnsi="Times New Roman"/>
          <w:i/>
          <w:iCs/>
          <w:lang w:val="ro-MD"/>
        </w:rPr>
        <w:t xml:space="preserve"> și a gradului de bunăstare a </w:t>
      </w:r>
      <w:proofErr w:type="spellStart"/>
      <w:r w:rsidRPr="0018446E">
        <w:rPr>
          <w:rFonts w:ascii="Times New Roman" w:eastAsia="Times New Roman" w:hAnsi="Times New Roman"/>
          <w:i/>
          <w:iCs/>
          <w:lang w:val="ro-MD"/>
        </w:rPr>
        <w:t>populaţiei</w:t>
      </w:r>
      <w:proofErr w:type="spellEnd"/>
      <w:r w:rsidRPr="0018446E">
        <w:rPr>
          <w:rFonts w:ascii="Times New Roman" w:eastAsia="Times New Roman" w:hAnsi="Times New Roman"/>
          <w:i/>
          <w:iCs/>
          <w:lang w:val="ro-MD"/>
        </w:rPr>
        <w:t>.</w:t>
      </w:r>
      <w:r w:rsidRPr="0018446E">
        <w:rPr>
          <w:rFonts w:ascii="Times New Roman" w:eastAsia="Times New Roman" w:hAnsi="Times New Roman"/>
          <w:lang w:val="ro-MD"/>
        </w:rPr>
        <w:t xml:space="preserve"> Parte din acțiunile setate ale Programului facilitează inovarea și productivitatea, după cum ISD înseamnă transfer de inovații tehnologice și manageriale. Intervenția vizează două intervenții strategice:</w:t>
      </w:r>
    </w:p>
    <w:p w14:paraId="0D9AB5F1"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03428B83" w14:textId="77777777" w:rsidR="0018446E" w:rsidRPr="0018446E" w:rsidRDefault="0018446E" w:rsidP="0018446E">
      <w:pPr>
        <w:spacing w:after="0" w:line="276"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Stimularea inovării în sectorul industrial</w:t>
      </w:r>
    </w:p>
    <w:p w14:paraId="2AEED378"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273362E3"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Indicele Global al Competitivității constată că Republica Moldova este pe o poziție peste așteptări în indice (60), raportat la nivelul de dezvoltare, dar unele componente care formează indicele și care sunt definitorii pentru productivitatea sectorului real al economiei, implicit sofisticarea economiei și relația dintre universități și industrie sunt mult sub media generală</w:t>
      </w:r>
      <w:r w:rsidRPr="0018446E">
        <w:rPr>
          <w:rFonts w:ascii="Times New Roman" w:eastAsia="Times New Roman" w:hAnsi="Times New Roman"/>
          <w:vertAlign w:val="superscript"/>
          <w:lang w:val="ro-MD"/>
        </w:rPr>
        <w:footnoteReference w:id="24"/>
      </w:r>
      <w:r w:rsidRPr="0018446E">
        <w:rPr>
          <w:rFonts w:ascii="Times New Roman" w:eastAsia="Times New Roman" w:hAnsi="Times New Roman"/>
          <w:lang w:val="ro-MD"/>
        </w:rPr>
        <w:t xml:space="preserve">. Totodată, proporția valorii adăugate a industriei de tehnologie medie și înaltă în valoarea adăugată totală cunoaște o dinamică pozitivă dar este în continuare nesemnificativă în Republica Moldova. </w:t>
      </w:r>
    </w:p>
    <w:p w14:paraId="79656319"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41979E9B" w14:textId="77777777" w:rsidR="0018446E" w:rsidRPr="0018446E" w:rsidRDefault="0018446E" w:rsidP="0018446E">
      <w:pPr>
        <w:spacing w:after="160" w:line="259" w:lineRule="auto"/>
        <w:ind w:left="0"/>
        <w:jc w:val="both"/>
        <w:rPr>
          <w:rFonts w:ascii="Times New Roman" w:eastAsia="Times New Roman" w:hAnsi="Times New Roman"/>
          <w:b/>
          <w:bCs/>
          <w:sz w:val="20"/>
          <w:szCs w:val="20"/>
          <w:lang w:val="ro-MD"/>
        </w:rPr>
      </w:pPr>
      <w:r w:rsidRPr="0018446E">
        <w:rPr>
          <w:rFonts w:ascii="Times New Roman" w:eastAsia="Times New Roman" w:hAnsi="Times New Roman"/>
          <w:b/>
          <w:bCs/>
          <w:sz w:val="20"/>
          <w:szCs w:val="20"/>
          <w:lang w:val="ro-MD"/>
        </w:rPr>
        <w:t>Figura 4.4. Proporția valorii adăugate a industriei de tehnologie medie și înaltă în valoarea adăugată totală (%).</w:t>
      </w:r>
    </w:p>
    <w:p w14:paraId="70AC8921" w14:textId="77777777" w:rsidR="0018446E" w:rsidRPr="0018446E" w:rsidRDefault="0018446E" w:rsidP="0018446E">
      <w:pPr>
        <w:spacing w:after="160" w:line="259" w:lineRule="auto"/>
        <w:ind w:left="0"/>
        <w:jc w:val="both"/>
        <w:rPr>
          <w:rFonts w:ascii="Times New Roman" w:eastAsia="Times New Roman" w:hAnsi="Times New Roman"/>
          <w:lang w:val="en-US"/>
        </w:rPr>
      </w:pPr>
      <w:r w:rsidRPr="0018446E">
        <w:rPr>
          <w:rFonts w:ascii="Times New Roman" w:eastAsia="Times New Roman" w:hAnsi="Times New Roman"/>
          <w:noProof/>
          <w:lang w:val="en-US"/>
        </w:rPr>
        <w:drawing>
          <wp:inline distT="0" distB="0" distL="0" distR="0" wp14:anchorId="354831F4" wp14:editId="2DB13515">
            <wp:extent cx="6172200" cy="2324100"/>
            <wp:effectExtent l="0" t="0" r="0" b="0"/>
            <wp:docPr id="544" name="Chart 5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61D7111A-F18A-46C4-9117-FED98286F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615BB9D" w14:textId="77777777" w:rsidR="0018446E" w:rsidRPr="0018446E" w:rsidRDefault="0018446E" w:rsidP="0018446E">
      <w:pPr>
        <w:spacing w:after="160" w:line="259" w:lineRule="auto"/>
        <w:ind w:left="0"/>
        <w:rPr>
          <w:rFonts w:ascii="Times New Roman" w:eastAsia="Times New Roman" w:hAnsi="Times New Roman"/>
          <w:i/>
          <w:iCs/>
          <w:lang w:val="ro-MD"/>
        </w:rPr>
      </w:pPr>
      <w:r w:rsidRPr="0018446E">
        <w:rPr>
          <w:rFonts w:ascii="Times New Roman" w:eastAsia="Times New Roman" w:hAnsi="Times New Roman"/>
          <w:i/>
          <w:iCs/>
          <w:lang w:val="ro-MD"/>
        </w:rPr>
        <w:t>Sursa: UNIDO.</w:t>
      </w:r>
    </w:p>
    <w:p w14:paraId="2ACB3CFE" w14:textId="77777777" w:rsidR="0018446E" w:rsidRPr="0018446E" w:rsidRDefault="0018446E" w:rsidP="0018446E">
      <w:pPr>
        <w:spacing w:after="160" w:line="259"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Măsurile vizează </w:t>
      </w:r>
      <w:r w:rsidRPr="0018446E">
        <w:rPr>
          <w:rFonts w:ascii="Times New Roman" w:eastAsia="Times New Roman" w:hAnsi="Times New Roman"/>
          <w:i/>
          <w:iCs/>
          <w:lang w:val="ro-MD"/>
        </w:rPr>
        <w:t>inter alia</w:t>
      </w:r>
      <w:r w:rsidRPr="0018446E">
        <w:rPr>
          <w:rFonts w:ascii="Times New Roman" w:eastAsia="Times New Roman" w:hAnsi="Times New Roman"/>
          <w:lang w:val="ro-MD"/>
        </w:rPr>
        <w:t>:</w:t>
      </w:r>
    </w:p>
    <w:p w14:paraId="51EFB6A3" w14:textId="77777777" w:rsidR="0018446E" w:rsidRPr="0018446E" w:rsidRDefault="0018446E" w:rsidP="0018446E">
      <w:pPr>
        <w:numPr>
          <w:ilvl w:val="0"/>
          <w:numId w:val="37"/>
        </w:numPr>
        <w:spacing w:after="160" w:line="259" w:lineRule="auto"/>
        <w:contextualSpacing/>
        <w:jc w:val="both"/>
        <w:rPr>
          <w:rFonts w:ascii="Times New Roman" w:eastAsia="Times New Roman" w:hAnsi="Times New Roman"/>
          <w:lang w:val="ro-MD"/>
        </w:rPr>
      </w:pPr>
      <w:r w:rsidRPr="0018446E">
        <w:rPr>
          <w:rFonts w:ascii="Times New Roman" w:eastAsia="Times New Roman" w:hAnsi="Times New Roman"/>
          <w:lang w:val="ro-MD"/>
        </w:rPr>
        <w:t>Consolidarea cooperării dintre instituțiile de învățământ și întreprinderi, în special cele cu profil ingineresc-tehnic</w:t>
      </w:r>
    </w:p>
    <w:p w14:paraId="743E674D" w14:textId="77777777" w:rsidR="0018446E" w:rsidRPr="0018446E" w:rsidRDefault="0018446E" w:rsidP="0018446E">
      <w:pPr>
        <w:numPr>
          <w:ilvl w:val="0"/>
          <w:numId w:val="37"/>
        </w:numPr>
        <w:spacing w:after="160" w:line="259" w:lineRule="auto"/>
        <w:contextualSpacing/>
        <w:jc w:val="both"/>
        <w:rPr>
          <w:rFonts w:ascii="Times New Roman" w:eastAsia="Times New Roman" w:hAnsi="Times New Roman"/>
          <w:lang w:val="ro-MD"/>
        </w:rPr>
      </w:pPr>
      <w:r w:rsidRPr="0018446E">
        <w:rPr>
          <w:rFonts w:ascii="Times New Roman" w:eastAsia="Times New Roman" w:hAnsi="Times New Roman"/>
          <w:lang w:val="ro-MD"/>
        </w:rPr>
        <w:t xml:space="preserve">Instituirea Programului de stimulare a cercetării-dezvoltării </w:t>
      </w:r>
      <w:proofErr w:type="spellStart"/>
      <w:r w:rsidRPr="0018446E">
        <w:rPr>
          <w:rFonts w:ascii="Times New Roman" w:eastAsia="Times New Roman" w:hAnsi="Times New Roman"/>
          <w:lang w:val="ro-MD"/>
        </w:rPr>
        <w:t>şi</w:t>
      </w:r>
      <w:proofErr w:type="spellEnd"/>
      <w:r w:rsidRPr="0018446E">
        <w:rPr>
          <w:rFonts w:ascii="Times New Roman" w:eastAsia="Times New Roman" w:hAnsi="Times New Roman"/>
          <w:lang w:val="ro-MD"/>
        </w:rPr>
        <w:t xml:space="preserve"> inovării în rândul întreprinderilor mici </w:t>
      </w:r>
      <w:proofErr w:type="spellStart"/>
      <w:r w:rsidRPr="0018446E">
        <w:rPr>
          <w:rFonts w:ascii="Times New Roman" w:eastAsia="Times New Roman" w:hAnsi="Times New Roman"/>
          <w:lang w:val="ro-MD"/>
        </w:rPr>
        <w:t>şi</w:t>
      </w:r>
      <w:proofErr w:type="spellEnd"/>
      <w:r w:rsidRPr="0018446E">
        <w:rPr>
          <w:rFonts w:ascii="Times New Roman" w:eastAsia="Times New Roman" w:hAnsi="Times New Roman"/>
          <w:lang w:val="ro-MD"/>
        </w:rPr>
        <w:t xml:space="preserve"> mijlocii.</w:t>
      </w:r>
    </w:p>
    <w:p w14:paraId="190DD7E1" w14:textId="77777777" w:rsidR="0018446E" w:rsidRPr="0018446E" w:rsidRDefault="0018446E" w:rsidP="0018446E">
      <w:pPr>
        <w:numPr>
          <w:ilvl w:val="0"/>
          <w:numId w:val="37"/>
        </w:numPr>
        <w:spacing w:after="160" w:line="259" w:lineRule="auto"/>
        <w:contextualSpacing/>
        <w:jc w:val="both"/>
        <w:rPr>
          <w:rFonts w:ascii="Times New Roman" w:eastAsia="Times New Roman" w:hAnsi="Times New Roman"/>
          <w:lang w:val="ro-MD"/>
        </w:rPr>
      </w:pPr>
      <w:r w:rsidRPr="0018446E">
        <w:rPr>
          <w:rFonts w:ascii="Times New Roman" w:eastAsia="Times New Roman" w:hAnsi="Times New Roman"/>
          <w:lang w:val="ro-MD"/>
        </w:rPr>
        <w:t xml:space="preserve">Deducerea cheltuielilor din cercetare-dezvoltare. </w:t>
      </w:r>
    </w:p>
    <w:p w14:paraId="431FA396" w14:textId="77777777" w:rsidR="0018446E" w:rsidRPr="0018446E" w:rsidRDefault="0018446E" w:rsidP="0018446E">
      <w:pPr>
        <w:spacing w:after="0" w:line="240"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Sporirea competitivității companiilor industriei prelucrătoare</w:t>
      </w:r>
    </w:p>
    <w:p w14:paraId="2FD38AF5"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6186AE32"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Testul suprem al competitivității este realizat în piață, în mod special în piața globală, dovadă că pe termen lung nu au reușit politicile de substituire a importurilor, testate inițial în țările latinoamericane și ulterior în multe economii asiatice, dar politicile de stimulare a companiilor competitive pe piețele externe (care livrau bunuri și servicii în piața globală ), implementate în economiile neo-mercantile din Asia de Est</w:t>
      </w:r>
      <w:r w:rsidRPr="0018446E">
        <w:rPr>
          <w:rFonts w:ascii="Times New Roman" w:eastAsia="Times New Roman" w:hAnsi="Times New Roman"/>
          <w:vertAlign w:val="superscript"/>
          <w:lang w:val="ro-MD"/>
        </w:rPr>
        <w:footnoteReference w:id="25"/>
      </w:r>
      <w:r w:rsidRPr="0018446E">
        <w:rPr>
          <w:rFonts w:ascii="Times New Roman" w:eastAsia="Times New Roman" w:hAnsi="Times New Roman"/>
          <w:lang w:val="ro-MD"/>
        </w:rPr>
        <w:t xml:space="preserve">. </w:t>
      </w:r>
    </w:p>
    <w:p w14:paraId="06D5A22A"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4CBACB3F"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Sporirea competitivității companiilor din sectorul industrial presupune intervenții complexe, orizontale și verticale, parte dintre care se regăsesc în cele 3 OG ale Programului. Două direcții strategice în vederea sporirii competitivității sunt considerate în secțiune:</w:t>
      </w:r>
    </w:p>
    <w:p w14:paraId="35140D40" w14:textId="77777777" w:rsidR="0018446E" w:rsidRPr="0018446E" w:rsidRDefault="0018446E" w:rsidP="0018446E">
      <w:pPr>
        <w:numPr>
          <w:ilvl w:val="0"/>
          <w:numId w:val="32"/>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 xml:space="preserve">Dezvoltarea unui program de suport a exporturilor pentru IMM-uri și stimularea internaționalizării. </w:t>
      </w:r>
    </w:p>
    <w:p w14:paraId="5D4D102A" w14:textId="77777777" w:rsidR="0018446E" w:rsidRPr="0018446E" w:rsidRDefault="0018446E" w:rsidP="0018446E">
      <w:pPr>
        <w:numPr>
          <w:ilvl w:val="0"/>
          <w:numId w:val="32"/>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lastRenderedPageBreak/>
        <w:t xml:space="preserve">Reducerea costurilor </w:t>
      </w:r>
      <w:r w:rsidRPr="0018446E">
        <w:rPr>
          <w:rFonts w:ascii="Times New Roman" w:eastAsia="Times New Roman" w:hAnsi="Times New Roman"/>
          <w:i/>
          <w:iCs/>
          <w:lang w:val="ro-MD"/>
        </w:rPr>
        <w:t>input</w:t>
      </w:r>
      <w:r w:rsidRPr="0018446E">
        <w:rPr>
          <w:rFonts w:ascii="Times New Roman" w:eastAsia="Times New Roman" w:hAnsi="Times New Roman"/>
          <w:lang w:val="ro-MD"/>
        </w:rPr>
        <w:t xml:space="preserve">-urilor de producție. </w:t>
      </w:r>
    </w:p>
    <w:p w14:paraId="7071F2C5" w14:textId="77777777" w:rsidR="0018446E" w:rsidRPr="0018446E" w:rsidRDefault="0018446E" w:rsidP="0018446E">
      <w:pPr>
        <w:numPr>
          <w:ilvl w:val="0"/>
          <w:numId w:val="32"/>
        </w:numPr>
        <w:spacing w:after="0" w:line="276" w:lineRule="auto"/>
        <w:contextualSpacing/>
        <w:jc w:val="both"/>
        <w:rPr>
          <w:rFonts w:ascii="Times New Roman" w:eastAsia="Times New Roman" w:hAnsi="Times New Roman"/>
          <w:lang w:val="ro-MD"/>
        </w:rPr>
      </w:pPr>
      <w:r w:rsidRPr="0018446E">
        <w:rPr>
          <w:rFonts w:ascii="Times New Roman" w:eastAsia="Times New Roman" w:hAnsi="Times New Roman"/>
          <w:lang w:val="ro-MD"/>
        </w:rPr>
        <w:t>Asigurarea concurenței echitabile pe piața internă.</w:t>
      </w:r>
    </w:p>
    <w:p w14:paraId="5E7B75C3" w14:textId="77777777" w:rsidR="0018446E" w:rsidRPr="0018446E" w:rsidRDefault="0018446E" w:rsidP="0018446E">
      <w:pPr>
        <w:spacing w:after="160" w:line="259" w:lineRule="auto"/>
        <w:ind w:left="0"/>
        <w:rPr>
          <w:rFonts w:ascii="Times New Roman" w:eastAsia="Times New Roman" w:hAnsi="Times New Roman"/>
          <w:i/>
          <w:iCs/>
          <w:lang w:val="ro-MD"/>
        </w:rPr>
      </w:pPr>
    </w:p>
    <w:tbl>
      <w:tblPr>
        <w:tblStyle w:val="-210"/>
        <w:tblW w:w="0" w:type="auto"/>
        <w:tblLook w:val="04A0" w:firstRow="1" w:lastRow="0" w:firstColumn="1" w:lastColumn="0" w:noHBand="0" w:noVBand="1"/>
      </w:tblPr>
      <w:tblGrid>
        <w:gridCol w:w="9345"/>
      </w:tblGrid>
      <w:tr w:rsidR="0018446E" w:rsidRPr="0018446E" w14:paraId="5942B6AC" w14:textId="77777777" w:rsidTr="00B03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41619FF8" w14:textId="77777777" w:rsidR="0018446E" w:rsidRPr="0018446E" w:rsidRDefault="0018446E" w:rsidP="0018446E">
            <w:pPr>
              <w:spacing w:after="0" w:line="240" w:lineRule="auto"/>
              <w:ind w:left="0"/>
              <w:jc w:val="center"/>
              <w:rPr>
                <w:rFonts w:ascii="Times New Roman" w:eastAsia="Times New Roman" w:hAnsi="Times New Roman"/>
                <w:i/>
                <w:iCs/>
                <w:lang w:val="ro-MD"/>
              </w:rPr>
            </w:pPr>
            <w:r w:rsidRPr="0018446E">
              <w:rPr>
                <w:rFonts w:ascii="Times New Roman" w:eastAsia="Times New Roman" w:hAnsi="Times New Roman"/>
                <w:i/>
                <w:iCs/>
                <w:lang w:val="ro-MD"/>
              </w:rPr>
              <w:t>Obiectivul Specific 3.2. Facilitarea tranziției la economia verde</w:t>
            </w:r>
          </w:p>
        </w:tc>
      </w:tr>
    </w:tbl>
    <w:p w14:paraId="6F66CC8F" w14:textId="77777777" w:rsidR="0018446E" w:rsidRPr="0018446E" w:rsidRDefault="0018446E" w:rsidP="0018446E">
      <w:pPr>
        <w:spacing w:after="160" w:line="259" w:lineRule="auto"/>
        <w:ind w:left="0"/>
        <w:jc w:val="both"/>
        <w:rPr>
          <w:rFonts w:ascii="Times New Roman" w:eastAsia="Times New Roman" w:hAnsi="Times New Roman"/>
          <w:bCs/>
          <w:lang w:val="ro-MD"/>
        </w:rPr>
      </w:pPr>
    </w:p>
    <w:p w14:paraId="55C26F40" w14:textId="77777777" w:rsidR="0018446E" w:rsidRPr="0018446E" w:rsidRDefault="0018446E" w:rsidP="0018446E">
      <w:pPr>
        <w:spacing w:after="0" w:line="259" w:lineRule="auto"/>
        <w:ind w:left="0"/>
        <w:jc w:val="both"/>
        <w:rPr>
          <w:rFonts w:ascii="Times New Roman" w:eastAsia="Times New Roman" w:hAnsi="Times New Roman"/>
          <w:bCs/>
          <w:lang w:val="ro-MD"/>
        </w:rPr>
      </w:pPr>
      <w:r w:rsidRPr="0018446E">
        <w:rPr>
          <w:rFonts w:ascii="Times New Roman" w:eastAsia="Times New Roman" w:hAnsi="Times New Roman"/>
          <w:b/>
          <w:i/>
          <w:iCs/>
          <w:lang w:val="ro-MD"/>
        </w:rPr>
        <w:t>Rațiunea intervenției.</w:t>
      </w:r>
      <w:r w:rsidRPr="0018446E">
        <w:rPr>
          <w:rFonts w:ascii="Times New Roman" w:eastAsia="Times New Roman" w:hAnsi="Times New Roman"/>
          <w:bCs/>
          <w:lang w:val="ro-MD"/>
        </w:rPr>
        <w:t xml:space="preserve"> Industria 4.0 este o industrie care susține tranziția la economia verde, drept pentru care nu poate fi stimulată dezvoltarea sectorului industrial din Republica Moldova în afara măsurilor de ecologizare a acestuia. ODD 9.4 presupune în Republica Moldova – </w:t>
      </w:r>
      <w:r w:rsidRPr="0018446E">
        <w:rPr>
          <w:rFonts w:ascii="Times New Roman" w:eastAsia="Times New Roman" w:hAnsi="Times New Roman"/>
          <w:i/>
          <w:iCs/>
          <w:lang w:val="ro-MD"/>
        </w:rPr>
        <w:t>Până în 2030, modernizarea infrastructurii și reabilitarea industriilor pentru a deveni durabile, cu eficiență sporită în utilizarea resurselor și adoptare sporită a tehnologiilor și proceselor industriale curate și ecologice, fiind luate măsuri în conformitate cu capacitățile respective.</w:t>
      </w:r>
      <w:r w:rsidRPr="0018446E">
        <w:rPr>
          <w:rFonts w:ascii="Times New Roman" w:eastAsia="Times New Roman" w:hAnsi="Times New Roman"/>
          <w:lang w:val="en-US"/>
        </w:rPr>
        <w:t xml:space="preserve"> </w:t>
      </w:r>
      <w:r w:rsidRPr="0018446E">
        <w:rPr>
          <w:rFonts w:ascii="Times New Roman" w:eastAsia="Times New Roman" w:hAnsi="Times New Roman"/>
          <w:bCs/>
          <w:lang w:val="ro-MD"/>
        </w:rPr>
        <w:t xml:space="preserve">De asemenea, Uniunea Europeană este liderul angajamentelor internaționale cu privire la neutralitatea climatică către mijlocul secolului XXI, drept pentru care angajamentul de integrare europeană a Republicii Moldova presupune și alinierea la politicile UE în materie de protecție a mediului. Planul industrial al Pactului verde al UE, </w:t>
      </w:r>
      <w:r w:rsidRPr="0018446E">
        <w:rPr>
          <w:rFonts w:ascii="Times New Roman" w:eastAsia="Times New Roman" w:hAnsi="Times New Roman"/>
          <w:lang w:val="ro-MD"/>
        </w:rPr>
        <w:t xml:space="preserve">se bazează pe patru piloni, implicit: un mediu de reglementare previzibil și simplificat; un acces mai rapid la o finanțare suficientă; competențe și; un comerț deschis pentru lanțuri de aprovizionare </w:t>
      </w:r>
      <w:proofErr w:type="spellStart"/>
      <w:r w:rsidRPr="0018446E">
        <w:rPr>
          <w:rFonts w:ascii="Times New Roman" w:eastAsia="Times New Roman" w:hAnsi="Times New Roman"/>
          <w:lang w:val="ro-MD"/>
        </w:rPr>
        <w:t>reziliente</w:t>
      </w:r>
      <w:proofErr w:type="spellEnd"/>
      <w:r w:rsidRPr="0018446E">
        <w:rPr>
          <w:rFonts w:ascii="Times New Roman" w:eastAsia="Times New Roman" w:hAnsi="Times New Roman"/>
          <w:vertAlign w:val="superscript"/>
          <w:lang w:val="ro-MD"/>
        </w:rPr>
        <w:footnoteReference w:id="26"/>
      </w:r>
      <w:r w:rsidRPr="0018446E">
        <w:rPr>
          <w:rFonts w:ascii="Times New Roman" w:eastAsia="Times New Roman" w:hAnsi="Times New Roman"/>
          <w:lang w:val="ro-MD"/>
        </w:rPr>
        <w:t>.</w:t>
      </w:r>
    </w:p>
    <w:p w14:paraId="1F32DA45" w14:textId="77777777" w:rsidR="0018446E" w:rsidRPr="0018446E" w:rsidRDefault="0018446E" w:rsidP="0018446E">
      <w:pPr>
        <w:spacing w:after="0" w:line="259" w:lineRule="auto"/>
        <w:ind w:left="0"/>
        <w:jc w:val="both"/>
        <w:rPr>
          <w:rFonts w:ascii="Times New Roman" w:eastAsia="Times New Roman" w:hAnsi="Times New Roman"/>
          <w:bCs/>
          <w:lang w:val="ro-MD"/>
        </w:rPr>
      </w:pPr>
    </w:p>
    <w:p w14:paraId="7CEC51BE" w14:textId="77777777" w:rsidR="0018446E" w:rsidRPr="0018446E" w:rsidRDefault="0018446E" w:rsidP="0018446E">
      <w:pPr>
        <w:spacing w:after="0" w:line="259" w:lineRule="auto"/>
        <w:ind w:left="0"/>
        <w:jc w:val="both"/>
        <w:rPr>
          <w:rFonts w:ascii="Times New Roman" w:eastAsia="Times New Roman" w:hAnsi="Times New Roman"/>
          <w:bCs/>
          <w:lang w:val="ro-MD"/>
        </w:rPr>
      </w:pPr>
      <w:r w:rsidRPr="0018446E">
        <w:rPr>
          <w:rFonts w:ascii="Times New Roman" w:eastAsia="Times New Roman" w:hAnsi="Times New Roman"/>
          <w:bCs/>
          <w:lang w:val="ro-MD"/>
        </w:rPr>
        <w:t>Conform datelor UNIDO, industria moldovenească este în continuare poluantă, deși emisiile de CO2 pe unitatea de valoare adăugată cunosc o descreștere (Figura).</w:t>
      </w:r>
    </w:p>
    <w:p w14:paraId="1108ED92" w14:textId="77777777" w:rsidR="0018446E" w:rsidRPr="0018446E" w:rsidRDefault="0018446E" w:rsidP="0018446E">
      <w:pPr>
        <w:spacing w:after="0" w:line="240" w:lineRule="auto"/>
        <w:ind w:left="0"/>
        <w:rPr>
          <w:rFonts w:ascii="Times New Roman" w:eastAsia="Times New Roman" w:hAnsi="Times New Roman"/>
          <w:b/>
          <w:sz w:val="20"/>
          <w:szCs w:val="20"/>
          <w:lang w:val="ro-MD"/>
        </w:rPr>
      </w:pPr>
    </w:p>
    <w:p w14:paraId="1E8EC425" w14:textId="77777777" w:rsidR="0018446E" w:rsidRPr="0018446E" w:rsidRDefault="0018446E" w:rsidP="0018446E">
      <w:pPr>
        <w:spacing w:after="0" w:line="240" w:lineRule="auto"/>
        <w:ind w:left="0"/>
        <w:rPr>
          <w:rFonts w:ascii="Times New Roman" w:eastAsia="Times New Roman" w:hAnsi="Times New Roman"/>
          <w:b/>
          <w:sz w:val="20"/>
          <w:szCs w:val="20"/>
          <w:lang w:val="ro-MD"/>
        </w:rPr>
      </w:pPr>
      <w:r w:rsidRPr="0018446E">
        <w:rPr>
          <w:rFonts w:ascii="Times New Roman" w:eastAsia="Times New Roman" w:hAnsi="Times New Roman"/>
          <w:b/>
          <w:sz w:val="20"/>
          <w:szCs w:val="20"/>
          <w:lang w:val="ro-MD"/>
        </w:rPr>
        <w:t>Figura 4.5. Emisii de CO2 pe unitatea de valoare adăugată în industria prelucrătoare din Republica Moldova (kg de CO2 per USD).</w:t>
      </w:r>
    </w:p>
    <w:p w14:paraId="66078B91" w14:textId="77777777" w:rsidR="0018446E" w:rsidRPr="0018446E" w:rsidRDefault="0018446E" w:rsidP="0018446E">
      <w:pPr>
        <w:spacing w:after="0" w:line="240" w:lineRule="auto"/>
        <w:ind w:left="0"/>
        <w:jc w:val="both"/>
        <w:rPr>
          <w:rFonts w:ascii="Times New Roman" w:eastAsia="Times New Roman" w:hAnsi="Times New Roman"/>
          <w:bCs/>
          <w:lang w:val="ro-MD"/>
        </w:rPr>
      </w:pPr>
    </w:p>
    <w:p w14:paraId="4A82287F" w14:textId="77777777" w:rsidR="0018446E" w:rsidRPr="0018446E" w:rsidRDefault="0018446E" w:rsidP="0018446E">
      <w:pPr>
        <w:spacing w:after="0" w:line="240" w:lineRule="auto"/>
        <w:ind w:left="0"/>
        <w:jc w:val="both"/>
        <w:rPr>
          <w:rFonts w:ascii="Times New Roman" w:eastAsia="Times New Roman" w:hAnsi="Times New Roman"/>
          <w:bCs/>
          <w:lang w:val="en-US"/>
        </w:rPr>
      </w:pPr>
      <w:r w:rsidRPr="0018446E">
        <w:rPr>
          <w:rFonts w:ascii="Times New Roman" w:eastAsia="Times New Roman" w:hAnsi="Times New Roman"/>
          <w:noProof/>
          <w:lang w:val="en-US"/>
        </w:rPr>
        <w:drawing>
          <wp:inline distT="0" distB="0" distL="0" distR="0" wp14:anchorId="024E3F7F" wp14:editId="0EE6AEF3">
            <wp:extent cx="5989320" cy="2468880"/>
            <wp:effectExtent l="0" t="0" r="11430" b="7620"/>
            <wp:docPr id="545" name="Chart 5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260C24A9-E554-4F54-998A-F4396D94F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E585C69" w14:textId="77777777" w:rsidR="0018446E" w:rsidRPr="0018446E" w:rsidRDefault="0018446E" w:rsidP="0018446E">
      <w:pPr>
        <w:spacing w:after="0" w:line="240" w:lineRule="auto"/>
        <w:ind w:left="0"/>
        <w:jc w:val="both"/>
        <w:rPr>
          <w:rFonts w:ascii="Times New Roman" w:eastAsia="Times New Roman" w:hAnsi="Times New Roman"/>
          <w:bCs/>
          <w:sz w:val="20"/>
          <w:szCs w:val="20"/>
          <w:lang w:val="ro-MD"/>
        </w:rPr>
      </w:pPr>
      <w:r w:rsidRPr="0018446E">
        <w:rPr>
          <w:rFonts w:ascii="Times New Roman" w:eastAsia="Times New Roman" w:hAnsi="Times New Roman"/>
          <w:bCs/>
          <w:i/>
          <w:iCs/>
          <w:sz w:val="20"/>
          <w:szCs w:val="20"/>
          <w:lang w:val="ro-MD"/>
        </w:rPr>
        <w:t>Sursa:</w:t>
      </w:r>
      <w:r w:rsidRPr="0018446E">
        <w:rPr>
          <w:rFonts w:ascii="Times New Roman" w:eastAsia="Times New Roman" w:hAnsi="Times New Roman"/>
          <w:bCs/>
          <w:sz w:val="20"/>
          <w:szCs w:val="20"/>
          <w:lang w:val="ro-MD"/>
        </w:rPr>
        <w:t xml:space="preserve"> UNIDO.</w:t>
      </w:r>
    </w:p>
    <w:p w14:paraId="1EDE24E7" w14:textId="77777777" w:rsidR="0018446E" w:rsidRPr="0018446E" w:rsidRDefault="0018446E" w:rsidP="0018446E">
      <w:pPr>
        <w:spacing w:after="0" w:line="240" w:lineRule="auto"/>
        <w:ind w:left="0"/>
        <w:jc w:val="both"/>
        <w:rPr>
          <w:rFonts w:ascii="Times New Roman" w:eastAsia="Times New Roman" w:hAnsi="Times New Roman"/>
          <w:bCs/>
          <w:lang w:val="en-US"/>
        </w:rPr>
      </w:pPr>
    </w:p>
    <w:p w14:paraId="4B3A7607" w14:textId="77777777" w:rsidR="0018446E" w:rsidRPr="0018446E" w:rsidRDefault="0018446E" w:rsidP="0018446E">
      <w:pPr>
        <w:spacing w:after="0" w:line="276" w:lineRule="auto"/>
        <w:ind w:left="0"/>
        <w:jc w:val="both"/>
        <w:rPr>
          <w:rFonts w:ascii="Times New Roman" w:eastAsia="Times New Roman" w:hAnsi="Times New Roman"/>
          <w:bCs/>
          <w:lang w:val="ro-MD"/>
        </w:rPr>
      </w:pPr>
      <w:r w:rsidRPr="0018446E">
        <w:rPr>
          <w:rFonts w:ascii="Times New Roman" w:eastAsia="Times New Roman" w:hAnsi="Times New Roman"/>
          <w:lang w:val="ro-MD"/>
        </w:rPr>
        <w:t xml:space="preserve">În această ordine de idei, </w:t>
      </w:r>
      <w:r w:rsidRPr="0018446E">
        <w:rPr>
          <w:rFonts w:ascii="Times New Roman" w:eastAsia="Times New Roman" w:hAnsi="Times New Roman"/>
          <w:bCs/>
          <w:lang w:val="ro-MD"/>
        </w:rPr>
        <w:t>Programul conține Direcții strategice și intervenții:</w:t>
      </w:r>
    </w:p>
    <w:p w14:paraId="1CCEC8A8" w14:textId="77777777" w:rsidR="0018446E" w:rsidRPr="0018446E" w:rsidRDefault="0018446E" w:rsidP="0018446E">
      <w:pPr>
        <w:numPr>
          <w:ilvl w:val="0"/>
          <w:numId w:val="38"/>
        </w:numPr>
        <w:spacing w:after="0" w:line="259" w:lineRule="auto"/>
        <w:contextualSpacing/>
        <w:jc w:val="both"/>
        <w:rPr>
          <w:rFonts w:ascii="Times New Roman" w:eastAsia="Times New Roman" w:hAnsi="Times New Roman"/>
          <w:bCs/>
          <w:lang w:val="ro-MD"/>
        </w:rPr>
      </w:pPr>
      <w:r w:rsidRPr="0018446E">
        <w:rPr>
          <w:rFonts w:ascii="Times New Roman" w:eastAsia="Times New Roman" w:hAnsi="Times New Roman"/>
          <w:bCs/>
          <w:lang w:val="ro-MD"/>
        </w:rPr>
        <w:t xml:space="preserve">Evaluarea gradului de poluare a sectorului industrial și a planurilor de „ecologizare” a întreprinderilor.  </w:t>
      </w:r>
    </w:p>
    <w:p w14:paraId="43F48DE7" w14:textId="77777777" w:rsidR="0018446E" w:rsidRPr="0018446E" w:rsidRDefault="0018446E" w:rsidP="0018446E">
      <w:pPr>
        <w:numPr>
          <w:ilvl w:val="0"/>
          <w:numId w:val="38"/>
        </w:numPr>
        <w:spacing w:after="0" w:line="259" w:lineRule="auto"/>
        <w:contextualSpacing/>
        <w:jc w:val="both"/>
        <w:rPr>
          <w:rFonts w:ascii="Times New Roman" w:eastAsia="Times New Roman" w:hAnsi="Times New Roman"/>
          <w:bCs/>
          <w:lang w:val="ro-MD"/>
        </w:rPr>
      </w:pPr>
      <w:r w:rsidRPr="0018446E">
        <w:rPr>
          <w:rFonts w:ascii="Times New Roman" w:eastAsia="Times New Roman" w:hAnsi="Times New Roman"/>
          <w:bCs/>
          <w:lang w:val="ro-MD"/>
        </w:rPr>
        <w:t>Desfășurarea campaniilor de promovare a tranziției la economia verde.</w:t>
      </w:r>
    </w:p>
    <w:p w14:paraId="17F4AB97" w14:textId="77777777" w:rsidR="0018446E" w:rsidRPr="0018446E" w:rsidRDefault="0018446E" w:rsidP="0018446E">
      <w:pPr>
        <w:numPr>
          <w:ilvl w:val="0"/>
          <w:numId w:val="38"/>
        </w:numPr>
        <w:spacing w:after="0" w:line="259" w:lineRule="auto"/>
        <w:contextualSpacing/>
        <w:jc w:val="both"/>
        <w:rPr>
          <w:rFonts w:ascii="Times New Roman" w:eastAsia="Times New Roman" w:hAnsi="Times New Roman"/>
          <w:bCs/>
          <w:lang w:val="ro-MD"/>
        </w:rPr>
      </w:pPr>
      <w:r w:rsidRPr="0018446E">
        <w:rPr>
          <w:rFonts w:ascii="Times New Roman" w:eastAsia="Times New Roman" w:hAnsi="Times New Roman"/>
          <w:bCs/>
          <w:lang w:val="ro-MD"/>
        </w:rPr>
        <w:lastRenderedPageBreak/>
        <w:t>Stimularea proiectelor de economie circulară, implicit în cadrul Eco-Parcurilor Industriale.</w:t>
      </w:r>
    </w:p>
    <w:p w14:paraId="20677D13" w14:textId="77777777" w:rsidR="0018446E" w:rsidRPr="0018446E" w:rsidRDefault="0018446E" w:rsidP="0018446E">
      <w:pPr>
        <w:numPr>
          <w:ilvl w:val="0"/>
          <w:numId w:val="38"/>
        </w:numPr>
        <w:spacing w:after="0" w:line="259" w:lineRule="auto"/>
        <w:contextualSpacing/>
        <w:jc w:val="both"/>
        <w:rPr>
          <w:rFonts w:ascii="Times New Roman" w:eastAsia="Times New Roman" w:hAnsi="Times New Roman"/>
          <w:bCs/>
          <w:lang w:val="ro-MD"/>
        </w:rPr>
      </w:pPr>
      <w:r w:rsidRPr="0018446E">
        <w:rPr>
          <w:rFonts w:ascii="Times New Roman" w:eastAsia="Times New Roman" w:hAnsi="Times New Roman"/>
          <w:bCs/>
          <w:lang w:val="ro-MD"/>
        </w:rPr>
        <w:t xml:space="preserve">Actualizarea Programelor ODA relevante. </w:t>
      </w:r>
    </w:p>
    <w:p w14:paraId="3D3604BD" w14:textId="77777777" w:rsidR="0018446E" w:rsidRPr="0018446E" w:rsidRDefault="0018446E" w:rsidP="0018446E">
      <w:pPr>
        <w:numPr>
          <w:ilvl w:val="0"/>
          <w:numId w:val="38"/>
        </w:numPr>
        <w:spacing w:after="0" w:line="259" w:lineRule="auto"/>
        <w:contextualSpacing/>
        <w:jc w:val="both"/>
        <w:rPr>
          <w:rFonts w:ascii="Times New Roman" w:eastAsia="Times New Roman" w:hAnsi="Times New Roman"/>
          <w:bCs/>
          <w:lang w:val="ro-MD"/>
        </w:rPr>
      </w:pPr>
      <w:r w:rsidRPr="0018446E">
        <w:rPr>
          <w:rFonts w:ascii="Times New Roman" w:eastAsia="Times New Roman" w:hAnsi="Times New Roman"/>
          <w:bCs/>
          <w:lang w:val="ro-MD"/>
        </w:rPr>
        <w:t xml:space="preserve">Stimularea liniilor de creditare verzi în sectorul financiar-bancar. </w:t>
      </w:r>
    </w:p>
    <w:p w14:paraId="5C60A166" w14:textId="77777777" w:rsidR="0018446E" w:rsidRPr="0018446E" w:rsidRDefault="0018446E" w:rsidP="0018446E">
      <w:pPr>
        <w:spacing w:after="0" w:line="259" w:lineRule="auto"/>
        <w:ind w:left="720"/>
        <w:contextualSpacing/>
        <w:jc w:val="both"/>
        <w:rPr>
          <w:rFonts w:ascii="Times New Roman" w:eastAsia="Times New Roman" w:hAnsi="Times New Roman"/>
          <w:bCs/>
          <w:lang w:val="ro-MD"/>
        </w:rPr>
      </w:pPr>
    </w:p>
    <w:p w14:paraId="021C9EA0" w14:textId="77777777" w:rsidR="0018446E" w:rsidRPr="0018446E" w:rsidRDefault="0018446E" w:rsidP="0018446E">
      <w:pPr>
        <w:spacing w:after="0" w:line="240" w:lineRule="auto"/>
        <w:ind w:left="0"/>
        <w:jc w:val="center"/>
        <w:rPr>
          <w:rFonts w:ascii="Times New Roman" w:eastAsia="Times New Roman" w:hAnsi="Times New Roman"/>
          <w:b/>
          <w:iCs/>
          <w:sz w:val="28"/>
          <w:szCs w:val="28"/>
          <w:lang w:val="ro-MD"/>
        </w:rPr>
      </w:pPr>
      <w:bookmarkStart w:id="6" w:name="_Hlk150100931"/>
      <w:r w:rsidRPr="0018446E">
        <w:rPr>
          <w:rFonts w:ascii="Times New Roman" w:eastAsia="Times New Roman" w:hAnsi="Times New Roman"/>
          <w:b/>
          <w:iCs/>
          <w:sz w:val="28"/>
          <w:szCs w:val="28"/>
          <w:lang w:val="ro-MD"/>
        </w:rPr>
        <w:t>V. IMPACTUL IMPLEMENTĂRII PNDI</w:t>
      </w:r>
    </w:p>
    <w:p w14:paraId="1EFE0810" w14:textId="77777777" w:rsidR="0018446E" w:rsidRPr="0018446E" w:rsidRDefault="0018446E" w:rsidP="0018446E">
      <w:pPr>
        <w:keepNext/>
        <w:keepLines/>
        <w:spacing w:after="0" w:line="240" w:lineRule="auto"/>
        <w:ind w:left="0"/>
        <w:outlineLvl w:val="0"/>
        <w:rPr>
          <w:rFonts w:ascii="Times New Roman" w:eastAsia="Times New Roman" w:hAnsi="Times New Roman"/>
          <w:b/>
          <w:bCs/>
          <w:sz w:val="28"/>
          <w:szCs w:val="28"/>
          <w:lang w:val="ro-MD"/>
        </w:rPr>
      </w:pPr>
    </w:p>
    <w:p w14:paraId="1288208A" w14:textId="77777777" w:rsidR="0018446E" w:rsidRPr="0018446E" w:rsidRDefault="0018446E" w:rsidP="0018446E">
      <w:pPr>
        <w:spacing w:after="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Implementarea PNDI și a obiectivelor conexe sunt așteptate să aibă impact asupra sectorului industrial și economiei în ansamblu, precum și asupra fiecărui sector industrial identificat în parte. </w:t>
      </w:r>
    </w:p>
    <w:p w14:paraId="0B5506A2"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57EC26AE" w14:textId="77777777" w:rsidR="0018446E" w:rsidRPr="0018446E" w:rsidRDefault="0018446E" w:rsidP="0018446E">
      <w:pPr>
        <w:spacing w:after="0" w:line="276" w:lineRule="auto"/>
        <w:ind w:left="0"/>
        <w:jc w:val="both"/>
        <w:rPr>
          <w:rFonts w:ascii="Times New Roman" w:eastAsia="Times New Roman" w:hAnsi="Times New Roman"/>
        </w:rPr>
      </w:pPr>
      <w:r w:rsidRPr="0018446E">
        <w:rPr>
          <w:rFonts w:ascii="Times New Roman" w:eastAsia="Times New Roman" w:hAnsi="Times New Roman"/>
          <w:lang w:val="ro-MD"/>
        </w:rPr>
        <w:t xml:space="preserve">Impactul global anticipat al Programului este dezvoltarea unui sector industrial competitiv și aliniat plenitudinar la cerințele proprii Industriei 4.0, </w:t>
      </w:r>
      <w:r w:rsidRPr="0018446E">
        <w:rPr>
          <w:rFonts w:ascii="Times New Roman" w:eastAsia="Times New Roman" w:hAnsi="Times New Roman"/>
        </w:rPr>
        <w:t xml:space="preserve">astfel încât în anul 2028 ponderea industriei prelucrătoare în PIB să crească cu cel puțin 40%, în timp ce volumul producției industriale fabricate să crească cu cel puțin 50%, comparativ cu anul 2023. </w:t>
      </w:r>
    </w:p>
    <w:p w14:paraId="1994B309" w14:textId="77777777" w:rsidR="0018446E" w:rsidRPr="0018446E" w:rsidRDefault="0018446E" w:rsidP="0018446E">
      <w:pPr>
        <w:spacing w:after="0" w:line="276" w:lineRule="auto"/>
        <w:ind w:left="0"/>
        <w:jc w:val="both"/>
        <w:rPr>
          <w:rFonts w:ascii="Times New Roman" w:eastAsia="Times New Roman" w:hAnsi="Times New Roman"/>
        </w:rPr>
      </w:pPr>
    </w:p>
    <w:p w14:paraId="78A5213B" w14:textId="77777777" w:rsidR="0018446E" w:rsidRPr="0018446E" w:rsidRDefault="0018446E" w:rsidP="0018446E">
      <w:pPr>
        <w:spacing w:after="160" w:line="276" w:lineRule="auto"/>
        <w:ind w:left="0"/>
        <w:jc w:val="both"/>
        <w:rPr>
          <w:rFonts w:ascii="Times New Roman" w:eastAsia="Times New Roman" w:hAnsi="Times New Roman"/>
          <w:lang w:val="ro-MD"/>
        </w:rPr>
      </w:pPr>
      <w:r w:rsidRPr="0018446E">
        <w:rPr>
          <w:rFonts w:ascii="Times New Roman" w:eastAsia="Times New Roman" w:hAnsi="Times New Roman"/>
          <w:lang w:val="ro-MD"/>
        </w:rPr>
        <w:t>În această ordine de idei, rezultatele echilibrului general realizat pentru evaluarea ex-ante de impact a schemei de ajutor de stat, denotă un efect macroeconomic pozitiv, deși impactul nu se propagă uniform în industria prelucrătoare. Astfel, implementarea schemei de ajutor de stat conduce la creșterea cererii de bunuri investiționale datorită atragerii resurselor investiționale împrumutate și datorită creșterii economiilor rămase la dispoziția firmelor odată cu acordarea scutirii la impozitare. În rezultatul creșterii cererii de bunuri investiționale, crește nivelul activității în sectoarele care produc asemenea bunuri. Totodată, datele evaluării arată că, deși scutirea fiscală pentru impozitul pe venitul persoanelor juridice duce la scăderea veniturilor bugetare din această sursă, această scădere este mai mult decât compensată de creșterea veniturilor din alte surse. Creștere compensatorie a veniturilor din TVA, tarif vamal la import și contribuții de asigurări obligatorii este determinată de extinderea bazei fiscale antrenată de creșterea accelerată a investițiilor, remunerării muncii, consumului și PIB-ului în ansamblu</w:t>
      </w:r>
      <w:r w:rsidRPr="0018446E">
        <w:rPr>
          <w:rFonts w:ascii="Times New Roman" w:eastAsia="Times New Roman" w:hAnsi="Times New Roman"/>
          <w:vertAlign w:val="superscript"/>
          <w:lang w:val="ro-MD"/>
        </w:rPr>
        <w:footnoteReference w:id="27"/>
      </w:r>
      <w:r w:rsidRPr="0018446E">
        <w:rPr>
          <w:rFonts w:ascii="Times New Roman" w:eastAsia="Times New Roman" w:hAnsi="Times New Roman"/>
          <w:lang w:val="ro-MD"/>
        </w:rPr>
        <w:t>.</w:t>
      </w:r>
    </w:p>
    <w:p w14:paraId="71F8C0C7" w14:textId="77777777" w:rsidR="0018446E" w:rsidRPr="0018446E" w:rsidRDefault="0018446E" w:rsidP="0018446E">
      <w:pPr>
        <w:spacing w:after="0" w:line="276" w:lineRule="auto"/>
        <w:ind w:left="0"/>
        <w:jc w:val="both"/>
        <w:rPr>
          <w:rFonts w:ascii="Times New Roman" w:eastAsia="Times New Roman" w:hAnsi="Times New Roman"/>
        </w:rPr>
      </w:pPr>
      <w:r w:rsidRPr="0018446E">
        <w:rPr>
          <w:rFonts w:ascii="Times New Roman" w:eastAsia="Times New Roman" w:hAnsi="Times New Roman"/>
        </w:rPr>
        <w:t xml:space="preserve">Impactul anticipat pentru sectoarele industriale identificate drept prioritare, care reprezintă cca 80% din industria prelucrătoare a Republicii Moldova, este reprezentat după cum urmează: </w:t>
      </w:r>
    </w:p>
    <w:p w14:paraId="6F08854E" w14:textId="77777777" w:rsidR="0018446E" w:rsidRPr="0018446E" w:rsidRDefault="0018446E" w:rsidP="0018446E">
      <w:pPr>
        <w:numPr>
          <w:ilvl w:val="0"/>
          <w:numId w:val="25"/>
        </w:numPr>
        <w:spacing w:after="0" w:line="276" w:lineRule="auto"/>
        <w:contextualSpacing/>
        <w:jc w:val="both"/>
        <w:rPr>
          <w:rFonts w:ascii="Times New Roman" w:eastAsia="Times New Roman" w:hAnsi="Times New Roman"/>
        </w:rPr>
      </w:pPr>
      <w:r w:rsidRPr="0018446E">
        <w:rPr>
          <w:rFonts w:ascii="Times New Roman" w:eastAsia="Times New Roman" w:hAnsi="Times New Roman"/>
        </w:rPr>
        <w:t>reanimarea tradiției din industria electronică și valorificarea potențialului existent în producerea de hardware și software, a componentelor și dispozitivelor electronice, a contoarelor inteligente, a conductoarelor etc, în vederea creșterii ponderii sectorului în industria autohtonă;</w:t>
      </w:r>
    </w:p>
    <w:p w14:paraId="34EEFAA5" w14:textId="77777777" w:rsidR="0018446E" w:rsidRPr="0018446E" w:rsidRDefault="0018446E" w:rsidP="0018446E">
      <w:pPr>
        <w:numPr>
          <w:ilvl w:val="0"/>
          <w:numId w:val="25"/>
        </w:numPr>
        <w:spacing w:after="0" w:line="276" w:lineRule="auto"/>
        <w:contextualSpacing/>
        <w:jc w:val="both"/>
        <w:rPr>
          <w:rFonts w:ascii="Times New Roman" w:eastAsia="Times New Roman" w:hAnsi="Times New Roman"/>
        </w:rPr>
      </w:pPr>
      <w:r w:rsidRPr="0018446E">
        <w:rPr>
          <w:rFonts w:ascii="Times New Roman" w:eastAsia="Times New Roman" w:hAnsi="Times New Roman"/>
        </w:rPr>
        <w:t xml:space="preserve">creșterea proiectelor investiționale în industria chimică și farmaceutică, implicit creșterea cotei pe piața autohtonă a medicamentelor produse în Republica Moldova; </w:t>
      </w:r>
    </w:p>
    <w:p w14:paraId="4F1268C7" w14:textId="77777777" w:rsidR="0018446E" w:rsidRPr="0018446E" w:rsidRDefault="0018446E" w:rsidP="0018446E">
      <w:pPr>
        <w:numPr>
          <w:ilvl w:val="0"/>
          <w:numId w:val="25"/>
        </w:numPr>
        <w:spacing w:after="0" w:line="276" w:lineRule="auto"/>
        <w:contextualSpacing/>
        <w:jc w:val="both"/>
        <w:rPr>
          <w:rFonts w:ascii="Times New Roman" w:eastAsia="Times New Roman" w:hAnsi="Times New Roman"/>
        </w:rPr>
      </w:pPr>
      <w:r w:rsidRPr="0018446E">
        <w:rPr>
          <w:rFonts w:ascii="Times New Roman" w:eastAsia="Times New Roman" w:hAnsi="Times New Roman"/>
        </w:rPr>
        <w:t xml:space="preserve">atragerea ISD din verigele superioare ale lanțurile valorice globale din industria componentelor auto și, totodată, dezvoltarea furnizorilor locali conectați la companiile multinaționale din domeniu; </w:t>
      </w:r>
    </w:p>
    <w:p w14:paraId="104A7629" w14:textId="77777777" w:rsidR="0018446E" w:rsidRPr="0018446E" w:rsidRDefault="0018446E" w:rsidP="0018446E">
      <w:pPr>
        <w:numPr>
          <w:ilvl w:val="0"/>
          <w:numId w:val="25"/>
        </w:numPr>
        <w:spacing w:after="0" w:line="276" w:lineRule="auto"/>
        <w:contextualSpacing/>
        <w:jc w:val="both"/>
        <w:rPr>
          <w:rFonts w:ascii="Times New Roman" w:eastAsia="Times New Roman" w:hAnsi="Times New Roman"/>
        </w:rPr>
      </w:pPr>
      <w:r w:rsidRPr="0018446E">
        <w:rPr>
          <w:rFonts w:ascii="Times New Roman" w:eastAsia="Times New Roman" w:hAnsi="Times New Roman"/>
        </w:rPr>
        <w:t xml:space="preserve">tranziția etapizată de la producția în regim de perfecționare activă, care reprezintă cca 70% din industria textilă moldovenească, la un sector al industriei ușoare orientat spre dezvoltarea și comercializarea propriilor </w:t>
      </w:r>
      <w:r w:rsidRPr="0018446E">
        <w:rPr>
          <w:rFonts w:ascii="Times New Roman" w:eastAsia="Times New Roman" w:hAnsi="Times New Roman"/>
          <w:i/>
          <w:iCs/>
        </w:rPr>
        <w:t>brand</w:t>
      </w:r>
      <w:r w:rsidRPr="0018446E">
        <w:rPr>
          <w:rFonts w:ascii="Times New Roman" w:eastAsia="Times New Roman" w:hAnsi="Times New Roman"/>
        </w:rPr>
        <w:t xml:space="preserve">-uri; </w:t>
      </w:r>
    </w:p>
    <w:p w14:paraId="13A3AA89" w14:textId="77777777" w:rsidR="0018446E" w:rsidRPr="0018446E" w:rsidRDefault="0018446E" w:rsidP="0018446E">
      <w:pPr>
        <w:numPr>
          <w:ilvl w:val="0"/>
          <w:numId w:val="25"/>
        </w:numPr>
        <w:spacing w:after="0" w:line="276" w:lineRule="auto"/>
        <w:contextualSpacing/>
        <w:jc w:val="both"/>
        <w:rPr>
          <w:rFonts w:ascii="Times New Roman" w:eastAsia="Times New Roman" w:hAnsi="Times New Roman"/>
        </w:rPr>
      </w:pPr>
      <w:r w:rsidRPr="0018446E">
        <w:rPr>
          <w:rFonts w:ascii="Times New Roman" w:eastAsia="Times New Roman" w:hAnsi="Times New Roman"/>
        </w:rPr>
        <w:t xml:space="preserve">dezvoltarea industriei materialelor de construcție, în vederea stimulării construcțiilor – rezidențiale și industriale – și creșterii cotei pe piața internă, precum și dezvoltarea </w:t>
      </w:r>
      <w:r w:rsidRPr="0018446E">
        <w:rPr>
          <w:rFonts w:ascii="Times New Roman" w:eastAsia="Times New Roman" w:hAnsi="Times New Roman"/>
        </w:rPr>
        <w:lastRenderedPageBreak/>
        <w:t xml:space="preserve">capacităților de producție în contextul participării la procesul de reconstrucție postbelică a Ucrainei și; </w:t>
      </w:r>
    </w:p>
    <w:p w14:paraId="08D2009F" w14:textId="77777777" w:rsidR="0018446E" w:rsidRPr="0018446E" w:rsidRDefault="0018446E" w:rsidP="0018446E">
      <w:pPr>
        <w:numPr>
          <w:ilvl w:val="0"/>
          <w:numId w:val="25"/>
        </w:numPr>
        <w:spacing w:after="0" w:line="276" w:lineRule="auto"/>
        <w:contextualSpacing/>
        <w:jc w:val="both"/>
        <w:rPr>
          <w:rFonts w:ascii="Times New Roman" w:eastAsia="Times New Roman" w:hAnsi="Times New Roman"/>
        </w:rPr>
      </w:pPr>
      <w:r w:rsidRPr="0018446E">
        <w:rPr>
          <w:rFonts w:ascii="Times New Roman" w:eastAsia="Times New Roman" w:hAnsi="Times New Roman"/>
        </w:rPr>
        <w:t>dezvoltarea industriei alimentare în vederea asigurării securității alimentare a țării și devenirii unui producător semnificativ pe piața est-europeană.</w:t>
      </w:r>
    </w:p>
    <w:p w14:paraId="7B6E85BC" w14:textId="77777777" w:rsidR="0018446E" w:rsidRPr="0018446E" w:rsidRDefault="0018446E" w:rsidP="0018446E">
      <w:pPr>
        <w:spacing w:after="0" w:line="276" w:lineRule="auto"/>
        <w:ind w:left="0"/>
        <w:jc w:val="both"/>
        <w:rPr>
          <w:rFonts w:ascii="Times New Roman" w:eastAsia="Times New Roman" w:hAnsi="Times New Roman"/>
          <w:lang w:val="ro-MD"/>
        </w:rPr>
      </w:pPr>
    </w:p>
    <w:p w14:paraId="5A0D836B" w14:textId="77777777" w:rsidR="0018446E" w:rsidRPr="0018446E" w:rsidRDefault="0018446E" w:rsidP="0018446E">
      <w:pPr>
        <w:spacing w:after="0" w:line="240" w:lineRule="auto"/>
        <w:ind w:left="0"/>
        <w:jc w:val="both"/>
        <w:rPr>
          <w:rFonts w:ascii="Times New Roman" w:eastAsia="Times New Roman" w:hAnsi="Times New Roman"/>
        </w:rPr>
      </w:pPr>
    </w:p>
    <w:p w14:paraId="53777F1B" w14:textId="77777777" w:rsidR="0018446E" w:rsidRPr="0018446E" w:rsidRDefault="0018446E" w:rsidP="0018446E">
      <w:pPr>
        <w:keepNext/>
        <w:keepLines/>
        <w:spacing w:after="0" w:line="240" w:lineRule="auto"/>
        <w:ind w:left="0"/>
        <w:jc w:val="center"/>
        <w:outlineLvl w:val="0"/>
        <w:rPr>
          <w:rFonts w:ascii="Times New Roman" w:eastAsia="Times New Roman" w:hAnsi="Times New Roman"/>
          <w:b/>
          <w:sz w:val="28"/>
          <w:szCs w:val="28"/>
          <w:lang w:val="ro-MD"/>
        </w:rPr>
      </w:pPr>
      <w:r w:rsidRPr="0018446E">
        <w:rPr>
          <w:rFonts w:ascii="Times New Roman" w:eastAsia="Times New Roman" w:hAnsi="Times New Roman"/>
          <w:b/>
          <w:sz w:val="28"/>
          <w:szCs w:val="28"/>
          <w:lang w:val="ro-MD"/>
        </w:rPr>
        <w:lastRenderedPageBreak/>
        <w:t xml:space="preserve">VI. </w:t>
      </w:r>
      <w:bookmarkStart w:id="7" w:name="_Toc108983350"/>
      <w:r w:rsidRPr="0018446E">
        <w:rPr>
          <w:rFonts w:ascii="Times New Roman" w:eastAsia="Times New Roman" w:hAnsi="Times New Roman"/>
          <w:b/>
          <w:sz w:val="28"/>
          <w:szCs w:val="28"/>
          <w:lang w:val="ro-MD"/>
        </w:rPr>
        <w:t>COSTURI</w:t>
      </w:r>
      <w:bookmarkEnd w:id="7"/>
    </w:p>
    <w:p w14:paraId="2A54037B" w14:textId="77777777" w:rsidR="0018446E" w:rsidRPr="0018446E" w:rsidRDefault="0018446E" w:rsidP="0018446E">
      <w:pPr>
        <w:keepNext/>
        <w:keepLines/>
        <w:spacing w:after="0" w:line="240" w:lineRule="auto"/>
        <w:ind w:left="0" w:firstLine="567"/>
        <w:outlineLvl w:val="0"/>
        <w:rPr>
          <w:rFonts w:ascii="Times New Roman" w:eastAsia="Times New Roman" w:hAnsi="Times New Roman"/>
          <w:b/>
          <w:sz w:val="28"/>
          <w:szCs w:val="28"/>
          <w:lang w:val="ro-MD"/>
        </w:rPr>
      </w:pPr>
    </w:p>
    <w:p w14:paraId="741642E6"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 xml:space="preserve">Resursele financiare, tehnice </w:t>
      </w:r>
      <w:proofErr w:type="spellStart"/>
      <w:r w:rsidRPr="0018446E">
        <w:rPr>
          <w:rFonts w:ascii="Times New Roman" w:eastAsia="Times New Roman" w:hAnsi="Times New Roman"/>
          <w:lang w:val="ro-MD"/>
        </w:rPr>
        <w:t>şi</w:t>
      </w:r>
      <w:proofErr w:type="spellEnd"/>
      <w:r w:rsidRPr="0018446E">
        <w:rPr>
          <w:rFonts w:ascii="Times New Roman" w:eastAsia="Times New Roman" w:hAnsi="Times New Roman"/>
          <w:lang w:val="ro-MD"/>
        </w:rPr>
        <w:t xml:space="preserve"> umane necesare implementării </w:t>
      </w:r>
      <w:r w:rsidRPr="0018446E">
        <w:rPr>
          <w:rFonts w:ascii="Times New Roman" w:eastAsia="Times New Roman" w:hAnsi="Times New Roman"/>
          <w:i/>
          <w:iCs/>
          <w:lang w:val="ro-MD"/>
        </w:rPr>
        <w:t>PNDI,</w:t>
      </w:r>
      <w:r w:rsidRPr="0018446E">
        <w:rPr>
          <w:rFonts w:ascii="Times New Roman" w:eastAsia="Times New Roman" w:hAnsi="Times New Roman"/>
          <w:lang w:val="ro-MD"/>
        </w:rPr>
        <w:t xml:space="preserve"> care sunt estimate </w:t>
      </w:r>
      <w:proofErr w:type="spellStart"/>
      <w:r w:rsidRPr="0018446E">
        <w:rPr>
          <w:rFonts w:ascii="Times New Roman" w:eastAsia="Times New Roman" w:hAnsi="Times New Roman"/>
          <w:lang w:val="ro-MD"/>
        </w:rPr>
        <w:t>şi</w:t>
      </w:r>
      <w:proofErr w:type="spellEnd"/>
      <w:r w:rsidRPr="0018446E">
        <w:rPr>
          <w:rFonts w:ascii="Times New Roman" w:eastAsia="Times New Roman" w:hAnsi="Times New Roman"/>
          <w:lang w:val="ro-MD"/>
        </w:rPr>
        <w:t xml:space="preserve"> detaliate pentru fiecare element al procesului de implementare. În plus, față de costurile directe legate de implementarea, pot exista și alte costuri indirecte, precum costuri administrative și costuri acoperite nemijlocit de către partenerii strategii de dezvoltare. </w:t>
      </w:r>
    </w:p>
    <w:p w14:paraId="15115AC2" w14:textId="77777777" w:rsidR="0018446E" w:rsidRPr="0018446E" w:rsidRDefault="0018446E" w:rsidP="0018446E">
      <w:pPr>
        <w:keepNext/>
        <w:keepLines/>
        <w:spacing w:after="0"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Pentru a implementa obiectivele generale și specifice ale Programului, sunt necesare următoarele resurse financiare și nefinanciare:</w:t>
      </w:r>
    </w:p>
    <w:p w14:paraId="55D378DA" w14:textId="77777777" w:rsidR="0018446E" w:rsidRPr="0018446E" w:rsidRDefault="0018446E" w:rsidP="0018446E">
      <w:pPr>
        <w:keepNext/>
        <w:keepLines/>
        <w:numPr>
          <w:ilvl w:val="0"/>
          <w:numId w:val="22"/>
        </w:numPr>
        <w:spacing w:after="0" w:line="276" w:lineRule="auto"/>
        <w:jc w:val="both"/>
        <w:outlineLvl w:val="0"/>
        <w:rPr>
          <w:rFonts w:ascii="Times New Roman" w:eastAsia="Times New Roman" w:hAnsi="Times New Roman"/>
          <w:lang w:val="ro-MD"/>
        </w:rPr>
      </w:pPr>
      <w:r w:rsidRPr="0018446E">
        <w:rPr>
          <w:rFonts w:ascii="Times New Roman" w:eastAsia="Times New Roman" w:hAnsi="Times New Roman"/>
          <w:lang w:val="ro-MD"/>
        </w:rPr>
        <w:t>Finanțare publică pentru dezvoltarea și implementarea politicilor și programelor de susținere aferente mediului antreprenorial;</w:t>
      </w:r>
    </w:p>
    <w:p w14:paraId="2CD01BC3" w14:textId="77777777" w:rsidR="0018446E" w:rsidRPr="0018446E" w:rsidRDefault="0018446E" w:rsidP="0018446E">
      <w:pPr>
        <w:keepNext/>
        <w:keepLines/>
        <w:numPr>
          <w:ilvl w:val="0"/>
          <w:numId w:val="22"/>
        </w:numPr>
        <w:spacing w:after="0" w:line="276" w:lineRule="auto"/>
        <w:jc w:val="both"/>
        <w:outlineLvl w:val="0"/>
        <w:rPr>
          <w:rFonts w:ascii="Times New Roman" w:eastAsia="Times New Roman" w:hAnsi="Times New Roman"/>
          <w:lang w:val="ro-MD"/>
        </w:rPr>
      </w:pPr>
      <w:r w:rsidRPr="0018446E">
        <w:rPr>
          <w:rFonts w:ascii="Times New Roman" w:eastAsia="Times New Roman" w:hAnsi="Times New Roman"/>
          <w:lang w:val="ro-MD"/>
        </w:rPr>
        <w:t>Resurse umane cu competențe și expertiză în domeniul, precum și capacități instituționale pentru implementarea politicilor și măsurilor aferente mediului de afaceri;</w:t>
      </w:r>
    </w:p>
    <w:p w14:paraId="46C5D624" w14:textId="77777777" w:rsidR="0018446E" w:rsidRPr="0018446E" w:rsidRDefault="0018446E" w:rsidP="0018446E">
      <w:pPr>
        <w:keepNext/>
        <w:keepLines/>
        <w:numPr>
          <w:ilvl w:val="0"/>
          <w:numId w:val="22"/>
        </w:numPr>
        <w:spacing w:after="0" w:line="276" w:lineRule="auto"/>
        <w:ind w:left="714" w:hanging="357"/>
        <w:jc w:val="both"/>
        <w:outlineLvl w:val="0"/>
        <w:rPr>
          <w:rFonts w:ascii="Times New Roman" w:eastAsia="Times New Roman" w:hAnsi="Times New Roman"/>
          <w:lang w:val="ro-MD"/>
        </w:rPr>
      </w:pPr>
      <w:r w:rsidRPr="0018446E">
        <w:rPr>
          <w:rFonts w:ascii="Times New Roman" w:eastAsia="Times New Roman" w:hAnsi="Times New Roman"/>
          <w:lang w:val="ro-MD"/>
        </w:rPr>
        <w:t>Suportul partenerilor strategici de dezvoltare ai Republicii Moldova.</w:t>
      </w:r>
    </w:p>
    <w:tbl>
      <w:tblPr>
        <w:tblStyle w:val="13"/>
        <w:tblW w:w="0" w:type="auto"/>
        <w:tblLook w:val="04A0" w:firstRow="1" w:lastRow="0" w:firstColumn="1" w:lastColumn="0" w:noHBand="0" w:noVBand="1"/>
      </w:tblPr>
      <w:tblGrid>
        <w:gridCol w:w="2871"/>
        <w:gridCol w:w="1924"/>
        <w:gridCol w:w="1608"/>
        <w:gridCol w:w="1077"/>
        <w:gridCol w:w="1077"/>
        <w:gridCol w:w="1072"/>
      </w:tblGrid>
      <w:tr w:rsidR="0018446E" w:rsidRPr="0018446E" w14:paraId="15FD8E1B" w14:textId="77777777" w:rsidTr="00B0372F">
        <w:trPr>
          <w:trHeight w:val="504"/>
        </w:trPr>
        <w:tc>
          <w:tcPr>
            <w:tcW w:w="2871" w:type="dxa"/>
            <w:vMerge w:val="restart"/>
          </w:tcPr>
          <w:p w14:paraId="2EB4F5CD" w14:textId="77777777" w:rsidR="0018446E" w:rsidRPr="0018446E" w:rsidRDefault="0018446E" w:rsidP="0018446E">
            <w:pPr>
              <w:keepNext/>
              <w:keepLines/>
              <w:spacing w:line="276" w:lineRule="auto"/>
              <w:ind w:left="0"/>
              <w:jc w:val="center"/>
              <w:outlineLvl w:val="0"/>
              <w:rPr>
                <w:rFonts w:ascii="Times New Roman" w:eastAsia="Times New Roman" w:hAnsi="Times New Roman"/>
                <w:b/>
                <w:bCs/>
                <w:lang w:val="ro-MD"/>
              </w:rPr>
            </w:pPr>
            <w:r w:rsidRPr="0018446E">
              <w:rPr>
                <w:rFonts w:ascii="Times New Roman" w:eastAsia="Times New Roman" w:hAnsi="Times New Roman"/>
                <w:b/>
                <w:bCs/>
                <w:lang w:val="ro-MD"/>
              </w:rPr>
              <w:lastRenderedPageBreak/>
              <w:t>Obiectiv specific</w:t>
            </w:r>
          </w:p>
        </w:tc>
        <w:tc>
          <w:tcPr>
            <w:tcW w:w="1924" w:type="dxa"/>
            <w:vMerge w:val="restart"/>
          </w:tcPr>
          <w:p w14:paraId="6F468154" w14:textId="77777777" w:rsidR="0018446E" w:rsidRPr="0018446E" w:rsidRDefault="0018446E" w:rsidP="0018446E">
            <w:pPr>
              <w:keepNext/>
              <w:keepLines/>
              <w:spacing w:line="276" w:lineRule="auto"/>
              <w:ind w:left="0"/>
              <w:jc w:val="center"/>
              <w:outlineLvl w:val="0"/>
              <w:rPr>
                <w:rFonts w:ascii="Times New Roman" w:eastAsia="Times New Roman" w:hAnsi="Times New Roman"/>
                <w:b/>
                <w:bCs/>
                <w:lang w:val="ro-MD"/>
              </w:rPr>
            </w:pPr>
            <w:r w:rsidRPr="0018446E">
              <w:rPr>
                <w:rFonts w:ascii="Times New Roman" w:eastAsia="Times New Roman" w:hAnsi="Times New Roman"/>
                <w:b/>
                <w:bCs/>
                <w:lang w:val="ro-MD"/>
              </w:rPr>
              <w:t>Codul Subprogramului bugetar</w:t>
            </w:r>
          </w:p>
        </w:tc>
        <w:tc>
          <w:tcPr>
            <w:tcW w:w="1608" w:type="dxa"/>
            <w:vMerge w:val="restart"/>
          </w:tcPr>
          <w:p w14:paraId="7EDC54C5" w14:textId="77777777" w:rsidR="0018446E" w:rsidRPr="0018446E" w:rsidRDefault="0018446E" w:rsidP="0018446E">
            <w:pPr>
              <w:keepNext/>
              <w:keepLines/>
              <w:spacing w:line="276" w:lineRule="auto"/>
              <w:ind w:left="0"/>
              <w:jc w:val="center"/>
              <w:outlineLvl w:val="0"/>
              <w:rPr>
                <w:rFonts w:ascii="Times New Roman" w:eastAsia="Times New Roman" w:hAnsi="Times New Roman"/>
                <w:b/>
                <w:bCs/>
                <w:lang w:val="ro-MD"/>
              </w:rPr>
            </w:pPr>
            <w:r w:rsidRPr="0018446E">
              <w:rPr>
                <w:rFonts w:ascii="Times New Roman" w:eastAsia="Times New Roman" w:hAnsi="Times New Roman"/>
                <w:b/>
                <w:bCs/>
                <w:lang w:val="ro-MD"/>
              </w:rPr>
              <w:t>Costuri totale, mii lei</w:t>
            </w:r>
          </w:p>
        </w:tc>
        <w:tc>
          <w:tcPr>
            <w:tcW w:w="3226" w:type="dxa"/>
            <w:gridSpan w:val="3"/>
          </w:tcPr>
          <w:p w14:paraId="65AD0113" w14:textId="77777777" w:rsidR="0018446E" w:rsidRPr="0018446E" w:rsidRDefault="0018446E" w:rsidP="0018446E">
            <w:pPr>
              <w:keepNext/>
              <w:keepLines/>
              <w:spacing w:line="276" w:lineRule="auto"/>
              <w:ind w:left="0"/>
              <w:jc w:val="center"/>
              <w:outlineLvl w:val="0"/>
              <w:rPr>
                <w:rFonts w:ascii="Times New Roman" w:eastAsia="Times New Roman" w:hAnsi="Times New Roman"/>
                <w:b/>
                <w:bCs/>
                <w:lang w:val="ro-MD"/>
              </w:rPr>
            </w:pPr>
            <w:r w:rsidRPr="0018446E">
              <w:rPr>
                <w:rFonts w:ascii="Times New Roman" w:eastAsia="Times New Roman" w:hAnsi="Times New Roman"/>
                <w:b/>
                <w:bCs/>
                <w:lang w:val="ro-MD"/>
              </w:rPr>
              <w:t>Costuri pe ani</w:t>
            </w:r>
          </w:p>
          <w:p w14:paraId="390F2B51" w14:textId="77777777" w:rsidR="0018446E" w:rsidRPr="0018446E" w:rsidRDefault="0018446E" w:rsidP="0018446E">
            <w:pPr>
              <w:keepNext/>
              <w:keepLines/>
              <w:spacing w:line="276" w:lineRule="auto"/>
              <w:ind w:left="0"/>
              <w:jc w:val="center"/>
              <w:outlineLvl w:val="0"/>
              <w:rPr>
                <w:rFonts w:ascii="Times New Roman" w:eastAsia="Times New Roman" w:hAnsi="Times New Roman"/>
                <w:b/>
                <w:bCs/>
                <w:lang w:val="ro-MD"/>
              </w:rPr>
            </w:pPr>
          </w:p>
        </w:tc>
      </w:tr>
      <w:tr w:rsidR="0018446E" w:rsidRPr="0018446E" w14:paraId="62F12472" w14:textId="77777777" w:rsidTr="00B0372F">
        <w:trPr>
          <w:trHeight w:val="372"/>
        </w:trPr>
        <w:tc>
          <w:tcPr>
            <w:tcW w:w="2871" w:type="dxa"/>
            <w:vMerge/>
          </w:tcPr>
          <w:p w14:paraId="3B4166D1"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924" w:type="dxa"/>
            <w:vMerge/>
          </w:tcPr>
          <w:p w14:paraId="571244EE"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en-GB"/>
              </w:rPr>
            </w:pPr>
          </w:p>
        </w:tc>
        <w:tc>
          <w:tcPr>
            <w:tcW w:w="1608" w:type="dxa"/>
            <w:vMerge/>
          </w:tcPr>
          <w:p w14:paraId="72EB329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44013D7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2024</w:t>
            </w:r>
          </w:p>
        </w:tc>
        <w:tc>
          <w:tcPr>
            <w:tcW w:w="1077" w:type="dxa"/>
          </w:tcPr>
          <w:p w14:paraId="7EA02AC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2025</w:t>
            </w:r>
          </w:p>
        </w:tc>
        <w:tc>
          <w:tcPr>
            <w:tcW w:w="1072" w:type="dxa"/>
          </w:tcPr>
          <w:p w14:paraId="61966D6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2026</w:t>
            </w:r>
          </w:p>
        </w:tc>
      </w:tr>
      <w:tr w:rsidR="0018446E" w:rsidRPr="0018446E" w14:paraId="7CBCAC29" w14:textId="77777777" w:rsidTr="00B0372F">
        <w:tc>
          <w:tcPr>
            <w:tcW w:w="2871" w:type="dxa"/>
          </w:tcPr>
          <w:p w14:paraId="5810238C" w14:textId="77777777" w:rsidR="0018446E" w:rsidRPr="0018446E" w:rsidRDefault="0018446E" w:rsidP="0018446E">
            <w:pPr>
              <w:keepNext/>
              <w:keepLines/>
              <w:spacing w:line="276" w:lineRule="auto"/>
              <w:ind w:left="0"/>
              <w:jc w:val="both"/>
              <w:outlineLvl w:val="0"/>
              <w:rPr>
                <w:rFonts w:ascii="Times New Roman" w:eastAsia="Times New Roman" w:hAnsi="Times New Roman"/>
                <w:b/>
                <w:bCs/>
                <w:lang w:val="ro-MD"/>
              </w:rPr>
            </w:pPr>
            <w:r w:rsidRPr="0018446E">
              <w:rPr>
                <w:rFonts w:ascii="Times New Roman" w:eastAsia="Times New Roman" w:hAnsi="Times New Roman"/>
                <w:b/>
                <w:bCs/>
                <w:lang w:val="ro-MD"/>
              </w:rPr>
              <w:t>Obiectiv general, total</w:t>
            </w:r>
          </w:p>
        </w:tc>
        <w:tc>
          <w:tcPr>
            <w:tcW w:w="1924" w:type="dxa"/>
          </w:tcPr>
          <w:p w14:paraId="7E308E8B"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27D95EC9"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258706,7</w:t>
            </w:r>
          </w:p>
        </w:tc>
        <w:tc>
          <w:tcPr>
            <w:tcW w:w="1077" w:type="dxa"/>
          </w:tcPr>
          <w:p w14:paraId="59161B43"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89842,5</w:t>
            </w:r>
          </w:p>
        </w:tc>
        <w:tc>
          <w:tcPr>
            <w:tcW w:w="1077" w:type="dxa"/>
          </w:tcPr>
          <w:p w14:paraId="4020B5CD"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82699,2</w:t>
            </w:r>
          </w:p>
        </w:tc>
        <w:tc>
          <w:tcPr>
            <w:tcW w:w="1072" w:type="dxa"/>
          </w:tcPr>
          <w:p w14:paraId="41EB58DB"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86165</w:t>
            </w:r>
          </w:p>
        </w:tc>
      </w:tr>
      <w:tr w:rsidR="0018446E" w:rsidRPr="0018446E" w14:paraId="72073C83" w14:textId="77777777" w:rsidTr="00B0372F">
        <w:tc>
          <w:tcPr>
            <w:tcW w:w="2871" w:type="dxa"/>
          </w:tcPr>
          <w:p w14:paraId="6D25A298" w14:textId="77777777" w:rsidR="0018446E" w:rsidRPr="0018446E" w:rsidRDefault="0018446E" w:rsidP="0018446E">
            <w:pPr>
              <w:keepNext/>
              <w:keepLines/>
              <w:spacing w:line="276" w:lineRule="auto"/>
              <w:ind w:left="0"/>
              <w:jc w:val="both"/>
              <w:outlineLvl w:val="0"/>
              <w:rPr>
                <w:rFonts w:ascii="Times New Roman" w:eastAsia="Times New Roman" w:hAnsi="Times New Roman"/>
                <w:b/>
                <w:bCs/>
                <w:lang w:val="ro-MD"/>
              </w:rPr>
            </w:pPr>
            <w:r w:rsidRPr="0018446E">
              <w:rPr>
                <w:rFonts w:ascii="Times New Roman" w:eastAsia="Times New Roman" w:hAnsi="Times New Roman"/>
                <w:b/>
                <w:bCs/>
                <w:lang w:val="ro-MD"/>
              </w:rPr>
              <w:t>OS 1.1</w:t>
            </w:r>
          </w:p>
        </w:tc>
        <w:tc>
          <w:tcPr>
            <w:tcW w:w="1924" w:type="dxa"/>
          </w:tcPr>
          <w:p w14:paraId="57DB8B3E"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1C79A444"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43385,0</w:t>
            </w:r>
          </w:p>
        </w:tc>
        <w:tc>
          <w:tcPr>
            <w:tcW w:w="1077" w:type="dxa"/>
          </w:tcPr>
          <w:p w14:paraId="019F76E9"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539,6</w:t>
            </w:r>
          </w:p>
        </w:tc>
        <w:tc>
          <w:tcPr>
            <w:tcW w:w="1077" w:type="dxa"/>
          </w:tcPr>
          <w:p w14:paraId="5DA17094"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21430,4</w:t>
            </w:r>
          </w:p>
        </w:tc>
        <w:tc>
          <w:tcPr>
            <w:tcW w:w="1072" w:type="dxa"/>
          </w:tcPr>
          <w:p w14:paraId="1568D6DB"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21415,0</w:t>
            </w:r>
          </w:p>
        </w:tc>
      </w:tr>
      <w:tr w:rsidR="0018446E" w:rsidRPr="0018446E" w14:paraId="34639326" w14:textId="77777777" w:rsidTr="00B0372F">
        <w:tc>
          <w:tcPr>
            <w:tcW w:w="2871" w:type="dxa"/>
          </w:tcPr>
          <w:p w14:paraId="1AA96D32"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bugetul de stat</w:t>
            </w:r>
          </w:p>
        </w:tc>
        <w:tc>
          <w:tcPr>
            <w:tcW w:w="1924" w:type="dxa"/>
          </w:tcPr>
          <w:p w14:paraId="70CED786"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5001</w:t>
            </w:r>
          </w:p>
        </w:tc>
        <w:tc>
          <w:tcPr>
            <w:tcW w:w="1608" w:type="dxa"/>
          </w:tcPr>
          <w:p w14:paraId="4A2F3101"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2785,0</w:t>
            </w:r>
          </w:p>
        </w:tc>
        <w:tc>
          <w:tcPr>
            <w:tcW w:w="1077" w:type="dxa"/>
          </w:tcPr>
          <w:p w14:paraId="0F77E0FD"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3396,0</w:t>
            </w:r>
          </w:p>
        </w:tc>
        <w:tc>
          <w:tcPr>
            <w:tcW w:w="1077" w:type="dxa"/>
          </w:tcPr>
          <w:p w14:paraId="04FEF36D"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1230,4</w:t>
            </w:r>
          </w:p>
        </w:tc>
        <w:tc>
          <w:tcPr>
            <w:tcW w:w="1072" w:type="dxa"/>
          </w:tcPr>
          <w:p w14:paraId="43CD41D6"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1215,0</w:t>
            </w:r>
          </w:p>
        </w:tc>
      </w:tr>
      <w:tr w:rsidR="0018446E" w:rsidRPr="0018446E" w14:paraId="4002DC8F" w14:textId="77777777" w:rsidTr="00B0372F">
        <w:tc>
          <w:tcPr>
            <w:tcW w:w="2871" w:type="dxa"/>
          </w:tcPr>
          <w:p w14:paraId="6B10DB90"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asistență externă</w:t>
            </w:r>
          </w:p>
        </w:tc>
        <w:tc>
          <w:tcPr>
            <w:tcW w:w="1924" w:type="dxa"/>
          </w:tcPr>
          <w:p w14:paraId="00C41D73"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7EAA7B3F"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40000,0</w:t>
            </w:r>
          </w:p>
        </w:tc>
        <w:tc>
          <w:tcPr>
            <w:tcW w:w="1077" w:type="dxa"/>
          </w:tcPr>
          <w:p w14:paraId="6D47221C"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p>
        </w:tc>
        <w:tc>
          <w:tcPr>
            <w:tcW w:w="1077" w:type="dxa"/>
          </w:tcPr>
          <w:p w14:paraId="5CF48C13"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20000,0</w:t>
            </w:r>
          </w:p>
        </w:tc>
        <w:tc>
          <w:tcPr>
            <w:tcW w:w="1072" w:type="dxa"/>
          </w:tcPr>
          <w:p w14:paraId="2CAE9124"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20000,0</w:t>
            </w:r>
          </w:p>
        </w:tc>
      </w:tr>
      <w:tr w:rsidR="0018446E" w:rsidRPr="0018446E" w14:paraId="7DED9372" w14:textId="77777777" w:rsidTr="00B0372F">
        <w:tc>
          <w:tcPr>
            <w:tcW w:w="2871" w:type="dxa"/>
          </w:tcPr>
          <w:p w14:paraId="48D4228E"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neacoperite</w:t>
            </w:r>
          </w:p>
        </w:tc>
        <w:tc>
          <w:tcPr>
            <w:tcW w:w="1924" w:type="dxa"/>
          </w:tcPr>
          <w:p w14:paraId="0D3E7BCE"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312035A0"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600,0</w:t>
            </w:r>
          </w:p>
        </w:tc>
        <w:tc>
          <w:tcPr>
            <w:tcW w:w="1077" w:type="dxa"/>
          </w:tcPr>
          <w:p w14:paraId="3BB5FFE9"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200,0</w:t>
            </w:r>
          </w:p>
        </w:tc>
        <w:tc>
          <w:tcPr>
            <w:tcW w:w="1077" w:type="dxa"/>
          </w:tcPr>
          <w:p w14:paraId="50275DBE"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200,0</w:t>
            </w:r>
          </w:p>
        </w:tc>
        <w:tc>
          <w:tcPr>
            <w:tcW w:w="1072" w:type="dxa"/>
          </w:tcPr>
          <w:p w14:paraId="11442289"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200,0</w:t>
            </w:r>
          </w:p>
        </w:tc>
      </w:tr>
      <w:tr w:rsidR="0018446E" w:rsidRPr="0018446E" w14:paraId="3D502C3C" w14:textId="77777777" w:rsidTr="00B0372F">
        <w:tc>
          <w:tcPr>
            <w:tcW w:w="2871" w:type="dxa"/>
          </w:tcPr>
          <w:p w14:paraId="1E3E66AA" w14:textId="77777777" w:rsidR="0018446E" w:rsidRPr="0018446E" w:rsidRDefault="0018446E" w:rsidP="0018446E">
            <w:pPr>
              <w:keepNext/>
              <w:keepLines/>
              <w:spacing w:line="276" w:lineRule="auto"/>
              <w:ind w:left="0"/>
              <w:jc w:val="both"/>
              <w:outlineLvl w:val="0"/>
              <w:rPr>
                <w:rFonts w:ascii="Times New Roman" w:eastAsia="Times New Roman" w:hAnsi="Times New Roman"/>
                <w:b/>
                <w:bCs/>
                <w:lang w:val="en-GB"/>
              </w:rPr>
            </w:pPr>
            <w:r w:rsidRPr="0018446E">
              <w:rPr>
                <w:rFonts w:ascii="Times New Roman" w:eastAsia="Times New Roman" w:hAnsi="Times New Roman"/>
                <w:b/>
                <w:bCs/>
                <w:lang w:val="en-GB"/>
              </w:rPr>
              <w:t>OS 1.2</w:t>
            </w:r>
          </w:p>
        </w:tc>
        <w:tc>
          <w:tcPr>
            <w:tcW w:w="1924" w:type="dxa"/>
          </w:tcPr>
          <w:p w14:paraId="5AF5511C"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103598B5"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90977,0</w:t>
            </w:r>
          </w:p>
        </w:tc>
        <w:tc>
          <w:tcPr>
            <w:tcW w:w="1077" w:type="dxa"/>
          </w:tcPr>
          <w:p w14:paraId="7330230E"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30546,2</w:t>
            </w:r>
          </w:p>
        </w:tc>
        <w:tc>
          <w:tcPr>
            <w:tcW w:w="1077" w:type="dxa"/>
          </w:tcPr>
          <w:p w14:paraId="18BDBEFC"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30430,8</w:t>
            </w:r>
          </w:p>
        </w:tc>
        <w:tc>
          <w:tcPr>
            <w:tcW w:w="1072" w:type="dxa"/>
          </w:tcPr>
          <w:p w14:paraId="4254766E"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30000,0</w:t>
            </w:r>
          </w:p>
        </w:tc>
      </w:tr>
      <w:tr w:rsidR="0018446E" w:rsidRPr="0018446E" w14:paraId="3FD456DC" w14:textId="77777777" w:rsidTr="00B0372F">
        <w:tc>
          <w:tcPr>
            <w:tcW w:w="2871" w:type="dxa"/>
          </w:tcPr>
          <w:p w14:paraId="47BDBE35"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en-GB"/>
              </w:rPr>
            </w:pPr>
            <w:r w:rsidRPr="0018446E">
              <w:rPr>
                <w:rFonts w:ascii="Times New Roman" w:eastAsia="Times New Roman" w:hAnsi="Times New Roman"/>
                <w:i/>
                <w:iCs/>
                <w:lang w:val="ro-MD"/>
              </w:rPr>
              <w:t>Costuri acoperite din bugetul de stat</w:t>
            </w:r>
          </w:p>
        </w:tc>
        <w:tc>
          <w:tcPr>
            <w:tcW w:w="1924" w:type="dxa"/>
          </w:tcPr>
          <w:p w14:paraId="5536CAD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5001</w:t>
            </w:r>
          </w:p>
        </w:tc>
        <w:tc>
          <w:tcPr>
            <w:tcW w:w="1608" w:type="dxa"/>
          </w:tcPr>
          <w:p w14:paraId="3211C220"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90277,0</w:t>
            </w:r>
          </w:p>
        </w:tc>
        <w:tc>
          <w:tcPr>
            <w:tcW w:w="1077" w:type="dxa"/>
          </w:tcPr>
          <w:p w14:paraId="6E511BC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30246,2</w:t>
            </w:r>
          </w:p>
        </w:tc>
        <w:tc>
          <w:tcPr>
            <w:tcW w:w="1077" w:type="dxa"/>
          </w:tcPr>
          <w:p w14:paraId="38A4103D"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30030,8</w:t>
            </w:r>
          </w:p>
        </w:tc>
        <w:tc>
          <w:tcPr>
            <w:tcW w:w="1072" w:type="dxa"/>
          </w:tcPr>
          <w:p w14:paraId="090FD7BE"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30000,0</w:t>
            </w:r>
          </w:p>
        </w:tc>
      </w:tr>
      <w:tr w:rsidR="0018446E" w:rsidRPr="0018446E" w14:paraId="73F8044A" w14:textId="77777777" w:rsidTr="00B0372F">
        <w:tc>
          <w:tcPr>
            <w:tcW w:w="2871" w:type="dxa"/>
          </w:tcPr>
          <w:p w14:paraId="501510A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en-GB"/>
              </w:rPr>
            </w:pPr>
            <w:r w:rsidRPr="0018446E">
              <w:rPr>
                <w:rFonts w:ascii="Times New Roman" w:eastAsia="Times New Roman" w:hAnsi="Times New Roman"/>
                <w:i/>
                <w:iCs/>
                <w:lang w:val="ro-MD"/>
              </w:rPr>
              <w:t>Costuri acoperite din asistență externă</w:t>
            </w:r>
          </w:p>
        </w:tc>
        <w:tc>
          <w:tcPr>
            <w:tcW w:w="1924" w:type="dxa"/>
          </w:tcPr>
          <w:p w14:paraId="532CFBF5"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7FCADAA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2433A4D8"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6C47BA53"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16C3E36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50FD2CE3" w14:textId="77777777" w:rsidTr="00B0372F">
        <w:trPr>
          <w:trHeight w:val="383"/>
        </w:trPr>
        <w:tc>
          <w:tcPr>
            <w:tcW w:w="2871" w:type="dxa"/>
          </w:tcPr>
          <w:p w14:paraId="0CC9803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en-GB"/>
              </w:rPr>
            </w:pPr>
            <w:r w:rsidRPr="0018446E">
              <w:rPr>
                <w:rFonts w:ascii="Times New Roman" w:eastAsia="Times New Roman" w:hAnsi="Times New Roman"/>
                <w:i/>
                <w:iCs/>
                <w:lang w:val="ro-MD"/>
              </w:rPr>
              <w:t>Costuri neacoperite</w:t>
            </w:r>
          </w:p>
        </w:tc>
        <w:tc>
          <w:tcPr>
            <w:tcW w:w="1924" w:type="dxa"/>
          </w:tcPr>
          <w:p w14:paraId="2948CF91"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694FC4BE"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700,0</w:t>
            </w:r>
          </w:p>
        </w:tc>
        <w:tc>
          <w:tcPr>
            <w:tcW w:w="1077" w:type="dxa"/>
          </w:tcPr>
          <w:p w14:paraId="343B8969"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w:t>
            </w:r>
          </w:p>
        </w:tc>
        <w:tc>
          <w:tcPr>
            <w:tcW w:w="1077" w:type="dxa"/>
          </w:tcPr>
          <w:p w14:paraId="6B13598F"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400,0</w:t>
            </w:r>
          </w:p>
        </w:tc>
        <w:tc>
          <w:tcPr>
            <w:tcW w:w="1072" w:type="dxa"/>
          </w:tcPr>
          <w:p w14:paraId="605FA9AD"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582AE19D" w14:textId="77777777" w:rsidTr="00B0372F">
        <w:tc>
          <w:tcPr>
            <w:tcW w:w="2871" w:type="dxa"/>
          </w:tcPr>
          <w:p w14:paraId="1BAFCE8B" w14:textId="77777777" w:rsidR="0018446E" w:rsidRPr="0018446E" w:rsidRDefault="0018446E" w:rsidP="0018446E">
            <w:pPr>
              <w:keepNext/>
              <w:keepLines/>
              <w:spacing w:line="276" w:lineRule="auto"/>
              <w:ind w:left="0"/>
              <w:jc w:val="both"/>
              <w:outlineLvl w:val="0"/>
              <w:rPr>
                <w:rFonts w:ascii="Times New Roman" w:eastAsia="Times New Roman" w:hAnsi="Times New Roman"/>
                <w:b/>
                <w:bCs/>
                <w:lang w:val="en-GB"/>
              </w:rPr>
            </w:pPr>
            <w:r w:rsidRPr="0018446E">
              <w:rPr>
                <w:rFonts w:ascii="Times New Roman" w:eastAsia="Times New Roman" w:hAnsi="Times New Roman"/>
                <w:b/>
                <w:bCs/>
                <w:lang w:val="en-GB"/>
              </w:rPr>
              <w:t>OS 2.1</w:t>
            </w:r>
          </w:p>
        </w:tc>
        <w:tc>
          <w:tcPr>
            <w:tcW w:w="1924" w:type="dxa"/>
          </w:tcPr>
          <w:p w14:paraId="42936850"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2C159949"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842,8</w:t>
            </w:r>
          </w:p>
        </w:tc>
        <w:tc>
          <w:tcPr>
            <w:tcW w:w="1077" w:type="dxa"/>
          </w:tcPr>
          <w:p w14:paraId="53A63F4A"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442,8</w:t>
            </w:r>
          </w:p>
        </w:tc>
        <w:tc>
          <w:tcPr>
            <w:tcW w:w="1077" w:type="dxa"/>
          </w:tcPr>
          <w:p w14:paraId="2BD6D572"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400,0</w:t>
            </w:r>
          </w:p>
        </w:tc>
        <w:tc>
          <w:tcPr>
            <w:tcW w:w="1072" w:type="dxa"/>
          </w:tcPr>
          <w:p w14:paraId="6BC74EE7"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6A6AF3D1" w14:textId="77777777" w:rsidTr="00B0372F">
        <w:tc>
          <w:tcPr>
            <w:tcW w:w="2871" w:type="dxa"/>
          </w:tcPr>
          <w:p w14:paraId="001E1AE2"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en-GB"/>
              </w:rPr>
            </w:pPr>
            <w:r w:rsidRPr="0018446E">
              <w:rPr>
                <w:rFonts w:ascii="Times New Roman" w:eastAsia="Times New Roman" w:hAnsi="Times New Roman"/>
                <w:i/>
                <w:iCs/>
                <w:lang w:val="ro-MD"/>
              </w:rPr>
              <w:t>Costuri acoperite din bugetul de stat</w:t>
            </w:r>
          </w:p>
        </w:tc>
        <w:tc>
          <w:tcPr>
            <w:tcW w:w="1924" w:type="dxa"/>
          </w:tcPr>
          <w:p w14:paraId="1DF9F13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5001</w:t>
            </w:r>
          </w:p>
        </w:tc>
        <w:tc>
          <w:tcPr>
            <w:tcW w:w="1608" w:type="dxa"/>
          </w:tcPr>
          <w:p w14:paraId="18A7D620"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42,6</w:t>
            </w:r>
          </w:p>
        </w:tc>
        <w:tc>
          <w:tcPr>
            <w:tcW w:w="1077" w:type="dxa"/>
          </w:tcPr>
          <w:p w14:paraId="79CE573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42,6</w:t>
            </w:r>
          </w:p>
        </w:tc>
        <w:tc>
          <w:tcPr>
            <w:tcW w:w="1077" w:type="dxa"/>
          </w:tcPr>
          <w:p w14:paraId="7BF612FB"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2A431435"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365D5C42" w14:textId="77777777" w:rsidTr="00B0372F">
        <w:tc>
          <w:tcPr>
            <w:tcW w:w="2871" w:type="dxa"/>
          </w:tcPr>
          <w:p w14:paraId="24188C78"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en-GB"/>
              </w:rPr>
            </w:pPr>
            <w:r w:rsidRPr="0018446E">
              <w:rPr>
                <w:rFonts w:ascii="Times New Roman" w:eastAsia="Times New Roman" w:hAnsi="Times New Roman"/>
                <w:i/>
                <w:iCs/>
                <w:lang w:val="ro-MD"/>
              </w:rPr>
              <w:t>Costuri acoperite din asistență externă</w:t>
            </w:r>
          </w:p>
        </w:tc>
        <w:tc>
          <w:tcPr>
            <w:tcW w:w="1924" w:type="dxa"/>
          </w:tcPr>
          <w:p w14:paraId="5CD18E84"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6E553D42"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p>
        </w:tc>
        <w:tc>
          <w:tcPr>
            <w:tcW w:w="1077" w:type="dxa"/>
          </w:tcPr>
          <w:p w14:paraId="571C0EF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6A776C5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0284A93E"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1045BD9B" w14:textId="77777777" w:rsidTr="00B0372F">
        <w:tc>
          <w:tcPr>
            <w:tcW w:w="2871" w:type="dxa"/>
          </w:tcPr>
          <w:p w14:paraId="36A91450"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en-GB"/>
              </w:rPr>
            </w:pPr>
            <w:r w:rsidRPr="0018446E">
              <w:rPr>
                <w:rFonts w:ascii="Times New Roman" w:eastAsia="Times New Roman" w:hAnsi="Times New Roman"/>
                <w:i/>
                <w:iCs/>
                <w:lang w:val="ro-MD"/>
              </w:rPr>
              <w:t>Costuri neacoperite</w:t>
            </w:r>
          </w:p>
        </w:tc>
        <w:tc>
          <w:tcPr>
            <w:tcW w:w="1924" w:type="dxa"/>
          </w:tcPr>
          <w:p w14:paraId="0F7D24B8"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4EF670A6"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800,0</w:t>
            </w:r>
          </w:p>
        </w:tc>
        <w:tc>
          <w:tcPr>
            <w:tcW w:w="1077" w:type="dxa"/>
          </w:tcPr>
          <w:p w14:paraId="5F4C66EC"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400,0</w:t>
            </w:r>
          </w:p>
        </w:tc>
        <w:tc>
          <w:tcPr>
            <w:tcW w:w="1077" w:type="dxa"/>
          </w:tcPr>
          <w:p w14:paraId="111544AD"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400,0</w:t>
            </w:r>
          </w:p>
        </w:tc>
        <w:tc>
          <w:tcPr>
            <w:tcW w:w="1072" w:type="dxa"/>
          </w:tcPr>
          <w:p w14:paraId="77F86B9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36B593AF" w14:textId="77777777" w:rsidTr="00B0372F">
        <w:tc>
          <w:tcPr>
            <w:tcW w:w="2871" w:type="dxa"/>
          </w:tcPr>
          <w:p w14:paraId="5E87AD1D" w14:textId="77777777" w:rsidR="0018446E" w:rsidRPr="0018446E" w:rsidRDefault="0018446E" w:rsidP="0018446E">
            <w:pPr>
              <w:keepNext/>
              <w:keepLines/>
              <w:spacing w:line="276" w:lineRule="auto"/>
              <w:ind w:left="0"/>
              <w:jc w:val="both"/>
              <w:outlineLvl w:val="0"/>
              <w:rPr>
                <w:rFonts w:ascii="Times New Roman" w:eastAsia="Times New Roman" w:hAnsi="Times New Roman"/>
                <w:b/>
                <w:bCs/>
                <w:lang w:val="ro-MD"/>
              </w:rPr>
            </w:pPr>
            <w:r w:rsidRPr="0018446E">
              <w:rPr>
                <w:rFonts w:ascii="Times New Roman" w:eastAsia="Times New Roman" w:hAnsi="Times New Roman"/>
                <w:b/>
                <w:bCs/>
                <w:lang w:val="ro-MD"/>
              </w:rPr>
              <w:t>OS 2.2</w:t>
            </w:r>
          </w:p>
        </w:tc>
        <w:tc>
          <w:tcPr>
            <w:tcW w:w="1924" w:type="dxa"/>
          </w:tcPr>
          <w:p w14:paraId="16090828"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738A991B"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39845,2</w:t>
            </w:r>
          </w:p>
        </w:tc>
        <w:tc>
          <w:tcPr>
            <w:tcW w:w="1077" w:type="dxa"/>
          </w:tcPr>
          <w:p w14:paraId="272091F4"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30000,0</w:t>
            </w:r>
          </w:p>
        </w:tc>
        <w:tc>
          <w:tcPr>
            <w:tcW w:w="1077" w:type="dxa"/>
          </w:tcPr>
          <w:p w14:paraId="278BFBE8"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5095,2</w:t>
            </w:r>
          </w:p>
        </w:tc>
        <w:tc>
          <w:tcPr>
            <w:tcW w:w="1072" w:type="dxa"/>
          </w:tcPr>
          <w:p w14:paraId="404BCAF3"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4750,0</w:t>
            </w:r>
          </w:p>
        </w:tc>
      </w:tr>
      <w:tr w:rsidR="0018446E" w:rsidRPr="0018446E" w14:paraId="193D7640" w14:textId="77777777" w:rsidTr="00B0372F">
        <w:tc>
          <w:tcPr>
            <w:tcW w:w="2871" w:type="dxa"/>
          </w:tcPr>
          <w:p w14:paraId="6EEF7E62"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bugetul de stat</w:t>
            </w:r>
          </w:p>
        </w:tc>
        <w:tc>
          <w:tcPr>
            <w:tcW w:w="1924" w:type="dxa"/>
          </w:tcPr>
          <w:p w14:paraId="74D05F53"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5001</w:t>
            </w:r>
          </w:p>
        </w:tc>
        <w:tc>
          <w:tcPr>
            <w:tcW w:w="1608" w:type="dxa"/>
          </w:tcPr>
          <w:p w14:paraId="78E5D861"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9545,2</w:t>
            </w:r>
          </w:p>
        </w:tc>
        <w:tc>
          <w:tcPr>
            <w:tcW w:w="1077" w:type="dxa"/>
          </w:tcPr>
          <w:p w14:paraId="24AAEA5D"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4BEDC5A1"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47952,2</w:t>
            </w:r>
          </w:p>
        </w:tc>
        <w:tc>
          <w:tcPr>
            <w:tcW w:w="1072" w:type="dxa"/>
          </w:tcPr>
          <w:p w14:paraId="7BC39524"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4750,0</w:t>
            </w:r>
          </w:p>
        </w:tc>
      </w:tr>
      <w:tr w:rsidR="0018446E" w:rsidRPr="0018446E" w14:paraId="53B2EC33" w14:textId="77777777" w:rsidTr="00B0372F">
        <w:tc>
          <w:tcPr>
            <w:tcW w:w="2871" w:type="dxa"/>
          </w:tcPr>
          <w:p w14:paraId="65EE2594"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asistență externă</w:t>
            </w:r>
          </w:p>
        </w:tc>
        <w:tc>
          <w:tcPr>
            <w:tcW w:w="1924" w:type="dxa"/>
          </w:tcPr>
          <w:p w14:paraId="7C247EAC"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1F1C7982"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30000,0</w:t>
            </w:r>
          </w:p>
        </w:tc>
        <w:tc>
          <w:tcPr>
            <w:tcW w:w="1077" w:type="dxa"/>
          </w:tcPr>
          <w:p w14:paraId="226E2ECB"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30000,0</w:t>
            </w:r>
          </w:p>
        </w:tc>
        <w:tc>
          <w:tcPr>
            <w:tcW w:w="1077" w:type="dxa"/>
          </w:tcPr>
          <w:p w14:paraId="7805EEEB"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16ABB106"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5B52ED7F" w14:textId="77777777" w:rsidTr="00B0372F">
        <w:tc>
          <w:tcPr>
            <w:tcW w:w="2871" w:type="dxa"/>
          </w:tcPr>
          <w:p w14:paraId="121C4323"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neacoperite</w:t>
            </w:r>
          </w:p>
        </w:tc>
        <w:tc>
          <w:tcPr>
            <w:tcW w:w="1924" w:type="dxa"/>
          </w:tcPr>
          <w:p w14:paraId="61484AB0"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2D662BE3"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w:t>
            </w:r>
          </w:p>
        </w:tc>
        <w:tc>
          <w:tcPr>
            <w:tcW w:w="1077" w:type="dxa"/>
          </w:tcPr>
          <w:p w14:paraId="43AE772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171E359E"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w:t>
            </w:r>
          </w:p>
        </w:tc>
        <w:tc>
          <w:tcPr>
            <w:tcW w:w="1072" w:type="dxa"/>
          </w:tcPr>
          <w:p w14:paraId="7CFB9A14"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537907E9" w14:textId="77777777" w:rsidTr="00B0372F">
        <w:tc>
          <w:tcPr>
            <w:tcW w:w="2871" w:type="dxa"/>
          </w:tcPr>
          <w:p w14:paraId="176E0146" w14:textId="77777777" w:rsidR="0018446E" w:rsidRPr="0018446E" w:rsidRDefault="0018446E" w:rsidP="0018446E">
            <w:pPr>
              <w:keepNext/>
              <w:keepLines/>
              <w:spacing w:line="276" w:lineRule="auto"/>
              <w:ind w:left="0"/>
              <w:jc w:val="both"/>
              <w:outlineLvl w:val="0"/>
              <w:rPr>
                <w:rFonts w:ascii="Times New Roman" w:eastAsia="Times New Roman" w:hAnsi="Times New Roman"/>
                <w:b/>
                <w:bCs/>
                <w:lang w:val="ro-MD"/>
              </w:rPr>
            </w:pPr>
            <w:r w:rsidRPr="0018446E">
              <w:rPr>
                <w:rFonts w:ascii="Times New Roman" w:eastAsia="Times New Roman" w:hAnsi="Times New Roman"/>
                <w:b/>
                <w:bCs/>
                <w:lang w:val="ro-MD"/>
              </w:rPr>
              <w:t>OS 3.1</w:t>
            </w:r>
          </w:p>
        </w:tc>
        <w:tc>
          <w:tcPr>
            <w:tcW w:w="1924" w:type="dxa"/>
          </w:tcPr>
          <w:p w14:paraId="72338FA0"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3F19EBFB"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75625,9</w:t>
            </w:r>
          </w:p>
        </w:tc>
        <w:tc>
          <w:tcPr>
            <w:tcW w:w="1077" w:type="dxa"/>
          </w:tcPr>
          <w:p w14:paraId="607EC397"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20283,1</w:t>
            </w:r>
          </w:p>
        </w:tc>
        <w:tc>
          <w:tcPr>
            <w:tcW w:w="1077" w:type="dxa"/>
          </w:tcPr>
          <w:p w14:paraId="7A2255AA"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25342,8</w:t>
            </w:r>
          </w:p>
        </w:tc>
        <w:tc>
          <w:tcPr>
            <w:tcW w:w="1072" w:type="dxa"/>
          </w:tcPr>
          <w:p w14:paraId="123D447C"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30000,0</w:t>
            </w:r>
          </w:p>
        </w:tc>
      </w:tr>
      <w:tr w:rsidR="0018446E" w:rsidRPr="0018446E" w14:paraId="5318EAB5" w14:textId="77777777" w:rsidTr="00B0372F">
        <w:tc>
          <w:tcPr>
            <w:tcW w:w="2871" w:type="dxa"/>
          </w:tcPr>
          <w:p w14:paraId="65315EB1"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bugetul de stat</w:t>
            </w:r>
          </w:p>
        </w:tc>
        <w:tc>
          <w:tcPr>
            <w:tcW w:w="1924" w:type="dxa"/>
          </w:tcPr>
          <w:p w14:paraId="320A9F77"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5001</w:t>
            </w:r>
          </w:p>
        </w:tc>
        <w:tc>
          <w:tcPr>
            <w:tcW w:w="1608" w:type="dxa"/>
          </w:tcPr>
          <w:p w14:paraId="5C947909"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45125,9</w:t>
            </w:r>
          </w:p>
        </w:tc>
        <w:tc>
          <w:tcPr>
            <w:tcW w:w="1077" w:type="dxa"/>
          </w:tcPr>
          <w:p w14:paraId="46F4422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10083,1</w:t>
            </w:r>
          </w:p>
        </w:tc>
        <w:tc>
          <w:tcPr>
            <w:tcW w:w="1077" w:type="dxa"/>
          </w:tcPr>
          <w:p w14:paraId="239BDED7"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15042,8</w:t>
            </w:r>
          </w:p>
        </w:tc>
        <w:tc>
          <w:tcPr>
            <w:tcW w:w="1072" w:type="dxa"/>
          </w:tcPr>
          <w:p w14:paraId="2DC0A8C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20000,0</w:t>
            </w:r>
          </w:p>
        </w:tc>
      </w:tr>
      <w:tr w:rsidR="0018446E" w:rsidRPr="0018446E" w14:paraId="4115D2FA" w14:textId="77777777" w:rsidTr="00B0372F">
        <w:tc>
          <w:tcPr>
            <w:tcW w:w="2871" w:type="dxa"/>
          </w:tcPr>
          <w:p w14:paraId="7DF115F7"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asistență externă</w:t>
            </w:r>
          </w:p>
        </w:tc>
        <w:tc>
          <w:tcPr>
            <w:tcW w:w="1924" w:type="dxa"/>
          </w:tcPr>
          <w:p w14:paraId="24E49A5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7102E8E1"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p>
        </w:tc>
        <w:tc>
          <w:tcPr>
            <w:tcW w:w="1077" w:type="dxa"/>
          </w:tcPr>
          <w:p w14:paraId="17ACECB0"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6000D39C"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1AC2DFF1"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7B6E1D6D" w14:textId="77777777" w:rsidTr="00B0372F">
        <w:tc>
          <w:tcPr>
            <w:tcW w:w="2871" w:type="dxa"/>
          </w:tcPr>
          <w:p w14:paraId="7D4BA406"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neacoperite</w:t>
            </w:r>
          </w:p>
        </w:tc>
        <w:tc>
          <w:tcPr>
            <w:tcW w:w="1924" w:type="dxa"/>
          </w:tcPr>
          <w:p w14:paraId="59E066E6"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10D874FA"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30500,0</w:t>
            </w:r>
          </w:p>
        </w:tc>
        <w:tc>
          <w:tcPr>
            <w:tcW w:w="1077" w:type="dxa"/>
          </w:tcPr>
          <w:p w14:paraId="5B0C521E"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10200,0</w:t>
            </w:r>
          </w:p>
        </w:tc>
        <w:tc>
          <w:tcPr>
            <w:tcW w:w="1077" w:type="dxa"/>
          </w:tcPr>
          <w:p w14:paraId="02B724B1"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10300,0</w:t>
            </w:r>
          </w:p>
        </w:tc>
        <w:tc>
          <w:tcPr>
            <w:tcW w:w="1072" w:type="dxa"/>
          </w:tcPr>
          <w:p w14:paraId="47073AF8"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10000,0</w:t>
            </w:r>
          </w:p>
        </w:tc>
      </w:tr>
      <w:tr w:rsidR="0018446E" w:rsidRPr="0018446E" w14:paraId="65A4F9A5" w14:textId="77777777" w:rsidTr="00B0372F">
        <w:tc>
          <w:tcPr>
            <w:tcW w:w="2871" w:type="dxa"/>
          </w:tcPr>
          <w:p w14:paraId="4A6BCD91" w14:textId="77777777" w:rsidR="0018446E" w:rsidRPr="0018446E" w:rsidRDefault="0018446E" w:rsidP="0018446E">
            <w:pPr>
              <w:keepNext/>
              <w:keepLines/>
              <w:spacing w:line="276" w:lineRule="auto"/>
              <w:ind w:left="0"/>
              <w:jc w:val="both"/>
              <w:outlineLvl w:val="0"/>
              <w:rPr>
                <w:rFonts w:ascii="Times New Roman" w:eastAsia="Times New Roman" w:hAnsi="Times New Roman"/>
                <w:b/>
                <w:bCs/>
                <w:lang w:val="ro-MD"/>
              </w:rPr>
            </w:pPr>
            <w:r w:rsidRPr="0018446E">
              <w:rPr>
                <w:rFonts w:ascii="Times New Roman" w:eastAsia="Times New Roman" w:hAnsi="Times New Roman"/>
                <w:b/>
                <w:bCs/>
                <w:lang w:val="ro-MD"/>
              </w:rPr>
              <w:lastRenderedPageBreak/>
              <w:t>OS 3.2</w:t>
            </w:r>
          </w:p>
        </w:tc>
        <w:tc>
          <w:tcPr>
            <w:tcW w:w="1924" w:type="dxa"/>
          </w:tcPr>
          <w:p w14:paraId="24BA0DF7"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10B691DA"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8030,8</w:t>
            </w:r>
          </w:p>
        </w:tc>
        <w:tc>
          <w:tcPr>
            <w:tcW w:w="1077" w:type="dxa"/>
          </w:tcPr>
          <w:p w14:paraId="470618DC"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8030,8</w:t>
            </w:r>
          </w:p>
        </w:tc>
        <w:tc>
          <w:tcPr>
            <w:tcW w:w="1077" w:type="dxa"/>
          </w:tcPr>
          <w:p w14:paraId="4FF48065"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p>
        </w:tc>
        <w:tc>
          <w:tcPr>
            <w:tcW w:w="1072" w:type="dxa"/>
          </w:tcPr>
          <w:p w14:paraId="71EE7FAD"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p>
        </w:tc>
      </w:tr>
      <w:tr w:rsidR="0018446E" w:rsidRPr="0018446E" w14:paraId="13EBD9AC" w14:textId="77777777" w:rsidTr="00B0372F">
        <w:tc>
          <w:tcPr>
            <w:tcW w:w="2871" w:type="dxa"/>
          </w:tcPr>
          <w:p w14:paraId="050A1B11"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bugetul de stat</w:t>
            </w:r>
          </w:p>
        </w:tc>
        <w:tc>
          <w:tcPr>
            <w:tcW w:w="1924" w:type="dxa"/>
          </w:tcPr>
          <w:p w14:paraId="6FBD12C5"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5001</w:t>
            </w:r>
          </w:p>
        </w:tc>
        <w:tc>
          <w:tcPr>
            <w:tcW w:w="1608" w:type="dxa"/>
          </w:tcPr>
          <w:p w14:paraId="4386073A"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30,8</w:t>
            </w:r>
          </w:p>
        </w:tc>
        <w:tc>
          <w:tcPr>
            <w:tcW w:w="1077" w:type="dxa"/>
          </w:tcPr>
          <w:p w14:paraId="07D0190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30,8</w:t>
            </w:r>
          </w:p>
        </w:tc>
        <w:tc>
          <w:tcPr>
            <w:tcW w:w="1077" w:type="dxa"/>
          </w:tcPr>
          <w:p w14:paraId="555E17E2"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15C7253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158D0CAA" w14:textId="77777777" w:rsidTr="00B0372F">
        <w:tc>
          <w:tcPr>
            <w:tcW w:w="2871" w:type="dxa"/>
          </w:tcPr>
          <w:p w14:paraId="5A0A466B"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acoperite din asistență externă</w:t>
            </w:r>
          </w:p>
        </w:tc>
        <w:tc>
          <w:tcPr>
            <w:tcW w:w="1924" w:type="dxa"/>
          </w:tcPr>
          <w:p w14:paraId="573C53C8"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4067027D" w14:textId="77777777" w:rsidR="0018446E" w:rsidRPr="0018446E" w:rsidRDefault="0018446E" w:rsidP="0018446E">
            <w:pPr>
              <w:keepNext/>
              <w:keepLines/>
              <w:spacing w:line="276" w:lineRule="auto"/>
              <w:ind w:left="0"/>
              <w:jc w:val="both"/>
              <w:outlineLvl w:val="0"/>
              <w:rPr>
                <w:rFonts w:ascii="Times New Roman" w:eastAsia="Times New Roman" w:hAnsi="Times New Roman"/>
                <w:b/>
                <w:lang w:val="ro-MD"/>
              </w:rPr>
            </w:pPr>
            <w:r w:rsidRPr="0018446E">
              <w:rPr>
                <w:rFonts w:ascii="Times New Roman" w:eastAsia="Times New Roman" w:hAnsi="Times New Roman"/>
                <w:b/>
                <w:lang w:val="ro-MD"/>
              </w:rPr>
              <w:t>8000,0</w:t>
            </w:r>
          </w:p>
        </w:tc>
        <w:tc>
          <w:tcPr>
            <w:tcW w:w="1077" w:type="dxa"/>
          </w:tcPr>
          <w:p w14:paraId="4AD73F4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b/>
                <w:lang w:val="ro-MD"/>
              </w:rPr>
              <w:t>8000,0</w:t>
            </w:r>
          </w:p>
        </w:tc>
        <w:tc>
          <w:tcPr>
            <w:tcW w:w="1077" w:type="dxa"/>
          </w:tcPr>
          <w:p w14:paraId="3EA3D778"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2E8DEB6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r w:rsidR="0018446E" w:rsidRPr="0018446E" w14:paraId="1F737DC8" w14:textId="77777777" w:rsidTr="00B0372F">
        <w:tc>
          <w:tcPr>
            <w:tcW w:w="2871" w:type="dxa"/>
          </w:tcPr>
          <w:p w14:paraId="5F2B905A" w14:textId="77777777" w:rsidR="0018446E" w:rsidRPr="0018446E" w:rsidRDefault="0018446E" w:rsidP="0018446E">
            <w:pPr>
              <w:keepNext/>
              <w:keepLines/>
              <w:spacing w:line="276" w:lineRule="auto"/>
              <w:ind w:left="0"/>
              <w:jc w:val="both"/>
              <w:outlineLvl w:val="0"/>
              <w:rPr>
                <w:rFonts w:ascii="Times New Roman" w:eastAsia="Times New Roman" w:hAnsi="Times New Roman"/>
                <w:i/>
                <w:iCs/>
                <w:lang w:val="ro-MD"/>
              </w:rPr>
            </w:pPr>
            <w:r w:rsidRPr="0018446E">
              <w:rPr>
                <w:rFonts w:ascii="Times New Roman" w:eastAsia="Times New Roman" w:hAnsi="Times New Roman"/>
                <w:i/>
                <w:iCs/>
                <w:lang w:val="ro-MD"/>
              </w:rPr>
              <w:t>Costuri neacoperite</w:t>
            </w:r>
          </w:p>
        </w:tc>
        <w:tc>
          <w:tcPr>
            <w:tcW w:w="1924" w:type="dxa"/>
          </w:tcPr>
          <w:p w14:paraId="254DA82F"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608" w:type="dxa"/>
          </w:tcPr>
          <w:p w14:paraId="2F39E49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5B038D09"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7" w:type="dxa"/>
          </w:tcPr>
          <w:p w14:paraId="324668BD"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c>
          <w:tcPr>
            <w:tcW w:w="1072" w:type="dxa"/>
          </w:tcPr>
          <w:p w14:paraId="522CE5AA"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tc>
      </w:tr>
    </w:tbl>
    <w:p w14:paraId="2CAD1F06" w14:textId="77777777" w:rsidR="0018446E" w:rsidRPr="0018446E" w:rsidRDefault="0018446E" w:rsidP="0018446E">
      <w:pPr>
        <w:spacing w:after="160" w:line="259" w:lineRule="auto"/>
        <w:ind w:left="0"/>
        <w:rPr>
          <w:rFonts w:ascii="Calibri" w:hAnsi="Calibri"/>
          <w:lang w:val="en-US"/>
        </w:rPr>
      </w:pPr>
    </w:p>
    <w:p w14:paraId="088BF9F5" w14:textId="77777777" w:rsidR="0018446E" w:rsidRPr="0018446E" w:rsidRDefault="0018446E" w:rsidP="0018446E">
      <w:pPr>
        <w:spacing w:after="160" w:line="259" w:lineRule="auto"/>
        <w:ind w:left="0"/>
        <w:rPr>
          <w:rFonts w:ascii="Calibri" w:hAnsi="Calibri"/>
          <w:lang w:val="en-US"/>
        </w:rPr>
      </w:pPr>
    </w:p>
    <w:p w14:paraId="7D00D822"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p w14:paraId="24709008"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p w14:paraId="0D524A2B"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p w14:paraId="28F3FD22"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p w14:paraId="3342CCF5"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p w14:paraId="24BD910C"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p>
    <w:p w14:paraId="17723C20" w14:textId="77777777" w:rsidR="0018446E" w:rsidRPr="0018446E" w:rsidRDefault="0018446E" w:rsidP="0018446E">
      <w:pPr>
        <w:keepNext/>
        <w:keepLines/>
        <w:spacing w:line="276"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În scopul atingerii obiectivelor propuse, vor fi valorificate cooperările cu partenerii de dezvoltare, care pot furniza resurse suplimentare pentru implementarea Programului, cum ar fi asistență tehnică, transfer de tehnologie, precum și finanțare suplimentară.</w:t>
      </w:r>
    </w:p>
    <w:p w14:paraId="14794509" w14:textId="77777777" w:rsidR="0018446E" w:rsidRPr="0018446E" w:rsidRDefault="0018446E" w:rsidP="0018446E">
      <w:pPr>
        <w:keepNext/>
        <w:keepLines/>
        <w:spacing w:after="0" w:line="240" w:lineRule="auto"/>
        <w:ind w:left="0"/>
        <w:outlineLvl w:val="0"/>
        <w:rPr>
          <w:rFonts w:ascii="Times New Roman" w:eastAsia="Times New Roman" w:hAnsi="Times New Roman"/>
          <w:b/>
          <w:sz w:val="28"/>
          <w:szCs w:val="28"/>
          <w:lang w:val="ro-MD"/>
        </w:rPr>
      </w:pPr>
    </w:p>
    <w:p w14:paraId="0B5A2099" w14:textId="77777777" w:rsidR="0018446E" w:rsidRPr="0018446E" w:rsidRDefault="0018446E" w:rsidP="0018446E">
      <w:pPr>
        <w:keepNext/>
        <w:keepLines/>
        <w:spacing w:after="0" w:line="240" w:lineRule="auto"/>
        <w:ind w:left="0"/>
        <w:outlineLvl w:val="0"/>
        <w:rPr>
          <w:rFonts w:ascii="Times New Roman" w:eastAsia="Times New Roman" w:hAnsi="Times New Roman"/>
          <w:b/>
          <w:sz w:val="28"/>
          <w:szCs w:val="28"/>
          <w:lang w:val="ro-MD"/>
        </w:rPr>
      </w:pPr>
    </w:p>
    <w:p w14:paraId="1BA13526" w14:textId="77777777" w:rsidR="0018446E" w:rsidRPr="0018446E" w:rsidRDefault="0018446E" w:rsidP="0018446E">
      <w:pPr>
        <w:keepNext/>
        <w:keepLines/>
        <w:spacing w:after="0" w:line="240" w:lineRule="auto"/>
        <w:ind w:left="0" w:firstLine="567"/>
        <w:jc w:val="center"/>
        <w:outlineLvl w:val="0"/>
        <w:rPr>
          <w:rFonts w:ascii="Times New Roman" w:eastAsia="Times New Roman" w:hAnsi="Times New Roman"/>
          <w:b/>
          <w:sz w:val="28"/>
          <w:szCs w:val="28"/>
          <w:lang w:val="ro-MD"/>
        </w:rPr>
      </w:pPr>
      <w:r w:rsidRPr="0018446E">
        <w:rPr>
          <w:rFonts w:ascii="Times New Roman" w:eastAsia="Times New Roman" w:hAnsi="Times New Roman"/>
          <w:b/>
          <w:sz w:val="28"/>
          <w:szCs w:val="28"/>
          <w:lang w:val="ro-MD"/>
        </w:rPr>
        <w:t>VII.  RISCURI DE IMPLEMENTARE</w:t>
      </w:r>
    </w:p>
    <w:p w14:paraId="1280A2B0" w14:textId="77777777" w:rsidR="0018446E" w:rsidRPr="0018446E" w:rsidRDefault="0018446E" w:rsidP="0018446E">
      <w:pPr>
        <w:keepNext/>
        <w:keepLines/>
        <w:spacing w:after="0" w:line="240" w:lineRule="auto"/>
        <w:ind w:left="0" w:firstLine="567"/>
        <w:jc w:val="center"/>
        <w:outlineLvl w:val="0"/>
        <w:rPr>
          <w:rFonts w:ascii="Times New Roman" w:eastAsia="Times New Roman" w:hAnsi="Times New Roman"/>
          <w:b/>
          <w:sz w:val="28"/>
          <w:szCs w:val="28"/>
          <w:lang w:val="ro-MD"/>
        </w:rPr>
      </w:pPr>
    </w:p>
    <w:p w14:paraId="6BEDF009" w14:textId="77777777" w:rsidR="0018446E" w:rsidRPr="0018446E" w:rsidRDefault="0018446E" w:rsidP="0018446E">
      <w:pPr>
        <w:keepNext/>
        <w:keepLines/>
        <w:pBdr>
          <w:top w:val="nil"/>
          <w:left w:val="nil"/>
          <w:bottom w:val="nil"/>
          <w:right w:val="nil"/>
          <w:between w:val="nil"/>
        </w:pBdr>
        <w:spacing w:before="120" w:line="240" w:lineRule="auto"/>
        <w:ind w:left="0"/>
        <w:jc w:val="both"/>
        <w:outlineLvl w:val="0"/>
        <w:rPr>
          <w:rFonts w:ascii="Times New Roman" w:eastAsia="Times New Roman" w:hAnsi="Times New Roman"/>
          <w:lang w:val="ro-MD"/>
        </w:rPr>
      </w:pPr>
      <w:r w:rsidRPr="0018446E">
        <w:rPr>
          <w:rFonts w:ascii="Times New Roman" w:eastAsia="Times New Roman" w:hAnsi="Times New Roman"/>
          <w:lang w:val="ro-MD"/>
        </w:rPr>
        <w:t xml:space="preserve">Riscurile de implementare a PNDI și acțiunile de </w:t>
      </w:r>
      <w:proofErr w:type="spellStart"/>
      <w:r w:rsidRPr="0018446E">
        <w:rPr>
          <w:rFonts w:ascii="Times New Roman" w:eastAsia="Times New Roman" w:hAnsi="Times New Roman"/>
          <w:lang w:val="ro-MD"/>
        </w:rPr>
        <w:t>mitigare</w:t>
      </w:r>
      <w:proofErr w:type="spellEnd"/>
      <w:r w:rsidRPr="0018446E">
        <w:rPr>
          <w:rFonts w:ascii="Times New Roman" w:eastAsia="Times New Roman" w:hAnsi="Times New Roman"/>
          <w:lang w:val="ro-MD"/>
        </w:rPr>
        <w:t xml:space="preserve"> propuse pentru a reduce impactul acestora sunt identificate în tabel.</w:t>
      </w:r>
    </w:p>
    <w:tbl>
      <w:tblPr>
        <w:tblStyle w:val="afb"/>
        <w:tblW w:w="9634" w:type="dxa"/>
        <w:tblLook w:val="04A0" w:firstRow="1" w:lastRow="0" w:firstColumn="1" w:lastColumn="0" w:noHBand="0" w:noVBand="1"/>
      </w:tblPr>
      <w:tblGrid>
        <w:gridCol w:w="1796"/>
        <w:gridCol w:w="1823"/>
        <w:gridCol w:w="1840"/>
        <w:gridCol w:w="2079"/>
        <w:gridCol w:w="2096"/>
      </w:tblGrid>
      <w:tr w:rsidR="0018446E" w:rsidRPr="0018446E" w14:paraId="3181543E" w14:textId="77777777" w:rsidTr="00B0372F">
        <w:tc>
          <w:tcPr>
            <w:tcW w:w="1796" w:type="dxa"/>
          </w:tcPr>
          <w:p w14:paraId="221E68A8"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b/>
                <w:bCs/>
                <w:sz w:val="20"/>
                <w:szCs w:val="20"/>
                <w:lang w:val="ro-MD"/>
              </w:rPr>
              <w:t>Riscuri</w:t>
            </w:r>
          </w:p>
        </w:tc>
        <w:tc>
          <w:tcPr>
            <w:tcW w:w="1823" w:type="dxa"/>
          </w:tcPr>
          <w:p w14:paraId="03A1B15A"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b/>
                <w:bCs/>
                <w:sz w:val="20"/>
                <w:szCs w:val="20"/>
                <w:lang w:val="ro-MD"/>
              </w:rPr>
              <w:t>Descriere</w:t>
            </w:r>
          </w:p>
        </w:tc>
        <w:tc>
          <w:tcPr>
            <w:tcW w:w="1840" w:type="dxa"/>
          </w:tcPr>
          <w:p w14:paraId="6D1D85A3"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b/>
                <w:sz w:val="20"/>
                <w:szCs w:val="20"/>
                <w:lang w:val="ro-MD"/>
              </w:rPr>
              <w:t>Probabilitate (joasă/ medie/ înaltă)</w:t>
            </w:r>
          </w:p>
        </w:tc>
        <w:tc>
          <w:tcPr>
            <w:tcW w:w="2079" w:type="dxa"/>
          </w:tcPr>
          <w:p w14:paraId="209CA40B"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b/>
                <w:sz w:val="20"/>
                <w:szCs w:val="20"/>
                <w:lang w:val="ro-MD"/>
              </w:rPr>
              <w:t>Impact (mic/mediu/mare)</w:t>
            </w:r>
          </w:p>
        </w:tc>
        <w:tc>
          <w:tcPr>
            <w:tcW w:w="2096" w:type="dxa"/>
          </w:tcPr>
          <w:p w14:paraId="344E0E24"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b/>
                <w:sz w:val="20"/>
                <w:szCs w:val="20"/>
                <w:lang w:val="ro-MD"/>
              </w:rPr>
              <w:t>Măsuri de atenuare a riscului</w:t>
            </w:r>
          </w:p>
        </w:tc>
      </w:tr>
      <w:tr w:rsidR="0018446E" w:rsidRPr="0018446E" w14:paraId="24CF81E2" w14:textId="77777777" w:rsidTr="00B0372F">
        <w:tc>
          <w:tcPr>
            <w:tcW w:w="1796" w:type="dxa"/>
          </w:tcPr>
          <w:p w14:paraId="4989AE35"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Accentuarea instabilității geopolitice regionale și a crizelor conexe</w:t>
            </w:r>
          </w:p>
        </w:tc>
        <w:tc>
          <w:tcPr>
            <w:tcW w:w="1823" w:type="dxa"/>
          </w:tcPr>
          <w:p w14:paraId="41ECFF5F"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Războiul din Ucraina devine unul latent și/sau se extinde, generând în continuare presiune  pe infrastructura de transport și logistică și dezechilibre atât pe partea de cerere, cât și pe partea de ofertă</w:t>
            </w:r>
          </w:p>
        </w:tc>
        <w:tc>
          <w:tcPr>
            <w:tcW w:w="1840" w:type="dxa"/>
          </w:tcPr>
          <w:p w14:paraId="3C0DAA5E"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Înaltă</w:t>
            </w:r>
          </w:p>
        </w:tc>
        <w:tc>
          <w:tcPr>
            <w:tcW w:w="2079" w:type="dxa"/>
          </w:tcPr>
          <w:p w14:paraId="734D9D3B" w14:textId="77777777" w:rsidR="0018446E" w:rsidRPr="0018446E" w:rsidRDefault="0018446E" w:rsidP="0018446E">
            <w:pPr>
              <w:spacing w:after="0" w:line="240" w:lineRule="auto"/>
              <w:ind w:left="708"/>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Mare</w:t>
            </w:r>
          </w:p>
        </w:tc>
        <w:tc>
          <w:tcPr>
            <w:tcW w:w="2096" w:type="dxa"/>
          </w:tcPr>
          <w:p w14:paraId="0395CC69"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Încurajarea rezilienței economice a întreprinderilor din sectoarele industriei prelucrătoare, implicit stimularea </w:t>
            </w:r>
            <w:proofErr w:type="spellStart"/>
            <w:r w:rsidRPr="0018446E">
              <w:rPr>
                <w:rFonts w:ascii="Times New Roman" w:eastAsia="Times New Roman" w:hAnsi="Times New Roman"/>
                <w:i/>
                <w:iCs/>
                <w:sz w:val="20"/>
                <w:szCs w:val="20"/>
                <w:lang w:val="ro-MD"/>
              </w:rPr>
              <w:t>clusterizării</w:t>
            </w:r>
            <w:proofErr w:type="spellEnd"/>
            <w:r w:rsidRPr="0018446E">
              <w:rPr>
                <w:rFonts w:ascii="Times New Roman" w:eastAsia="Times New Roman" w:hAnsi="Times New Roman"/>
                <w:i/>
                <w:iCs/>
                <w:sz w:val="20"/>
                <w:szCs w:val="20"/>
                <w:lang w:val="ro-MD"/>
              </w:rPr>
              <w:t xml:space="preserve"> </w:t>
            </w:r>
            <w:r w:rsidRPr="0018446E">
              <w:rPr>
                <w:rFonts w:ascii="Times New Roman" w:eastAsia="Times New Roman" w:hAnsi="Times New Roman"/>
                <w:sz w:val="20"/>
                <w:szCs w:val="20"/>
                <w:lang w:val="ro-MD"/>
              </w:rPr>
              <w:t xml:space="preserve">împreună cu producătorii autohtoni de </w:t>
            </w:r>
            <w:r w:rsidRPr="0018446E">
              <w:rPr>
                <w:rFonts w:ascii="Times New Roman" w:eastAsia="Times New Roman" w:hAnsi="Times New Roman"/>
                <w:i/>
                <w:iCs/>
                <w:sz w:val="20"/>
                <w:szCs w:val="20"/>
                <w:lang w:val="ro-MD"/>
              </w:rPr>
              <w:t>input</w:t>
            </w:r>
            <w:r w:rsidRPr="0018446E">
              <w:rPr>
                <w:rFonts w:ascii="Times New Roman" w:eastAsia="Times New Roman" w:hAnsi="Times New Roman"/>
                <w:sz w:val="20"/>
                <w:szCs w:val="20"/>
                <w:lang w:val="ro-MD"/>
              </w:rPr>
              <w:t>-uri</w:t>
            </w:r>
          </w:p>
        </w:tc>
      </w:tr>
      <w:tr w:rsidR="0018446E" w:rsidRPr="0018446E" w14:paraId="1E7A09B4" w14:textId="77777777" w:rsidTr="00B0372F">
        <w:tc>
          <w:tcPr>
            <w:tcW w:w="1796" w:type="dxa"/>
          </w:tcPr>
          <w:p w14:paraId="47B6753F" w14:textId="77777777" w:rsidR="0018446E" w:rsidRPr="0018446E" w:rsidRDefault="0018446E" w:rsidP="0018446E">
            <w:pPr>
              <w:spacing w:after="0" w:line="240" w:lineRule="auto"/>
              <w:ind w:left="0"/>
              <w:jc w:val="both"/>
              <w:rPr>
                <w:rFonts w:ascii="Times New Roman" w:eastAsia="Times New Roman" w:hAnsi="Times New Roman"/>
                <w:bCs/>
                <w:sz w:val="20"/>
                <w:szCs w:val="20"/>
                <w:lang w:val="ro-MD"/>
              </w:rPr>
            </w:pPr>
            <w:r w:rsidRPr="0018446E">
              <w:rPr>
                <w:rFonts w:ascii="Times New Roman" w:eastAsia="Times New Roman" w:hAnsi="Times New Roman"/>
                <w:bCs/>
                <w:sz w:val="20"/>
                <w:szCs w:val="20"/>
                <w:lang w:val="ro-MD"/>
              </w:rPr>
              <w:t xml:space="preserve">Trenarea politicilor aferente primelor două niveluri de intervenții: stabilitatea macroeconomică și </w:t>
            </w:r>
            <w:r w:rsidRPr="0018446E">
              <w:rPr>
                <w:rFonts w:ascii="Times New Roman" w:eastAsia="Times New Roman" w:hAnsi="Times New Roman"/>
                <w:bCs/>
                <w:sz w:val="20"/>
                <w:szCs w:val="20"/>
                <w:lang w:val="ro-MD"/>
              </w:rPr>
              <w:lastRenderedPageBreak/>
              <w:t>reformele structurale.</w:t>
            </w:r>
          </w:p>
          <w:p w14:paraId="3DBCC9EE" w14:textId="77777777" w:rsidR="0018446E" w:rsidRPr="0018446E" w:rsidRDefault="0018446E" w:rsidP="0018446E">
            <w:pPr>
              <w:spacing w:after="0" w:line="240" w:lineRule="auto"/>
              <w:ind w:left="0"/>
              <w:rPr>
                <w:rFonts w:ascii="Times New Roman" w:eastAsia="Times New Roman" w:hAnsi="Times New Roman"/>
                <w:sz w:val="20"/>
                <w:szCs w:val="20"/>
                <w:lang w:val="ro-MD"/>
              </w:rPr>
            </w:pPr>
          </w:p>
        </w:tc>
        <w:tc>
          <w:tcPr>
            <w:tcW w:w="1823" w:type="dxa"/>
          </w:tcPr>
          <w:p w14:paraId="0E9B7359"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lastRenderedPageBreak/>
              <w:t xml:space="preserve">Stabilitatea economică și reformele structurale sunt întârziate și, în acest context, </w:t>
            </w:r>
            <w:r w:rsidRPr="0018446E">
              <w:rPr>
                <w:rFonts w:ascii="Times New Roman" w:eastAsia="Times New Roman" w:hAnsi="Times New Roman"/>
                <w:sz w:val="20"/>
                <w:szCs w:val="20"/>
                <w:lang w:val="ro-MD"/>
              </w:rPr>
              <w:lastRenderedPageBreak/>
              <w:t>eficiența politicilor sectoriale este redusă</w:t>
            </w:r>
          </w:p>
        </w:tc>
        <w:tc>
          <w:tcPr>
            <w:tcW w:w="1840" w:type="dxa"/>
          </w:tcPr>
          <w:p w14:paraId="7CA4E689"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lastRenderedPageBreak/>
              <w:t>Medie</w:t>
            </w:r>
          </w:p>
        </w:tc>
        <w:tc>
          <w:tcPr>
            <w:tcW w:w="2079" w:type="dxa"/>
          </w:tcPr>
          <w:p w14:paraId="5D2D015D"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Mare</w:t>
            </w:r>
          </w:p>
        </w:tc>
        <w:tc>
          <w:tcPr>
            <w:tcW w:w="2096" w:type="dxa"/>
          </w:tcPr>
          <w:p w14:paraId="229A46B2"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Promovarea și facilitarea dialogului între instituțiile statului, mediul de afaceri și societatea civilă, pentru a asigura </w:t>
            </w:r>
            <w:r w:rsidRPr="0018446E">
              <w:rPr>
                <w:rFonts w:ascii="Times New Roman" w:eastAsia="Times New Roman" w:hAnsi="Times New Roman"/>
                <w:sz w:val="20"/>
                <w:szCs w:val="20"/>
                <w:lang w:val="ro-MD"/>
              </w:rPr>
              <w:lastRenderedPageBreak/>
              <w:t>o colaborare eficientă și o coordonare a eforturilor</w:t>
            </w:r>
          </w:p>
          <w:p w14:paraId="1396E273" w14:textId="77777777" w:rsidR="0018446E" w:rsidRPr="0018446E" w:rsidRDefault="0018446E" w:rsidP="0018446E">
            <w:pPr>
              <w:spacing w:after="0" w:line="240" w:lineRule="auto"/>
              <w:ind w:left="0"/>
              <w:rPr>
                <w:rFonts w:ascii="Times New Roman" w:eastAsia="Times New Roman" w:hAnsi="Times New Roman"/>
                <w:sz w:val="20"/>
                <w:szCs w:val="20"/>
                <w:lang w:val="ro-MD"/>
              </w:rPr>
            </w:pPr>
          </w:p>
        </w:tc>
      </w:tr>
      <w:tr w:rsidR="0018446E" w:rsidRPr="0018446E" w14:paraId="4A844085" w14:textId="77777777" w:rsidTr="00B0372F">
        <w:tc>
          <w:tcPr>
            <w:tcW w:w="1796" w:type="dxa"/>
          </w:tcPr>
          <w:p w14:paraId="4AD31382"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lastRenderedPageBreak/>
              <w:t>Capacitatea instituțională redusă</w:t>
            </w:r>
          </w:p>
        </w:tc>
        <w:tc>
          <w:tcPr>
            <w:tcW w:w="1823" w:type="dxa"/>
          </w:tcPr>
          <w:p w14:paraId="1EA04941"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Guvernul și instituțiile publice pot avea resurse umane limitate și competente reduse pentru implementarea Programului.</w:t>
            </w:r>
          </w:p>
        </w:tc>
        <w:tc>
          <w:tcPr>
            <w:tcW w:w="1840" w:type="dxa"/>
          </w:tcPr>
          <w:p w14:paraId="06271317"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Medie</w:t>
            </w:r>
          </w:p>
        </w:tc>
        <w:tc>
          <w:tcPr>
            <w:tcW w:w="2079" w:type="dxa"/>
          </w:tcPr>
          <w:p w14:paraId="24140FFB"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Medie</w:t>
            </w:r>
          </w:p>
        </w:tc>
        <w:tc>
          <w:tcPr>
            <w:tcW w:w="2096" w:type="dxa"/>
          </w:tcPr>
          <w:p w14:paraId="30B5D39F"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Investirea în programe de dezvoltare a capacităților instituționale și formarea personalului cheie pentru a asigura o buna implementare a </w:t>
            </w:r>
            <w:r w:rsidRPr="0018446E">
              <w:rPr>
                <w:rFonts w:ascii="Times New Roman" w:eastAsia="Times New Roman" w:hAnsi="Times New Roman"/>
                <w:i/>
                <w:sz w:val="20"/>
                <w:szCs w:val="20"/>
                <w:lang w:val="ro-MD"/>
              </w:rPr>
              <w:t>PNDI</w:t>
            </w:r>
            <w:r w:rsidRPr="0018446E">
              <w:rPr>
                <w:rFonts w:ascii="Times New Roman" w:eastAsia="Times New Roman" w:hAnsi="Times New Roman"/>
                <w:sz w:val="20"/>
                <w:szCs w:val="20"/>
                <w:lang w:val="ro-MD"/>
              </w:rPr>
              <w:t>.</w:t>
            </w:r>
          </w:p>
        </w:tc>
      </w:tr>
      <w:tr w:rsidR="0018446E" w:rsidRPr="0018446E" w14:paraId="49C541E4" w14:textId="77777777" w:rsidTr="00B0372F">
        <w:tc>
          <w:tcPr>
            <w:tcW w:w="1796" w:type="dxa"/>
          </w:tcPr>
          <w:p w14:paraId="4EAC0C47"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 xml:space="preserve">Lipsa finanțării pentru implementarea </w:t>
            </w:r>
            <w:r w:rsidRPr="0018446E">
              <w:rPr>
                <w:rFonts w:ascii="Times New Roman" w:eastAsia="Times New Roman" w:hAnsi="Times New Roman"/>
                <w:i/>
                <w:sz w:val="20"/>
                <w:szCs w:val="20"/>
                <w:lang w:val="ro-MD"/>
              </w:rPr>
              <w:t>PNDI</w:t>
            </w:r>
          </w:p>
        </w:tc>
        <w:tc>
          <w:tcPr>
            <w:tcW w:w="1823" w:type="dxa"/>
          </w:tcPr>
          <w:p w14:paraId="395FD117"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Dificultăți în obținerea resurselor financiare bugetare necesare pentru implementarea PNDI</w:t>
            </w:r>
          </w:p>
        </w:tc>
        <w:tc>
          <w:tcPr>
            <w:tcW w:w="1840" w:type="dxa"/>
          </w:tcPr>
          <w:p w14:paraId="2BE53C45"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Înaltă</w:t>
            </w:r>
          </w:p>
        </w:tc>
        <w:tc>
          <w:tcPr>
            <w:tcW w:w="2079" w:type="dxa"/>
          </w:tcPr>
          <w:p w14:paraId="1445DF89"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Mare</w:t>
            </w:r>
          </w:p>
        </w:tc>
        <w:tc>
          <w:tcPr>
            <w:tcW w:w="2096" w:type="dxa"/>
          </w:tcPr>
          <w:p w14:paraId="579D54A6"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Dezvoltarea capacităților de mobilizare a surselor externe, implicit a capacităților de absorbție a fondurilor UE</w:t>
            </w:r>
          </w:p>
        </w:tc>
      </w:tr>
      <w:tr w:rsidR="0018446E" w:rsidRPr="0018446E" w14:paraId="73983D89" w14:textId="77777777" w:rsidTr="00B0372F">
        <w:tc>
          <w:tcPr>
            <w:tcW w:w="1796" w:type="dxa"/>
          </w:tcPr>
          <w:p w14:paraId="2F7D9CA6"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Reacția apatică a mediului de afaceri</w:t>
            </w:r>
          </w:p>
        </w:tc>
        <w:tc>
          <w:tcPr>
            <w:tcW w:w="1823" w:type="dxa"/>
          </w:tcPr>
          <w:p w14:paraId="00EF5776"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Întreprinderile din sectoarele industriale nu reacționează suficient la măsurile și instrumentele de stimulare prevăzute în Program</w:t>
            </w:r>
          </w:p>
        </w:tc>
        <w:tc>
          <w:tcPr>
            <w:tcW w:w="1840" w:type="dxa"/>
          </w:tcPr>
          <w:p w14:paraId="78FB0475"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Mică</w:t>
            </w:r>
          </w:p>
        </w:tc>
        <w:tc>
          <w:tcPr>
            <w:tcW w:w="2079" w:type="dxa"/>
          </w:tcPr>
          <w:p w14:paraId="50E6FE5B" w14:textId="77777777" w:rsidR="0018446E" w:rsidRPr="0018446E" w:rsidRDefault="0018446E" w:rsidP="0018446E">
            <w:pPr>
              <w:spacing w:after="0" w:line="240" w:lineRule="auto"/>
              <w:ind w:left="0"/>
              <w:jc w:val="center"/>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Mare</w:t>
            </w:r>
          </w:p>
        </w:tc>
        <w:tc>
          <w:tcPr>
            <w:tcW w:w="2096" w:type="dxa"/>
          </w:tcPr>
          <w:p w14:paraId="48B8C632" w14:textId="77777777" w:rsidR="0018446E" w:rsidRPr="0018446E" w:rsidRDefault="0018446E" w:rsidP="0018446E">
            <w:pPr>
              <w:spacing w:after="0" w:line="240" w:lineRule="auto"/>
              <w:ind w:left="0"/>
              <w:rPr>
                <w:rFonts w:ascii="Times New Roman" w:eastAsia="Times New Roman" w:hAnsi="Times New Roman"/>
                <w:sz w:val="20"/>
                <w:szCs w:val="20"/>
                <w:lang w:val="ro-MD"/>
              </w:rPr>
            </w:pPr>
            <w:r w:rsidRPr="0018446E">
              <w:rPr>
                <w:rFonts w:ascii="Times New Roman" w:eastAsia="Times New Roman" w:hAnsi="Times New Roman"/>
                <w:sz w:val="20"/>
                <w:szCs w:val="20"/>
                <w:lang w:val="ro-MD"/>
              </w:rPr>
              <w:t>Desfășurarea campaniilor de promovare, setate în fiecare dintre obiective</w:t>
            </w:r>
          </w:p>
        </w:tc>
      </w:tr>
    </w:tbl>
    <w:p w14:paraId="327D94A6" w14:textId="77777777" w:rsidR="0018446E" w:rsidRPr="0018446E" w:rsidRDefault="0018446E" w:rsidP="0018446E">
      <w:pPr>
        <w:spacing w:after="0" w:line="240" w:lineRule="auto"/>
        <w:ind w:left="0"/>
        <w:jc w:val="both"/>
        <w:rPr>
          <w:rFonts w:ascii="Times New Roman" w:eastAsia="Times New Roman" w:hAnsi="Times New Roman"/>
          <w:sz w:val="28"/>
          <w:szCs w:val="28"/>
          <w:lang w:val="ro-MD"/>
        </w:rPr>
      </w:pPr>
    </w:p>
    <w:p w14:paraId="16BC8318" w14:textId="77777777" w:rsidR="0018446E" w:rsidRPr="0018446E" w:rsidRDefault="0018446E" w:rsidP="0018446E">
      <w:pPr>
        <w:spacing w:after="0" w:line="240" w:lineRule="auto"/>
        <w:ind w:left="0"/>
        <w:rPr>
          <w:rFonts w:ascii="Times New Roman" w:eastAsia="Times New Roman" w:hAnsi="Times New Roman"/>
          <w:sz w:val="28"/>
          <w:szCs w:val="28"/>
          <w:lang w:val="ro-MD" w:eastAsia="ru-RU"/>
        </w:rPr>
      </w:pPr>
    </w:p>
    <w:p w14:paraId="58FDDA94" w14:textId="77777777" w:rsidR="0018446E" w:rsidRPr="0018446E" w:rsidRDefault="0018446E" w:rsidP="0018446E">
      <w:pPr>
        <w:keepNext/>
        <w:keepLines/>
        <w:spacing w:after="0" w:line="240" w:lineRule="auto"/>
        <w:ind w:left="0" w:firstLine="567"/>
        <w:jc w:val="center"/>
        <w:outlineLvl w:val="0"/>
        <w:rPr>
          <w:rFonts w:ascii="Times New Roman" w:eastAsia="Times New Roman" w:hAnsi="Times New Roman"/>
          <w:bCs/>
          <w:sz w:val="28"/>
          <w:szCs w:val="28"/>
          <w:lang w:val="ro-MD" w:eastAsia="ru-RU"/>
        </w:rPr>
      </w:pPr>
      <w:r w:rsidRPr="0018446E">
        <w:rPr>
          <w:rFonts w:ascii="Times New Roman" w:eastAsia="Times New Roman" w:hAnsi="Times New Roman"/>
          <w:b/>
          <w:bCs/>
          <w:sz w:val="28"/>
          <w:szCs w:val="28"/>
          <w:lang w:val="ro-MD" w:eastAsia="ru-RU"/>
        </w:rPr>
        <w:t>VIII. AUTORITĂȚI/INSTITUȚII RESPONSABILE DE IMPLEMENTARE</w:t>
      </w:r>
    </w:p>
    <w:p w14:paraId="1DB735B6" w14:textId="77777777" w:rsidR="0018446E" w:rsidRPr="0018446E" w:rsidRDefault="0018446E" w:rsidP="0018446E">
      <w:pPr>
        <w:spacing w:after="0" w:line="240" w:lineRule="auto"/>
        <w:ind w:left="0"/>
        <w:rPr>
          <w:rFonts w:ascii="Times New Roman" w:eastAsia="Times New Roman" w:hAnsi="Times New Roman"/>
          <w:sz w:val="28"/>
          <w:szCs w:val="28"/>
          <w:lang w:val="ro-MD"/>
        </w:rPr>
      </w:pPr>
    </w:p>
    <w:p w14:paraId="189447B5" w14:textId="77777777" w:rsidR="0018446E" w:rsidRPr="0018446E" w:rsidRDefault="0018446E" w:rsidP="0018446E">
      <w:pPr>
        <w:spacing w:line="240" w:lineRule="auto"/>
        <w:ind w:left="0"/>
        <w:jc w:val="both"/>
        <w:rPr>
          <w:rFonts w:ascii="Times New Roman" w:eastAsia="Times New Roman" w:hAnsi="Times New Roman"/>
          <w:shd w:val="clear" w:color="auto" w:fill="FFFFFF"/>
          <w:lang w:val="ro-MD"/>
        </w:rPr>
      </w:pPr>
      <w:r w:rsidRPr="0018446E">
        <w:rPr>
          <w:rFonts w:ascii="Times New Roman" w:eastAsia="Times New Roman" w:hAnsi="Times New Roman"/>
          <w:lang w:val="ro-MD"/>
        </w:rPr>
        <w:t xml:space="preserve">Responsabilitatea principală pentru coordonarea implementării </w:t>
      </w:r>
      <w:r w:rsidRPr="0018446E">
        <w:rPr>
          <w:rFonts w:ascii="Times New Roman" w:eastAsia="Times New Roman" w:hAnsi="Times New Roman"/>
          <w:i/>
          <w:lang w:val="ro-MD"/>
        </w:rPr>
        <w:t>PNDI</w:t>
      </w:r>
      <w:r w:rsidRPr="0018446E">
        <w:rPr>
          <w:rFonts w:ascii="Times New Roman" w:eastAsia="Times New Roman" w:hAnsi="Times New Roman"/>
          <w:lang w:val="ro-MD"/>
        </w:rPr>
        <w:t xml:space="preserve"> este atribuită Ministerului Dezvoltării Economice și Digitalizării, care are misiunea de</w:t>
      </w:r>
      <w:r w:rsidRPr="0018446E">
        <w:rPr>
          <w:rFonts w:ascii="Times New Roman" w:eastAsia="Times New Roman" w:hAnsi="Times New Roman"/>
          <w:shd w:val="clear" w:color="auto" w:fill="FFFFFF"/>
          <w:lang w:val="ro-MD"/>
        </w:rPr>
        <w:t xml:space="preserve"> a implementa politica statului în domeniul dezvoltării industriale și susținerii dezvoltării </w:t>
      </w:r>
      <w:proofErr w:type="spellStart"/>
      <w:r w:rsidRPr="0018446E">
        <w:rPr>
          <w:rFonts w:ascii="Times New Roman" w:eastAsia="Times New Roman" w:hAnsi="Times New Roman"/>
          <w:shd w:val="clear" w:color="auto" w:fill="FFFFFF"/>
          <w:lang w:val="ro-MD"/>
        </w:rPr>
        <w:t>antreprenoriatului</w:t>
      </w:r>
      <w:proofErr w:type="spellEnd"/>
      <w:r w:rsidRPr="0018446E">
        <w:rPr>
          <w:rFonts w:ascii="Times New Roman" w:eastAsia="Times New Roman" w:hAnsi="Times New Roman"/>
          <w:shd w:val="clear" w:color="auto" w:fill="FFFFFF"/>
          <w:lang w:val="ro-MD"/>
        </w:rPr>
        <w:t xml:space="preserve">, conform strategiilor și programelor aprobate de Guvern. De asemenea, sunt implicate </w:t>
      </w:r>
      <w:r w:rsidRPr="0018446E">
        <w:rPr>
          <w:rFonts w:ascii="Times New Roman" w:eastAsia="Times New Roman" w:hAnsi="Times New Roman"/>
          <w:lang w:val="ro-MD"/>
        </w:rPr>
        <w:t xml:space="preserve">Instituția Publică Organizația pentru Dezvoltarea </w:t>
      </w:r>
      <w:proofErr w:type="spellStart"/>
      <w:r w:rsidRPr="0018446E">
        <w:rPr>
          <w:rFonts w:ascii="Times New Roman" w:eastAsia="Times New Roman" w:hAnsi="Times New Roman"/>
          <w:lang w:val="ro-MD"/>
        </w:rPr>
        <w:t>Antreprenoriatului</w:t>
      </w:r>
      <w:proofErr w:type="spellEnd"/>
      <w:r w:rsidRPr="0018446E">
        <w:rPr>
          <w:rFonts w:ascii="Times New Roman" w:eastAsia="Times New Roman" w:hAnsi="Times New Roman"/>
          <w:lang w:val="ro-MD"/>
        </w:rPr>
        <w:t>, Institutul Național de Metrologie și Institutul de Standardizare din Moldova.</w:t>
      </w:r>
    </w:p>
    <w:p w14:paraId="0B8FB443" w14:textId="77777777" w:rsidR="0018446E" w:rsidRPr="0018446E" w:rsidRDefault="0018446E" w:rsidP="0018446E">
      <w:pPr>
        <w:spacing w:line="240" w:lineRule="auto"/>
        <w:ind w:left="0"/>
        <w:jc w:val="both"/>
        <w:rPr>
          <w:rFonts w:ascii="Times New Roman" w:eastAsia="Times New Roman" w:hAnsi="Times New Roman"/>
          <w:shd w:val="clear" w:color="auto" w:fill="FFFFFF"/>
          <w:lang w:val="ro-MD"/>
        </w:rPr>
      </w:pPr>
      <w:r w:rsidRPr="0018446E">
        <w:rPr>
          <w:rFonts w:ascii="Times New Roman" w:eastAsia="Times New Roman" w:hAnsi="Times New Roman"/>
          <w:shd w:val="clear" w:color="auto" w:fill="FFFFFF"/>
          <w:lang w:val="ro-MD"/>
        </w:rPr>
        <w:t>Responsabilități tematice conexe implementării PNDI sunt pentru Ministerul Educației și Cercetării, Ministerul Muncii și Protecției Sociale, Ministerul Agriculturii și Industriei Alimentare și Ministerul Sănătății, pentru sectoarele și măsurile corespunzătoare.</w:t>
      </w:r>
    </w:p>
    <w:p w14:paraId="23032916" w14:textId="77777777" w:rsidR="0018446E" w:rsidRPr="0018446E" w:rsidRDefault="0018446E" w:rsidP="0018446E">
      <w:pPr>
        <w:keepNext/>
        <w:keepLines/>
        <w:spacing w:after="0" w:line="240" w:lineRule="auto"/>
        <w:ind w:left="0" w:firstLine="567"/>
        <w:jc w:val="center"/>
        <w:outlineLvl w:val="0"/>
        <w:rPr>
          <w:rFonts w:ascii="Times New Roman" w:eastAsia="Times New Roman" w:hAnsi="Times New Roman"/>
          <w:b/>
          <w:bCs/>
          <w:sz w:val="28"/>
          <w:szCs w:val="28"/>
          <w:lang w:val="ro-MD" w:eastAsia="ru-RU"/>
        </w:rPr>
      </w:pPr>
    </w:p>
    <w:p w14:paraId="4B4BF40D" w14:textId="77777777" w:rsidR="0018446E" w:rsidRPr="0018446E" w:rsidRDefault="0018446E" w:rsidP="0018446E">
      <w:pPr>
        <w:keepNext/>
        <w:keepLines/>
        <w:spacing w:after="0" w:line="240" w:lineRule="auto"/>
        <w:ind w:left="0" w:firstLine="567"/>
        <w:jc w:val="center"/>
        <w:outlineLvl w:val="0"/>
        <w:rPr>
          <w:rFonts w:ascii="Times New Roman" w:eastAsia="Times New Roman" w:hAnsi="Times New Roman"/>
          <w:b/>
          <w:bCs/>
          <w:sz w:val="28"/>
          <w:szCs w:val="28"/>
          <w:lang w:val="ro-MD" w:eastAsia="ru-RU"/>
        </w:rPr>
      </w:pPr>
    </w:p>
    <w:p w14:paraId="3BDE865E" w14:textId="77777777" w:rsidR="0018446E" w:rsidRPr="0018446E" w:rsidRDefault="0018446E" w:rsidP="0018446E">
      <w:pPr>
        <w:keepNext/>
        <w:keepLines/>
        <w:spacing w:after="0" w:line="240" w:lineRule="auto"/>
        <w:ind w:left="0" w:firstLine="567"/>
        <w:jc w:val="center"/>
        <w:outlineLvl w:val="0"/>
        <w:rPr>
          <w:rFonts w:ascii="Times New Roman" w:eastAsia="Times New Roman" w:hAnsi="Times New Roman"/>
          <w:bCs/>
          <w:sz w:val="28"/>
          <w:szCs w:val="28"/>
          <w:lang w:val="ro-MD" w:eastAsia="ru-RU"/>
        </w:rPr>
      </w:pPr>
      <w:r w:rsidRPr="0018446E">
        <w:rPr>
          <w:rFonts w:ascii="Times New Roman" w:eastAsia="Times New Roman" w:hAnsi="Times New Roman"/>
          <w:b/>
          <w:bCs/>
          <w:sz w:val="28"/>
          <w:szCs w:val="28"/>
          <w:lang w:val="ro-MD" w:eastAsia="ru-RU"/>
        </w:rPr>
        <w:t>IX.  PROCEDURI DE RAPORTARE</w:t>
      </w:r>
    </w:p>
    <w:p w14:paraId="62D59059" w14:textId="77777777" w:rsidR="0018446E" w:rsidRPr="0018446E" w:rsidRDefault="0018446E" w:rsidP="0018446E">
      <w:pPr>
        <w:spacing w:after="0" w:line="240" w:lineRule="auto"/>
        <w:ind w:left="0"/>
        <w:jc w:val="center"/>
        <w:rPr>
          <w:rFonts w:ascii="Times New Roman" w:eastAsia="Times New Roman" w:hAnsi="Times New Roman"/>
          <w:sz w:val="28"/>
          <w:szCs w:val="28"/>
          <w:lang w:val="ro-MD"/>
        </w:rPr>
      </w:pPr>
    </w:p>
    <w:p w14:paraId="360F9C1F" w14:textId="77777777" w:rsidR="0018446E" w:rsidRPr="0018446E" w:rsidRDefault="0018446E" w:rsidP="0018446E">
      <w:pPr>
        <w:spacing w:before="120" w:line="240"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Autoritățile responsabile de implementarea </w:t>
      </w:r>
      <w:r w:rsidRPr="0018446E">
        <w:rPr>
          <w:rFonts w:ascii="Times New Roman" w:eastAsia="Times New Roman" w:hAnsi="Times New Roman"/>
          <w:i/>
          <w:lang w:val="ro-MD"/>
        </w:rPr>
        <w:t xml:space="preserve">PNDI </w:t>
      </w:r>
      <w:r w:rsidRPr="0018446E">
        <w:rPr>
          <w:rFonts w:ascii="Times New Roman" w:eastAsia="Times New Roman" w:hAnsi="Times New Roman"/>
          <w:lang w:val="ro-MD"/>
        </w:rPr>
        <w:t xml:space="preserve">prezintă Ministerului Dezvoltării Economice și Digitalizării anual, până la data de 01 martie a anului următor celui de referință, informația despre executarea, în anul trecut, a </w:t>
      </w:r>
      <w:r w:rsidRPr="0018446E">
        <w:rPr>
          <w:rFonts w:ascii="Times New Roman" w:eastAsia="Times New Roman" w:hAnsi="Times New Roman"/>
          <w:bCs/>
          <w:lang w:val="ro-MD"/>
        </w:rPr>
        <w:t xml:space="preserve">Planului de acțiuni </w:t>
      </w:r>
      <w:r w:rsidRPr="0018446E">
        <w:rPr>
          <w:rFonts w:ascii="Times New Roman" w:eastAsia="Times New Roman" w:hAnsi="Times New Roman"/>
          <w:lang w:val="ro-MD"/>
        </w:rPr>
        <w:t>pentru anii</w:t>
      </w:r>
      <w:r w:rsidRPr="0018446E">
        <w:rPr>
          <w:rFonts w:ascii="Times New Roman" w:eastAsia="Times New Roman" w:hAnsi="Times New Roman"/>
          <w:i/>
          <w:lang w:val="ro-MD"/>
        </w:rPr>
        <w:t xml:space="preserve"> </w:t>
      </w:r>
      <w:r w:rsidRPr="0018446E">
        <w:rPr>
          <w:rFonts w:ascii="Times New Roman" w:eastAsia="Times New Roman" w:hAnsi="Times New Roman"/>
          <w:lang w:val="ro-MD"/>
        </w:rPr>
        <w:t>2024-2026, conform domeniilor de competențe.</w:t>
      </w:r>
    </w:p>
    <w:p w14:paraId="0FE5196C" w14:textId="77777777" w:rsidR="0018446E" w:rsidRPr="0018446E" w:rsidRDefault="0018446E" w:rsidP="0018446E">
      <w:pPr>
        <w:spacing w:before="120" w:line="240" w:lineRule="auto"/>
        <w:ind w:left="0"/>
        <w:jc w:val="both"/>
        <w:rPr>
          <w:rFonts w:ascii="Times New Roman" w:eastAsia="Times New Roman" w:hAnsi="Times New Roman"/>
          <w:lang w:val="ro-MD" w:eastAsia="ro-RO"/>
        </w:rPr>
      </w:pPr>
      <w:r w:rsidRPr="0018446E">
        <w:rPr>
          <w:rFonts w:ascii="Times New Roman" w:eastAsia="Times New Roman" w:hAnsi="Times New Roman"/>
          <w:lang w:val="ro-MD" w:eastAsia="ro-RO"/>
        </w:rPr>
        <w:t>Ministerul Dezvoltării Economice și Digitalizării prezintă Guvernului, anual, până la data de 31 martie a anului în curs, raportul privind realizarea Planului 2024-2026 în anul precedent.</w:t>
      </w:r>
    </w:p>
    <w:p w14:paraId="630CF4A3" w14:textId="77777777" w:rsidR="0018446E" w:rsidRPr="0018446E" w:rsidRDefault="0018446E" w:rsidP="0018446E">
      <w:pPr>
        <w:spacing w:before="120" w:line="240" w:lineRule="auto"/>
        <w:ind w:left="0"/>
        <w:jc w:val="both"/>
        <w:rPr>
          <w:rFonts w:ascii="Times New Roman" w:eastAsia="Times New Roman" w:hAnsi="Times New Roman"/>
          <w:lang w:val="ro-MD" w:eastAsia="ro-RO"/>
        </w:rPr>
      </w:pPr>
      <w:r w:rsidRPr="0018446E">
        <w:rPr>
          <w:rFonts w:ascii="Times New Roman" w:eastAsia="Times New Roman" w:hAnsi="Times New Roman"/>
          <w:lang w:val="ro-MD" w:eastAsia="ro-RO"/>
        </w:rPr>
        <w:lastRenderedPageBreak/>
        <w:t>În anul 2026 se va efectua evaluarea intermediară a implementării Programului, cu identificarea progreselor, impedimentelor, precum și elaborarea propunerilor și recomandărilor de resort.</w:t>
      </w:r>
    </w:p>
    <w:p w14:paraId="0311F818" w14:textId="77777777" w:rsidR="0018446E" w:rsidRPr="0018446E" w:rsidRDefault="0018446E" w:rsidP="0018446E">
      <w:pPr>
        <w:spacing w:before="120" w:line="240" w:lineRule="auto"/>
        <w:ind w:left="0"/>
        <w:jc w:val="both"/>
        <w:rPr>
          <w:rFonts w:ascii="Times New Roman" w:eastAsia="Times New Roman" w:hAnsi="Times New Roman"/>
          <w:lang w:val="ro-MD" w:eastAsia="ro-RO"/>
        </w:rPr>
      </w:pPr>
      <w:r w:rsidRPr="0018446E">
        <w:rPr>
          <w:rFonts w:ascii="Times New Roman" w:eastAsia="Times New Roman" w:hAnsi="Times New Roman"/>
          <w:lang w:val="ro-MD" w:eastAsia="ro-RO"/>
        </w:rPr>
        <w:t xml:space="preserve">În anul 2026, în baza propunerilor și recomandărilor autorităților vizate, Ministerul Dezvoltării Economice și Digitalizării va elabora și va prezenta Guvernului spre aprobare proiectul Planului de acțiuni pentru implementarea, în anii 2027-2028, a </w:t>
      </w:r>
      <w:r w:rsidRPr="0018446E">
        <w:rPr>
          <w:rFonts w:ascii="Times New Roman" w:eastAsia="Times New Roman" w:hAnsi="Times New Roman"/>
          <w:i/>
          <w:iCs/>
          <w:lang w:val="ro-MD" w:eastAsia="ro-RO"/>
        </w:rPr>
        <w:t>PNDI 2024-2028</w:t>
      </w:r>
      <w:r w:rsidRPr="0018446E">
        <w:rPr>
          <w:rFonts w:ascii="Times New Roman" w:eastAsia="Times New Roman" w:hAnsi="Times New Roman"/>
          <w:lang w:val="ro-MD" w:eastAsia="ro-RO"/>
        </w:rPr>
        <w:t>.</w:t>
      </w:r>
    </w:p>
    <w:p w14:paraId="63677341" w14:textId="77777777" w:rsidR="0018446E" w:rsidRPr="0018446E" w:rsidRDefault="0018446E" w:rsidP="0018446E">
      <w:pPr>
        <w:spacing w:before="120" w:line="240" w:lineRule="auto"/>
        <w:ind w:left="0"/>
        <w:jc w:val="both"/>
        <w:rPr>
          <w:rFonts w:ascii="Times New Roman" w:eastAsia="Times New Roman" w:hAnsi="Times New Roman"/>
          <w:lang w:val="ro-MD" w:eastAsia="ro-RO"/>
        </w:rPr>
      </w:pPr>
      <w:r w:rsidRPr="0018446E">
        <w:rPr>
          <w:rFonts w:ascii="Times New Roman" w:eastAsia="Times New Roman" w:hAnsi="Times New Roman"/>
          <w:lang w:val="ro-MD" w:eastAsia="ro-RO"/>
        </w:rPr>
        <w:t>Raportul de evaluare finală se va realiza în anul 2029. Constatările și propunerile din Raportul de evaluare finală vor constitui temei pentru elaborarea unui nou document de politici privind dezvoltarea industrială în Republica Moldova.</w:t>
      </w:r>
    </w:p>
    <w:p w14:paraId="12BD69D9" w14:textId="77777777" w:rsidR="0018446E" w:rsidRPr="0018446E" w:rsidRDefault="0018446E" w:rsidP="0018446E">
      <w:pPr>
        <w:spacing w:after="0" w:line="240" w:lineRule="auto"/>
        <w:ind w:left="0"/>
        <w:rPr>
          <w:rFonts w:ascii="Times New Roman" w:eastAsia="Times New Roman" w:hAnsi="Times New Roman"/>
          <w:b/>
          <w:sz w:val="28"/>
          <w:szCs w:val="28"/>
          <w:lang w:val="ro-MD"/>
        </w:rPr>
      </w:pPr>
    </w:p>
    <w:bookmarkEnd w:id="2"/>
    <w:p w14:paraId="07925D29" w14:textId="77777777" w:rsidR="0018446E" w:rsidRPr="0018446E" w:rsidRDefault="0018446E" w:rsidP="0018446E">
      <w:pPr>
        <w:spacing w:after="0" w:line="240" w:lineRule="auto"/>
        <w:ind w:left="0"/>
        <w:rPr>
          <w:rFonts w:ascii="Times New Roman" w:eastAsia="Times New Roman" w:hAnsi="Times New Roman"/>
          <w:b/>
          <w:sz w:val="28"/>
          <w:szCs w:val="28"/>
          <w:lang w:val="ro-MD"/>
        </w:rPr>
        <w:sectPr w:rsidR="0018446E" w:rsidRPr="0018446E" w:rsidSect="00307A65">
          <w:type w:val="continuous"/>
          <w:pgSz w:w="11907" w:h="16839" w:code="9"/>
          <w:pgMar w:top="993" w:right="850" w:bottom="142" w:left="1418" w:header="720" w:footer="720" w:gutter="0"/>
          <w:cols w:space="720"/>
          <w:titlePg/>
          <w:docGrid w:linePitch="360"/>
        </w:sectPr>
      </w:pPr>
    </w:p>
    <w:tbl>
      <w:tblPr>
        <w:tblStyle w:val="aff2"/>
        <w:tblpPr w:leftFromText="180" w:rightFromText="180" w:horzAnchor="margin" w:tblpXSpec="center" w:tblpY="-1440"/>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3230"/>
        <w:gridCol w:w="2268"/>
        <w:gridCol w:w="1276"/>
        <w:gridCol w:w="1134"/>
        <w:gridCol w:w="1134"/>
        <w:gridCol w:w="1134"/>
        <w:gridCol w:w="1366"/>
        <w:gridCol w:w="1520"/>
        <w:gridCol w:w="1650"/>
      </w:tblGrid>
      <w:tr w:rsidR="0018446E" w:rsidRPr="0018446E" w14:paraId="4CCFD4A7" w14:textId="77777777" w:rsidTr="00B0372F">
        <w:trPr>
          <w:trHeight w:val="580"/>
        </w:trPr>
        <w:tc>
          <w:tcPr>
            <w:tcW w:w="15588" w:type="dxa"/>
            <w:gridSpan w:val="10"/>
          </w:tcPr>
          <w:p w14:paraId="150CB1A2" w14:textId="77777777" w:rsidR="0018446E" w:rsidRPr="0018446E" w:rsidRDefault="0018446E" w:rsidP="0018446E">
            <w:pPr>
              <w:spacing w:after="0" w:line="240" w:lineRule="auto"/>
              <w:ind w:left="0"/>
              <w:jc w:val="center"/>
              <w:rPr>
                <w:rFonts w:ascii="Times New Roman" w:eastAsia="Times New Roman" w:hAnsi="Times New Roman"/>
                <w:b/>
                <w:lang w:val="ro-MD" w:eastAsia="en-GB"/>
              </w:rPr>
            </w:pPr>
          </w:p>
          <w:p w14:paraId="23074F1F" w14:textId="77777777" w:rsidR="0018446E" w:rsidRPr="0018446E" w:rsidRDefault="0018446E" w:rsidP="0018446E">
            <w:pPr>
              <w:spacing w:after="0" w:line="240" w:lineRule="auto"/>
              <w:ind w:left="0"/>
              <w:rPr>
                <w:rFonts w:ascii="Times New Roman" w:eastAsia="Times New Roman" w:hAnsi="Times New Roman"/>
                <w:b/>
                <w:lang w:val="ro-MD" w:eastAsia="en-GB"/>
              </w:rPr>
            </w:pPr>
          </w:p>
          <w:p w14:paraId="6A7325BC" w14:textId="77777777" w:rsidR="0018446E" w:rsidRPr="0018446E" w:rsidRDefault="0018446E" w:rsidP="0018446E">
            <w:pPr>
              <w:spacing w:after="0" w:line="240" w:lineRule="auto"/>
              <w:ind w:left="0"/>
              <w:jc w:val="center"/>
              <w:rPr>
                <w:rFonts w:ascii="Times New Roman" w:eastAsia="Times New Roman" w:hAnsi="Times New Roman"/>
                <w:b/>
                <w:lang w:val="ro-MD" w:eastAsia="en-GB"/>
              </w:rPr>
            </w:pPr>
            <w:r w:rsidRPr="0018446E">
              <w:rPr>
                <w:rFonts w:ascii="Times New Roman" w:eastAsia="Times New Roman" w:hAnsi="Times New Roman"/>
                <w:b/>
                <w:lang w:val="ro-MD" w:eastAsia="en-GB"/>
              </w:rPr>
              <w:t xml:space="preserve">X. Planul de acțiuni privind implementarea în anii 2024-2026 </w:t>
            </w:r>
          </w:p>
          <w:p w14:paraId="5E7B9674" w14:textId="77777777" w:rsidR="0018446E" w:rsidRPr="0018446E" w:rsidRDefault="0018446E" w:rsidP="0018446E">
            <w:pPr>
              <w:spacing w:after="0" w:line="240" w:lineRule="auto"/>
              <w:ind w:left="0"/>
              <w:jc w:val="center"/>
              <w:rPr>
                <w:rFonts w:ascii="Times New Roman" w:eastAsia="Times New Roman" w:hAnsi="Times New Roman"/>
                <w:b/>
                <w:lang w:val="ro-MD"/>
              </w:rPr>
            </w:pPr>
            <w:r w:rsidRPr="0018446E">
              <w:rPr>
                <w:rFonts w:ascii="Times New Roman" w:eastAsia="Times New Roman" w:hAnsi="Times New Roman"/>
                <w:b/>
                <w:lang w:val="ro-MD"/>
              </w:rPr>
              <w:t xml:space="preserve">a Programului național pentru dezvoltarea industrială pentru anii 2024-2028 </w:t>
            </w:r>
          </w:p>
          <w:p w14:paraId="4647D554" w14:textId="77777777" w:rsidR="0018446E" w:rsidRPr="0018446E" w:rsidRDefault="0018446E" w:rsidP="0018446E">
            <w:pPr>
              <w:spacing w:after="0" w:line="240" w:lineRule="auto"/>
              <w:ind w:left="0"/>
              <w:rPr>
                <w:rFonts w:ascii="Times New Roman" w:eastAsia="Times New Roman" w:hAnsi="Times New Roman"/>
                <w:lang w:val="ro-MD" w:eastAsia="en-GB"/>
              </w:rPr>
            </w:pPr>
          </w:p>
        </w:tc>
      </w:tr>
      <w:tr w:rsidR="0018446E" w:rsidRPr="0018446E" w14:paraId="008F4F84" w14:textId="77777777" w:rsidTr="00B0372F">
        <w:trPr>
          <w:trHeight w:val="329"/>
        </w:trPr>
        <w:tc>
          <w:tcPr>
            <w:tcW w:w="15588" w:type="dxa"/>
            <w:gridSpan w:val="10"/>
            <w:shd w:val="clear" w:color="auto" w:fill="D9E2F3" w:themeFill="accent1" w:themeFillTint="33"/>
          </w:tcPr>
          <w:p w14:paraId="5C1DDC0A" w14:textId="77777777" w:rsidR="0018446E" w:rsidRPr="0018446E" w:rsidRDefault="0018446E" w:rsidP="0018446E">
            <w:pPr>
              <w:spacing w:after="0" w:line="240" w:lineRule="auto"/>
              <w:ind w:left="0"/>
              <w:rPr>
                <w:rFonts w:ascii="Times New Roman" w:eastAsia="Times New Roman" w:hAnsi="Times New Roman"/>
                <w:lang w:val="ro-MD"/>
              </w:rPr>
            </w:pPr>
            <w:r w:rsidRPr="0018446E">
              <w:rPr>
                <w:rFonts w:ascii="Times New Roman" w:eastAsia="Times New Roman" w:hAnsi="Times New Roman"/>
                <w:b/>
                <w:lang w:val="ro-MD" w:eastAsia="en-GB"/>
              </w:rPr>
              <w:t>Obiectivul General 1:</w:t>
            </w:r>
            <w:r w:rsidRPr="0018446E">
              <w:rPr>
                <w:rFonts w:ascii="Times New Roman" w:eastAsia="Times New Roman" w:hAnsi="Times New Roman"/>
                <w:color w:val="FF0000"/>
                <w:lang w:val="ro-MD"/>
              </w:rPr>
              <w:t xml:space="preserve"> </w:t>
            </w:r>
            <w:r w:rsidRPr="0018446E">
              <w:rPr>
                <w:rFonts w:ascii="Times New Roman" w:eastAsia="Times New Roman" w:hAnsi="Times New Roman"/>
                <w:b/>
                <w:lang w:val="ro-MD"/>
              </w:rPr>
              <w:t xml:space="preserve"> Îmbunătățirea guvernanței și modernizarea instituțională</w:t>
            </w:r>
          </w:p>
        </w:tc>
      </w:tr>
      <w:tr w:rsidR="0018446E" w:rsidRPr="0018446E" w14:paraId="4D64A132" w14:textId="77777777" w:rsidTr="00B0372F">
        <w:trPr>
          <w:trHeight w:val="553"/>
        </w:trPr>
        <w:tc>
          <w:tcPr>
            <w:tcW w:w="876" w:type="dxa"/>
            <w:vMerge w:val="restart"/>
            <w:shd w:val="clear" w:color="auto" w:fill="FFFBEF"/>
            <w:vAlign w:val="center"/>
          </w:tcPr>
          <w:p w14:paraId="14EA334D"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Nr.</w:t>
            </w:r>
          </w:p>
        </w:tc>
        <w:tc>
          <w:tcPr>
            <w:tcW w:w="3230" w:type="dxa"/>
            <w:vMerge w:val="restart"/>
            <w:shd w:val="clear" w:color="auto" w:fill="FFFBEF"/>
            <w:vAlign w:val="center"/>
          </w:tcPr>
          <w:p w14:paraId="77BEDB3A"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Acțiuni</w:t>
            </w:r>
          </w:p>
        </w:tc>
        <w:tc>
          <w:tcPr>
            <w:tcW w:w="2268" w:type="dxa"/>
            <w:vMerge w:val="restart"/>
            <w:shd w:val="clear" w:color="auto" w:fill="FFFBEF"/>
            <w:vAlign w:val="center"/>
          </w:tcPr>
          <w:p w14:paraId="6FED25A2"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Indicatori de monitorizare</w:t>
            </w:r>
          </w:p>
        </w:tc>
        <w:tc>
          <w:tcPr>
            <w:tcW w:w="1276" w:type="dxa"/>
            <w:vMerge w:val="restart"/>
            <w:shd w:val="clear" w:color="auto" w:fill="FFFBEF"/>
            <w:vAlign w:val="center"/>
          </w:tcPr>
          <w:p w14:paraId="77C9AD1C"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Termen de realizare</w:t>
            </w:r>
          </w:p>
        </w:tc>
        <w:tc>
          <w:tcPr>
            <w:tcW w:w="3402" w:type="dxa"/>
            <w:gridSpan w:val="3"/>
            <w:shd w:val="clear" w:color="auto" w:fill="FFFBEF"/>
            <w:vAlign w:val="center"/>
          </w:tcPr>
          <w:p w14:paraId="0F0315B8"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 xml:space="preserve">Costuri estimate </w:t>
            </w:r>
            <w:r w:rsidRPr="0018446E">
              <w:rPr>
                <w:rFonts w:ascii="Times New Roman" w:eastAsia="Times New Roman" w:hAnsi="Times New Roman"/>
                <w:b/>
                <w:bCs/>
                <w:i/>
                <w:iCs/>
                <w:lang w:val="ro-MD" w:eastAsia="en-GB"/>
              </w:rPr>
              <w:t>(mii MDL)</w:t>
            </w:r>
          </w:p>
        </w:tc>
        <w:tc>
          <w:tcPr>
            <w:tcW w:w="1366" w:type="dxa"/>
            <w:vMerge w:val="restart"/>
            <w:shd w:val="clear" w:color="auto" w:fill="FFFBEF"/>
            <w:vAlign w:val="center"/>
          </w:tcPr>
          <w:p w14:paraId="0464E1C7"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Surse de finanțare</w:t>
            </w:r>
          </w:p>
        </w:tc>
        <w:tc>
          <w:tcPr>
            <w:tcW w:w="1520" w:type="dxa"/>
            <w:vMerge w:val="restart"/>
            <w:shd w:val="clear" w:color="auto" w:fill="FFFBEF"/>
            <w:vAlign w:val="center"/>
          </w:tcPr>
          <w:p w14:paraId="2D365008"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Instituția responsabilă</w:t>
            </w:r>
          </w:p>
        </w:tc>
        <w:tc>
          <w:tcPr>
            <w:tcW w:w="1650" w:type="dxa"/>
            <w:vMerge w:val="restart"/>
            <w:shd w:val="clear" w:color="auto" w:fill="FFFBEF"/>
            <w:vAlign w:val="center"/>
          </w:tcPr>
          <w:p w14:paraId="17A91A5A"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Parteneri</w:t>
            </w:r>
          </w:p>
        </w:tc>
      </w:tr>
      <w:tr w:rsidR="0018446E" w:rsidRPr="0018446E" w14:paraId="38AAA97E" w14:textId="77777777" w:rsidTr="00B0372F">
        <w:trPr>
          <w:trHeight w:val="553"/>
        </w:trPr>
        <w:tc>
          <w:tcPr>
            <w:tcW w:w="876" w:type="dxa"/>
            <w:vMerge/>
            <w:vAlign w:val="center"/>
          </w:tcPr>
          <w:p w14:paraId="2888E557"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c>
          <w:tcPr>
            <w:tcW w:w="3230" w:type="dxa"/>
            <w:vMerge/>
            <w:vAlign w:val="center"/>
          </w:tcPr>
          <w:p w14:paraId="26D2FCD8"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c>
          <w:tcPr>
            <w:tcW w:w="2268" w:type="dxa"/>
            <w:vMerge/>
            <w:vAlign w:val="center"/>
          </w:tcPr>
          <w:p w14:paraId="073AB3D4"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c>
          <w:tcPr>
            <w:tcW w:w="1276" w:type="dxa"/>
            <w:vMerge/>
            <w:vAlign w:val="center"/>
          </w:tcPr>
          <w:p w14:paraId="721178D2"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c>
          <w:tcPr>
            <w:tcW w:w="1134" w:type="dxa"/>
            <w:shd w:val="clear" w:color="auto" w:fill="FFFBEF"/>
            <w:vAlign w:val="center"/>
          </w:tcPr>
          <w:p w14:paraId="235501F5"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2024</w:t>
            </w:r>
          </w:p>
        </w:tc>
        <w:tc>
          <w:tcPr>
            <w:tcW w:w="1134" w:type="dxa"/>
            <w:shd w:val="clear" w:color="auto" w:fill="FFFBEF"/>
            <w:vAlign w:val="center"/>
          </w:tcPr>
          <w:p w14:paraId="0F38DC9D"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2025</w:t>
            </w:r>
          </w:p>
        </w:tc>
        <w:tc>
          <w:tcPr>
            <w:tcW w:w="1134" w:type="dxa"/>
            <w:shd w:val="clear" w:color="auto" w:fill="FFFBEF"/>
            <w:vAlign w:val="center"/>
          </w:tcPr>
          <w:p w14:paraId="137426E3"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2026</w:t>
            </w:r>
          </w:p>
        </w:tc>
        <w:tc>
          <w:tcPr>
            <w:tcW w:w="1366" w:type="dxa"/>
            <w:vMerge/>
            <w:vAlign w:val="center"/>
          </w:tcPr>
          <w:p w14:paraId="6A04A09D"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c>
          <w:tcPr>
            <w:tcW w:w="1520" w:type="dxa"/>
            <w:vMerge/>
            <w:vAlign w:val="center"/>
          </w:tcPr>
          <w:p w14:paraId="4E92922F"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c>
          <w:tcPr>
            <w:tcW w:w="1650" w:type="dxa"/>
            <w:vMerge/>
            <w:vAlign w:val="center"/>
          </w:tcPr>
          <w:p w14:paraId="67FEE52C"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r>
      <w:tr w:rsidR="0018446E" w:rsidRPr="0018446E" w14:paraId="3EEBFBD0" w14:textId="77777777" w:rsidTr="00B0372F">
        <w:trPr>
          <w:trHeight w:val="471"/>
        </w:trPr>
        <w:tc>
          <w:tcPr>
            <w:tcW w:w="15588" w:type="dxa"/>
            <w:gridSpan w:val="10"/>
            <w:shd w:val="clear" w:color="auto" w:fill="D5DCE4" w:themeFill="text2" w:themeFillTint="33"/>
          </w:tcPr>
          <w:p w14:paraId="06351ED1" w14:textId="77777777" w:rsidR="0018446E" w:rsidRPr="0018446E" w:rsidRDefault="0018446E" w:rsidP="0018446E">
            <w:pPr>
              <w:spacing w:after="0" w:line="240" w:lineRule="auto"/>
              <w:ind w:left="0"/>
              <w:rPr>
                <w:rFonts w:ascii="Times New Roman" w:eastAsia="Times New Roman" w:hAnsi="Times New Roman"/>
                <w:b/>
                <w:bCs/>
                <w:i/>
                <w:iCs/>
                <w:lang w:val="ro-MD" w:eastAsia="en-GB"/>
              </w:rPr>
            </w:pPr>
            <w:bookmarkStart w:id="8" w:name="_Hlk139721346"/>
            <w:r w:rsidRPr="0018446E">
              <w:rPr>
                <w:rFonts w:ascii="Times New Roman" w:eastAsia="Times New Roman" w:hAnsi="Times New Roman"/>
                <w:b/>
                <w:bCs/>
                <w:i/>
                <w:iCs/>
                <w:lang w:val="ro-MD" w:eastAsia="en-GB"/>
              </w:rPr>
              <w:t xml:space="preserve">Obiectivul Specific 1.1. </w:t>
            </w:r>
            <w:r w:rsidRPr="0018446E">
              <w:rPr>
                <w:rFonts w:ascii="Times New Roman" w:eastAsia="Times New Roman" w:hAnsi="Times New Roman"/>
                <w:bCs/>
                <w:i/>
                <w:iCs/>
                <w:lang w:val="ro-MD"/>
              </w:rPr>
              <w:t xml:space="preserve"> </w:t>
            </w:r>
            <w:r w:rsidRPr="0018446E">
              <w:rPr>
                <w:rFonts w:ascii="Times New Roman" w:eastAsia="Times New Roman" w:hAnsi="Times New Roman"/>
                <w:b/>
                <w:i/>
                <w:iCs/>
                <w:lang w:val="ro-MD"/>
              </w:rPr>
              <w:t>Consolidarea cadrului normativ și eficientizarea guvernanței</w:t>
            </w:r>
          </w:p>
        </w:tc>
      </w:tr>
      <w:bookmarkEnd w:id="8"/>
      <w:tr w:rsidR="0018446E" w:rsidRPr="0018446E" w14:paraId="7521C3DE" w14:textId="77777777" w:rsidTr="00B0372F">
        <w:trPr>
          <w:trHeight w:val="320"/>
        </w:trPr>
        <w:tc>
          <w:tcPr>
            <w:tcW w:w="15588" w:type="dxa"/>
            <w:gridSpan w:val="10"/>
          </w:tcPr>
          <w:p w14:paraId="7E2823C4"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Indicatori de rezultat:</w:t>
            </w:r>
          </w:p>
          <w:p w14:paraId="64F101CC" w14:textId="77777777" w:rsidR="0018446E" w:rsidRPr="0018446E" w:rsidRDefault="0018446E" w:rsidP="0018446E">
            <w:pPr>
              <w:spacing w:after="0" w:line="240" w:lineRule="auto"/>
              <w:ind w:left="0"/>
              <w:rPr>
                <w:rFonts w:ascii="Times New Roman" w:eastAsia="Times New Roman" w:hAnsi="Times New Roman"/>
                <w:lang w:val="ro-MD" w:eastAsia="en-GB"/>
              </w:rPr>
            </w:pPr>
            <w:bookmarkStart w:id="9" w:name="_Hlk156928271"/>
            <w:r w:rsidRPr="0018446E">
              <w:rPr>
                <w:rFonts w:ascii="Times New Roman" w:eastAsia="Times New Roman" w:hAnsi="Times New Roman"/>
                <w:lang w:val="ro-MD" w:eastAsia="en-GB"/>
              </w:rPr>
              <w:t xml:space="preserve">1. Rata indicatorului </w:t>
            </w:r>
            <w:r w:rsidRPr="0018446E">
              <w:rPr>
                <w:rFonts w:ascii="Times New Roman" w:eastAsia="Times New Roman" w:hAnsi="Times New Roman"/>
                <w:lang w:val="ro-MD"/>
              </w:rPr>
              <w:t>Calitatea Reglementărilor (</w:t>
            </w:r>
            <w:proofErr w:type="spellStart"/>
            <w:r w:rsidRPr="0018446E">
              <w:rPr>
                <w:rFonts w:ascii="Times New Roman" w:eastAsia="Times New Roman" w:hAnsi="Times New Roman"/>
                <w:i/>
                <w:iCs/>
                <w:lang w:val="ro-MD"/>
              </w:rPr>
              <w:t>Regulatory</w:t>
            </w:r>
            <w:proofErr w:type="spellEnd"/>
            <w:r w:rsidRPr="0018446E">
              <w:rPr>
                <w:rFonts w:ascii="Times New Roman" w:eastAsia="Times New Roman" w:hAnsi="Times New Roman"/>
                <w:i/>
                <w:iCs/>
                <w:lang w:val="ro-MD"/>
              </w:rPr>
              <w:t xml:space="preserve"> Quality</w:t>
            </w:r>
            <w:r w:rsidRPr="0018446E">
              <w:rPr>
                <w:rFonts w:ascii="Times New Roman" w:eastAsia="Times New Roman" w:hAnsi="Times New Roman"/>
                <w:lang w:val="ro-MD"/>
              </w:rPr>
              <w:t>)</w:t>
            </w:r>
            <w:r w:rsidRPr="0018446E">
              <w:rPr>
                <w:rFonts w:ascii="Times New Roman" w:eastAsia="Times New Roman" w:hAnsi="Times New Roman"/>
                <w:lang w:val="ro-MD" w:eastAsia="en-GB"/>
              </w:rPr>
              <w:t>, în creștere cu 10%, în anul 2026.</w:t>
            </w:r>
          </w:p>
          <w:p w14:paraId="0CDEE905"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2. Rata </w:t>
            </w:r>
            <w:r w:rsidRPr="0018446E">
              <w:rPr>
                <w:rFonts w:ascii="Times New Roman" w:eastAsia="Times New Roman" w:hAnsi="Times New Roman"/>
                <w:lang w:val="ro-MD"/>
              </w:rPr>
              <w:t xml:space="preserve">Indexului Infrastructurii Calității pentru Dezvoltare Sustenabilă, </w:t>
            </w:r>
            <w:r w:rsidRPr="0018446E">
              <w:rPr>
                <w:rFonts w:ascii="Times New Roman" w:eastAsia="Times New Roman" w:hAnsi="Times New Roman"/>
                <w:lang w:val="ro-MD" w:eastAsia="en-GB"/>
              </w:rPr>
              <w:t xml:space="preserve"> în creștere cu 10%, în anul 2026.</w:t>
            </w:r>
          </w:p>
          <w:p w14:paraId="5E9E2C99"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 Numărul managerilor calificați din întreprinderile industriale, în creștere cu 25%, în anul 2026.</w:t>
            </w:r>
            <w:bookmarkEnd w:id="9"/>
          </w:p>
        </w:tc>
      </w:tr>
      <w:tr w:rsidR="0018446E" w:rsidRPr="0018446E" w14:paraId="39D83404" w14:textId="77777777" w:rsidTr="00B0372F">
        <w:trPr>
          <w:trHeight w:val="489"/>
        </w:trPr>
        <w:tc>
          <w:tcPr>
            <w:tcW w:w="15588" w:type="dxa"/>
            <w:gridSpan w:val="10"/>
          </w:tcPr>
          <w:p w14:paraId="2B641722"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i/>
                <w:iCs/>
                <w:lang w:val="ro-MD" w:eastAsia="en-GB"/>
              </w:rPr>
              <w:t>1.1.1.</w:t>
            </w:r>
            <w:r w:rsidRPr="0018446E">
              <w:rPr>
                <w:rFonts w:ascii="Times New Roman" w:eastAsia="Times New Roman" w:hAnsi="Times New Roman"/>
                <w:lang w:val="ro-MD" w:eastAsia="en-GB"/>
              </w:rPr>
              <w:t xml:space="preserve"> </w:t>
            </w:r>
            <w:r w:rsidRPr="0018446E">
              <w:rPr>
                <w:rFonts w:ascii="Times New Roman" w:eastAsia="Times New Roman" w:hAnsi="Times New Roman"/>
                <w:i/>
                <w:iCs/>
                <w:lang w:val="ro-MD"/>
              </w:rPr>
              <w:t>Îmbunătățirea cadrului normativ relevant dezvoltării sectorului industrial</w:t>
            </w:r>
          </w:p>
        </w:tc>
      </w:tr>
      <w:tr w:rsidR="0018446E" w:rsidRPr="0018446E" w14:paraId="06135D89" w14:textId="77777777" w:rsidTr="00B0372F">
        <w:trPr>
          <w:trHeight w:val="699"/>
        </w:trPr>
        <w:tc>
          <w:tcPr>
            <w:tcW w:w="876" w:type="dxa"/>
          </w:tcPr>
          <w:p w14:paraId="36504DED"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1.1.1.1</w:t>
            </w:r>
          </w:p>
        </w:tc>
        <w:tc>
          <w:tcPr>
            <w:tcW w:w="3230" w:type="dxa"/>
          </w:tcPr>
          <w:p w14:paraId="41CA5A15"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xml:space="preserve">Modificarea Legii nr. 182/2010 cu privire la parcurile industriale, în scopul </w:t>
            </w:r>
            <w:r w:rsidRPr="0018446E">
              <w:rPr>
                <w:rFonts w:ascii="Times New Roman" w:eastAsia="Times New Roman" w:hAnsi="Times New Roman" w:cstheme="minorBidi"/>
                <w:lang w:val="ro-MD"/>
              </w:rPr>
              <w:t xml:space="preserve"> alinierii plenitudinare a PI la cerințele proprii Industriei 4.0</w:t>
            </w:r>
            <w:r w:rsidRPr="0018446E">
              <w:rPr>
                <w:rFonts w:ascii="Times New Roman" w:eastAsia="Times New Roman" w:hAnsi="Times New Roman"/>
                <w:lang w:val="ro-MD" w:eastAsia="en-GB"/>
              </w:rPr>
              <w:t xml:space="preserve"> </w:t>
            </w:r>
          </w:p>
        </w:tc>
        <w:tc>
          <w:tcPr>
            <w:tcW w:w="2268" w:type="dxa"/>
          </w:tcPr>
          <w:p w14:paraId="0AEEC16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Proiect de lege aprobat de Guvern și transmis Parlamentului spre adoptare</w:t>
            </w:r>
          </w:p>
        </w:tc>
        <w:tc>
          <w:tcPr>
            <w:tcW w:w="1276" w:type="dxa"/>
          </w:tcPr>
          <w:p w14:paraId="047F5EB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 2024</w:t>
            </w:r>
          </w:p>
        </w:tc>
        <w:tc>
          <w:tcPr>
            <w:tcW w:w="1134" w:type="dxa"/>
            <w:noWrap/>
          </w:tcPr>
          <w:p w14:paraId="256196CE" w14:textId="77777777" w:rsidR="0018446E" w:rsidRPr="0018446E" w:rsidRDefault="0018446E" w:rsidP="0018446E">
            <w:pPr>
              <w:spacing w:after="0" w:line="240" w:lineRule="auto"/>
              <w:ind w:left="0"/>
              <w:jc w:val="center"/>
              <w:rPr>
                <w:rFonts w:ascii="Times New Roman" w:hAnsi="Times New Roman"/>
                <w:bCs/>
                <w:color w:val="C00000"/>
                <w:sz w:val="20"/>
                <w:szCs w:val="20"/>
              </w:rPr>
            </w:pPr>
            <w:r w:rsidRPr="0018446E">
              <w:rPr>
                <w:rFonts w:ascii="Times New Roman" w:hAnsi="Times New Roman"/>
                <w:bCs/>
                <w:color w:val="C00000"/>
                <w:sz w:val="20"/>
                <w:szCs w:val="20"/>
              </w:rPr>
              <w:t>20,2</w:t>
            </w:r>
          </w:p>
          <w:p w14:paraId="2BE32E2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shd w:val="clear" w:color="auto" w:fill="auto"/>
          </w:tcPr>
          <w:p w14:paraId="456DAB4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1B500C2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auto"/>
          </w:tcPr>
          <w:p w14:paraId="68EFBDD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5053A4D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33E8D3D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58D11541" w14:textId="77777777" w:rsidTr="00B0372F">
        <w:trPr>
          <w:trHeight w:val="699"/>
        </w:trPr>
        <w:tc>
          <w:tcPr>
            <w:tcW w:w="876" w:type="dxa"/>
          </w:tcPr>
          <w:p w14:paraId="2FF80B5D"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1.1.1.2</w:t>
            </w:r>
          </w:p>
        </w:tc>
        <w:tc>
          <w:tcPr>
            <w:tcW w:w="3230" w:type="dxa"/>
          </w:tcPr>
          <w:p w14:paraId="59D8CA45" w14:textId="77777777" w:rsidR="0018446E" w:rsidRPr="0018446E" w:rsidRDefault="0018446E" w:rsidP="0018446E">
            <w:pPr>
              <w:spacing w:after="0" w:line="240" w:lineRule="auto"/>
              <w:ind w:left="0"/>
              <w:rPr>
                <w:rFonts w:ascii="Times New Roman" w:eastAsia="Times New Roman" w:hAnsi="Times New Roman"/>
                <w:b/>
                <w:lang w:val="ro-MD" w:eastAsia="en-GB"/>
              </w:rPr>
            </w:pPr>
            <w:r w:rsidRPr="0018446E">
              <w:rPr>
                <w:rFonts w:ascii="Times New Roman" w:eastAsia="Times New Roman" w:hAnsi="Times New Roman"/>
                <w:lang w:val="ro-MD" w:eastAsia="en-GB"/>
              </w:rPr>
              <w:t>Modificarea Legii nr. 440/2001 cu privire la zonele economice libere în scopul alinierii la Codul Vamal nr. 95/2021 și normele UE în materie de concurență</w:t>
            </w:r>
          </w:p>
        </w:tc>
        <w:tc>
          <w:tcPr>
            <w:tcW w:w="2268" w:type="dxa"/>
          </w:tcPr>
          <w:p w14:paraId="6CD4B0F3"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Proiect de lege aprobat de Guvern și transmis Parlamentului spre adoptare</w:t>
            </w:r>
          </w:p>
        </w:tc>
        <w:tc>
          <w:tcPr>
            <w:tcW w:w="1276" w:type="dxa"/>
          </w:tcPr>
          <w:p w14:paraId="36954C1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II, 2024</w:t>
            </w:r>
          </w:p>
        </w:tc>
        <w:tc>
          <w:tcPr>
            <w:tcW w:w="1134" w:type="dxa"/>
            <w:noWrap/>
          </w:tcPr>
          <w:p w14:paraId="18950B4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bCs/>
                <w:color w:val="C00000"/>
                <w:sz w:val="20"/>
                <w:szCs w:val="20"/>
              </w:rPr>
              <w:t>15,4</w:t>
            </w:r>
          </w:p>
        </w:tc>
        <w:tc>
          <w:tcPr>
            <w:tcW w:w="1134" w:type="dxa"/>
            <w:shd w:val="clear" w:color="auto" w:fill="auto"/>
          </w:tcPr>
          <w:p w14:paraId="28DDDB5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shd w:val="clear" w:color="auto" w:fill="auto"/>
          </w:tcPr>
          <w:p w14:paraId="62335AF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shd w:val="clear" w:color="auto" w:fill="auto"/>
          </w:tcPr>
          <w:p w14:paraId="6735737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w:t>
            </w:r>
          </w:p>
        </w:tc>
        <w:tc>
          <w:tcPr>
            <w:tcW w:w="1520" w:type="dxa"/>
          </w:tcPr>
          <w:p w14:paraId="089BB63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58A9F382"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Finanțelor</w:t>
            </w:r>
          </w:p>
          <w:p w14:paraId="0AEF9D6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Serviciul Vamal</w:t>
            </w:r>
          </w:p>
          <w:p w14:paraId="2576C78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Consiliul Concurenței</w:t>
            </w:r>
          </w:p>
        </w:tc>
      </w:tr>
      <w:tr w:rsidR="0018446E" w:rsidRPr="0018446E" w14:paraId="5897622D" w14:textId="77777777" w:rsidTr="00B0372F">
        <w:trPr>
          <w:trHeight w:val="699"/>
        </w:trPr>
        <w:tc>
          <w:tcPr>
            <w:tcW w:w="876" w:type="dxa"/>
          </w:tcPr>
          <w:p w14:paraId="68293394"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1.1.1.3</w:t>
            </w:r>
          </w:p>
        </w:tc>
        <w:tc>
          <w:tcPr>
            <w:tcW w:w="3230" w:type="dxa"/>
          </w:tcPr>
          <w:p w14:paraId="0FACB439"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xml:space="preserve">Modificarea Legii nr. 8/2005 cu privire la Portul Internațional Liber </w:t>
            </w:r>
            <w:r w:rsidRPr="0018446E">
              <w:rPr>
                <w:rFonts w:ascii="Times New Roman" w:eastAsia="Times New Roman" w:hAnsi="Times New Roman"/>
                <w:lang w:val="ro-MD" w:eastAsia="en-GB"/>
              </w:rPr>
              <w:lastRenderedPageBreak/>
              <w:t>„Giurgiulești”, în scopul alinierii la Codul Vamal nr. 95/2021 și normele UE în materie de concurență</w:t>
            </w:r>
          </w:p>
        </w:tc>
        <w:tc>
          <w:tcPr>
            <w:tcW w:w="2268" w:type="dxa"/>
          </w:tcPr>
          <w:p w14:paraId="6F8AA10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lastRenderedPageBreak/>
              <w:t xml:space="preserve">- Proiect de lege aprobat de Guvern și transmis </w:t>
            </w:r>
            <w:r w:rsidRPr="0018446E">
              <w:rPr>
                <w:rFonts w:ascii="Times New Roman" w:eastAsia="Times New Roman" w:hAnsi="Times New Roman"/>
                <w:lang w:val="ro-MD" w:eastAsia="en-GB"/>
              </w:rPr>
              <w:lastRenderedPageBreak/>
              <w:t>Parlamentului spre adoptare</w:t>
            </w:r>
          </w:p>
        </w:tc>
        <w:tc>
          <w:tcPr>
            <w:tcW w:w="1276" w:type="dxa"/>
          </w:tcPr>
          <w:p w14:paraId="345198B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lastRenderedPageBreak/>
              <w:t>Tr. IV, 2024</w:t>
            </w:r>
          </w:p>
        </w:tc>
        <w:tc>
          <w:tcPr>
            <w:tcW w:w="1134" w:type="dxa"/>
            <w:noWrap/>
          </w:tcPr>
          <w:p w14:paraId="395B627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15,4</w:t>
            </w:r>
          </w:p>
        </w:tc>
        <w:tc>
          <w:tcPr>
            <w:tcW w:w="1134" w:type="dxa"/>
            <w:shd w:val="clear" w:color="auto" w:fill="auto"/>
          </w:tcPr>
          <w:p w14:paraId="01DE4B5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47FD6B6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auto"/>
          </w:tcPr>
          <w:p w14:paraId="600F032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3AF7BAE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 xml:space="preserve">Ministerul Dezvoltării </w:t>
            </w:r>
            <w:r w:rsidRPr="0018446E">
              <w:rPr>
                <w:rFonts w:ascii="Times New Roman" w:eastAsia="Times New Roman" w:hAnsi="Times New Roman"/>
                <w:lang w:val="ro-MD" w:eastAsia="en-GB"/>
              </w:rPr>
              <w:lastRenderedPageBreak/>
              <w:t>Economice și Digitalizării</w:t>
            </w:r>
          </w:p>
        </w:tc>
        <w:tc>
          <w:tcPr>
            <w:tcW w:w="1650" w:type="dxa"/>
          </w:tcPr>
          <w:p w14:paraId="4CC9959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lastRenderedPageBreak/>
              <w:t>Ministerul Finanțelor</w:t>
            </w:r>
          </w:p>
          <w:p w14:paraId="6C7DB19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lastRenderedPageBreak/>
              <w:t>Serviciul Vamal</w:t>
            </w:r>
          </w:p>
          <w:p w14:paraId="2D134DA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Consiliul Concurenței</w:t>
            </w:r>
          </w:p>
        </w:tc>
      </w:tr>
      <w:tr w:rsidR="0018446E" w:rsidRPr="0018446E" w14:paraId="6ABFD235" w14:textId="77777777" w:rsidTr="00B0372F">
        <w:trPr>
          <w:trHeight w:val="699"/>
        </w:trPr>
        <w:tc>
          <w:tcPr>
            <w:tcW w:w="876" w:type="dxa"/>
          </w:tcPr>
          <w:p w14:paraId="429E360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lastRenderedPageBreak/>
              <w:t>1.1.1.4</w:t>
            </w:r>
          </w:p>
        </w:tc>
        <w:tc>
          <w:tcPr>
            <w:tcW w:w="3230" w:type="dxa"/>
          </w:tcPr>
          <w:p w14:paraId="4A8AC68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xml:space="preserve">Elaborarea </w:t>
            </w:r>
            <w:r w:rsidRPr="0018446E">
              <w:rPr>
                <w:rFonts w:ascii="Times New Roman" w:eastAsia="Times New Roman" w:hAnsi="Times New Roman"/>
              </w:rPr>
              <w:t xml:space="preserve"> proiectului de Lege privind măsurile pentru combaterea întârzierii în efectuarea plăților în tranzacțiile comerciale, în scopul eficientizării sistemului de plăți în tranzacțiile comerciale</w:t>
            </w:r>
          </w:p>
        </w:tc>
        <w:tc>
          <w:tcPr>
            <w:tcW w:w="2268" w:type="dxa"/>
          </w:tcPr>
          <w:p w14:paraId="48EE7CFC"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 Proiect de lege aprobat de Guvern și transmis Parlamentului spre adoptare, </w:t>
            </w:r>
          </w:p>
          <w:p w14:paraId="003DB0E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1276" w:type="dxa"/>
          </w:tcPr>
          <w:p w14:paraId="59B77FB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III, 2024</w:t>
            </w:r>
          </w:p>
          <w:p w14:paraId="6FAAFFA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p w14:paraId="0E1F453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p w14:paraId="60AE759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p w14:paraId="1FE2075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p w14:paraId="3D3F394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noWrap/>
          </w:tcPr>
          <w:p w14:paraId="3D85B2A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color w:val="C00000"/>
                <w:sz w:val="20"/>
                <w:szCs w:val="20"/>
              </w:rPr>
              <w:t>22,6</w:t>
            </w:r>
          </w:p>
        </w:tc>
        <w:tc>
          <w:tcPr>
            <w:tcW w:w="1134" w:type="dxa"/>
            <w:shd w:val="clear" w:color="auto" w:fill="auto"/>
          </w:tcPr>
          <w:p w14:paraId="4D24C58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16B9CF3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auto"/>
          </w:tcPr>
          <w:p w14:paraId="714F334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066F949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01A3741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Justiției</w:t>
            </w:r>
          </w:p>
          <w:p w14:paraId="76A9620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Finanțelor</w:t>
            </w:r>
          </w:p>
          <w:p w14:paraId="5B22B84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p w14:paraId="5E046C6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2C7AD4BA" w14:textId="77777777" w:rsidTr="00B0372F">
        <w:trPr>
          <w:trHeight w:val="699"/>
        </w:trPr>
        <w:tc>
          <w:tcPr>
            <w:tcW w:w="876" w:type="dxa"/>
          </w:tcPr>
          <w:p w14:paraId="5BF021D4"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1.1.1.5</w:t>
            </w:r>
          </w:p>
        </w:tc>
        <w:tc>
          <w:tcPr>
            <w:tcW w:w="3230" w:type="dxa"/>
          </w:tcPr>
          <w:p w14:paraId="264EB568"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Elaborarea </w:t>
            </w:r>
            <w:r w:rsidRPr="0018446E">
              <w:rPr>
                <w:rFonts w:ascii="Times New Roman" w:eastAsia="Times New Roman" w:hAnsi="Times New Roman"/>
                <w:lang w:val="ro-MD"/>
              </w:rPr>
              <w:t xml:space="preserve"> proiectului de hotărâre a Guvernului privind modificarea Hotărârii Guvernului nr. 652/2011 cu privire la aprobarea Regulamentului privind modul de desfășurare a concursului de selectare a rezidenților și a proiectelor investiționale pentru parcul industrial, precum și a Raportului-model privind activitatea desfășurată în cadrul parcului industrial </w:t>
            </w:r>
            <w:r w:rsidRPr="0018446E">
              <w:rPr>
                <w:rFonts w:ascii="Times New Roman" w:eastAsia="Times New Roman" w:hAnsi="Times New Roman"/>
                <w:lang w:val="ro-MD" w:eastAsia="en-GB"/>
              </w:rPr>
              <w:t xml:space="preserve"> </w:t>
            </w:r>
          </w:p>
        </w:tc>
        <w:tc>
          <w:tcPr>
            <w:tcW w:w="2268" w:type="dxa"/>
          </w:tcPr>
          <w:p w14:paraId="34922622"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Hotărâre de Guvern aprobată</w:t>
            </w:r>
          </w:p>
        </w:tc>
        <w:tc>
          <w:tcPr>
            <w:tcW w:w="1276" w:type="dxa"/>
          </w:tcPr>
          <w:p w14:paraId="65CDA78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II, 2024</w:t>
            </w:r>
          </w:p>
        </w:tc>
        <w:tc>
          <w:tcPr>
            <w:tcW w:w="1134" w:type="dxa"/>
            <w:noWrap/>
          </w:tcPr>
          <w:p w14:paraId="1DA1340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bCs/>
                <w:color w:val="C00000"/>
                <w:sz w:val="20"/>
                <w:szCs w:val="20"/>
              </w:rPr>
              <w:t>15,4</w:t>
            </w:r>
          </w:p>
        </w:tc>
        <w:tc>
          <w:tcPr>
            <w:tcW w:w="1134" w:type="dxa"/>
            <w:shd w:val="clear" w:color="auto" w:fill="auto"/>
          </w:tcPr>
          <w:p w14:paraId="4C558A5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shd w:val="clear" w:color="auto" w:fill="auto"/>
          </w:tcPr>
          <w:p w14:paraId="08A831D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shd w:val="clear" w:color="auto" w:fill="auto"/>
          </w:tcPr>
          <w:p w14:paraId="378D254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w:t>
            </w:r>
          </w:p>
        </w:tc>
        <w:tc>
          <w:tcPr>
            <w:tcW w:w="1520" w:type="dxa"/>
          </w:tcPr>
          <w:p w14:paraId="3CDCE22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00DCAA3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Agenția Proprietății Publice</w:t>
            </w:r>
          </w:p>
        </w:tc>
      </w:tr>
      <w:tr w:rsidR="0018446E" w:rsidRPr="0018446E" w14:paraId="7D0C201E" w14:textId="77777777" w:rsidTr="00B0372F">
        <w:trPr>
          <w:trHeight w:val="699"/>
        </w:trPr>
        <w:tc>
          <w:tcPr>
            <w:tcW w:w="876" w:type="dxa"/>
          </w:tcPr>
          <w:p w14:paraId="7F3FA7C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1.1.1.6</w:t>
            </w:r>
          </w:p>
        </w:tc>
        <w:tc>
          <w:tcPr>
            <w:tcW w:w="3230" w:type="dxa"/>
          </w:tcPr>
          <w:p w14:paraId="481387B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rPr>
              <w:t>Elaborarea proiectului de hotărâre de Guvern cu privire la instituirea unei scheme tranzitorii de ajutor de stat în temeiul Legii nr. 440/2001 cu privire la zonele economice libere</w:t>
            </w:r>
          </w:p>
        </w:tc>
        <w:tc>
          <w:tcPr>
            <w:tcW w:w="2268" w:type="dxa"/>
          </w:tcPr>
          <w:p w14:paraId="30497B2D"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Hotărâre de Guvern aprobată</w:t>
            </w:r>
          </w:p>
        </w:tc>
        <w:tc>
          <w:tcPr>
            <w:tcW w:w="1276" w:type="dxa"/>
          </w:tcPr>
          <w:p w14:paraId="0E073A1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II, 2024</w:t>
            </w:r>
          </w:p>
        </w:tc>
        <w:tc>
          <w:tcPr>
            <w:tcW w:w="1134" w:type="dxa"/>
            <w:noWrap/>
          </w:tcPr>
          <w:p w14:paraId="464BC4B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20,2</w:t>
            </w:r>
          </w:p>
        </w:tc>
        <w:tc>
          <w:tcPr>
            <w:tcW w:w="1134" w:type="dxa"/>
            <w:shd w:val="clear" w:color="auto" w:fill="auto"/>
          </w:tcPr>
          <w:p w14:paraId="63C77EB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77544C0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auto"/>
          </w:tcPr>
          <w:p w14:paraId="77F6834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47185FD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0D20A0F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Finanțelor</w:t>
            </w:r>
          </w:p>
          <w:p w14:paraId="37CC7EA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Serviciul Vamal</w:t>
            </w:r>
          </w:p>
          <w:p w14:paraId="3B245CE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Consiliul Concurenței</w:t>
            </w:r>
          </w:p>
        </w:tc>
      </w:tr>
      <w:tr w:rsidR="0018446E" w:rsidRPr="0018446E" w14:paraId="08AD99C0" w14:textId="77777777" w:rsidTr="00B0372F">
        <w:trPr>
          <w:trHeight w:val="416"/>
        </w:trPr>
        <w:tc>
          <w:tcPr>
            <w:tcW w:w="15588" w:type="dxa"/>
            <w:gridSpan w:val="10"/>
          </w:tcPr>
          <w:p w14:paraId="55390CD1" w14:textId="77777777" w:rsidR="0018446E" w:rsidRPr="0018446E" w:rsidRDefault="0018446E" w:rsidP="0018446E">
            <w:pPr>
              <w:spacing w:after="0" w:line="240" w:lineRule="auto"/>
              <w:ind w:left="0"/>
              <w:jc w:val="both"/>
              <w:rPr>
                <w:rFonts w:ascii="Times New Roman" w:eastAsia="Times New Roman" w:hAnsi="Times New Roman" w:cstheme="minorBidi"/>
                <w:lang w:val="ro-MD" w:eastAsia="en-GB"/>
              </w:rPr>
            </w:pPr>
            <w:r w:rsidRPr="0018446E">
              <w:rPr>
                <w:rFonts w:ascii="Times New Roman" w:eastAsia="Times New Roman" w:hAnsi="Times New Roman" w:cstheme="minorBidi"/>
                <w:i/>
                <w:iCs/>
                <w:lang w:val="ro-MD" w:eastAsia="en-GB"/>
              </w:rPr>
              <w:lastRenderedPageBreak/>
              <w:t>1.1.2</w:t>
            </w:r>
            <w:r w:rsidRPr="0018446E">
              <w:rPr>
                <w:rFonts w:ascii="Times New Roman" w:eastAsia="Times New Roman" w:hAnsi="Times New Roman" w:cstheme="minorBidi"/>
                <w:lang w:val="ro-MD" w:eastAsia="en-GB"/>
              </w:rPr>
              <w:t xml:space="preserve"> </w:t>
            </w:r>
            <w:r w:rsidRPr="0018446E">
              <w:rPr>
                <w:rFonts w:ascii="Times New Roman" w:eastAsia="Times New Roman" w:hAnsi="Times New Roman"/>
                <w:i/>
                <w:iCs/>
                <w:lang w:val="ro-MD"/>
              </w:rPr>
              <w:t xml:space="preserve"> Consolidarea infrastructurii calității în industria prelucrătoare</w:t>
            </w:r>
          </w:p>
        </w:tc>
      </w:tr>
      <w:tr w:rsidR="0018446E" w:rsidRPr="0018446E" w14:paraId="62E7805C" w14:textId="77777777" w:rsidTr="00B0372F">
        <w:trPr>
          <w:trHeight w:val="699"/>
        </w:trPr>
        <w:tc>
          <w:tcPr>
            <w:tcW w:w="876" w:type="dxa"/>
          </w:tcPr>
          <w:p w14:paraId="06F01CD7"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1.1.2.1</w:t>
            </w:r>
          </w:p>
        </w:tc>
        <w:tc>
          <w:tcPr>
            <w:tcW w:w="3230" w:type="dxa"/>
          </w:tcPr>
          <w:p w14:paraId="448F1F86"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rPr>
              <w:t>Instituirea și consolidarea Comitetelor Tehnice (CT) pentru industriile chimică și farmaceutică, electronică, industria componentelor auto și textilă</w:t>
            </w:r>
          </w:p>
        </w:tc>
        <w:tc>
          <w:tcPr>
            <w:tcW w:w="2268" w:type="dxa"/>
          </w:tcPr>
          <w:p w14:paraId="41B93318"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Ordine de instituire a  Comitetelor Tehnice aprobate</w:t>
            </w:r>
          </w:p>
          <w:p w14:paraId="78E9EA45"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1276" w:type="dxa"/>
          </w:tcPr>
          <w:p w14:paraId="40CD4F0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2024-2026</w:t>
            </w:r>
          </w:p>
        </w:tc>
        <w:tc>
          <w:tcPr>
            <w:tcW w:w="1134" w:type="dxa"/>
            <w:noWrap/>
          </w:tcPr>
          <w:p w14:paraId="1F5CAF9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15,0</w:t>
            </w:r>
          </w:p>
        </w:tc>
        <w:tc>
          <w:tcPr>
            <w:tcW w:w="1134" w:type="dxa"/>
            <w:shd w:val="clear" w:color="auto" w:fill="auto"/>
          </w:tcPr>
          <w:p w14:paraId="41C9A9C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15,0</w:t>
            </w:r>
          </w:p>
        </w:tc>
        <w:tc>
          <w:tcPr>
            <w:tcW w:w="1134" w:type="dxa"/>
            <w:shd w:val="clear" w:color="auto" w:fill="auto"/>
          </w:tcPr>
          <w:p w14:paraId="7082C9F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15,0</w:t>
            </w:r>
          </w:p>
        </w:tc>
        <w:tc>
          <w:tcPr>
            <w:tcW w:w="1366" w:type="dxa"/>
            <w:shd w:val="clear" w:color="auto" w:fill="auto"/>
          </w:tcPr>
          <w:p w14:paraId="648A51E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2974267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67F380A2" w14:textId="77777777" w:rsidR="0018446E" w:rsidRPr="0018446E" w:rsidRDefault="0018446E" w:rsidP="0018446E">
            <w:pPr>
              <w:spacing w:after="0" w:line="240" w:lineRule="auto"/>
              <w:ind w:left="0"/>
              <w:jc w:val="center"/>
              <w:rPr>
                <w:rFonts w:ascii="Times New Roman" w:eastAsia="Times New Roman" w:hAnsi="Times New Roman" w:cstheme="minorBidi"/>
                <w:sz w:val="22"/>
                <w:szCs w:val="22"/>
                <w:lang w:val="ro-MD" w:eastAsia="en-GB"/>
              </w:rPr>
            </w:pPr>
            <w:r w:rsidRPr="0018446E">
              <w:rPr>
                <w:rFonts w:ascii="Times New Roman" w:eastAsia="Times New Roman" w:hAnsi="Times New Roman" w:cstheme="minorBidi"/>
                <w:sz w:val="22"/>
                <w:szCs w:val="22"/>
                <w:lang w:val="ro-MD" w:eastAsia="en-GB"/>
              </w:rPr>
              <w:t>Institutul de Standardizare din Moldova</w:t>
            </w:r>
          </w:p>
        </w:tc>
        <w:tc>
          <w:tcPr>
            <w:tcW w:w="1650" w:type="dxa"/>
          </w:tcPr>
          <w:p w14:paraId="039AC0E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Asociațiile de business</w:t>
            </w:r>
          </w:p>
        </w:tc>
      </w:tr>
      <w:tr w:rsidR="0018446E" w:rsidRPr="0018446E" w14:paraId="36BF49E7" w14:textId="77777777" w:rsidTr="00B0372F">
        <w:trPr>
          <w:trHeight w:val="699"/>
        </w:trPr>
        <w:tc>
          <w:tcPr>
            <w:tcW w:w="876" w:type="dxa"/>
          </w:tcPr>
          <w:p w14:paraId="663441D4"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1.1.2.2</w:t>
            </w:r>
          </w:p>
        </w:tc>
        <w:tc>
          <w:tcPr>
            <w:tcW w:w="3230" w:type="dxa"/>
          </w:tcPr>
          <w:p w14:paraId="7DCE5E3E"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rPr>
              <w:t>Consolidarea capacităților Organismelor de Evaluare a Conformității (OEC)</w:t>
            </w:r>
          </w:p>
        </w:tc>
        <w:tc>
          <w:tcPr>
            <w:tcW w:w="2268" w:type="dxa"/>
          </w:tcPr>
          <w:p w14:paraId="710276D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Numărul OEC modernizate</w:t>
            </w:r>
          </w:p>
          <w:p w14:paraId="069716B7"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xml:space="preserve">- Numărul de trasabilități asigurate </w:t>
            </w:r>
          </w:p>
        </w:tc>
        <w:tc>
          <w:tcPr>
            <w:tcW w:w="1276" w:type="dxa"/>
          </w:tcPr>
          <w:p w14:paraId="6D4F2BE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2024-2026</w:t>
            </w:r>
          </w:p>
        </w:tc>
        <w:tc>
          <w:tcPr>
            <w:tcW w:w="1134" w:type="dxa"/>
            <w:noWrap/>
          </w:tcPr>
          <w:p w14:paraId="1153B9A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5404E2E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5A817F1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auto"/>
          </w:tcPr>
          <w:p w14:paraId="34F5D15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520" w:type="dxa"/>
          </w:tcPr>
          <w:p w14:paraId="556D396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5A40A1E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sz w:val="22"/>
                <w:szCs w:val="22"/>
                <w:lang w:val="ro-MD" w:eastAsia="en-GB"/>
              </w:rPr>
              <w:t>Institutul Național de Metrologie</w:t>
            </w:r>
          </w:p>
        </w:tc>
        <w:tc>
          <w:tcPr>
            <w:tcW w:w="1650" w:type="dxa"/>
          </w:tcPr>
          <w:p w14:paraId="7C8FE13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Asociațiile de business</w:t>
            </w:r>
          </w:p>
        </w:tc>
      </w:tr>
      <w:tr w:rsidR="0018446E" w:rsidRPr="0018446E" w14:paraId="7E409E20" w14:textId="77777777" w:rsidTr="00B0372F">
        <w:trPr>
          <w:trHeight w:val="699"/>
        </w:trPr>
        <w:tc>
          <w:tcPr>
            <w:tcW w:w="876" w:type="dxa"/>
          </w:tcPr>
          <w:p w14:paraId="6382FDC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1.1.2.3</w:t>
            </w:r>
          </w:p>
        </w:tc>
        <w:tc>
          <w:tcPr>
            <w:tcW w:w="3230" w:type="dxa"/>
          </w:tcPr>
          <w:p w14:paraId="334FAE57"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rPr>
              <w:t xml:space="preserve">Transpunerea deplină a </w:t>
            </w:r>
            <w:r w:rsidRPr="0018446E">
              <w:rPr>
                <w:rFonts w:ascii="Times New Roman" w:eastAsia="Times New Roman" w:hAnsi="Times New Roman"/>
                <w:i/>
                <w:iCs/>
                <w:lang w:val="ro-MD"/>
              </w:rPr>
              <w:t>aquis</w:t>
            </w:r>
            <w:r w:rsidRPr="0018446E">
              <w:rPr>
                <w:rFonts w:ascii="Times New Roman" w:eastAsia="Times New Roman" w:hAnsi="Times New Roman"/>
                <w:lang w:val="ro-MD"/>
              </w:rPr>
              <w:t>-ului UE în domeniul reglementărilor tehnice</w:t>
            </w:r>
          </w:p>
        </w:tc>
        <w:tc>
          <w:tcPr>
            <w:tcW w:w="2268" w:type="dxa"/>
          </w:tcPr>
          <w:p w14:paraId="12E005AB"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Hotărâre de Guvern de transpunere a X Reglementări tehnice UE aprobată</w:t>
            </w:r>
          </w:p>
        </w:tc>
        <w:tc>
          <w:tcPr>
            <w:tcW w:w="1276" w:type="dxa"/>
          </w:tcPr>
          <w:p w14:paraId="37461E3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2024-2025</w:t>
            </w:r>
          </w:p>
        </w:tc>
        <w:tc>
          <w:tcPr>
            <w:tcW w:w="1134" w:type="dxa"/>
            <w:noWrap/>
          </w:tcPr>
          <w:p w14:paraId="18027E4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15,4</w:t>
            </w:r>
          </w:p>
        </w:tc>
        <w:tc>
          <w:tcPr>
            <w:tcW w:w="1134" w:type="dxa"/>
            <w:shd w:val="clear" w:color="auto" w:fill="auto"/>
          </w:tcPr>
          <w:p w14:paraId="32B2154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15,4</w:t>
            </w:r>
          </w:p>
        </w:tc>
        <w:tc>
          <w:tcPr>
            <w:tcW w:w="1134" w:type="dxa"/>
            <w:shd w:val="clear" w:color="auto" w:fill="auto"/>
          </w:tcPr>
          <w:p w14:paraId="74E7D95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auto"/>
          </w:tcPr>
          <w:p w14:paraId="7D8A3C3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3B35FBC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2107DDE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650" w:type="dxa"/>
          </w:tcPr>
          <w:p w14:paraId="45D7AE2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5FDD18B4" w14:textId="77777777" w:rsidTr="00B0372F">
        <w:trPr>
          <w:trHeight w:val="699"/>
        </w:trPr>
        <w:tc>
          <w:tcPr>
            <w:tcW w:w="876" w:type="dxa"/>
          </w:tcPr>
          <w:p w14:paraId="0FFF25EB"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1.1.2.4</w:t>
            </w:r>
          </w:p>
        </w:tc>
        <w:tc>
          <w:tcPr>
            <w:tcW w:w="3230" w:type="dxa"/>
          </w:tcPr>
          <w:p w14:paraId="4A5E5840"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rPr>
              <w:t>Dotarea cu laboratoare a instituțiilor care asigură încercările</w:t>
            </w:r>
          </w:p>
        </w:tc>
        <w:tc>
          <w:tcPr>
            <w:tcW w:w="2268" w:type="dxa"/>
          </w:tcPr>
          <w:p w14:paraId="206C6BB7"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Numărul de laboratoare dotate</w:t>
            </w:r>
          </w:p>
        </w:tc>
        <w:tc>
          <w:tcPr>
            <w:tcW w:w="1276" w:type="dxa"/>
          </w:tcPr>
          <w:p w14:paraId="7A6D047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2025-2026</w:t>
            </w:r>
          </w:p>
        </w:tc>
        <w:tc>
          <w:tcPr>
            <w:tcW w:w="1134" w:type="dxa"/>
            <w:noWrap/>
          </w:tcPr>
          <w:p w14:paraId="4352851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4FC9382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20.000,0</w:t>
            </w:r>
          </w:p>
        </w:tc>
        <w:tc>
          <w:tcPr>
            <w:tcW w:w="1134" w:type="dxa"/>
            <w:shd w:val="clear" w:color="auto" w:fill="auto"/>
          </w:tcPr>
          <w:p w14:paraId="757BCD6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20.000,0</w:t>
            </w:r>
          </w:p>
        </w:tc>
        <w:tc>
          <w:tcPr>
            <w:tcW w:w="1366" w:type="dxa"/>
            <w:shd w:val="clear" w:color="auto" w:fill="auto"/>
          </w:tcPr>
          <w:p w14:paraId="2983490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 Banca Mondială</w:t>
            </w:r>
          </w:p>
        </w:tc>
        <w:tc>
          <w:tcPr>
            <w:tcW w:w="1520" w:type="dxa"/>
          </w:tcPr>
          <w:p w14:paraId="2C9540F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74EA697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Asociațiile de business</w:t>
            </w:r>
          </w:p>
        </w:tc>
      </w:tr>
      <w:tr w:rsidR="0018446E" w:rsidRPr="0018446E" w14:paraId="0164FF95" w14:textId="77777777" w:rsidTr="00B0372F">
        <w:trPr>
          <w:trHeight w:val="699"/>
        </w:trPr>
        <w:tc>
          <w:tcPr>
            <w:tcW w:w="876" w:type="dxa"/>
          </w:tcPr>
          <w:p w14:paraId="400991D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1.1.2.5</w:t>
            </w:r>
          </w:p>
        </w:tc>
        <w:tc>
          <w:tcPr>
            <w:tcW w:w="3230" w:type="dxa"/>
          </w:tcPr>
          <w:p w14:paraId="4A2C1CB9" w14:textId="77777777" w:rsidR="0018446E" w:rsidRPr="0018446E" w:rsidRDefault="0018446E" w:rsidP="0018446E">
            <w:pPr>
              <w:spacing w:after="0" w:line="240" w:lineRule="auto"/>
              <w:ind w:left="0"/>
              <w:jc w:val="both"/>
              <w:rPr>
                <w:rFonts w:ascii="Times New Roman" w:eastAsia="Times New Roman" w:hAnsi="Times New Roman"/>
                <w:lang w:val="ro-MD"/>
              </w:rPr>
            </w:pPr>
            <w:r w:rsidRPr="0018446E">
              <w:rPr>
                <w:rFonts w:ascii="Times New Roman" w:eastAsia="Times New Roman" w:hAnsi="Times New Roman"/>
                <w:lang w:val="ro-MD"/>
              </w:rPr>
              <w:t xml:space="preserve">Elaborarea Ghidurilor pentru certificarea produselor finite din industria prelucrătoare, </w:t>
            </w:r>
            <w:r w:rsidRPr="0018446E">
              <w:rPr>
                <w:rFonts w:ascii="Times New Roman" w:eastAsia="Times New Roman" w:hAnsi="Times New Roman" w:cstheme="minorBidi"/>
                <w:lang w:val="ro-MD"/>
              </w:rPr>
              <w:t xml:space="preserve"> care să conțină implicit </w:t>
            </w:r>
            <w:r w:rsidRPr="0018446E">
              <w:rPr>
                <w:rFonts w:ascii="Times New Roman" w:eastAsia="Times New Roman" w:hAnsi="Times New Roman"/>
                <w:lang w:val="ro-MD"/>
              </w:rPr>
              <w:t xml:space="preserve">instituțiile vizate în procesul de obținere a certificatului, liste cu acte care urmează a fi </w:t>
            </w:r>
            <w:r w:rsidRPr="0018446E">
              <w:rPr>
                <w:rFonts w:ascii="Times New Roman" w:eastAsia="Times New Roman" w:hAnsi="Times New Roman"/>
                <w:lang w:val="ro-MD"/>
              </w:rPr>
              <w:lastRenderedPageBreak/>
              <w:t>prezentate de agenții economici.</w:t>
            </w:r>
          </w:p>
        </w:tc>
        <w:tc>
          <w:tcPr>
            <w:tcW w:w="2268" w:type="dxa"/>
          </w:tcPr>
          <w:p w14:paraId="1956D394"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lastRenderedPageBreak/>
              <w:t xml:space="preserve">- Numărul Ghidurilor elaborate </w:t>
            </w:r>
          </w:p>
        </w:tc>
        <w:tc>
          <w:tcPr>
            <w:tcW w:w="1276" w:type="dxa"/>
          </w:tcPr>
          <w:p w14:paraId="32FF9D9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2025-2026</w:t>
            </w:r>
          </w:p>
        </w:tc>
        <w:tc>
          <w:tcPr>
            <w:tcW w:w="1134" w:type="dxa"/>
            <w:noWrap/>
          </w:tcPr>
          <w:p w14:paraId="134DBF5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28B22E6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200,0</w:t>
            </w:r>
          </w:p>
        </w:tc>
        <w:tc>
          <w:tcPr>
            <w:tcW w:w="1134" w:type="dxa"/>
            <w:shd w:val="clear" w:color="auto" w:fill="auto"/>
          </w:tcPr>
          <w:p w14:paraId="56AA9E9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200,0</w:t>
            </w:r>
          </w:p>
        </w:tc>
        <w:tc>
          <w:tcPr>
            <w:tcW w:w="1366" w:type="dxa"/>
            <w:shd w:val="clear" w:color="auto" w:fill="auto"/>
          </w:tcPr>
          <w:p w14:paraId="6A933F7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alte surse</w:t>
            </w:r>
          </w:p>
        </w:tc>
        <w:tc>
          <w:tcPr>
            <w:tcW w:w="1520" w:type="dxa"/>
          </w:tcPr>
          <w:p w14:paraId="2DF71AB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7BC9A251" w14:textId="77777777" w:rsidR="0018446E" w:rsidRPr="0018446E" w:rsidRDefault="0018446E" w:rsidP="0018446E">
            <w:pPr>
              <w:spacing w:after="0" w:line="240" w:lineRule="auto"/>
              <w:ind w:left="0"/>
              <w:jc w:val="center"/>
              <w:rPr>
                <w:rFonts w:ascii="Times New Roman" w:eastAsia="Times New Roman" w:hAnsi="Times New Roman" w:cstheme="minorBidi"/>
                <w:color w:val="FF0000"/>
                <w:lang w:val="ro-MD" w:eastAsia="en-GB"/>
              </w:rPr>
            </w:pPr>
          </w:p>
        </w:tc>
      </w:tr>
      <w:tr w:rsidR="0018446E" w:rsidRPr="0018446E" w14:paraId="52A8D85B" w14:textId="77777777" w:rsidTr="00B0372F">
        <w:trPr>
          <w:trHeight w:val="699"/>
        </w:trPr>
        <w:tc>
          <w:tcPr>
            <w:tcW w:w="876" w:type="dxa"/>
          </w:tcPr>
          <w:p w14:paraId="1AAD97E0"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1.1.2.7</w:t>
            </w:r>
          </w:p>
        </w:tc>
        <w:tc>
          <w:tcPr>
            <w:tcW w:w="3230" w:type="dxa"/>
          </w:tcPr>
          <w:p w14:paraId="10A82E51" w14:textId="77777777" w:rsidR="0018446E" w:rsidRPr="0018446E" w:rsidRDefault="0018446E" w:rsidP="0018446E">
            <w:pPr>
              <w:spacing w:after="0" w:line="240" w:lineRule="auto"/>
              <w:ind w:left="0"/>
              <w:jc w:val="both"/>
              <w:rPr>
                <w:rFonts w:ascii="Times New Roman" w:eastAsia="Times New Roman" w:hAnsi="Times New Roman" w:cstheme="minorBidi"/>
                <w:lang w:val="ro-MD"/>
              </w:rPr>
            </w:pPr>
            <w:r w:rsidRPr="0018446E">
              <w:rPr>
                <w:rFonts w:ascii="Times New Roman" w:eastAsia="Times New Roman" w:hAnsi="Times New Roman" w:cstheme="minorBidi"/>
                <w:lang w:val="ro-MD"/>
              </w:rPr>
              <w:t xml:space="preserve">Consolidarea capacităților Institutului de Chimie al USM și INM, prin consolidarea mai multor laboratoare de analize și dotarea cu laboratoare noi, </w:t>
            </w:r>
            <w:r w:rsidRPr="0018446E">
              <w:rPr>
                <w:rFonts w:ascii="Times New Roman" w:eastAsia="Times New Roman" w:hAnsi="Times New Roman"/>
                <w:lang w:val="ro-MD"/>
              </w:rPr>
              <w:t xml:space="preserve">în scopul susținerii agenților economici în efectuarea diverselor analize chimice cu explicarea rezultatelor obținute și recomandările necesare. </w:t>
            </w:r>
          </w:p>
        </w:tc>
        <w:tc>
          <w:tcPr>
            <w:tcW w:w="2268" w:type="dxa"/>
          </w:tcPr>
          <w:p w14:paraId="1F059269"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Capacitățile Institutului de Chimie consolidate</w:t>
            </w:r>
          </w:p>
          <w:p w14:paraId="33CE9216"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1276" w:type="dxa"/>
          </w:tcPr>
          <w:p w14:paraId="16C7203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2025-2026</w:t>
            </w:r>
          </w:p>
        </w:tc>
        <w:tc>
          <w:tcPr>
            <w:tcW w:w="1134" w:type="dxa"/>
            <w:noWrap/>
          </w:tcPr>
          <w:p w14:paraId="702B7B0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4F1B1DE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1000,0</w:t>
            </w:r>
          </w:p>
        </w:tc>
        <w:tc>
          <w:tcPr>
            <w:tcW w:w="1134" w:type="dxa"/>
            <w:shd w:val="clear" w:color="auto" w:fill="auto"/>
          </w:tcPr>
          <w:p w14:paraId="5E57409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1000,0</w:t>
            </w:r>
          </w:p>
        </w:tc>
        <w:tc>
          <w:tcPr>
            <w:tcW w:w="1366" w:type="dxa"/>
            <w:shd w:val="clear" w:color="auto" w:fill="auto"/>
          </w:tcPr>
          <w:p w14:paraId="5455F5F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 alte surse</w:t>
            </w:r>
          </w:p>
        </w:tc>
        <w:tc>
          <w:tcPr>
            <w:tcW w:w="1520" w:type="dxa"/>
          </w:tcPr>
          <w:p w14:paraId="00C9CA0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5858BC2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Educației și Cercetării</w:t>
            </w:r>
          </w:p>
        </w:tc>
        <w:tc>
          <w:tcPr>
            <w:tcW w:w="1650" w:type="dxa"/>
          </w:tcPr>
          <w:p w14:paraId="5F36C177" w14:textId="77777777" w:rsidR="0018446E" w:rsidRPr="0018446E" w:rsidRDefault="0018446E" w:rsidP="0018446E">
            <w:pPr>
              <w:spacing w:after="0" w:line="240" w:lineRule="auto"/>
              <w:ind w:left="0"/>
              <w:jc w:val="center"/>
              <w:rPr>
                <w:rFonts w:ascii="Times New Roman" w:eastAsia="Times New Roman" w:hAnsi="Times New Roman" w:cstheme="minorBidi"/>
                <w:color w:val="FF0000"/>
                <w:lang w:val="ro-MD" w:eastAsia="en-GB"/>
              </w:rPr>
            </w:pPr>
          </w:p>
        </w:tc>
      </w:tr>
      <w:tr w:rsidR="0018446E" w:rsidRPr="0018446E" w14:paraId="1B8FE714" w14:textId="77777777" w:rsidTr="00B0372F">
        <w:trPr>
          <w:trHeight w:val="450"/>
        </w:trPr>
        <w:tc>
          <w:tcPr>
            <w:tcW w:w="15588" w:type="dxa"/>
            <w:gridSpan w:val="10"/>
          </w:tcPr>
          <w:p w14:paraId="32810B01" w14:textId="77777777" w:rsidR="0018446E" w:rsidRPr="0018446E" w:rsidRDefault="0018446E" w:rsidP="0018446E">
            <w:pPr>
              <w:spacing w:after="0" w:line="240" w:lineRule="auto"/>
              <w:ind w:left="0"/>
              <w:jc w:val="both"/>
              <w:rPr>
                <w:rFonts w:ascii="Times New Roman" w:eastAsia="Times New Roman" w:hAnsi="Times New Roman" w:cstheme="minorBidi"/>
                <w:lang w:val="ro-MD" w:eastAsia="en-GB"/>
              </w:rPr>
            </w:pPr>
            <w:r w:rsidRPr="0018446E">
              <w:rPr>
                <w:rFonts w:ascii="Times New Roman" w:eastAsia="Times New Roman" w:hAnsi="Times New Roman" w:cstheme="minorBidi"/>
                <w:i/>
                <w:iCs/>
                <w:lang w:val="ro-MD" w:eastAsia="en-GB"/>
              </w:rPr>
              <w:t>1.1.3</w:t>
            </w:r>
            <w:r w:rsidRPr="0018446E">
              <w:rPr>
                <w:rFonts w:ascii="Times New Roman" w:eastAsia="Times New Roman" w:hAnsi="Times New Roman" w:cstheme="minorBidi"/>
                <w:lang w:val="ro-MD" w:eastAsia="en-GB"/>
              </w:rPr>
              <w:t xml:space="preserve"> </w:t>
            </w:r>
            <w:r w:rsidRPr="0018446E">
              <w:rPr>
                <w:rFonts w:ascii="Times New Roman" w:eastAsia="Times New Roman" w:hAnsi="Times New Roman"/>
                <w:i/>
                <w:iCs/>
                <w:lang w:val="ro-MD"/>
              </w:rPr>
              <w:t xml:space="preserve"> Consolidarea capacităților manageriale ale întreprinderilor din sectorul industrial</w:t>
            </w:r>
          </w:p>
        </w:tc>
      </w:tr>
      <w:tr w:rsidR="0018446E" w:rsidRPr="0018446E" w14:paraId="11CF0B3D" w14:textId="77777777" w:rsidTr="00B0372F">
        <w:trPr>
          <w:trHeight w:val="699"/>
        </w:trPr>
        <w:tc>
          <w:tcPr>
            <w:tcW w:w="876" w:type="dxa"/>
          </w:tcPr>
          <w:p w14:paraId="7AA0A934"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1.1.3.1</w:t>
            </w:r>
          </w:p>
        </w:tc>
        <w:tc>
          <w:tcPr>
            <w:tcW w:w="3230" w:type="dxa"/>
          </w:tcPr>
          <w:p w14:paraId="00881FEA" w14:textId="77777777" w:rsidR="0018446E" w:rsidRPr="0018446E" w:rsidRDefault="0018446E" w:rsidP="0018446E">
            <w:pPr>
              <w:spacing w:after="0" w:line="240" w:lineRule="auto"/>
              <w:ind w:left="0"/>
              <w:rPr>
                <w:rFonts w:ascii="Times New Roman" w:eastAsia="Times New Roman" w:hAnsi="Times New Roman"/>
                <w:lang w:val="ro-MD"/>
              </w:rPr>
            </w:pPr>
            <w:r w:rsidRPr="0018446E">
              <w:rPr>
                <w:rFonts w:ascii="Times New Roman" w:eastAsia="Times New Roman" w:hAnsi="Times New Roman"/>
                <w:lang w:val="ro-MD"/>
              </w:rPr>
              <w:t xml:space="preserve">Semnarea Declarației comune de intenție între MDED și </w:t>
            </w:r>
            <w:r w:rsidRPr="0018446E">
              <w:rPr>
                <w:rFonts w:ascii="Times New Roman" w:eastAsia="Times New Roman" w:hAnsi="Times New Roman"/>
                <w:i/>
                <w:iCs/>
                <w:u w:val="single"/>
                <w:shd w:val="clear" w:color="auto" w:fill="FFFFFF"/>
                <w:lang w:val="ro-MD"/>
              </w:rPr>
              <w:t xml:space="preserve"> </w:t>
            </w:r>
            <w:r w:rsidRPr="0018446E">
              <w:rPr>
                <w:rFonts w:ascii="Times New Roman" w:eastAsia="Times New Roman" w:hAnsi="Times New Roman"/>
                <w:shd w:val="clear" w:color="auto" w:fill="FFFFFF"/>
                <w:lang w:val="ro-MD"/>
              </w:rPr>
              <w:t xml:space="preserve">Ministerul Federal German pentru Cooperare Economică și Dezvoltare </w:t>
            </w:r>
            <w:r w:rsidRPr="0018446E">
              <w:rPr>
                <w:rFonts w:ascii="Times New Roman" w:eastAsia="Times New Roman" w:hAnsi="Times New Roman"/>
                <w:lang w:val="ro-MD"/>
              </w:rPr>
              <w:t xml:space="preserve">privind continuarea colaborării în cadrul pregătirii și perfecționării managerilor de la întreprinderile din diferite sectoare ale economiei Republicii Moldova </w:t>
            </w:r>
          </w:p>
        </w:tc>
        <w:tc>
          <w:tcPr>
            <w:tcW w:w="2268" w:type="dxa"/>
          </w:tcPr>
          <w:p w14:paraId="013CF667"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Declarație semnată</w:t>
            </w:r>
          </w:p>
        </w:tc>
        <w:tc>
          <w:tcPr>
            <w:tcW w:w="1276" w:type="dxa"/>
          </w:tcPr>
          <w:p w14:paraId="1AC58F3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Tr. II,</w:t>
            </w:r>
          </w:p>
          <w:p w14:paraId="2813B5A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w:t>
            </w:r>
          </w:p>
        </w:tc>
        <w:tc>
          <w:tcPr>
            <w:tcW w:w="1134" w:type="dxa"/>
            <w:noWrap/>
          </w:tcPr>
          <w:p w14:paraId="172CF7F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shd w:val="clear" w:color="auto" w:fill="auto"/>
          </w:tcPr>
          <w:p w14:paraId="333084B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134" w:type="dxa"/>
            <w:shd w:val="clear" w:color="auto" w:fill="auto"/>
          </w:tcPr>
          <w:p w14:paraId="676076D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366" w:type="dxa"/>
            <w:shd w:val="clear" w:color="auto" w:fill="auto"/>
          </w:tcPr>
          <w:p w14:paraId="7ABB550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520" w:type="dxa"/>
          </w:tcPr>
          <w:p w14:paraId="7FB9E3E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1969FB0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Camera de Comerț și Industrie a RM</w:t>
            </w:r>
          </w:p>
        </w:tc>
      </w:tr>
      <w:tr w:rsidR="0018446E" w:rsidRPr="0018446E" w14:paraId="705D59AF" w14:textId="77777777" w:rsidTr="00B0372F">
        <w:trPr>
          <w:trHeight w:val="699"/>
        </w:trPr>
        <w:tc>
          <w:tcPr>
            <w:tcW w:w="876" w:type="dxa"/>
          </w:tcPr>
          <w:p w14:paraId="4EEEEDA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1.1.3.2</w:t>
            </w:r>
          </w:p>
        </w:tc>
        <w:tc>
          <w:tcPr>
            <w:tcW w:w="3230" w:type="dxa"/>
          </w:tcPr>
          <w:p w14:paraId="3F1F752F"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cstheme="minorBidi"/>
                <w:lang w:val="ro-MD"/>
              </w:rPr>
              <w:t>Stimularea pregătirii și perfecționării managerilor de la întreprinderile din sectorul industrial al Republicii Moldova în Germania</w:t>
            </w:r>
          </w:p>
        </w:tc>
        <w:tc>
          <w:tcPr>
            <w:tcW w:w="2268" w:type="dxa"/>
          </w:tcPr>
          <w:p w14:paraId="34DF664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xml:space="preserve">- Numărul </w:t>
            </w:r>
            <w:r w:rsidRPr="0018446E">
              <w:rPr>
                <w:rFonts w:ascii="Times New Roman" w:eastAsia="Times New Roman" w:hAnsi="Times New Roman" w:cstheme="minorBidi"/>
                <w:lang w:val="ro-MD"/>
              </w:rPr>
              <w:t xml:space="preserve"> managerilor pregătiți</w:t>
            </w:r>
          </w:p>
        </w:tc>
        <w:tc>
          <w:tcPr>
            <w:tcW w:w="1276" w:type="dxa"/>
          </w:tcPr>
          <w:p w14:paraId="7963F30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2024-2026</w:t>
            </w:r>
          </w:p>
        </w:tc>
        <w:tc>
          <w:tcPr>
            <w:tcW w:w="1134" w:type="dxa"/>
            <w:noWrap/>
          </w:tcPr>
          <w:p w14:paraId="0A6F650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shd w:val="clear" w:color="auto" w:fill="auto"/>
          </w:tcPr>
          <w:p w14:paraId="6E849A5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shd w:val="clear" w:color="auto" w:fill="auto"/>
          </w:tcPr>
          <w:p w14:paraId="70219D5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366" w:type="dxa"/>
            <w:shd w:val="clear" w:color="auto" w:fill="auto"/>
          </w:tcPr>
          <w:p w14:paraId="549D491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310A3D1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70D6829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Camera de Comerț și Industrie a RM</w:t>
            </w:r>
          </w:p>
        </w:tc>
      </w:tr>
      <w:tr w:rsidR="0018446E" w:rsidRPr="0018446E" w14:paraId="3EA0339D" w14:textId="77777777" w:rsidTr="00B0372F">
        <w:trPr>
          <w:trHeight w:val="699"/>
        </w:trPr>
        <w:tc>
          <w:tcPr>
            <w:tcW w:w="876" w:type="dxa"/>
          </w:tcPr>
          <w:p w14:paraId="484685A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lastRenderedPageBreak/>
              <w:t>1.1.3.3</w:t>
            </w:r>
          </w:p>
        </w:tc>
        <w:tc>
          <w:tcPr>
            <w:tcW w:w="3230" w:type="dxa"/>
          </w:tcPr>
          <w:p w14:paraId="548189D1"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cstheme="minorBidi"/>
                <w:lang w:val="ro-MD"/>
              </w:rPr>
              <w:t>Evaluarea necesităților de instruire a întreprinderilor din sectorul industrial</w:t>
            </w:r>
          </w:p>
        </w:tc>
        <w:tc>
          <w:tcPr>
            <w:tcW w:w="2268" w:type="dxa"/>
          </w:tcPr>
          <w:p w14:paraId="0890FB55"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Evaluare realizată</w:t>
            </w:r>
          </w:p>
        </w:tc>
        <w:tc>
          <w:tcPr>
            <w:tcW w:w="1276" w:type="dxa"/>
          </w:tcPr>
          <w:p w14:paraId="3D06AEA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Tr. IV,</w:t>
            </w:r>
          </w:p>
          <w:p w14:paraId="44669D5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w:t>
            </w:r>
          </w:p>
        </w:tc>
        <w:tc>
          <w:tcPr>
            <w:tcW w:w="1134" w:type="dxa"/>
            <w:noWrap/>
          </w:tcPr>
          <w:p w14:paraId="2FAF3C0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shd w:val="clear" w:color="auto" w:fill="auto"/>
          </w:tcPr>
          <w:p w14:paraId="709E59B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134" w:type="dxa"/>
            <w:shd w:val="clear" w:color="auto" w:fill="auto"/>
          </w:tcPr>
          <w:p w14:paraId="05E5A44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366" w:type="dxa"/>
            <w:shd w:val="clear" w:color="auto" w:fill="auto"/>
          </w:tcPr>
          <w:p w14:paraId="55DBA13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alte surse</w:t>
            </w:r>
          </w:p>
        </w:tc>
        <w:tc>
          <w:tcPr>
            <w:tcW w:w="1520" w:type="dxa"/>
          </w:tcPr>
          <w:p w14:paraId="65C5878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65EC8B1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Asociațiile sectoriale de business</w:t>
            </w:r>
          </w:p>
        </w:tc>
      </w:tr>
      <w:tr w:rsidR="0018446E" w:rsidRPr="0018446E" w14:paraId="70387961" w14:textId="77777777" w:rsidTr="00B0372F">
        <w:trPr>
          <w:trHeight w:val="471"/>
        </w:trPr>
        <w:tc>
          <w:tcPr>
            <w:tcW w:w="15588" w:type="dxa"/>
            <w:gridSpan w:val="10"/>
            <w:shd w:val="clear" w:color="auto" w:fill="D5DCE4" w:themeFill="text2" w:themeFillTint="33"/>
          </w:tcPr>
          <w:p w14:paraId="22E8F477" w14:textId="77777777" w:rsidR="0018446E" w:rsidRPr="0018446E" w:rsidRDefault="0018446E" w:rsidP="0018446E">
            <w:pPr>
              <w:spacing w:after="0" w:line="259" w:lineRule="auto"/>
              <w:ind w:left="0"/>
              <w:jc w:val="both"/>
              <w:rPr>
                <w:rFonts w:ascii="Times New Roman" w:eastAsia="Times New Roman" w:hAnsi="Times New Roman" w:cstheme="minorBidi"/>
                <w:bCs/>
                <w:i/>
                <w:iCs/>
                <w:lang w:val="ro-MD"/>
              </w:rPr>
            </w:pPr>
            <w:r w:rsidRPr="0018446E">
              <w:rPr>
                <w:rFonts w:ascii="Times New Roman" w:eastAsia="Times New Roman" w:hAnsi="Times New Roman" w:cstheme="minorBidi"/>
                <w:b/>
                <w:bCs/>
                <w:i/>
                <w:iCs/>
                <w:lang w:val="ro-MD" w:eastAsia="en-GB"/>
              </w:rPr>
              <w:t>Obiectivul Specific 1.2</w:t>
            </w:r>
            <w:bookmarkStart w:id="10" w:name="_Hlk139993273"/>
            <w:r w:rsidRPr="0018446E">
              <w:rPr>
                <w:rFonts w:ascii="Times New Roman" w:eastAsia="Times New Roman" w:hAnsi="Times New Roman" w:cstheme="minorBidi"/>
                <w:b/>
                <w:bCs/>
                <w:i/>
                <w:iCs/>
                <w:lang w:val="ro-MD"/>
              </w:rPr>
              <w:t>.</w:t>
            </w:r>
            <w:bookmarkEnd w:id="10"/>
            <w:r w:rsidRPr="0018446E">
              <w:rPr>
                <w:rFonts w:ascii="Times New Roman" w:eastAsia="Times New Roman" w:hAnsi="Times New Roman" w:cstheme="minorBidi"/>
                <w:b/>
                <w:bCs/>
                <w:i/>
                <w:iCs/>
                <w:lang w:val="ro-MD"/>
              </w:rPr>
              <w:t xml:space="preserve"> </w:t>
            </w:r>
            <w:r w:rsidRPr="0018446E">
              <w:rPr>
                <w:rFonts w:ascii="Times New Roman" w:eastAsia="Times New Roman" w:hAnsi="Times New Roman" w:cstheme="minorBidi"/>
                <w:b/>
                <w:i/>
                <w:iCs/>
                <w:lang w:val="ro-MD"/>
              </w:rPr>
              <w:t>Dezvoltarea platformelor investiționale și infrastructurii de afaceri</w:t>
            </w:r>
          </w:p>
          <w:p w14:paraId="5DF73852" w14:textId="77777777" w:rsidR="0018446E" w:rsidRPr="0018446E" w:rsidRDefault="0018446E" w:rsidP="0018446E">
            <w:pPr>
              <w:spacing w:after="0" w:line="240" w:lineRule="auto"/>
              <w:ind w:left="0"/>
              <w:rPr>
                <w:rFonts w:ascii="Times New Roman" w:eastAsia="Times New Roman" w:hAnsi="Times New Roman"/>
                <w:b/>
                <w:bCs/>
                <w:i/>
                <w:iCs/>
                <w:color w:val="FF0000"/>
                <w:lang w:val="ro-MD"/>
              </w:rPr>
            </w:pPr>
          </w:p>
        </w:tc>
      </w:tr>
      <w:tr w:rsidR="0018446E" w:rsidRPr="0018446E" w14:paraId="28E2CDDD" w14:textId="77777777" w:rsidTr="00B0372F">
        <w:trPr>
          <w:trHeight w:val="1000"/>
        </w:trPr>
        <w:tc>
          <w:tcPr>
            <w:tcW w:w="15588" w:type="dxa"/>
            <w:gridSpan w:val="10"/>
          </w:tcPr>
          <w:p w14:paraId="4195650A"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Indicatori de rezultat:</w:t>
            </w:r>
          </w:p>
          <w:p w14:paraId="1B521291"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1.  Platforme investiționale funcționale, în creștere cu 20%, către anul 2026</w:t>
            </w:r>
          </w:p>
          <w:p w14:paraId="369F07AA"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2. </w:t>
            </w:r>
            <w:r w:rsidRPr="0018446E">
              <w:rPr>
                <w:rFonts w:ascii="Times New Roman" w:hAnsi="Times New Roman"/>
                <w:lang w:val="ro-MD"/>
              </w:rPr>
              <w:t xml:space="preserve"> Clustere industriale funcționale</w:t>
            </w:r>
            <w:r w:rsidRPr="0018446E">
              <w:rPr>
                <w:rFonts w:ascii="Times New Roman" w:eastAsia="Times New Roman" w:hAnsi="Times New Roman"/>
                <w:lang w:val="ro-MD" w:eastAsia="en-GB"/>
              </w:rPr>
              <w:t>, în creștere cu 40%, către anul 2026</w:t>
            </w:r>
          </w:p>
          <w:p w14:paraId="0DF5C713" w14:textId="77777777" w:rsidR="0018446E" w:rsidRPr="0018446E" w:rsidRDefault="0018446E" w:rsidP="0018446E">
            <w:pPr>
              <w:spacing w:after="0" w:line="240" w:lineRule="auto"/>
              <w:ind w:left="0"/>
              <w:rPr>
                <w:rFonts w:ascii="Times New Roman" w:eastAsia="Times New Roman" w:hAnsi="Times New Roman"/>
                <w:lang w:val="ro-MD" w:eastAsia="en-GB"/>
              </w:rPr>
            </w:pPr>
          </w:p>
        </w:tc>
      </w:tr>
      <w:tr w:rsidR="0018446E" w:rsidRPr="0018446E" w14:paraId="4A62BCEB" w14:textId="77777777" w:rsidTr="00B0372F">
        <w:trPr>
          <w:trHeight w:val="558"/>
        </w:trPr>
        <w:tc>
          <w:tcPr>
            <w:tcW w:w="15588" w:type="dxa"/>
            <w:gridSpan w:val="10"/>
          </w:tcPr>
          <w:p w14:paraId="20006656" w14:textId="77777777" w:rsidR="0018446E" w:rsidRPr="0018446E" w:rsidRDefault="0018446E" w:rsidP="0018446E">
            <w:pPr>
              <w:spacing w:after="0" w:line="240" w:lineRule="auto"/>
              <w:ind w:left="-74" w:right="-112"/>
              <w:jc w:val="both"/>
              <w:rPr>
                <w:rFonts w:ascii="Times New Roman" w:eastAsia="Times New Roman" w:hAnsi="Times New Roman"/>
                <w:i/>
                <w:iCs/>
                <w:lang w:val="ro-MD" w:eastAsia="en-GB"/>
              </w:rPr>
            </w:pPr>
            <w:r w:rsidRPr="0018446E">
              <w:rPr>
                <w:rFonts w:ascii="Times New Roman" w:eastAsia="Times New Roman" w:hAnsi="Times New Roman"/>
                <w:i/>
                <w:iCs/>
                <w:lang w:val="ro-MD" w:eastAsia="en-GB"/>
              </w:rPr>
              <w:t>1.2.1. Dezvoltarea platformelor investiționale</w:t>
            </w:r>
          </w:p>
        </w:tc>
      </w:tr>
      <w:tr w:rsidR="0018446E" w:rsidRPr="0018446E" w14:paraId="2BEE7413" w14:textId="77777777" w:rsidTr="00B0372F">
        <w:trPr>
          <w:trHeight w:val="1000"/>
        </w:trPr>
        <w:tc>
          <w:tcPr>
            <w:tcW w:w="876" w:type="dxa"/>
          </w:tcPr>
          <w:p w14:paraId="48F66EBE"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1.2.1.1</w:t>
            </w:r>
          </w:p>
        </w:tc>
        <w:tc>
          <w:tcPr>
            <w:tcW w:w="3230" w:type="dxa"/>
            <w:tcBorders>
              <w:top w:val="single" w:sz="4" w:space="0" w:color="auto"/>
              <w:left w:val="nil"/>
              <w:bottom w:val="single" w:sz="4" w:space="0" w:color="auto"/>
              <w:right w:val="single" w:sz="4" w:space="0" w:color="auto"/>
            </w:tcBorders>
            <w:shd w:val="clear" w:color="auto" w:fill="auto"/>
          </w:tcPr>
          <w:p w14:paraId="31035407"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rPr>
              <w:t>Cartografierea ZEL-urilor și PI în funcție de performanță, optimizarea după caz</w:t>
            </w:r>
          </w:p>
        </w:tc>
        <w:tc>
          <w:tcPr>
            <w:tcW w:w="2268" w:type="dxa"/>
            <w:tcBorders>
              <w:top w:val="single" w:sz="4" w:space="0" w:color="auto"/>
              <w:left w:val="nil"/>
              <w:bottom w:val="single" w:sz="4" w:space="0" w:color="auto"/>
              <w:right w:val="single" w:sz="4" w:space="0" w:color="auto"/>
            </w:tcBorders>
            <w:shd w:val="clear" w:color="auto" w:fill="auto"/>
          </w:tcPr>
          <w:p w14:paraId="67BB64AF"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Cartografiere realizată,</w:t>
            </w:r>
          </w:p>
          <w:p w14:paraId="1B128D1B"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Număr de platforme investiționale optimizate</w:t>
            </w:r>
          </w:p>
        </w:tc>
        <w:tc>
          <w:tcPr>
            <w:tcW w:w="1276" w:type="dxa"/>
            <w:tcBorders>
              <w:top w:val="single" w:sz="4" w:space="0" w:color="auto"/>
              <w:left w:val="nil"/>
              <w:bottom w:val="single" w:sz="4" w:space="0" w:color="auto"/>
              <w:right w:val="single" w:sz="4" w:space="0" w:color="auto"/>
            </w:tcBorders>
            <w:shd w:val="clear" w:color="auto" w:fill="auto"/>
          </w:tcPr>
          <w:p w14:paraId="31BBFE2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IV,</w:t>
            </w:r>
          </w:p>
          <w:p w14:paraId="1411101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w:t>
            </w:r>
          </w:p>
          <w:p w14:paraId="6DA3A6A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2025-2026</w:t>
            </w:r>
          </w:p>
          <w:p w14:paraId="3A3D8CD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c>
          <w:tcPr>
            <w:tcW w:w="1134" w:type="dxa"/>
            <w:noWrap/>
          </w:tcPr>
          <w:p w14:paraId="6651003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tcPr>
          <w:p w14:paraId="4C828F0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47B5F73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2AD962C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 xml:space="preserve">alte surse </w:t>
            </w:r>
          </w:p>
          <w:p w14:paraId="70B0354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p w14:paraId="32F9BB37"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520" w:type="dxa"/>
          </w:tcPr>
          <w:p w14:paraId="31900AB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7DF7F13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794D6027" w14:textId="77777777" w:rsidTr="00B0372F">
        <w:trPr>
          <w:trHeight w:val="1000"/>
        </w:trPr>
        <w:tc>
          <w:tcPr>
            <w:tcW w:w="876" w:type="dxa"/>
          </w:tcPr>
          <w:p w14:paraId="75E7B85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1.2.1.2</w:t>
            </w:r>
          </w:p>
        </w:tc>
        <w:tc>
          <w:tcPr>
            <w:tcW w:w="3230" w:type="dxa"/>
            <w:tcBorders>
              <w:top w:val="single" w:sz="4" w:space="0" w:color="auto"/>
              <w:left w:val="nil"/>
              <w:bottom w:val="single" w:sz="4" w:space="0" w:color="auto"/>
              <w:right w:val="single" w:sz="4" w:space="0" w:color="auto"/>
            </w:tcBorders>
            <w:shd w:val="clear" w:color="auto" w:fill="auto"/>
          </w:tcPr>
          <w:p w14:paraId="5596FD33"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rPr>
              <w:t>Eficientizarea mecanismelor de monitorizare și raportare proprii platformelor investiționale</w:t>
            </w:r>
          </w:p>
        </w:tc>
        <w:tc>
          <w:tcPr>
            <w:tcW w:w="2268" w:type="dxa"/>
            <w:tcBorders>
              <w:top w:val="single" w:sz="4" w:space="0" w:color="auto"/>
              <w:left w:val="nil"/>
              <w:bottom w:val="single" w:sz="4" w:space="0" w:color="auto"/>
              <w:right w:val="single" w:sz="4" w:space="0" w:color="auto"/>
            </w:tcBorders>
            <w:shd w:val="clear" w:color="auto" w:fill="auto"/>
          </w:tcPr>
          <w:p w14:paraId="1C7C7E7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- 2 Mecanisme (soft-uri) elaborate</w:t>
            </w:r>
          </w:p>
        </w:tc>
        <w:tc>
          <w:tcPr>
            <w:tcW w:w="1276" w:type="dxa"/>
            <w:tcBorders>
              <w:top w:val="single" w:sz="4" w:space="0" w:color="auto"/>
              <w:left w:val="nil"/>
              <w:bottom w:val="single" w:sz="4" w:space="0" w:color="auto"/>
              <w:right w:val="single" w:sz="4" w:space="0" w:color="auto"/>
            </w:tcBorders>
            <w:shd w:val="clear" w:color="auto" w:fill="auto"/>
          </w:tcPr>
          <w:p w14:paraId="6F0BAAF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Tr. I,</w:t>
            </w:r>
          </w:p>
          <w:p w14:paraId="2DAB820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2025</w:t>
            </w:r>
          </w:p>
        </w:tc>
        <w:tc>
          <w:tcPr>
            <w:tcW w:w="1134" w:type="dxa"/>
            <w:noWrap/>
          </w:tcPr>
          <w:p w14:paraId="27A72EF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134" w:type="dxa"/>
          </w:tcPr>
          <w:p w14:paraId="53C181F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400,0</w:t>
            </w:r>
          </w:p>
        </w:tc>
        <w:tc>
          <w:tcPr>
            <w:tcW w:w="1134" w:type="dxa"/>
          </w:tcPr>
          <w:p w14:paraId="41A3981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3C0F003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alte surse</w:t>
            </w:r>
          </w:p>
        </w:tc>
        <w:tc>
          <w:tcPr>
            <w:tcW w:w="1520" w:type="dxa"/>
          </w:tcPr>
          <w:p w14:paraId="26878DC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3957D32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4EC5D4B2" w14:textId="77777777" w:rsidTr="00B0372F">
        <w:trPr>
          <w:trHeight w:val="1000"/>
        </w:trPr>
        <w:tc>
          <w:tcPr>
            <w:tcW w:w="876" w:type="dxa"/>
          </w:tcPr>
          <w:p w14:paraId="286EAD35"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1.2.1.3</w:t>
            </w:r>
          </w:p>
        </w:tc>
        <w:tc>
          <w:tcPr>
            <w:tcW w:w="3230" w:type="dxa"/>
          </w:tcPr>
          <w:p w14:paraId="38F7999B"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eastAsia="en-GB"/>
              </w:rPr>
              <w:t>Crearea Platformelor Industriale Multifuncționale</w:t>
            </w:r>
          </w:p>
        </w:tc>
        <w:tc>
          <w:tcPr>
            <w:tcW w:w="2268" w:type="dxa"/>
          </w:tcPr>
          <w:p w14:paraId="0DCC9080"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Infrastructura a 2 PIM construită și transmisă către APL</w:t>
            </w:r>
          </w:p>
          <w:p w14:paraId="7BD03305"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1276" w:type="dxa"/>
          </w:tcPr>
          <w:p w14:paraId="7D4253A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2024-2026</w:t>
            </w:r>
          </w:p>
        </w:tc>
        <w:tc>
          <w:tcPr>
            <w:tcW w:w="1134" w:type="dxa"/>
            <w:noWrap/>
          </w:tcPr>
          <w:p w14:paraId="749126A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30 000,0</w:t>
            </w:r>
          </w:p>
          <w:p w14:paraId="7F83E86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tcPr>
          <w:p w14:paraId="027758E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30 000,0</w:t>
            </w:r>
          </w:p>
        </w:tc>
        <w:tc>
          <w:tcPr>
            <w:tcW w:w="1134" w:type="dxa"/>
          </w:tcPr>
          <w:p w14:paraId="379AC3F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30 000,0</w:t>
            </w:r>
          </w:p>
        </w:tc>
        <w:tc>
          <w:tcPr>
            <w:tcW w:w="1366" w:type="dxa"/>
          </w:tcPr>
          <w:p w14:paraId="475D25C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 alte surse</w:t>
            </w:r>
          </w:p>
        </w:tc>
        <w:tc>
          <w:tcPr>
            <w:tcW w:w="1520" w:type="dxa"/>
          </w:tcPr>
          <w:p w14:paraId="5B7F8A4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46E9969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IP ODA</w:t>
            </w:r>
          </w:p>
        </w:tc>
        <w:tc>
          <w:tcPr>
            <w:tcW w:w="1650" w:type="dxa"/>
          </w:tcPr>
          <w:p w14:paraId="0A43314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Finanțelor</w:t>
            </w:r>
          </w:p>
        </w:tc>
      </w:tr>
      <w:tr w:rsidR="0018446E" w:rsidRPr="0018446E" w14:paraId="419B7CDC" w14:textId="77777777" w:rsidTr="00B0372F">
        <w:trPr>
          <w:trHeight w:val="1857"/>
        </w:trPr>
        <w:tc>
          <w:tcPr>
            <w:tcW w:w="876" w:type="dxa"/>
          </w:tcPr>
          <w:p w14:paraId="167D8616"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lastRenderedPageBreak/>
              <w:t>1.2.1.4</w:t>
            </w:r>
          </w:p>
        </w:tc>
        <w:tc>
          <w:tcPr>
            <w:tcW w:w="3230" w:type="dxa"/>
          </w:tcPr>
          <w:p w14:paraId="688DB02A"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rPr>
              <w:t>Crearea de Eco-Parcuri Industriale specializate</w:t>
            </w:r>
          </w:p>
        </w:tc>
        <w:tc>
          <w:tcPr>
            <w:tcW w:w="2268" w:type="dxa"/>
          </w:tcPr>
          <w:p w14:paraId="1EAC219D"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Hotărâri de Guvern aprobate, pentru crearea a 2 Eco-Parcuri Industriale</w:t>
            </w:r>
          </w:p>
          <w:p w14:paraId="4C923C28"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276" w:type="dxa"/>
          </w:tcPr>
          <w:p w14:paraId="211AA63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2024-2025</w:t>
            </w:r>
          </w:p>
        </w:tc>
        <w:tc>
          <w:tcPr>
            <w:tcW w:w="1134" w:type="dxa"/>
            <w:noWrap/>
          </w:tcPr>
          <w:p w14:paraId="16687EF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bCs/>
                <w:color w:val="C00000"/>
                <w:sz w:val="20"/>
                <w:szCs w:val="20"/>
              </w:rPr>
              <w:t>15,4</w:t>
            </w:r>
          </w:p>
        </w:tc>
        <w:tc>
          <w:tcPr>
            <w:tcW w:w="1134" w:type="dxa"/>
          </w:tcPr>
          <w:p w14:paraId="41DB15B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bCs/>
                <w:color w:val="C00000"/>
                <w:sz w:val="20"/>
                <w:szCs w:val="20"/>
              </w:rPr>
              <w:t>15,4</w:t>
            </w:r>
          </w:p>
        </w:tc>
        <w:tc>
          <w:tcPr>
            <w:tcW w:w="1134" w:type="dxa"/>
          </w:tcPr>
          <w:p w14:paraId="0CDD7E8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284BC17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 alte surse</w:t>
            </w:r>
          </w:p>
        </w:tc>
        <w:tc>
          <w:tcPr>
            <w:tcW w:w="1520" w:type="dxa"/>
          </w:tcPr>
          <w:p w14:paraId="7D4A6D9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2B5C096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c>
          <w:tcPr>
            <w:tcW w:w="1650" w:type="dxa"/>
          </w:tcPr>
          <w:p w14:paraId="04E0DD6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Agenția Proprietății Publice,</w:t>
            </w:r>
            <w:r w:rsidRPr="0018446E">
              <w:rPr>
                <w:rFonts w:ascii="Times New Roman" w:eastAsia="Times New Roman" w:hAnsi="Times New Roman"/>
                <w:lang w:val="ro-MD" w:eastAsia="en-GB"/>
              </w:rPr>
              <w:br/>
              <w:t>Ministerul Educației și Cercetării,</w:t>
            </w:r>
            <w:r w:rsidRPr="0018446E">
              <w:rPr>
                <w:rFonts w:ascii="Times New Roman" w:eastAsia="Times New Roman" w:hAnsi="Times New Roman"/>
                <w:lang w:val="ro-MD" w:eastAsia="en-GB"/>
              </w:rPr>
              <w:br/>
              <w:t>Ministerul Sănătății</w:t>
            </w:r>
          </w:p>
        </w:tc>
      </w:tr>
      <w:tr w:rsidR="0018446E" w:rsidRPr="0018446E" w14:paraId="5B3491C0" w14:textId="77777777" w:rsidTr="00B0372F">
        <w:trPr>
          <w:trHeight w:val="558"/>
        </w:trPr>
        <w:tc>
          <w:tcPr>
            <w:tcW w:w="15588" w:type="dxa"/>
            <w:gridSpan w:val="10"/>
          </w:tcPr>
          <w:p w14:paraId="0511CABC" w14:textId="77777777" w:rsidR="0018446E" w:rsidRPr="0018446E" w:rsidRDefault="0018446E" w:rsidP="0018446E">
            <w:pPr>
              <w:spacing w:after="0" w:line="276"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rPr>
              <w:t>1.2.2 Stimularea dezvoltării clusterelor din sectorul industrial</w:t>
            </w:r>
          </w:p>
          <w:p w14:paraId="169B345D" w14:textId="77777777" w:rsidR="0018446E" w:rsidRPr="0018446E" w:rsidRDefault="0018446E" w:rsidP="0018446E">
            <w:pPr>
              <w:spacing w:after="0" w:line="240" w:lineRule="auto"/>
              <w:ind w:left="0"/>
              <w:jc w:val="both"/>
              <w:rPr>
                <w:rFonts w:ascii="Times New Roman" w:eastAsia="Times New Roman" w:hAnsi="Times New Roman"/>
                <w:lang w:val="ro-MD" w:eastAsia="en-GB"/>
              </w:rPr>
            </w:pPr>
          </w:p>
        </w:tc>
      </w:tr>
      <w:tr w:rsidR="0018446E" w:rsidRPr="0018446E" w14:paraId="5EC9EF4C" w14:textId="77777777" w:rsidTr="00B0372F">
        <w:trPr>
          <w:trHeight w:val="1000"/>
        </w:trPr>
        <w:tc>
          <w:tcPr>
            <w:tcW w:w="876" w:type="dxa"/>
          </w:tcPr>
          <w:p w14:paraId="0AC854E9"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1.2.2.1</w:t>
            </w:r>
          </w:p>
        </w:tc>
        <w:tc>
          <w:tcPr>
            <w:tcW w:w="3230" w:type="dxa"/>
          </w:tcPr>
          <w:p w14:paraId="426E202C"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Elaborarea studiului cu privire la potențialul de </w:t>
            </w:r>
            <w:proofErr w:type="spellStart"/>
            <w:r w:rsidRPr="0018446E">
              <w:rPr>
                <w:rFonts w:ascii="Times New Roman" w:eastAsia="Times New Roman" w:hAnsi="Times New Roman"/>
                <w:lang w:val="ro-MD" w:eastAsia="en-GB"/>
              </w:rPr>
              <w:t>clusterizare</w:t>
            </w:r>
            <w:proofErr w:type="spellEnd"/>
            <w:r w:rsidRPr="0018446E">
              <w:rPr>
                <w:rFonts w:ascii="Times New Roman" w:eastAsia="Times New Roman" w:hAnsi="Times New Roman"/>
                <w:lang w:val="ro-MD" w:eastAsia="en-GB"/>
              </w:rPr>
              <w:t xml:space="preserve"> industrială în Republica Moldova</w:t>
            </w:r>
          </w:p>
        </w:tc>
        <w:tc>
          <w:tcPr>
            <w:tcW w:w="2268" w:type="dxa"/>
          </w:tcPr>
          <w:p w14:paraId="15D5144D"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Studiu elaborat</w:t>
            </w:r>
          </w:p>
        </w:tc>
        <w:tc>
          <w:tcPr>
            <w:tcW w:w="1276" w:type="dxa"/>
          </w:tcPr>
          <w:p w14:paraId="2A78790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IV,</w:t>
            </w:r>
          </w:p>
          <w:p w14:paraId="6AC8F8E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w:t>
            </w:r>
          </w:p>
        </w:tc>
        <w:tc>
          <w:tcPr>
            <w:tcW w:w="1134" w:type="dxa"/>
            <w:noWrap/>
          </w:tcPr>
          <w:p w14:paraId="3B02C36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300,0</w:t>
            </w:r>
          </w:p>
        </w:tc>
        <w:tc>
          <w:tcPr>
            <w:tcW w:w="1134" w:type="dxa"/>
          </w:tcPr>
          <w:p w14:paraId="740F843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124FE92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1EAF64D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alte surse</w:t>
            </w:r>
          </w:p>
        </w:tc>
        <w:tc>
          <w:tcPr>
            <w:tcW w:w="1520" w:type="dxa"/>
          </w:tcPr>
          <w:p w14:paraId="49BC5B6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5A0A78D2"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58195249" w14:textId="77777777" w:rsidTr="00B0372F">
        <w:trPr>
          <w:trHeight w:val="699"/>
        </w:trPr>
        <w:tc>
          <w:tcPr>
            <w:tcW w:w="876" w:type="dxa"/>
          </w:tcPr>
          <w:p w14:paraId="03EE1CB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1.2.2.2</w:t>
            </w:r>
          </w:p>
        </w:tc>
        <w:tc>
          <w:tcPr>
            <w:tcW w:w="3230" w:type="dxa"/>
          </w:tcPr>
          <w:p w14:paraId="60D1483D"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Modificarea HG nr. 487/2022 cu privire la organizarea și funcționarea Instituției Publice ODA, în vederea includerii clusterelor ca eligibile pentru suport.</w:t>
            </w:r>
          </w:p>
        </w:tc>
        <w:tc>
          <w:tcPr>
            <w:tcW w:w="2268" w:type="dxa"/>
          </w:tcPr>
          <w:p w14:paraId="57CD343C"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Hotărâre de Guvern aprobată</w:t>
            </w:r>
          </w:p>
        </w:tc>
        <w:tc>
          <w:tcPr>
            <w:tcW w:w="1276" w:type="dxa"/>
          </w:tcPr>
          <w:p w14:paraId="7659C71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II, 2024</w:t>
            </w:r>
          </w:p>
        </w:tc>
        <w:tc>
          <w:tcPr>
            <w:tcW w:w="1134" w:type="dxa"/>
            <w:noWrap/>
          </w:tcPr>
          <w:p w14:paraId="6D37FA1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15,4</w:t>
            </w:r>
          </w:p>
        </w:tc>
        <w:tc>
          <w:tcPr>
            <w:tcW w:w="1134" w:type="dxa"/>
          </w:tcPr>
          <w:p w14:paraId="1782803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047D0CC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4C5F14F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76B515A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1C0DCA5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4A79E930" w14:textId="77777777" w:rsidTr="00B0372F">
        <w:trPr>
          <w:trHeight w:val="1000"/>
        </w:trPr>
        <w:tc>
          <w:tcPr>
            <w:tcW w:w="876" w:type="dxa"/>
          </w:tcPr>
          <w:p w14:paraId="5E76A810"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1.2.2.3</w:t>
            </w:r>
          </w:p>
        </w:tc>
        <w:tc>
          <w:tcPr>
            <w:tcW w:w="3230" w:type="dxa"/>
          </w:tcPr>
          <w:p w14:paraId="091A5D16"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rPr>
              <w:t>Modificarea Programelor ODA pentru a face eligibile în calitate de beneficiari grupuri de întreprinderi (clustere)</w:t>
            </w:r>
          </w:p>
        </w:tc>
        <w:tc>
          <w:tcPr>
            <w:tcW w:w="2268" w:type="dxa"/>
          </w:tcPr>
          <w:p w14:paraId="5371BE5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2 Hotărâri de Guvern aprobate</w:t>
            </w:r>
          </w:p>
        </w:tc>
        <w:tc>
          <w:tcPr>
            <w:tcW w:w="1276" w:type="dxa"/>
          </w:tcPr>
          <w:p w14:paraId="4DA066B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2024-2025</w:t>
            </w:r>
          </w:p>
        </w:tc>
        <w:tc>
          <w:tcPr>
            <w:tcW w:w="1134" w:type="dxa"/>
            <w:noWrap/>
          </w:tcPr>
          <w:p w14:paraId="1D91B3D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15,4</w:t>
            </w:r>
          </w:p>
        </w:tc>
        <w:tc>
          <w:tcPr>
            <w:tcW w:w="1134" w:type="dxa"/>
          </w:tcPr>
          <w:p w14:paraId="79AD9A9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15,4</w:t>
            </w:r>
          </w:p>
        </w:tc>
        <w:tc>
          <w:tcPr>
            <w:tcW w:w="1134" w:type="dxa"/>
          </w:tcPr>
          <w:p w14:paraId="140FADD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366" w:type="dxa"/>
          </w:tcPr>
          <w:p w14:paraId="388D63B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2337C71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r w:rsidRPr="0018446E">
              <w:rPr>
                <w:rFonts w:ascii="Times New Roman" w:eastAsia="Times New Roman" w:hAnsi="Times New Roman"/>
                <w:lang w:val="ro-MD" w:eastAsia="en-GB"/>
              </w:rPr>
              <w:br/>
              <w:t>IP ODA</w:t>
            </w:r>
          </w:p>
        </w:tc>
        <w:tc>
          <w:tcPr>
            <w:tcW w:w="1650" w:type="dxa"/>
          </w:tcPr>
          <w:p w14:paraId="2DDE76A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35111C15" w14:textId="77777777" w:rsidTr="00B0372F">
        <w:trPr>
          <w:trHeight w:val="1000"/>
        </w:trPr>
        <w:tc>
          <w:tcPr>
            <w:tcW w:w="876" w:type="dxa"/>
          </w:tcPr>
          <w:p w14:paraId="41F3A317"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1.2.2.4</w:t>
            </w:r>
          </w:p>
        </w:tc>
        <w:tc>
          <w:tcPr>
            <w:tcW w:w="3230" w:type="dxa"/>
          </w:tcPr>
          <w:p w14:paraId="3AC47C3A" w14:textId="77777777" w:rsidR="0018446E" w:rsidRPr="0018446E" w:rsidRDefault="0018446E" w:rsidP="0018446E">
            <w:pPr>
              <w:spacing w:after="0" w:line="240" w:lineRule="auto"/>
              <w:ind w:left="0"/>
              <w:rPr>
                <w:rFonts w:ascii="Times New Roman" w:eastAsia="Times New Roman" w:hAnsi="Times New Roman" w:cstheme="minorBidi"/>
              </w:rPr>
            </w:pPr>
            <w:r w:rsidRPr="0018446E">
              <w:rPr>
                <w:rFonts w:ascii="Times New Roman" w:eastAsia="Times New Roman" w:hAnsi="Times New Roman" w:cstheme="minorBidi"/>
              </w:rPr>
              <w:t xml:space="preserve">Stimularea </w:t>
            </w:r>
            <w:proofErr w:type="spellStart"/>
            <w:r w:rsidRPr="0018446E">
              <w:rPr>
                <w:rFonts w:ascii="Times New Roman" w:eastAsia="Times New Roman" w:hAnsi="Times New Roman" w:cstheme="minorBidi"/>
              </w:rPr>
              <w:t>clusterizării</w:t>
            </w:r>
            <w:proofErr w:type="spellEnd"/>
            <w:r w:rsidRPr="0018446E">
              <w:rPr>
                <w:rFonts w:ascii="Times New Roman" w:eastAsia="Times New Roman" w:hAnsi="Times New Roman" w:cstheme="minorBidi"/>
              </w:rPr>
              <w:t xml:space="preserve"> întreprinderilor din sectorul industrial</w:t>
            </w:r>
          </w:p>
        </w:tc>
        <w:tc>
          <w:tcPr>
            <w:tcW w:w="2268" w:type="dxa"/>
          </w:tcPr>
          <w:p w14:paraId="1EDE92D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- 3 clustere create</w:t>
            </w:r>
          </w:p>
        </w:tc>
        <w:tc>
          <w:tcPr>
            <w:tcW w:w="1276" w:type="dxa"/>
          </w:tcPr>
          <w:p w14:paraId="5BB5014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2024-2026</w:t>
            </w:r>
          </w:p>
        </w:tc>
        <w:tc>
          <w:tcPr>
            <w:tcW w:w="1134" w:type="dxa"/>
            <w:noWrap/>
          </w:tcPr>
          <w:p w14:paraId="49FFB8B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725E4B3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2677D3F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5E0CA9D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520" w:type="dxa"/>
          </w:tcPr>
          <w:p w14:paraId="26DC6C8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713C658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7C1D97B7" w14:textId="77777777" w:rsidTr="00B0372F">
        <w:trPr>
          <w:trHeight w:val="557"/>
        </w:trPr>
        <w:tc>
          <w:tcPr>
            <w:tcW w:w="15588" w:type="dxa"/>
            <w:gridSpan w:val="10"/>
            <w:shd w:val="clear" w:color="auto" w:fill="D9E2F3" w:themeFill="accent1" w:themeFillTint="33"/>
          </w:tcPr>
          <w:p w14:paraId="6C6F124A"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Obiectivul general 2</w:t>
            </w:r>
            <w:r w:rsidRPr="0018446E">
              <w:rPr>
                <w:rFonts w:ascii="Times New Roman" w:eastAsia="Times New Roman" w:hAnsi="Times New Roman"/>
                <w:b/>
                <w:bCs/>
                <w:shd w:val="clear" w:color="auto" w:fill="D9E2F3" w:themeFill="accent1" w:themeFillTint="33"/>
                <w:lang w:val="ro-MD" w:eastAsia="en-GB"/>
              </w:rPr>
              <w:t>:</w:t>
            </w:r>
            <w:r w:rsidRPr="0018446E">
              <w:rPr>
                <w:rFonts w:ascii="Times New Roman" w:eastAsia="Times New Roman" w:hAnsi="Times New Roman"/>
                <w:b/>
                <w:bCs/>
                <w:lang w:val="ro-MD" w:eastAsia="en-GB"/>
              </w:rPr>
              <w:t xml:space="preserve"> </w:t>
            </w:r>
            <w:r w:rsidRPr="0018446E">
              <w:rPr>
                <w:rFonts w:ascii="Times New Roman" w:eastAsia="Times New Roman" w:hAnsi="Times New Roman"/>
                <w:b/>
                <w:bCs/>
                <w:lang w:val="ro-MD"/>
              </w:rPr>
              <w:t xml:space="preserve"> Mobilizarea capitalului și forței de muncă </w:t>
            </w:r>
          </w:p>
        </w:tc>
      </w:tr>
      <w:tr w:rsidR="0018446E" w:rsidRPr="0018446E" w14:paraId="1393EA91" w14:textId="77777777" w:rsidTr="00B0372F">
        <w:trPr>
          <w:trHeight w:val="557"/>
        </w:trPr>
        <w:tc>
          <w:tcPr>
            <w:tcW w:w="876" w:type="dxa"/>
            <w:vMerge w:val="restart"/>
            <w:shd w:val="clear" w:color="auto" w:fill="FFFBEF"/>
          </w:tcPr>
          <w:p w14:paraId="16524AFC"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lastRenderedPageBreak/>
              <w:t>Nr.</w:t>
            </w:r>
          </w:p>
        </w:tc>
        <w:tc>
          <w:tcPr>
            <w:tcW w:w="3230" w:type="dxa"/>
            <w:vMerge w:val="restart"/>
            <w:shd w:val="clear" w:color="auto" w:fill="FFFBEF"/>
          </w:tcPr>
          <w:p w14:paraId="6E1350A1"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Acțiuni</w:t>
            </w:r>
          </w:p>
        </w:tc>
        <w:tc>
          <w:tcPr>
            <w:tcW w:w="2268" w:type="dxa"/>
            <w:vMerge w:val="restart"/>
            <w:shd w:val="clear" w:color="auto" w:fill="FFFBEF"/>
          </w:tcPr>
          <w:p w14:paraId="76091B55"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Indicatori de monitorizare</w:t>
            </w:r>
          </w:p>
        </w:tc>
        <w:tc>
          <w:tcPr>
            <w:tcW w:w="1276" w:type="dxa"/>
            <w:vMerge w:val="restart"/>
            <w:shd w:val="clear" w:color="auto" w:fill="FFFBEF"/>
          </w:tcPr>
          <w:p w14:paraId="566A8CFB"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Termen de realizare</w:t>
            </w:r>
          </w:p>
        </w:tc>
        <w:tc>
          <w:tcPr>
            <w:tcW w:w="3402" w:type="dxa"/>
            <w:gridSpan w:val="3"/>
            <w:shd w:val="clear" w:color="auto" w:fill="FFFBEF"/>
            <w:noWrap/>
            <w:vAlign w:val="center"/>
          </w:tcPr>
          <w:p w14:paraId="50AF51D3"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 xml:space="preserve">Costuri estimate </w:t>
            </w:r>
            <w:r w:rsidRPr="0018446E">
              <w:rPr>
                <w:rFonts w:ascii="Times New Roman" w:eastAsia="Times New Roman" w:hAnsi="Times New Roman"/>
                <w:b/>
                <w:bCs/>
                <w:i/>
                <w:iCs/>
                <w:lang w:val="ro-MD" w:eastAsia="en-GB"/>
              </w:rPr>
              <w:t>(mii MDL)</w:t>
            </w:r>
          </w:p>
        </w:tc>
        <w:tc>
          <w:tcPr>
            <w:tcW w:w="1366" w:type="dxa"/>
            <w:vMerge w:val="restart"/>
            <w:shd w:val="clear" w:color="auto" w:fill="FFFBEF"/>
            <w:vAlign w:val="center"/>
          </w:tcPr>
          <w:p w14:paraId="70E2E0EB"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Surse de finanțare</w:t>
            </w:r>
          </w:p>
        </w:tc>
        <w:tc>
          <w:tcPr>
            <w:tcW w:w="1520" w:type="dxa"/>
            <w:vMerge w:val="restart"/>
            <w:shd w:val="clear" w:color="auto" w:fill="FFFBEF"/>
            <w:vAlign w:val="center"/>
          </w:tcPr>
          <w:p w14:paraId="4ADB8C55"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Instituția responsabilă</w:t>
            </w:r>
          </w:p>
        </w:tc>
        <w:tc>
          <w:tcPr>
            <w:tcW w:w="1650" w:type="dxa"/>
            <w:vMerge w:val="restart"/>
            <w:shd w:val="clear" w:color="auto" w:fill="FFFBEF"/>
            <w:vAlign w:val="center"/>
          </w:tcPr>
          <w:p w14:paraId="63A3878C"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Parteneri</w:t>
            </w:r>
          </w:p>
        </w:tc>
      </w:tr>
      <w:tr w:rsidR="0018446E" w:rsidRPr="0018446E" w14:paraId="4DD4D322" w14:textId="77777777" w:rsidTr="00B0372F">
        <w:trPr>
          <w:trHeight w:val="557"/>
        </w:trPr>
        <w:tc>
          <w:tcPr>
            <w:tcW w:w="876" w:type="dxa"/>
            <w:vMerge/>
          </w:tcPr>
          <w:p w14:paraId="2C9A74F3"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3230" w:type="dxa"/>
            <w:vMerge/>
          </w:tcPr>
          <w:p w14:paraId="3C855190"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2268" w:type="dxa"/>
            <w:vMerge/>
          </w:tcPr>
          <w:p w14:paraId="6196DF7F"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276" w:type="dxa"/>
            <w:vMerge/>
          </w:tcPr>
          <w:p w14:paraId="7408F15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c>
          <w:tcPr>
            <w:tcW w:w="1134" w:type="dxa"/>
            <w:shd w:val="clear" w:color="auto" w:fill="FFFBEF"/>
            <w:noWrap/>
            <w:vAlign w:val="center"/>
          </w:tcPr>
          <w:p w14:paraId="161F6728"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2024</w:t>
            </w:r>
          </w:p>
        </w:tc>
        <w:tc>
          <w:tcPr>
            <w:tcW w:w="1134" w:type="dxa"/>
            <w:shd w:val="clear" w:color="auto" w:fill="FFFBEF"/>
            <w:vAlign w:val="center"/>
          </w:tcPr>
          <w:p w14:paraId="4DC52732"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2025</w:t>
            </w:r>
          </w:p>
        </w:tc>
        <w:tc>
          <w:tcPr>
            <w:tcW w:w="1134" w:type="dxa"/>
            <w:shd w:val="clear" w:color="auto" w:fill="FFFBEF"/>
            <w:vAlign w:val="center"/>
          </w:tcPr>
          <w:p w14:paraId="1F7D95D0"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2026</w:t>
            </w:r>
          </w:p>
        </w:tc>
        <w:tc>
          <w:tcPr>
            <w:tcW w:w="1366" w:type="dxa"/>
            <w:vMerge/>
            <w:vAlign w:val="center"/>
          </w:tcPr>
          <w:p w14:paraId="2FE90E9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c>
          <w:tcPr>
            <w:tcW w:w="1520" w:type="dxa"/>
            <w:vMerge/>
            <w:vAlign w:val="center"/>
          </w:tcPr>
          <w:p w14:paraId="1AE0F838"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650" w:type="dxa"/>
            <w:vMerge/>
            <w:vAlign w:val="center"/>
          </w:tcPr>
          <w:p w14:paraId="439F358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42630A1D" w14:textId="77777777" w:rsidTr="00B0372F">
        <w:trPr>
          <w:trHeight w:val="491"/>
        </w:trPr>
        <w:tc>
          <w:tcPr>
            <w:tcW w:w="15588" w:type="dxa"/>
            <w:gridSpan w:val="10"/>
            <w:shd w:val="clear" w:color="auto" w:fill="D5DCE4" w:themeFill="text2" w:themeFillTint="33"/>
          </w:tcPr>
          <w:p w14:paraId="78B49272"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i/>
                <w:iCs/>
                <w:lang w:val="ro-MD" w:eastAsia="en-GB"/>
              </w:rPr>
              <w:t xml:space="preserve">Obiectivul Specific 2.1: </w:t>
            </w:r>
            <w:r w:rsidRPr="0018446E">
              <w:rPr>
                <w:rFonts w:ascii="Times New Roman" w:eastAsia="Times New Roman" w:hAnsi="Times New Roman"/>
                <w:b/>
                <w:i/>
                <w:iCs/>
                <w:lang w:val="ro-MD"/>
              </w:rPr>
              <w:t>Stimularea investițiilor în industria prelucrătoare</w:t>
            </w:r>
          </w:p>
        </w:tc>
      </w:tr>
      <w:tr w:rsidR="0018446E" w:rsidRPr="0018446E" w14:paraId="6BA413E9" w14:textId="77777777" w:rsidTr="00B0372F">
        <w:trPr>
          <w:trHeight w:val="400"/>
        </w:trPr>
        <w:tc>
          <w:tcPr>
            <w:tcW w:w="15588" w:type="dxa"/>
            <w:gridSpan w:val="10"/>
          </w:tcPr>
          <w:p w14:paraId="6C87C72F"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 xml:space="preserve">Indicatori de rezultat: </w:t>
            </w:r>
          </w:p>
          <w:p w14:paraId="2FF14F4F"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1. Creșterea investițiilor în industria prelucrătoare, aferente schemei de ajutor de stat, cu cca 30% către anul 2026</w:t>
            </w:r>
          </w:p>
          <w:p w14:paraId="577C5FA4"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 Creșterea creditelor garantate de FGC ÎMM din sectorul industrial, cu cca 20%, către anul 2026</w:t>
            </w:r>
          </w:p>
          <w:p w14:paraId="596DFD87"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3. Creșterea creditelor acordate ÎMM-urilor din sectorul industrial, prin instrumentele FACEM, cu aproximativ 40%, către anul 2026</w:t>
            </w:r>
          </w:p>
        </w:tc>
      </w:tr>
      <w:tr w:rsidR="0018446E" w:rsidRPr="0018446E" w14:paraId="6682592C" w14:textId="77777777" w:rsidTr="00B0372F">
        <w:trPr>
          <w:trHeight w:val="405"/>
        </w:trPr>
        <w:tc>
          <w:tcPr>
            <w:tcW w:w="15588" w:type="dxa"/>
            <w:gridSpan w:val="10"/>
          </w:tcPr>
          <w:p w14:paraId="109CB2C1" w14:textId="77777777" w:rsidR="0018446E" w:rsidRPr="0018446E" w:rsidRDefault="0018446E" w:rsidP="0018446E">
            <w:pPr>
              <w:spacing w:after="0" w:line="240" w:lineRule="auto"/>
              <w:ind w:left="0"/>
              <w:jc w:val="both"/>
              <w:rPr>
                <w:rFonts w:ascii="Times New Roman" w:eastAsia="Times New Roman" w:hAnsi="Times New Roman"/>
                <w:i/>
                <w:iCs/>
              </w:rPr>
            </w:pPr>
            <w:r w:rsidRPr="0018446E">
              <w:rPr>
                <w:rFonts w:ascii="Times New Roman" w:eastAsia="Times New Roman" w:hAnsi="Times New Roman"/>
                <w:i/>
                <w:iCs/>
                <w:lang w:val="ro-MD" w:eastAsia="en-GB"/>
              </w:rPr>
              <w:t>2.1.1</w:t>
            </w:r>
            <w:r w:rsidRPr="0018446E">
              <w:rPr>
                <w:rFonts w:ascii="Times New Roman" w:eastAsia="Times New Roman" w:hAnsi="Times New Roman"/>
                <w:lang w:val="ro-MD" w:eastAsia="en-GB"/>
              </w:rPr>
              <w:t xml:space="preserve"> </w:t>
            </w:r>
            <w:r w:rsidRPr="0018446E">
              <w:rPr>
                <w:rFonts w:ascii="Times New Roman" w:eastAsia="Times New Roman" w:hAnsi="Times New Roman"/>
                <w:i/>
                <w:iCs/>
              </w:rPr>
              <w:t xml:space="preserve"> Dezvoltarea unui mecanism de </w:t>
            </w:r>
            <w:proofErr w:type="spellStart"/>
            <w:r w:rsidRPr="0018446E">
              <w:rPr>
                <w:rFonts w:ascii="Times New Roman" w:eastAsia="Times New Roman" w:hAnsi="Times New Roman"/>
                <w:i/>
                <w:iCs/>
              </w:rPr>
              <w:t>de</w:t>
            </w:r>
            <w:proofErr w:type="spellEnd"/>
            <w:r w:rsidRPr="0018446E">
              <w:rPr>
                <w:rFonts w:ascii="Times New Roman" w:eastAsia="Times New Roman" w:hAnsi="Times New Roman"/>
                <w:i/>
                <w:iCs/>
              </w:rPr>
              <w:t xml:space="preserve"> ajutor de stat pentru investițiile în industria prelucrătoare</w:t>
            </w:r>
          </w:p>
        </w:tc>
      </w:tr>
      <w:tr w:rsidR="0018446E" w:rsidRPr="0018446E" w14:paraId="699FF243" w14:textId="77777777" w:rsidTr="00B0372F">
        <w:trPr>
          <w:trHeight w:val="1644"/>
        </w:trPr>
        <w:tc>
          <w:tcPr>
            <w:tcW w:w="876" w:type="dxa"/>
          </w:tcPr>
          <w:p w14:paraId="31A3DCA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2.1.1.1</w:t>
            </w:r>
          </w:p>
        </w:tc>
        <w:tc>
          <w:tcPr>
            <w:tcW w:w="3230" w:type="dxa"/>
          </w:tcPr>
          <w:p w14:paraId="7653D8B0"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Elaborarea Hărții ajutoarelor regionale în Republica Moldova, aliniată la prevederile Orientărilor revizuite privind ajutoarele de stat regionale</w:t>
            </w:r>
          </w:p>
        </w:tc>
        <w:tc>
          <w:tcPr>
            <w:tcW w:w="2268" w:type="dxa"/>
          </w:tcPr>
          <w:p w14:paraId="09ACCDB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Harta ajutoarelor regionale elaborată/aprobată</w:t>
            </w:r>
          </w:p>
        </w:tc>
        <w:tc>
          <w:tcPr>
            <w:tcW w:w="1276" w:type="dxa"/>
          </w:tcPr>
          <w:p w14:paraId="455D20B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Tr. IV, 2024</w:t>
            </w:r>
          </w:p>
        </w:tc>
        <w:tc>
          <w:tcPr>
            <w:tcW w:w="1134" w:type="dxa"/>
          </w:tcPr>
          <w:p w14:paraId="20BD565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tcPr>
          <w:p w14:paraId="1AA6081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6E924FC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7E0C2A5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alte surse</w:t>
            </w:r>
          </w:p>
        </w:tc>
        <w:tc>
          <w:tcPr>
            <w:tcW w:w="1520" w:type="dxa"/>
          </w:tcPr>
          <w:p w14:paraId="33C10E5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1050FFF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Consiliul Concurenței,</w:t>
            </w:r>
          </w:p>
          <w:p w14:paraId="0E7996E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Ministerul Finanțelor</w:t>
            </w:r>
          </w:p>
        </w:tc>
      </w:tr>
      <w:tr w:rsidR="0018446E" w:rsidRPr="0018446E" w14:paraId="77D52F64" w14:textId="77777777" w:rsidTr="00B0372F">
        <w:trPr>
          <w:trHeight w:val="1644"/>
        </w:trPr>
        <w:tc>
          <w:tcPr>
            <w:tcW w:w="876" w:type="dxa"/>
          </w:tcPr>
          <w:p w14:paraId="381DF15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2.1.1.2</w:t>
            </w:r>
          </w:p>
        </w:tc>
        <w:tc>
          <w:tcPr>
            <w:tcW w:w="3230" w:type="dxa"/>
          </w:tcPr>
          <w:p w14:paraId="6FBFAFB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rPr>
              <w:t>Instituirea schemei de ajutor de stat regionale pentru investițiile din industria prelucrătoare</w:t>
            </w:r>
          </w:p>
        </w:tc>
        <w:tc>
          <w:tcPr>
            <w:tcW w:w="2268" w:type="dxa"/>
          </w:tcPr>
          <w:p w14:paraId="27C563B7"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xml:space="preserve">- </w:t>
            </w:r>
            <w:proofErr w:type="spellStart"/>
            <w:r w:rsidRPr="0018446E">
              <w:rPr>
                <w:rFonts w:ascii="Times New Roman" w:eastAsia="Times New Roman" w:hAnsi="Times New Roman" w:cstheme="minorBidi"/>
                <w:lang w:val="ro-MD" w:eastAsia="en-GB"/>
              </w:rPr>
              <w:t>Hotîrâre</w:t>
            </w:r>
            <w:proofErr w:type="spellEnd"/>
            <w:r w:rsidRPr="0018446E">
              <w:rPr>
                <w:rFonts w:ascii="Times New Roman" w:eastAsia="Times New Roman" w:hAnsi="Times New Roman" w:cstheme="minorBidi"/>
                <w:lang w:val="ro-MD" w:eastAsia="en-GB"/>
              </w:rPr>
              <w:t xml:space="preserve"> de Guvern aprobată</w:t>
            </w:r>
          </w:p>
        </w:tc>
        <w:tc>
          <w:tcPr>
            <w:tcW w:w="1276" w:type="dxa"/>
          </w:tcPr>
          <w:p w14:paraId="5A8F21B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Tr. IV, 2024</w:t>
            </w:r>
          </w:p>
        </w:tc>
        <w:tc>
          <w:tcPr>
            <w:tcW w:w="1134" w:type="dxa"/>
          </w:tcPr>
          <w:p w14:paraId="400E740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20,2</w:t>
            </w:r>
          </w:p>
        </w:tc>
        <w:tc>
          <w:tcPr>
            <w:tcW w:w="1134" w:type="dxa"/>
          </w:tcPr>
          <w:p w14:paraId="0587047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27C4339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2CFBC4D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51BBC45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2B686C6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Consiliul Concurenței,</w:t>
            </w:r>
          </w:p>
          <w:p w14:paraId="6013EF6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Ministerul Finanțelor</w:t>
            </w:r>
          </w:p>
        </w:tc>
      </w:tr>
      <w:tr w:rsidR="0018446E" w:rsidRPr="0018446E" w14:paraId="56D5746B" w14:textId="77777777" w:rsidTr="00B0372F">
        <w:trPr>
          <w:trHeight w:val="1317"/>
        </w:trPr>
        <w:tc>
          <w:tcPr>
            <w:tcW w:w="876" w:type="dxa"/>
          </w:tcPr>
          <w:p w14:paraId="488806C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2.1.1.3</w:t>
            </w:r>
          </w:p>
        </w:tc>
        <w:tc>
          <w:tcPr>
            <w:tcW w:w="3230" w:type="dxa"/>
          </w:tcPr>
          <w:p w14:paraId="2578555C" w14:textId="77777777" w:rsidR="0018446E" w:rsidRPr="0018446E" w:rsidRDefault="0018446E" w:rsidP="0018446E">
            <w:pPr>
              <w:spacing w:after="0" w:line="240" w:lineRule="auto"/>
              <w:ind w:left="0"/>
              <w:rPr>
                <w:rFonts w:ascii="Times New Roman" w:eastAsia="Times New Roman" w:hAnsi="Times New Roman" w:cstheme="minorBidi"/>
              </w:rPr>
            </w:pPr>
            <w:r w:rsidRPr="0018446E">
              <w:rPr>
                <w:rFonts w:ascii="Times New Roman" w:eastAsia="Times New Roman" w:hAnsi="Times New Roman" w:cstheme="minorBidi"/>
              </w:rPr>
              <w:t xml:space="preserve">Elaborarea Ghidului Solicitantului ajutorului de stat </w:t>
            </w:r>
            <w:r w:rsidRPr="0018446E">
              <w:rPr>
                <w:rFonts w:ascii="Times New Roman" w:eastAsia="Times New Roman" w:hAnsi="Times New Roman"/>
              </w:rPr>
              <w:t xml:space="preserve"> pentru investițiile din industria prelucrătoare</w:t>
            </w:r>
          </w:p>
        </w:tc>
        <w:tc>
          <w:tcPr>
            <w:tcW w:w="2268" w:type="dxa"/>
          </w:tcPr>
          <w:p w14:paraId="146F813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Ghidul Solicitantului elaborat/aprobat</w:t>
            </w:r>
          </w:p>
        </w:tc>
        <w:tc>
          <w:tcPr>
            <w:tcW w:w="1276" w:type="dxa"/>
          </w:tcPr>
          <w:p w14:paraId="14BBF55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Tr. I, 2025</w:t>
            </w:r>
          </w:p>
        </w:tc>
        <w:tc>
          <w:tcPr>
            <w:tcW w:w="1134" w:type="dxa"/>
          </w:tcPr>
          <w:p w14:paraId="09BEE6F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134" w:type="dxa"/>
          </w:tcPr>
          <w:p w14:paraId="7BAF509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tcPr>
          <w:p w14:paraId="0FB3C04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7DE3E40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alte surse</w:t>
            </w:r>
          </w:p>
        </w:tc>
        <w:tc>
          <w:tcPr>
            <w:tcW w:w="1520" w:type="dxa"/>
          </w:tcPr>
          <w:p w14:paraId="2AAF5C3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2470D5F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Consiliul Concurenței,</w:t>
            </w:r>
          </w:p>
          <w:p w14:paraId="17CE0D0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Ministerul Finanțelor</w:t>
            </w:r>
          </w:p>
        </w:tc>
      </w:tr>
      <w:tr w:rsidR="0018446E" w:rsidRPr="0018446E" w14:paraId="0EAAA314" w14:textId="77777777" w:rsidTr="00B0372F">
        <w:trPr>
          <w:trHeight w:val="414"/>
        </w:trPr>
        <w:tc>
          <w:tcPr>
            <w:tcW w:w="15588" w:type="dxa"/>
            <w:gridSpan w:val="10"/>
          </w:tcPr>
          <w:p w14:paraId="55E00848" w14:textId="77777777" w:rsidR="0018446E" w:rsidRPr="0018446E" w:rsidRDefault="0018446E" w:rsidP="0018446E">
            <w:pPr>
              <w:spacing w:after="0" w:line="240" w:lineRule="auto"/>
              <w:ind w:left="0"/>
              <w:rPr>
                <w:rFonts w:ascii="Times New Roman" w:eastAsia="Times New Roman" w:hAnsi="Times New Roman" w:cstheme="minorBidi"/>
                <w:i/>
                <w:iCs/>
                <w:lang w:val="ro-MD" w:eastAsia="en-GB"/>
              </w:rPr>
            </w:pPr>
            <w:r w:rsidRPr="0018446E">
              <w:rPr>
                <w:rFonts w:ascii="Times New Roman" w:eastAsia="Times New Roman" w:hAnsi="Times New Roman" w:cstheme="minorBidi"/>
                <w:i/>
                <w:iCs/>
                <w:lang w:val="ro-MD" w:eastAsia="en-GB"/>
              </w:rPr>
              <w:t xml:space="preserve">2.1.2 </w:t>
            </w:r>
            <w:r w:rsidRPr="0018446E">
              <w:rPr>
                <w:rFonts w:ascii="Times New Roman" w:eastAsia="Times New Roman" w:hAnsi="Times New Roman" w:cstheme="minorBidi"/>
                <w:i/>
                <w:iCs/>
              </w:rPr>
              <w:t>Valorificarea instrumentelor financiare și Programelor IP ODA în industria prelucrătoare</w:t>
            </w:r>
          </w:p>
        </w:tc>
      </w:tr>
      <w:tr w:rsidR="0018446E" w:rsidRPr="0018446E" w14:paraId="2C23E814" w14:textId="77777777" w:rsidTr="00B0372F">
        <w:trPr>
          <w:trHeight w:val="1644"/>
        </w:trPr>
        <w:tc>
          <w:tcPr>
            <w:tcW w:w="876" w:type="dxa"/>
          </w:tcPr>
          <w:p w14:paraId="433EDF7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lastRenderedPageBreak/>
              <w:t>2.1.2.1</w:t>
            </w:r>
          </w:p>
        </w:tc>
        <w:tc>
          <w:tcPr>
            <w:tcW w:w="3230" w:type="dxa"/>
          </w:tcPr>
          <w:p w14:paraId="5E102169" w14:textId="77777777" w:rsidR="0018446E" w:rsidRPr="0018446E" w:rsidRDefault="0018446E" w:rsidP="0018446E">
            <w:pPr>
              <w:spacing w:after="0" w:line="240" w:lineRule="auto"/>
              <w:ind w:left="0"/>
              <w:rPr>
                <w:rFonts w:ascii="Times New Roman" w:eastAsia="Times New Roman" w:hAnsi="Times New Roman" w:cstheme="minorBidi"/>
              </w:rPr>
            </w:pPr>
            <w:r w:rsidRPr="0018446E">
              <w:rPr>
                <w:rFonts w:ascii="Times New Roman" w:eastAsia="Times New Roman" w:hAnsi="Times New Roman"/>
                <w:lang w:val="ro-MD" w:eastAsia="en-GB"/>
              </w:rPr>
              <w:t xml:space="preserve">Promovarea </w:t>
            </w:r>
            <w:r w:rsidRPr="0018446E">
              <w:rPr>
                <w:rFonts w:ascii="Times New Roman" w:eastAsia="Times New Roman" w:hAnsi="Times New Roman" w:cstheme="minorBidi"/>
              </w:rPr>
              <w:t xml:space="preserve"> instrumentelor financiare și Programelor IP ODA (FGC și FACEM)</w:t>
            </w:r>
            <w:r w:rsidRPr="0018446E">
              <w:rPr>
                <w:rFonts w:ascii="Times New Roman" w:eastAsia="Times New Roman" w:hAnsi="Times New Roman" w:cstheme="minorBidi"/>
                <w:i/>
                <w:iCs/>
              </w:rPr>
              <w:t xml:space="preserve"> </w:t>
            </w:r>
            <w:r w:rsidRPr="0018446E">
              <w:rPr>
                <w:rFonts w:ascii="Times New Roman" w:eastAsia="Times New Roman" w:hAnsi="Times New Roman" w:cstheme="minorBidi"/>
              </w:rPr>
              <w:t>în industria prelucrătoare</w:t>
            </w:r>
          </w:p>
          <w:p w14:paraId="2BDEAE09"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2268" w:type="dxa"/>
          </w:tcPr>
          <w:p w14:paraId="18C75089"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- 2 campanii de promovare</w:t>
            </w:r>
          </w:p>
          <w:p w14:paraId="31695344"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1276" w:type="dxa"/>
          </w:tcPr>
          <w:p w14:paraId="30AC13B9" w14:textId="77777777" w:rsidR="0018446E" w:rsidRPr="0018446E" w:rsidRDefault="0018446E" w:rsidP="0018446E">
            <w:pPr>
              <w:spacing w:after="0" w:line="240" w:lineRule="auto"/>
              <w:ind w:left="0"/>
              <w:rPr>
                <w:rFonts w:ascii="Times New Roman" w:eastAsia="Times New Roman" w:hAnsi="Times New Roman"/>
                <w:lang w:val="ro-MD" w:eastAsia="en-GB"/>
              </w:rPr>
            </w:pPr>
          </w:p>
          <w:p w14:paraId="547D66A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2024-2025</w:t>
            </w:r>
          </w:p>
        </w:tc>
        <w:tc>
          <w:tcPr>
            <w:tcW w:w="1134" w:type="dxa"/>
          </w:tcPr>
          <w:p w14:paraId="69D7718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tcPr>
          <w:p w14:paraId="092B1A9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200,0</w:t>
            </w:r>
          </w:p>
        </w:tc>
        <w:tc>
          <w:tcPr>
            <w:tcW w:w="1134" w:type="dxa"/>
          </w:tcPr>
          <w:p w14:paraId="55A8D95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49A5E1E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alte surse</w:t>
            </w:r>
          </w:p>
        </w:tc>
        <w:tc>
          <w:tcPr>
            <w:tcW w:w="1520" w:type="dxa"/>
          </w:tcPr>
          <w:p w14:paraId="7BD9115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517B4B6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IP ODA</w:t>
            </w:r>
          </w:p>
        </w:tc>
        <w:tc>
          <w:tcPr>
            <w:tcW w:w="1650" w:type="dxa"/>
          </w:tcPr>
          <w:p w14:paraId="0208F17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3936382D" w14:textId="77777777" w:rsidTr="00B0372F">
        <w:trPr>
          <w:trHeight w:val="70"/>
        </w:trPr>
        <w:tc>
          <w:tcPr>
            <w:tcW w:w="876" w:type="dxa"/>
          </w:tcPr>
          <w:p w14:paraId="788B012F"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2.1.2.2</w:t>
            </w:r>
          </w:p>
        </w:tc>
        <w:tc>
          <w:tcPr>
            <w:tcW w:w="3230" w:type="dxa"/>
          </w:tcPr>
          <w:p w14:paraId="07B96894"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Stimularea garantării și creditării industriei prelucrătoare prin intermediul </w:t>
            </w:r>
            <w:r w:rsidRPr="0018446E">
              <w:rPr>
                <w:rFonts w:ascii="Times New Roman" w:eastAsia="Times New Roman" w:hAnsi="Times New Roman" w:cstheme="minorBidi"/>
              </w:rPr>
              <w:t xml:space="preserve"> instrumentelor financiare și Programelor IP ODA </w:t>
            </w:r>
          </w:p>
        </w:tc>
        <w:tc>
          <w:tcPr>
            <w:tcW w:w="2268" w:type="dxa"/>
          </w:tcPr>
          <w:p w14:paraId="6EEDBD05"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Nr. garanțiilor financiare noi emise,</w:t>
            </w:r>
          </w:p>
          <w:p w14:paraId="31795F0E"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Suma credite noi acordate</w:t>
            </w:r>
          </w:p>
        </w:tc>
        <w:tc>
          <w:tcPr>
            <w:tcW w:w="1276" w:type="dxa"/>
          </w:tcPr>
          <w:p w14:paraId="184067D7" w14:textId="77777777" w:rsidR="0018446E" w:rsidRPr="0018446E" w:rsidRDefault="0018446E" w:rsidP="0018446E">
            <w:pPr>
              <w:spacing w:after="0" w:line="240" w:lineRule="auto"/>
              <w:ind w:left="0"/>
              <w:rPr>
                <w:rFonts w:ascii="Times New Roman" w:eastAsia="Times New Roman" w:hAnsi="Times New Roman"/>
                <w:lang w:val="ro-MD" w:eastAsia="en-GB"/>
              </w:rPr>
            </w:pPr>
          </w:p>
          <w:p w14:paraId="79DC6F1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2024-2026</w:t>
            </w:r>
          </w:p>
        </w:tc>
        <w:tc>
          <w:tcPr>
            <w:tcW w:w="1134" w:type="dxa"/>
          </w:tcPr>
          <w:p w14:paraId="189E598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0DDCCB3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6A6BA6A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shd w:val="clear" w:color="auto" w:fill="FFFFFF" w:themeFill="background1"/>
          </w:tcPr>
          <w:p w14:paraId="3EE674E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520" w:type="dxa"/>
          </w:tcPr>
          <w:p w14:paraId="2A1F4F8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0E3BD6A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IP ODA</w:t>
            </w:r>
          </w:p>
        </w:tc>
        <w:tc>
          <w:tcPr>
            <w:tcW w:w="1650" w:type="dxa"/>
          </w:tcPr>
          <w:p w14:paraId="28A7676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149DD3C2" w14:textId="77777777" w:rsidTr="00B0372F">
        <w:trPr>
          <w:trHeight w:val="456"/>
        </w:trPr>
        <w:tc>
          <w:tcPr>
            <w:tcW w:w="15588" w:type="dxa"/>
            <w:gridSpan w:val="10"/>
          </w:tcPr>
          <w:p w14:paraId="7015EFCF" w14:textId="77777777" w:rsidR="0018446E" w:rsidRPr="0018446E" w:rsidRDefault="0018446E" w:rsidP="0018446E">
            <w:pPr>
              <w:spacing w:after="0" w:line="240" w:lineRule="auto"/>
              <w:ind w:left="0"/>
              <w:jc w:val="both"/>
              <w:rPr>
                <w:rFonts w:ascii="Times New Roman" w:eastAsia="Times New Roman" w:hAnsi="Times New Roman"/>
                <w:i/>
                <w:iCs/>
                <w:lang w:val="ro-MD" w:eastAsia="en-GB"/>
              </w:rPr>
            </w:pPr>
            <w:r w:rsidRPr="0018446E">
              <w:rPr>
                <w:rFonts w:ascii="Times New Roman" w:eastAsia="Times New Roman" w:hAnsi="Times New Roman"/>
                <w:i/>
                <w:iCs/>
                <w:lang w:val="ro-MD" w:eastAsia="en-GB"/>
              </w:rPr>
              <w:t>2.1.3 Atragerea investițiilor străine directe în sectorul industrial</w:t>
            </w:r>
          </w:p>
        </w:tc>
      </w:tr>
      <w:tr w:rsidR="0018446E" w:rsidRPr="0018446E" w14:paraId="1D7677E3" w14:textId="77777777" w:rsidTr="00B0372F">
        <w:trPr>
          <w:trHeight w:val="456"/>
        </w:trPr>
        <w:tc>
          <w:tcPr>
            <w:tcW w:w="876" w:type="dxa"/>
          </w:tcPr>
          <w:p w14:paraId="05D18130"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2.1.3.1</w:t>
            </w:r>
          </w:p>
        </w:tc>
        <w:tc>
          <w:tcPr>
            <w:tcW w:w="3230" w:type="dxa"/>
          </w:tcPr>
          <w:p w14:paraId="5155BB65"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Modificarea Legii nr. 174/2021 privind mecanismul de examinare a investițiilor de importanță pentru securitatea statului, în vederea eficientizării mecanismului de examinare a investițiilor</w:t>
            </w:r>
          </w:p>
          <w:p w14:paraId="6102EAEE" w14:textId="77777777" w:rsidR="0018446E" w:rsidRPr="0018446E" w:rsidRDefault="0018446E" w:rsidP="0018446E">
            <w:pPr>
              <w:spacing w:after="0" w:line="240" w:lineRule="auto"/>
              <w:ind w:left="0"/>
              <w:rPr>
                <w:rFonts w:ascii="Times New Roman" w:eastAsia="Times New Roman" w:hAnsi="Times New Roman"/>
                <w:lang w:val="ro-MD" w:eastAsia="en-GB"/>
              </w:rPr>
            </w:pPr>
          </w:p>
          <w:p w14:paraId="47FB931D"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2268" w:type="dxa"/>
          </w:tcPr>
          <w:p w14:paraId="19479388"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Proiect de lege aprobat de Guvern și transmis Parlamentului spre adoptare</w:t>
            </w:r>
          </w:p>
        </w:tc>
        <w:tc>
          <w:tcPr>
            <w:tcW w:w="1276" w:type="dxa"/>
          </w:tcPr>
          <w:p w14:paraId="69F393A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II, 2024</w:t>
            </w:r>
          </w:p>
        </w:tc>
        <w:tc>
          <w:tcPr>
            <w:tcW w:w="1134" w:type="dxa"/>
          </w:tcPr>
          <w:p w14:paraId="407395C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color w:val="C00000"/>
                <w:sz w:val="20"/>
                <w:szCs w:val="20"/>
              </w:rPr>
              <w:t>22,6</w:t>
            </w:r>
          </w:p>
        </w:tc>
        <w:tc>
          <w:tcPr>
            <w:tcW w:w="1134" w:type="dxa"/>
          </w:tcPr>
          <w:p w14:paraId="2D45CAA9" w14:textId="77777777" w:rsidR="0018446E" w:rsidRPr="0018446E" w:rsidRDefault="0018446E" w:rsidP="0018446E">
            <w:pPr>
              <w:spacing w:after="0" w:line="240" w:lineRule="auto"/>
              <w:ind w:left="0" w:right="-10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697C874A" w14:textId="77777777" w:rsidR="0018446E" w:rsidRPr="0018446E" w:rsidRDefault="0018446E" w:rsidP="0018446E">
            <w:pPr>
              <w:spacing w:after="0" w:line="240" w:lineRule="auto"/>
              <w:ind w:left="0" w:right="-86"/>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695F102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7EFC769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365DB24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Serviciul de Informații și Securitate,</w:t>
            </w:r>
          </w:p>
          <w:p w14:paraId="438D35B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CNPF,</w:t>
            </w:r>
          </w:p>
          <w:p w14:paraId="1B52AB3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Agenția de Investiții,</w:t>
            </w:r>
          </w:p>
          <w:p w14:paraId="4D7F088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 xml:space="preserve">Ministerul Justiției </w:t>
            </w:r>
          </w:p>
        </w:tc>
      </w:tr>
      <w:tr w:rsidR="0018446E" w:rsidRPr="0018446E" w14:paraId="399B3DFC" w14:textId="77777777" w:rsidTr="00B0372F">
        <w:trPr>
          <w:trHeight w:val="557"/>
        </w:trPr>
        <w:tc>
          <w:tcPr>
            <w:tcW w:w="876" w:type="dxa"/>
          </w:tcPr>
          <w:p w14:paraId="64E20153"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2.1.3.2</w:t>
            </w:r>
          </w:p>
        </w:tc>
        <w:tc>
          <w:tcPr>
            <w:tcW w:w="3230" w:type="dxa"/>
          </w:tcPr>
          <w:p w14:paraId="4D59C064" w14:textId="77777777" w:rsidR="0018446E" w:rsidRPr="0018446E" w:rsidRDefault="0018446E" w:rsidP="0018446E">
            <w:pPr>
              <w:spacing w:after="0" w:line="240" w:lineRule="auto"/>
              <w:ind w:left="0"/>
              <w:rPr>
                <w:rFonts w:ascii="Times New Roman" w:eastAsia="Times New Roman" w:hAnsi="Times New Roman"/>
                <w:i/>
                <w:iCs/>
                <w:lang w:val="ro-MD" w:eastAsia="en-GB"/>
              </w:rPr>
            </w:pPr>
            <w:r w:rsidRPr="0018446E">
              <w:rPr>
                <w:rFonts w:ascii="Times New Roman" w:eastAsia="Times New Roman" w:hAnsi="Times New Roman"/>
                <w:lang w:val="ro-MD" w:eastAsia="en-GB"/>
              </w:rPr>
              <w:t xml:space="preserve">Stimularea investițiilor străine directe în industria prelucrătoare din lanțurile valorice superioare </w:t>
            </w:r>
          </w:p>
          <w:p w14:paraId="0736A41C"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2268" w:type="dxa"/>
          </w:tcPr>
          <w:p w14:paraId="5642693D"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Nr. proiectelor investiționale realizate,</w:t>
            </w:r>
          </w:p>
          <w:p w14:paraId="4CCC234C"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Valoarea investițiilor capitale</w:t>
            </w:r>
          </w:p>
        </w:tc>
        <w:tc>
          <w:tcPr>
            <w:tcW w:w="1276" w:type="dxa"/>
          </w:tcPr>
          <w:p w14:paraId="4E73082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2024-2026</w:t>
            </w:r>
          </w:p>
        </w:tc>
        <w:tc>
          <w:tcPr>
            <w:tcW w:w="1134" w:type="dxa"/>
          </w:tcPr>
          <w:p w14:paraId="2E0CAF7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37B32B6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6F953F2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4BA567A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520" w:type="dxa"/>
          </w:tcPr>
          <w:p w14:paraId="2385740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51C07FD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Administrațiile Zonelor Economice Libere</w:t>
            </w:r>
          </w:p>
        </w:tc>
        <w:tc>
          <w:tcPr>
            <w:tcW w:w="1650" w:type="dxa"/>
          </w:tcPr>
          <w:p w14:paraId="60F5326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Agenția de Investiții</w:t>
            </w:r>
          </w:p>
        </w:tc>
      </w:tr>
      <w:tr w:rsidR="0018446E" w:rsidRPr="0018446E" w14:paraId="57A7AD6E" w14:textId="77777777" w:rsidTr="00B0372F">
        <w:trPr>
          <w:trHeight w:val="362"/>
        </w:trPr>
        <w:tc>
          <w:tcPr>
            <w:tcW w:w="15588" w:type="dxa"/>
            <w:gridSpan w:val="10"/>
            <w:shd w:val="clear" w:color="auto" w:fill="D5DCE4" w:themeFill="text2" w:themeFillTint="33"/>
          </w:tcPr>
          <w:p w14:paraId="13A5B89A" w14:textId="77777777" w:rsidR="0018446E" w:rsidRPr="0018446E" w:rsidRDefault="0018446E" w:rsidP="0018446E">
            <w:pPr>
              <w:spacing w:after="0" w:line="240" w:lineRule="auto"/>
              <w:ind w:left="0"/>
              <w:rPr>
                <w:rFonts w:ascii="Times New Roman" w:eastAsia="Times New Roman" w:hAnsi="Times New Roman"/>
                <w:i/>
                <w:iCs/>
                <w:lang w:val="ro-MD" w:eastAsia="en-GB"/>
              </w:rPr>
            </w:pPr>
            <w:r w:rsidRPr="0018446E">
              <w:rPr>
                <w:rFonts w:ascii="Times New Roman" w:eastAsia="Times New Roman" w:hAnsi="Times New Roman"/>
                <w:b/>
                <w:bCs/>
                <w:i/>
                <w:iCs/>
                <w:lang w:val="ro-MD" w:eastAsia="en-GB"/>
              </w:rPr>
              <w:t xml:space="preserve">Obiectivul Specific 2.2: </w:t>
            </w:r>
            <w:r w:rsidRPr="0018446E">
              <w:rPr>
                <w:rFonts w:ascii="Times New Roman" w:eastAsia="Times New Roman" w:hAnsi="Times New Roman"/>
                <w:i/>
                <w:iCs/>
                <w:lang w:val="ro-MD"/>
              </w:rPr>
              <w:t xml:space="preserve"> </w:t>
            </w:r>
            <w:r w:rsidRPr="0018446E">
              <w:rPr>
                <w:rFonts w:ascii="Times New Roman" w:eastAsia="Times New Roman" w:hAnsi="Times New Roman"/>
                <w:b/>
                <w:bCs/>
                <w:i/>
                <w:iCs/>
                <w:lang w:val="ro-MD"/>
              </w:rPr>
              <w:t>Facilitarea accesului la forța de muncă calificată</w:t>
            </w:r>
          </w:p>
        </w:tc>
      </w:tr>
      <w:tr w:rsidR="0018446E" w:rsidRPr="0018446E" w14:paraId="3C4F3BDF" w14:textId="77777777" w:rsidTr="00B0372F">
        <w:trPr>
          <w:trHeight w:val="400"/>
        </w:trPr>
        <w:tc>
          <w:tcPr>
            <w:tcW w:w="15588" w:type="dxa"/>
            <w:gridSpan w:val="10"/>
            <w:shd w:val="clear" w:color="auto" w:fill="FFFFFF" w:themeFill="background1"/>
          </w:tcPr>
          <w:p w14:paraId="56B54BB9"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Indicatori de rezultat:</w:t>
            </w:r>
          </w:p>
          <w:p w14:paraId="0426CE3B"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lastRenderedPageBreak/>
              <w:t xml:space="preserve">1. </w:t>
            </w:r>
            <w:r w:rsidRPr="0018446E">
              <w:rPr>
                <w:rFonts w:ascii="Times New Roman" w:hAnsi="Times New Roman"/>
                <w:lang w:val="ro-MD"/>
              </w:rPr>
              <w:t xml:space="preserve"> Creșterea numărului salariaților în </w:t>
            </w:r>
            <w:proofErr w:type="spellStart"/>
            <w:r w:rsidRPr="0018446E">
              <w:rPr>
                <w:rFonts w:ascii="Times New Roman" w:hAnsi="Times New Roman"/>
                <w:lang w:val="ro-MD"/>
              </w:rPr>
              <w:t>inustria</w:t>
            </w:r>
            <w:proofErr w:type="spellEnd"/>
            <w:r w:rsidRPr="0018446E">
              <w:rPr>
                <w:rFonts w:ascii="Times New Roman" w:hAnsi="Times New Roman"/>
                <w:lang w:val="ro-MD"/>
              </w:rPr>
              <w:t xml:space="preserve"> prelucrătoare </w:t>
            </w:r>
            <w:r w:rsidRPr="0018446E">
              <w:rPr>
                <w:rFonts w:ascii="Times New Roman" w:eastAsia="Times New Roman" w:hAnsi="Times New Roman"/>
                <w:lang w:val="ro-MD" w:eastAsia="en-GB"/>
              </w:rPr>
              <w:t>cu 5% anual</w:t>
            </w:r>
          </w:p>
          <w:p w14:paraId="5FC24EA0"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  Creșterea ponderii salariaților în industria prelucrătoare cu 30%, către anul 2026</w:t>
            </w:r>
          </w:p>
        </w:tc>
      </w:tr>
      <w:tr w:rsidR="0018446E" w:rsidRPr="0018446E" w14:paraId="1B55E5E3" w14:textId="77777777" w:rsidTr="00B0372F">
        <w:trPr>
          <w:trHeight w:val="557"/>
        </w:trPr>
        <w:tc>
          <w:tcPr>
            <w:tcW w:w="15588" w:type="dxa"/>
            <w:gridSpan w:val="10"/>
            <w:shd w:val="clear" w:color="auto" w:fill="FFFFFF" w:themeFill="background1"/>
            <w:hideMark/>
          </w:tcPr>
          <w:p w14:paraId="46B8BB7E" w14:textId="77777777" w:rsidR="0018446E" w:rsidRPr="0018446E" w:rsidRDefault="0018446E" w:rsidP="0018446E">
            <w:pPr>
              <w:spacing w:after="0" w:line="240" w:lineRule="auto"/>
              <w:ind w:left="0"/>
              <w:rPr>
                <w:rFonts w:ascii="Times New Roman" w:eastAsia="Times New Roman" w:hAnsi="Times New Roman"/>
                <w:i/>
                <w:iCs/>
                <w:lang w:val="ro-MD" w:eastAsia="en-GB"/>
              </w:rPr>
            </w:pPr>
            <w:r w:rsidRPr="0018446E">
              <w:rPr>
                <w:rFonts w:ascii="Times New Roman" w:eastAsia="Times New Roman" w:hAnsi="Times New Roman"/>
                <w:i/>
                <w:iCs/>
                <w:lang w:val="ro-MD" w:eastAsia="en-GB"/>
              </w:rPr>
              <w:lastRenderedPageBreak/>
              <w:t xml:space="preserve">2.2.1. </w:t>
            </w:r>
            <w:r w:rsidRPr="0018446E">
              <w:rPr>
                <w:rFonts w:ascii="Times New Roman" w:hAnsi="Times New Roman"/>
                <w:i/>
                <w:iCs/>
                <w:lang w:eastAsia="ru-RU"/>
              </w:rPr>
              <w:t xml:space="preserve"> Îmbunătățirea politicilor și a capacităților pentru acces mai bun la piața muncii</w:t>
            </w:r>
          </w:p>
          <w:p w14:paraId="37FDB6A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5FE3A5E3" w14:textId="77777777" w:rsidTr="00B0372F">
        <w:trPr>
          <w:trHeight w:val="960"/>
        </w:trPr>
        <w:tc>
          <w:tcPr>
            <w:tcW w:w="876" w:type="dxa"/>
            <w:shd w:val="clear" w:color="auto" w:fill="FFFFFF" w:themeFill="background1"/>
          </w:tcPr>
          <w:p w14:paraId="4961038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2.2.1.1</w:t>
            </w:r>
          </w:p>
        </w:tc>
        <w:tc>
          <w:tcPr>
            <w:tcW w:w="3230" w:type="dxa"/>
            <w:shd w:val="clear" w:color="auto" w:fill="FFFFFF" w:themeFill="background1"/>
          </w:tcPr>
          <w:p w14:paraId="29D1A950" w14:textId="77777777" w:rsidR="0018446E" w:rsidRPr="0018446E" w:rsidRDefault="0018446E" w:rsidP="0018446E">
            <w:pPr>
              <w:spacing w:after="0" w:line="240" w:lineRule="auto"/>
              <w:ind w:left="0"/>
              <w:rPr>
                <w:rFonts w:ascii="Times New Roman" w:eastAsia="Times New Roman" w:hAnsi="Times New Roman" w:cstheme="minorBidi"/>
                <w:bCs/>
                <w:iCs/>
                <w:lang w:val="ro-MD" w:eastAsia="en-GB"/>
              </w:rPr>
            </w:pPr>
            <w:r w:rsidRPr="0018446E">
              <w:rPr>
                <w:rFonts w:ascii="Times New Roman" w:hAnsi="Times New Roman"/>
                <w:bCs/>
                <w:lang w:eastAsia="ru-RU"/>
              </w:rPr>
              <w:t xml:space="preserve">Modificarea Codului Muncii în vederea extinderii limitei maxime actuale a timpului de muncă și simplificării procedurilor de </w:t>
            </w:r>
            <w:proofErr w:type="spellStart"/>
            <w:r w:rsidRPr="0018446E">
              <w:rPr>
                <w:rFonts w:ascii="Times New Roman" w:hAnsi="Times New Roman"/>
                <w:bCs/>
                <w:lang w:eastAsia="ru-RU"/>
              </w:rPr>
              <w:t>oformare</w:t>
            </w:r>
            <w:proofErr w:type="spellEnd"/>
            <w:r w:rsidRPr="0018446E">
              <w:rPr>
                <w:rFonts w:ascii="Times New Roman" w:hAnsi="Times New Roman"/>
                <w:bCs/>
                <w:lang w:eastAsia="ru-RU"/>
              </w:rPr>
              <w:t xml:space="preserve"> a muncii suplimentare,  în conformitate cu Directiva 2003/88/CE</w:t>
            </w:r>
          </w:p>
        </w:tc>
        <w:tc>
          <w:tcPr>
            <w:tcW w:w="2268" w:type="dxa"/>
            <w:shd w:val="clear" w:color="auto" w:fill="FFFFFF" w:themeFill="background1"/>
          </w:tcPr>
          <w:p w14:paraId="6B593648"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Proiect de lege aprobat de Guvern și transmis Parlamentului spre adoptare</w:t>
            </w:r>
          </w:p>
        </w:tc>
        <w:tc>
          <w:tcPr>
            <w:tcW w:w="1276" w:type="dxa"/>
            <w:shd w:val="clear" w:color="auto" w:fill="FFFFFF" w:themeFill="background1"/>
          </w:tcPr>
          <w:p w14:paraId="5884484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 2025</w:t>
            </w:r>
          </w:p>
        </w:tc>
        <w:tc>
          <w:tcPr>
            <w:tcW w:w="1134" w:type="dxa"/>
          </w:tcPr>
          <w:p w14:paraId="65D61A8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61C43FC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color w:val="C00000"/>
                <w:sz w:val="20"/>
                <w:szCs w:val="20"/>
              </w:rPr>
              <w:t>22,6</w:t>
            </w:r>
          </w:p>
        </w:tc>
        <w:tc>
          <w:tcPr>
            <w:tcW w:w="1134" w:type="dxa"/>
          </w:tcPr>
          <w:p w14:paraId="40CF788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FFFFFF" w:themeFill="background1"/>
          </w:tcPr>
          <w:p w14:paraId="724EC41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shd w:val="clear" w:color="auto" w:fill="FFFFFF" w:themeFill="background1"/>
          </w:tcPr>
          <w:p w14:paraId="52C51D9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Muncii și Protecției Sociale</w:t>
            </w:r>
          </w:p>
        </w:tc>
        <w:tc>
          <w:tcPr>
            <w:tcW w:w="1650" w:type="dxa"/>
            <w:shd w:val="clear" w:color="auto" w:fill="FFFFFF" w:themeFill="background1"/>
          </w:tcPr>
          <w:p w14:paraId="6F0CFA1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r>
      <w:tr w:rsidR="0018446E" w:rsidRPr="0018446E" w14:paraId="44E16830" w14:textId="77777777" w:rsidTr="00B0372F">
        <w:trPr>
          <w:trHeight w:val="960"/>
        </w:trPr>
        <w:tc>
          <w:tcPr>
            <w:tcW w:w="876" w:type="dxa"/>
            <w:shd w:val="clear" w:color="auto" w:fill="FFFFFF" w:themeFill="background1"/>
          </w:tcPr>
          <w:p w14:paraId="3B5FEBC7"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2.2.1.2</w:t>
            </w:r>
          </w:p>
        </w:tc>
        <w:tc>
          <w:tcPr>
            <w:tcW w:w="3230" w:type="dxa"/>
            <w:shd w:val="clear" w:color="auto" w:fill="FFFFFF" w:themeFill="background1"/>
          </w:tcPr>
          <w:p w14:paraId="69E503DD" w14:textId="77777777" w:rsidR="0018446E" w:rsidRPr="0018446E" w:rsidRDefault="0018446E" w:rsidP="0018446E">
            <w:pPr>
              <w:spacing w:after="0" w:line="240" w:lineRule="auto"/>
              <w:ind w:left="0"/>
              <w:rPr>
                <w:rFonts w:ascii="Times New Roman" w:eastAsia="Times New Roman" w:hAnsi="Times New Roman"/>
                <w:bCs/>
                <w:iCs/>
                <w:lang w:val="ro-MD" w:eastAsia="en-GB"/>
              </w:rPr>
            </w:pPr>
            <w:r w:rsidRPr="0018446E">
              <w:rPr>
                <w:rFonts w:ascii="Times New Roman" w:eastAsia="Times New Roman" w:hAnsi="Times New Roman"/>
                <w:lang w:val="ro-MD"/>
              </w:rPr>
              <w:t>Instituirea unui program de măsuri active destinat reintegrării muncitorilor din regiunea transnistreană a Republicii Moldova</w:t>
            </w:r>
          </w:p>
        </w:tc>
        <w:tc>
          <w:tcPr>
            <w:tcW w:w="2268" w:type="dxa"/>
            <w:shd w:val="clear" w:color="auto" w:fill="FFFFFF" w:themeFill="background1"/>
          </w:tcPr>
          <w:p w14:paraId="11D21592"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 Program instituit  </w:t>
            </w:r>
          </w:p>
        </w:tc>
        <w:tc>
          <w:tcPr>
            <w:tcW w:w="1276" w:type="dxa"/>
            <w:shd w:val="clear" w:color="auto" w:fill="FFFFFF" w:themeFill="background1"/>
          </w:tcPr>
          <w:p w14:paraId="4392452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 2025</w:t>
            </w:r>
          </w:p>
        </w:tc>
        <w:tc>
          <w:tcPr>
            <w:tcW w:w="1134" w:type="dxa"/>
          </w:tcPr>
          <w:p w14:paraId="5D749F9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5E1B78A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color w:val="C00000"/>
                <w:sz w:val="20"/>
                <w:szCs w:val="20"/>
              </w:rPr>
              <w:t>22,6</w:t>
            </w:r>
          </w:p>
        </w:tc>
        <w:tc>
          <w:tcPr>
            <w:tcW w:w="1134" w:type="dxa"/>
          </w:tcPr>
          <w:p w14:paraId="5EF0E18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shd w:val="clear" w:color="auto" w:fill="FFFFFF" w:themeFill="background1"/>
          </w:tcPr>
          <w:p w14:paraId="5A09EF9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w:t>
            </w:r>
          </w:p>
        </w:tc>
        <w:tc>
          <w:tcPr>
            <w:tcW w:w="1520" w:type="dxa"/>
            <w:shd w:val="clear" w:color="auto" w:fill="FFFFFF" w:themeFill="background1"/>
          </w:tcPr>
          <w:p w14:paraId="4A390FA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Muncii și Protecției Sociale,</w:t>
            </w:r>
          </w:p>
          <w:p w14:paraId="0A1A626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ANOFM</w:t>
            </w:r>
          </w:p>
        </w:tc>
        <w:tc>
          <w:tcPr>
            <w:tcW w:w="1650" w:type="dxa"/>
            <w:shd w:val="clear" w:color="auto" w:fill="FFFFFF" w:themeFill="background1"/>
          </w:tcPr>
          <w:p w14:paraId="313E7A2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r>
      <w:tr w:rsidR="0018446E" w:rsidRPr="0018446E" w14:paraId="7D04E124" w14:textId="77777777" w:rsidTr="00B0372F">
        <w:trPr>
          <w:trHeight w:val="960"/>
        </w:trPr>
        <w:tc>
          <w:tcPr>
            <w:tcW w:w="876" w:type="dxa"/>
            <w:shd w:val="clear" w:color="auto" w:fill="FFFFFF" w:themeFill="background1"/>
          </w:tcPr>
          <w:p w14:paraId="1666C57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2.2.1.3</w:t>
            </w:r>
          </w:p>
        </w:tc>
        <w:tc>
          <w:tcPr>
            <w:tcW w:w="3230" w:type="dxa"/>
            <w:shd w:val="clear" w:color="auto" w:fill="FFFFFF" w:themeFill="background1"/>
          </w:tcPr>
          <w:p w14:paraId="7FB3344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rPr>
              <w:t>Negocierea și semnarea Acordurilor bilaterale de migrație cu state emergente-furnizoare de forță de muncă, în conformitate cu instrucțiunile Organizației Internaționale a Muncii (OIM)</w:t>
            </w:r>
          </w:p>
        </w:tc>
        <w:tc>
          <w:tcPr>
            <w:tcW w:w="2268" w:type="dxa"/>
            <w:shd w:val="clear" w:color="auto" w:fill="FFFFFF" w:themeFill="background1"/>
          </w:tcPr>
          <w:p w14:paraId="18E8BEB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Numărul de Acorduri semnate</w:t>
            </w:r>
          </w:p>
        </w:tc>
        <w:tc>
          <w:tcPr>
            <w:tcW w:w="1276" w:type="dxa"/>
            <w:shd w:val="clear" w:color="auto" w:fill="FFFFFF" w:themeFill="background1"/>
          </w:tcPr>
          <w:p w14:paraId="33EA2EC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2024-2026</w:t>
            </w:r>
          </w:p>
        </w:tc>
        <w:tc>
          <w:tcPr>
            <w:tcW w:w="1134" w:type="dxa"/>
          </w:tcPr>
          <w:p w14:paraId="3A1070A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23BE04D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4BCC8DF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shd w:val="clear" w:color="auto" w:fill="FFFFFF" w:themeFill="background1"/>
          </w:tcPr>
          <w:p w14:paraId="016EF8C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520" w:type="dxa"/>
            <w:shd w:val="clear" w:color="auto" w:fill="FFFFFF" w:themeFill="background1"/>
          </w:tcPr>
          <w:p w14:paraId="1949A42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Muncii și Protecției Sociale,</w:t>
            </w:r>
          </w:p>
          <w:p w14:paraId="392C6F0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ANOFM</w:t>
            </w:r>
          </w:p>
        </w:tc>
        <w:tc>
          <w:tcPr>
            <w:tcW w:w="1650" w:type="dxa"/>
            <w:shd w:val="clear" w:color="auto" w:fill="FFFFFF" w:themeFill="background1"/>
          </w:tcPr>
          <w:p w14:paraId="78AC174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r>
      <w:tr w:rsidR="0018446E" w:rsidRPr="0018446E" w14:paraId="4CB90149" w14:textId="77777777" w:rsidTr="00B0372F">
        <w:trPr>
          <w:trHeight w:val="132"/>
        </w:trPr>
        <w:tc>
          <w:tcPr>
            <w:tcW w:w="15588" w:type="dxa"/>
            <w:gridSpan w:val="10"/>
            <w:shd w:val="clear" w:color="auto" w:fill="FFFFFF" w:themeFill="background1"/>
            <w:hideMark/>
          </w:tcPr>
          <w:p w14:paraId="3F3E1BB0" w14:textId="77777777" w:rsidR="0018446E" w:rsidRPr="0018446E" w:rsidRDefault="0018446E" w:rsidP="0018446E">
            <w:pPr>
              <w:spacing w:after="0" w:line="240" w:lineRule="auto"/>
              <w:ind w:left="0"/>
              <w:rPr>
                <w:rFonts w:ascii="Times New Roman" w:eastAsia="Times New Roman" w:hAnsi="Times New Roman"/>
                <w:i/>
                <w:iCs/>
                <w:lang w:val="ro-MD" w:eastAsia="en-GB"/>
              </w:rPr>
            </w:pPr>
            <w:r w:rsidRPr="0018446E">
              <w:rPr>
                <w:rFonts w:ascii="Times New Roman" w:eastAsia="Times New Roman" w:hAnsi="Times New Roman"/>
                <w:i/>
                <w:iCs/>
                <w:lang w:val="ro-MD" w:eastAsia="en-GB"/>
              </w:rPr>
              <w:t>2.2.2 Consolidarea înzestrării tehnice și parteneriatelor dintre instituțiile de învățământ și companiile industriei prelucrătoare</w:t>
            </w:r>
          </w:p>
        </w:tc>
      </w:tr>
      <w:tr w:rsidR="0018446E" w:rsidRPr="0018446E" w14:paraId="798DE97E" w14:textId="77777777" w:rsidTr="00B0372F">
        <w:trPr>
          <w:trHeight w:val="132"/>
        </w:trPr>
        <w:tc>
          <w:tcPr>
            <w:tcW w:w="876" w:type="dxa"/>
            <w:shd w:val="clear" w:color="auto" w:fill="FFFFFF" w:themeFill="background1"/>
          </w:tcPr>
          <w:p w14:paraId="707318E5"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2.2.2.1</w:t>
            </w:r>
          </w:p>
        </w:tc>
        <w:tc>
          <w:tcPr>
            <w:tcW w:w="3230" w:type="dxa"/>
            <w:shd w:val="clear" w:color="auto" w:fill="FFFFFF" w:themeFill="background1"/>
          </w:tcPr>
          <w:p w14:paraId="0A8EFF0F" w14:textId="77777777" w:rsidR="0018446E" w:rsidRPr="0018446E" w:rsidRDefault="0018446E" w:rsidP="0018446E">
            <w:pPr>
              <w:spacing w:after="0" w:line="240" w:lineRule="auto"/>
              <w:ind w:left="0"/>
              <w:jc w:val="both"/>
              <w:rPr>
                <w:rFonts w:ascii="Times New Roman" w:eastAsia="Arial" w:hAnsi="Times New Roman"/>
                <w:lang w:val="ro-MD"/>
              </w:rPr>
            </w:pPr>
            <w:r w:rsidRPr="0018446E">
              <w:rPr>
                <w:rFonts w:ascii="Times New Roman" w:eastAsia="Times New Roman" w:hAnsi="Times New Roman"/>
              </w:rPr>
              <w:t xml:space="preserve">Realizarea unui studiu privind necesarul de utilaj și echipamente pentru dotarea instituțiilor Învățământului profesional-tehnic (ÎPT) și superior (IÎS), care realizează formare inițială în domeniu, în </w:t>
            </w:r>
            <w:r w:rsidRPr="0018446E">
              <w:rPr>
                <w:rFonts w:ascii="Times New Roman" w:eastAsia="Times New Roman" w:hAnsi="Times New Roman"/>
              </w:rPr>
              <w:lastRenderedPageBreak/>
              <w:t>corespundere cu realitățile de pe piața muncii.</w:t>
            </w:r>
          </w:p>
        </w:tc>
        <w:tc>
          <w:tcPr>
            <w:tcW w:w="2268" w:type="dxa"/>
            <w:shd w:val="clear" w:color="auto" w:fill="FFFFFF" w:themeFill="background1"/>
          </w:tcPr>
          <w:p w14:paraId="2ADB8B49" w14:textId="77777777" w:rsidR="0018446E" w:rsidRPr="0018446E" w:rsidRDefault="0018446E" w:rsidP="0018446E">
            <w:pPr>
              <w:spacing w:after="0" w:line="240" w:lineRule="auto"/>
              <w:ind w:left="0"/>
              <w:rPr>
                <w:rFonts w:ascii="Times New Roman" w:eastAsia="Arial" w:hAnsi="Times New Roman"/>
                <w:lang w:val="ro-MD"/>
              </w:rPr>
            </w:pPr>
            <w:r w:rsidRPr="0018446E">
              <w:rPr>
                <w:rFonts w:ascii="Times New Roman" w:eastAsia="Arial" w:hAnsi="Times New Roman"/>
                <w:lang w:val="ro-MD"/>
              </w:rPr>
              <w:lastRenderedPageBreak/>
              <w:t>- Studiu realizat</w:t>
            </w:r>
          </w:p>
        </w:tc>
        <w:tc>
          <w:tcPr>
            <w:tcW w:w="1276" w:type="dxa"/>
            <w:shd w:val="clear" w:color="auto" w:fill="FFFFFF" w:themeFill="background1"/>
          </w:tcPr>
          <w:p w14:paraId="437B4922"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w:t>
            </w:r>
          </w:p>
          <w:p w14:paraId="6BB1807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2025</w:t>
            </w:r>
          </w:p>
        </w:tc>
        <w:tc>
          <w:tcPr>
            <w:tcW w:w="1134" w:type="dxa"/>
          </w:tcPr>
          <w:p w14:paraId="139AD47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35D499F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300,0</w:t>
            </w:r>
          </w:p>
        </w:tc>
        <w:tc>
          <w:tcPr>
            <w:tcW w:w="1134" w:type="dxa"/>
          </w:tcPr>
          <w:p w14:paraId="3822707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shd w:val="clear" w:color="auto" w:fill="FFFFFF" w:themeFill="background1"/>
          </w:tcPr>
          <w:p w14:paraId="1C407A3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alte surse</w:t>
            </w:r>
          </w:p>
        </w:tc>
        <w:tc>
          <w:tcPr>
            <w:tcW w:w="1520" w:type="dxa"/>
            <w:shd w:val="clear" w:color="auto" w:fill="FFFFFF" w:themeFill="background1"/>
          </w:tcPr>
          <w:p w14:paraId="709E522B" w14:textId="77777777" w:rsidR="0018446E" w:rsidRPr="0018446E" w:rsidRDefault="0018446E" w:rsidP="0018446E">
            <w:pPr>
              <w:spacing w:after="0" w:line="240" w:lineRule="auto"/>
              <w:ind w:left="0"/>
              <w:jc w:val="both"/>
              <w:rPr>
                <w:rFonts w:ascii="Times New Roman" w:eastAsia="Times New Roman" w:hAnsi="Times New Roman"/>
                <w:lang w:val="ro-MD" w:eastAsia="en-GB"/>
              </w:rPr>
            </w:pPr>
            <w:r w:rsidRPr="0018446E">
              <w:rPr>
                <w:rFonts w:ascii="Times New Roman" w:eastAsia="Times New Roman" w:hAnsi="Times New Roman"/>
                <w:lang w:val="ro-MD" w:eastAsia="en-GB"/>
              </w:rPr>
              <w:t>Ministerul Educației și Cercetării</w:t>
            </w:r>
          </w:p>
        </w:tc>
        <w:tc>
          <w:tcPr>
            <w:tcW w:w="1650" w:type="dxa"/>
            <w:shd w:val="clear" w:color="auto" w:fill="FFFFFF" w:themeFill="background1"/>
          </w:tcPr>
          <w:p w14:paraId="04C33DE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512B5BC7" w14:textId="77777777" w:rsidR="0018446E" w:rsidRPr="0018446E" w:rsidRDefault="0018446E" w:rsidP="0018446E">
            <w:pPr>
              <w:spacing w:after="0" w:line="240" w:lineRule="auto"/>
              <w:ind w:left="0"/>
              <w:jc w:val="center"/>
              <w:rPr>
                <w:rFonts w:ascii="Times New Roman" w:eastAsia="Times New Roman" w:hAnsi="Times New Roman"/>
              </w:rPr>
            </w:pPr>
            <w:r w:rsidRPr="0018446E">
              <w:rPr>
                <w:rFonts w:ascii="Times New Roman" w:eastAsia="Times New Roman" w:hAnsi="Times New Roman"/>
              </w:rPr>
              <w:t xml:space="preserve">Instituțiile ÎPT și superior, </w:t>
            </w:r>
          </w:p>
          <w:p w14:paraId="076CC15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rPr>
              <w:lastRenderedPageBreak/>
              <w:t>Asociațiile de profil</w:t>
            </w:r>
          </w:p>
          <w:p w14:paraId="72426E49" w14:textId="77777777" w:rsidR="0018446E" w:rsidRPr="0018446E" w:rsidRDefault="0018446E" w:rsidP="0018446E">
            <w:pPr>
              <w:spacing w:after="0" w:line="240" w:lineRule="auto"/>
              <w:ind w:left="0"/>
              <w:rPr>
                <w:rFonts w:ascii="Times New Roman" w:eastAsia="Times New Roman" w:hAnsi="Times New Roman"/>
                <w:lang w:val="ro-MD" w:eastAsia="en-GB"/>
              </w:rPr>
            </w:pPr>
          </w:p>
        </w:tc>
      </w:tr>
      <w:tr w:rsidR="0018446E" w:rsidRPr="0018446E" w14:paraId="14F60F4A" w14:textId="77777777" w:rsidTr="00B0372F">
        <w:trPr>
          <w:trHeight w:val="132"/>
        </w:trPr>
        <w:tc>
          <w:tcPr>
            <w:tcW w:w="876" w:type="dxa"/>
            <w:shd w:val="clear" w:color="auto" w:fill="FFFFFF" w:themeFill="background1"/>
          </w:tcPr>
          <w:p w14:paraId="54437418"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lastRenderedPageBreak/>
              <w:t>2.2.2.2</w:t>
            </w:r>
          </w:p>
        </w:tc>
        <w:tc>
          <w:tcPr>
            <w:tcW w:w="3230" w:type="dxa"/>
            <w:shd w:val="clear" w:color="auto" w:fill="FFFFFF" w:themeFill="background1"/>
          </w:tcPr>
          <w:p w14:paraId="3AC99728" w14:textId="77777777" w:rsidR="0018446E" w:rsidRPr="0018446E" w:rsidRDefault="0018446E" w:rsidP="0018446E">
            <w:pPr>
              <w:spacing w:after="0" w:line="240" w:lineRule="auto"/>
              <w:ind w:left="0"/>
              <w:rPr>
                <w:rFonts w:ascii="Times New Roman" w:eastAsia="Arial" w:hAnsi="Times New Roman" w:cstheme="minorBidi"/>
                <w:lang w:val="ro-MD"/>
              </w:rPr>
            </w:pPr>
            <w:r w:rsidRPr="0018446E">
              <w:rPr>
                <w:rFonts w:ascii="Times New Roman" w:eastAsia="Arial" w:hAnsi="Times New Roman" w:cstheme="minorBidi"/>
                <w:lang w:val="ro-MD"/>
              </w:rPr>
              <w:t xml:space="preserve">Instituirea parteneriatelor dintre ÎPT/IÎS și asociațiile de business, cu scopul îmbunătățirii </w:t>
            </w:r>
            <w:proofErr w:type="spellStart"/>
            <w:r w:rsidRPr="0018446E">
              <w:rPr>
                <w:rFonts w:ascii="Times New Roman" w:eastAsia="Arial" w:hAnsi="Times New Roman" w:cstheme="minorBidi"/>
                <w:lang w:val="ro-MD"/>
              </w:rPr>
              <w:t>curriculelor</w:t>
            </w:r>
            <w:proofErr w:type="spellEnd"/>
            <w:r w:rsidRPr="0018446E">
              <w:rPr>
                <w:rFonts w:ascii="Times New Roman" w:eastAsia="Arial" w:hAnsi="Times New Roman" w:cstheme="minorBidi"/>
                <w:lang w:val="ro-MD"/>
              </w:rPr>
              <w:t>, formării cadrelor didactice și elevilor și accesului reciproc la utilaje și echipamente</w:t>
            </w:r>
          </w:p>
        </w:tc>
        <w:tc>
          <w:tcPr>
            <w:tcW w:w="2268" w:type="dxa"/>
            <w:shd w:val="clear" w:color="auto" w:fill="FFFFFF" w:themeFill="background1"/>
          </w:tcPr>
          <w:p w14:paraId="62B8BC96" w14:textId="77777777" w:rsidR="0018446E" w:rsidRPr="0018446E" w:rsidRDefault="0018446E" w:rsidP="0018446E">
            <w:pPr>
              <w:spacing w:after="0" w:line="240" w:lineRule="auto"/>
              <w:ind w:left="0"/>
              <w:rPr>
                <w:rFonts w:ascii="Times New Roman" w:eastAsia="Arial" w:hAnsi="Times New Roman" w:cstheme="minorBidi"/>
                <w:lang w:val="ro-MD"/>
              </w:rPr>
            </w:pPr>
            <w:r w:rsidRPr="0018446E">
              <w:rPr>
                <w:rFonts w:ascii="Times New Roman" w:eastAsia="Arial" w:hAnsi="Times New Roman" w:cstheme="minorBidi"/>
                <w:lang w:val="ro-MD"/>
              </w:rPr>
              <w:t>- Numărul parteneriatelor semnate</w:t>
            </w:r>
          </w:p>
        </w:tc>
        <w:tc>
          <w:tcPr>
            <w:tcW w:w="1276" w:type="dxa"/>
            <w:shd w:val="clear" w:color="auto" w:fill="FFFFFF" w:themeFill="background1"/>
          </w:tcPr>
          <w:p w14:paraId="6427A54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2024-2026</w:t>
            </w:r>
          </w:p>
        </w:tc>
        <w:tc>
          <w:tcPr>
            <w:tcW w:w="1134" w:type="dxa"/>
          </w:tcPr>
          <w:p w14:paraId="5FFC660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134" w:type="dxa"/>
          </w:tcPr>
          <w:p w14:paraId="70E27D6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134" w:type="dxa"/>
          </w:tcPr>
          <w:p w14:paraId="3BF172A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366" w:type="dxa"/>
            <w:shd w:val="clear" w:color="auto" w:fill="FFFFFF" w:themeFill="background1"/>
          </w:tcPr>
          <w:p w14:paraId="38C7ED9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520" w:type="dxa"/>
            <w:shd w:val="clear" w:color="auto" w:fill="FFFFFF" w:themeFill="background1"/>
          </w:tcPr>
          <w:p w14:paraId="68F2CF4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Dezvoltării Economice și Digitalizării</w:t>
            </w:r>
          </w:p>
        </w:tc>
        <w:tc>
          <w:tcPr>
            <w:tcW w:w="1650" w:type="dxa"/>
            <w:shd w:val="clear" w:color="auto" w:fill="FFFFFF" w:themeFill="background1"/>
          </w:tcPr>
          <w:p w14:paraId="46061E86" w14:textId="77777777" w:rsidR="0018446E" w:rsidRPr="0018446E" w:rsidRDefault="0018446E" w:rsidP="0018446E">
            <w:pPr>
              <w:spacing w:after="0" w:line="240" w:lineRule="auto"/>
              <w:ind w:left="0"/>
              <w:jc w:val="center"/>
              <w:rPr>
                <w:rFonts w:ascii="Times New Roman" w:eastAsia="Times New Roman" w:hAnsi="Times New Roman"/>
              </w:rPr>
            </w:pPr>
            <w:r w:rsidRPr="0018446E">
              <w:rPr>
                <w:rFonts w:ascii="Times New Roman" w:eastAsia="Times New Roman" w:hAnsi="Times New Roman"/>
                <w:lang w:val="ro-MD" w:eastAsia="en-GB"/>
              </w:rPr>
              <w:t>Ministerul Educației și Cercetării</w:t>
            </w:r>
          </w:p>
          <w:p w14:paraId="73CDC4B5" w14:textId="77777777" w:rsidR="0018446E" w:rsidRPr="0018446E" w:rsidRDefault="0018446E" w:rsidP="0018446E">
            <w:pPr>
              <w:spacing w:after="0" w:line="240" w:lineRule="auto"/>
              <w:ind w:left="0"/>
              <w:jc w:val="center"/>
              <w:rPr>
                <w:rFonts w:ascii="Times New Roman" w:eastAsia="Times New Roman" w:hAnsi="Times New Roman"/>
              </w:rPr>
            </w:pPr>
            <w:r w:rsidRPr="0018446E">
              <w:rPr>
                <w:rFonts w:ascii="Times New Roman" w:eastAsia="Times New Roman" w:hAnsi="Times New Roman"/>
              </w:rPr>
              <w:t xml:space="preserve">Instituțiile ÎPT și superior, </w:t>
            </w:r>
          </w:p>
          <w:p w14:paraId="38003F4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rPr>
              <w:t>Asociațiile de profil</w:t>
            </w:r>
          </w:p>
          <w:p w14:paraId="7C88537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r>
      <w:tr w:rsidR="0018446E" w:rsidRPr="0018446E" w14:paraId="496A4AD2" w14:textId="77777777" w:rsidTr="00B0372F">
        <w:trPr>
          <w:trHeight w:val="132"/>
        </w:trPr>
        <w:tc>
          <w:tcPr>
            <w:tcW w:w="15588" w:type="dxa"/>
            <w:gridSpan w:val="10"/>
            <w:shd w:val="clear" w:color="auto" w:fill="FFFFFF" w:themeFill="background1"/>
          </w:tcPr>
          <w:p w14:paraId="3EB53976" w14:textId="77777777" w:rsidR="0018446E" w:rsidRPr="0018446E" w:rsidRDefault="0018446E" w:rsidP="0018446E">
            <w:pPr>
              <w:spacing w:after="0" w:line="240" w:lineRule="auto"/>
              <w:ind w:left="0"/>
              <w:rPr>
                <w:rFonts w:ascii="Times New Roman" w:eastAsia="Times New Roman" w:hAnsi="Times New Roman" w:cstheme="minorBidi"/>
                <w:i/>
                <w:iCs/>
                <w:lang w:val="ro-MD" w:eastAsia="en-GB"/>
              </w:rPr>
            </w:pPr>
            <w:r w:rsidRPr="0018446E">
              <w:rPr>
                <w:rFonts w:ascii="Times New Roman" w:eastAsia="Times New Roman" w:hAnsi="Times New Roman" w:cstheme="minorBidi"/>
                <w:i/>
                <w:iCs/>
                <w:lang w:val="ro-MD" w:eastAsia="en-GB"/>
              </w:rPr>
              <w:t xml:space="preserve">2.2.3 </w:t>
            </w:r>
            <w:r w:rsidRPr="0018446E">
              <w:rPr>
                <w:rFonts w:ascii="Times New Roman" w:hAnsi="Times New Roman"/>
                <w:i/>
                <w:iCs/>
                <w:lang w:eastAsia="ru-RU"/>
              </w:rPr>
              <w:t xml:space="preserve"> Îmbunătățirea infrastructurii de formare continuă și conectarea mai bună a acesteia la necesitățile industriei</w:t>
            </w:r>
          </w:p>
        </w:tc>
      </w:tr>
      <w:tr w:rsidR="0018446E" w:rsidRPr="0018446E" w14:paraId="2A988DA5" w14:textId="77777777" w:rsidTr="00B0372F">
        <w:trPr>
          <w:trHeight w:val="132"/>
        </w:trPr>
        <w:tc>
          <w:tcPr>
            <w:tcW w:w="876" w:type="dxa"/>
            <w:shd w:val="clear" w:color="auto" w:fill="FFFFFF" w:themeFill="background1"/>
          </w:tcPr>
          <w:p w14:paraId="0DC523CC"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2.2.3.1</w:t>
            </w:r>
          </w:p>
        </w:tc>
        <w:tc>
          <w:tcPr>
            <w:tcW w:w="3230" w:type="dxa"/>
            <w:shd w:val="clear" w:color="auto" w:fill="FFFFFF" w:themeFill="background1"/>
          </w:tcPr>
          <w:p w14:paraId="5EFB03DA" w14:textId="77777777" w:rsidR="0018446E" w:rsidRPr="0018446E" w:rsidRDefault="0018446E" w:rsidP="0018446E">
            <w:pPr>
              <w:spacing w:after="0" w:line="240" w:lineRule="auto"/>
              <w:ind w:left="0"/>
              <w:rPr>
                <w:rFonts w:ascii="Times New Roman" w:eastAsia="Arial" w:hAnsi="Times New Roman" w:cstheme="minorBidi"/>
                <w:lang w:val="ro-MD"/>
              </w:rPr>
            </w:pPr>
            <w:r w:rsidRPr="0018446E">
              <w:rPr>
                <w:rFonts w:ascii="Times New Roman" w:eastAsia="Times New Roman" w:hAnsi="Times New Roman"/>
              </w:rPr>
              <w:t xml:space="preserve">Crearea Centrului de formare continuă în domeniul industrial </w:t>
            </w:r>
            <w:proofErr w:type="spellStart"/>
            <w:r w:rsidRPr="0018446E">
              <w:rPr>
                <w:rFonts w:ascii="Times New Roman" w:eastAsia="Times New Roman" w:hAnsi="Times New Roman"/>
              </w:rPr>
              <w:t>TechZone</w:t>
            </w:r>
            <w:proofErr w:type="spellEnd"/>
          </w:p>
        </w:tc>
        <w:tc>
          <w:tcPr>
            <w:tcW w:w="2268" w:type="dxa"/>
            <w:shd w:val="clear" w:color="auto" w:fill="FFFFFF" w:themeFill="background1"/>
          </w:tcPr>
          <w:p w14:paraId="5ECFAB9E" w14:textId="77777777" w:rsidR="0018446E" w:rsidRPr="0018446E" w:rsidRDefault="0018446E" w:rsidP="0018446E">
            <w:pPr>
              <w:spacing w:after="0" w:line="240" w:lineRule="auto"/>
              <w:ind w:left="0"/>
              <w:rPr>
                <w:rFonts w:ascii="Times New Roman" w:eastAsia="Times New Roman" w:hAnsi="Times New Roman"/>
              </w:rPr>
            </w:pPr>
            <w:r w:rsidRPr="0018446E">
              <w:rPr>
                <w:rFonts w:ascii="Times New Roman" w:eastAsia="Arial" w:hAnsi="Times New Roman" w:cstheme="minorBidi"/>
                <w:lang w:val="ro-MD"/>
              </w:rPr>
              <w:t>-</w:t>
            </w:r>
            <w:r w:rsidRPr="0018446E">
              <w:rPr>
                <w:rFonts w:ascii="Times New Roman" w:eastAsia="Times New Roman" w:hAnsi="Times New Roman"/>
              </w:rPr>
              <w:t xml:space="preserve"> Centrul de formare continuă funcțional</w:t>
            </w:r>
          </w:p>
          <w:p w14:paraId="5FF7BC0A" w14:textId="77777777" w:rsidR="0018446E" w:rsidRPr="0018446E" w:rsidRDefault="0018446E" w:rsidP="0018446E">
            <w:pPr>
              <w:spacing w:after="0" w:line="240" w:lineRule="auto"/>
              <w:ind w:left="0"/>
              <w:rPr>
                <w:rFonts w:ascii="Times New Roman" w:eastAsia="Arial" w:hAnsi="Times New Roman" w:cstheme="minorBidi"/>
                <w:lang w:val="ro-MD"/>
              </w:rPr>
            </w:pPr>
          </w:p>
        </w:tc>
        <w:tc>
          <w:tcPr>
            <w:tcW w:w="1276" w:type="dxa"/>
            <w:shd w:val="clear" w:color="auto" w:fill="FFFFFF" w:themeFill="background1"/>
          </w:tcPr>
          <w:p w14:paraId="3DF5BE3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2024</w:t>
            </w:r>
          </w:p>
        </w:tc>
        <w:tc>
          <w:tcPr>
            <w:tcW w:w="1134" w:type="dxa"/>
          </w:tcPr>
          <w:p w14:paraId="178E79F4" w14:textId="77777777" w:rsidR="0018446E" w:rsidRPr="0018446E" w:rsidRDefault="0018446E" w:rsidP="0018446E">
            <w:pPr>
              <w:spacing w:after="0" w:line="240" w:lineRule="auto"/>
              <w:ind w:left="0"/>
              <w:jc w:val="center"/>
              <w:rPr>
                <w:rFonts w:ascii="Times New Roman" w:eastAsia="Times New Roman" w:hAnsi="Times New Roman"/>
              </w:rPr>
            </w:pPr>
            <w:r w:rsidRPr="0018446E">
              <w:rPr>
                <w:rFonts w:ascii="Times New Roman" w:eastAsia="Times New Roman" w:hAnsi="Times New Roman"/>
              </w:rPr>
              <w:t>30000,0</w:t>
            </w:r>
          </w:p>
          <w:p w14:paraId="4FE94DC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tcPr>
          <w:p w14:paraId="445A61E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134" w:type="dxa"/>
          </w:tcPr>
          <w:p w14:paraId="5A69B54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w:t>
            </w:r>
          </w:p>
        </w:tc>
        <w:tc>
          <w:tcPr>
            <w:tcW w:w="1366" w:type="dxa"/>
            <w:shd w:val="clear" w:color="auto" w:fill="FFFFFF" w:themeFill="background1"/>
          </w:tcPr>
          <w:p w14:paraId="245B412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520" w:type="dxa"/>
            <w:shd w:val="clear" w:color="auto" w:fill="FFFFFF" w:themeFill="background1"/>
          </w:tcPr>
          <w:p w14:paraId="5BDF340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rPr>
              <w:t>Zona Economică Liberă Bălți</w:t>
            </w:r>
          </w:p>
        </w:tc>
        <w:tc>
          <w:tcPr>
            <w:tcW w:w="1650" w:type="dxa"/>
            <w:shd w:val="clear" w:color="auto" w:fill="FFFFFF" w:themeFill="background1"/>
          </w:tcPr>
          <w:p w14:paraId="1CDBFFF5" w14:textId="77777777" w:rsidR="0018446E" w:rsidRPr="0018446E" w:rsidRDefault="0018446E" w:rsidP="0018446E">
            <w:pPr>
              <w:spacing w:after="0" w:line="240" w:lineRule="auto"/>
              <w:ind w:left="0"/>
              <w:jc w:val="center"/>
              <w:rPr>
                <w:rFonts w:ascii="Times New Roman" w:eastAsia="Times New Roman" w:hAnsi="Times New Roman"/>
              </w:rPr>
            </w:pPr>
            <w:r w:rsidRPr="0018446E">
              <w:rPr>
                <w:rFonts w:ascii="Times New Roman" w:eastAsia="Times New Roman" w:hAnsi="Times New Roman"/>
              </w:rPr>
              <w:t>Ministerul Dezvoltării Economice și Digitalizării</w:t>
            </w:r>
          </w:p>
          <w:p w14:paraId="3EF726C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rPr>
              <w:t>Asociația Patronală din Industria Prelucrătoare (APIP)</w:t>
            </w:r>
          </w:p>
        </w:tc>
      </w:tr>
      <w:tr w:rsidR="0018446E" w:rsidRPr="0018446E" w14:paraId="4C067024" w14:textId="77777777" w:rsidTr="00B0372F">
        <w:trPr>
          <w:trHeight w:val="132"/>
        </w:trPr>
        <w:tc>
          <w:tcPr>
            <w:tcW w:w="876" w:type="dxa"/>
            <w:shd w:val="clear" w:color="auto" w:fill="FFFFFF" w:themeFill="background1"/>
          </w:tcPr>
          <w:p w14:paraId="397EC07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2.2.3.2</w:t>
            </w:r>
          </w:p>
        </w:tc>
        <w:tc>
          <w:tcPr>
            <w:tcW w:w="3230" w:type="dxa"/>
            <w:shd w:val="clear" w:color="auto" w:fill="FFFFFF" w:themeFill="background1"/>
          </w:tcPr>
          <w:p w14:paraId="4EAB7B89" w14:textId="77777777" w:rsidR="0018446E" w:rsidRPr="0018446E" w:rsidRDefault="0018446E" w:rsidP="0018446E">
            <w:pPr>
              <w:spacing w:after="0" w:line="240" w:lineRule="auto"/>
              <w:ind w:left="0"/>
              <w:rPr>
                <w:rFonts w:ascii="Times New Roman" w:eastAsia="Arial" w:hAnsi="Times New Roman" w:cstheme="minorBidi"/>
                <w:lang w:val="ro-MD"/>
              </w:rPr>
            </w:pPr>
            <w:r w:rsidRPr="0018446E">
              <w:rPr>
                <w:rFonts w:ascii="Times New Roman" w:hAnsi="Times New Roman"/>
                <w:lang w:eastAsia="ru-RU"/>
              </w:rPr>
              <w:t xml:space="preserve">Dezvoltarea capacităților instituționale și operaționale pentru formarea abilităților tinerilor în cadrul Centrului de Inovare și Transfer Tehnologic din Bălți, </w:t>
            </w:r>
            <w:proofErr w:type="spellStart"/>
            <w:r w:rsidRPr="0018446E">
              <w:rPr>
                <w:rFonts w:ascii="Times New Roman" w:hAnsi="Times New Roman"/>
                <w:lang w:eastAsia="ru-RU"/>
              </w:rPr>
              <w:t>Nortek</w:t>
            </w:r>
            <w:proofErr w:type="spellEnd"/>
          </w:p>
        </w:tc>
        <w:tc>
          <w:tcPr>
            <w:tcW w:w="2268" w:type="dxa"/>
            <w:shd w:val="clear" w:color="auto" w:fill="FFFFFF" w:themeFill="background1"/>
          </w:tcPr>
          <w:p w14:paraId="23AF27D7" w14:textId="77777777" w:rsidR="0018446E" w:rsidRPr="0018446E" w:rsidRDefault="0018446E" w:rsidP="0018446E">
            <w:pPr>
              <w:spacing w:after="0" w:line="240" w:lineRule="auto"/>
              <w:ind w:left="0"/>
              <w:rPr>
                <w:rFonts w:ascii="Times New Roman" w:eastAsia="Arial" w:hAnsi="Times New Roman" w:cstheme="minorBidi"/>
                <w:lang w:val="ro-MD"/>
              </w:rPr>
            </w:pPr>
            <w:r w:rsidRPr="0018446E">
              <w:rPr>
                <w:rFonts w:ascii="Times New Roman" w:hAnsi="Times New Roman"/>
                <w:lang w:eastAsia="ru-RU"/>
              </w:rPr>
              <w:t>-Numărul de tineri instruiți</w:t>
            </w:r>
          </w:p>
        </w:tc>
        <w:tc>
          <w:tcPr>
            <w:tcW w:w="1276" w:type="dxa"/>
            <w:shd w:val="clear" w:color="auto" w:fill="FFFFFF" w:themeFill="background1"/>
          </w:tcPr>
          <w:p w14:paraId="11981A4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2025-2026</w:t>
            </w:r>
          </w:p>
        </w:tc>
        <w:tc>
          <w:tcPr>
            <w:tcW w:w="1134" w:type="dxa"/>
          </w:tcPr>
          <w:p w14:paraId="1333FD78" w14:textId="77777777" w:rsidR="0018446E" w:rsidRPr="0018446E" w:rsidRDefault="0018446E" w:rsidP="0018446E">
            <w:pPr>
              <w:spacing w:after="0" w:line="240" w:lineRule="auto"/>
              <w:ind w:left="0"/>
              <w:jc w:val="center"/>
              <w:rPr>
                <w:rFonts w:ascii="Times New Roman" w:hAnsi="Times New Roman"/>
                <w:lang w:eastAsia="ru-RU"/>
              </w:rPr>
            </w:pPr>
            <w:r w:rsidRPr="0018446E">
              <w:rPr>
                <w:rFonts w:ascii="Times New Roman" w:hAnsi="Times New Roman"/>
                <w:lang w:eastAsia="ru-RU"/>
              </w:rPr>
              <w:t>-</w:t>
            </w:r>
          </w:p>
          <w:p w14:paraId="4C8F8D8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tcPr>
          <w:p w14:paraId="3A346E7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4750,0</w:t>
            </w:r>
          </w:p>
        </w:tc>
        <w:tc>
          <w:tcPr>
            <w:tcW w:w="1134" w:type="dxa"/>
          </w:tcPr>
          <w:p w14:paraId="087DEA6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4750,0</w:t>
            </w:r>
          </w:p>
        </w:tc>
        <w:tc>
          <w:tcPr>
            <w:tcW w:w="1366" w:type="dxa"/>
            <w:shd w:val="clear" w:color="auto" w:fill="FFFFFF" w:themeFill="background1"/>
          </w:tcPr>
          <w:p w14:paraId="6197175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 alte surse</w:t>
            </w:r>
          </w:p>
        </w:tc>
        <w:tc>
          <w:tcPr>
            <w:tcW w:w="1520" w:type="dxa"/>
            <w:shd w:val="clear" w:color="auto" w:fill="FFFFFF" w:themeFill="background1"/>
          </w:tcPr>
          <w:p w14:paraId="7C68145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lang w:eastAsia="ru-RU"/>
              </w:rPr>
              <w:t xml:space="preserve">Centrul de Inovare și Transfer Tehnologic </w:t>
            </w:r>
            <w:proofErr w:type="spellStart"/>
            <w:r w:rsidRPr="0018446E">
              <w:rPr>
                <w:rFonts w:ascii="Times New Roman" w:hAnsi="Times New Roman"/>
                <w:lang w:eastAsia="ru-RU"/>
              </w:rPr>
              <w:t>Nortek</w:t>
            </w:r>
            <w:proofErr w:type="spellEnd"/>
          </w:p>
        </w:tc>
        <w:tc>
          <w:tcPr>
            <w:tcW w:w="1650" w:type="dxa"/>
            <w:shd w:val="clear" w:color="auto" w:fill="FFFFFF" w:themeFill="background1"/>
          </w:tcPr>
          <w:p w14:paraId="3FE21BDC" w14:textId="77777777" w:rsidR="0018446E" w:rsidRPr="0018446E" w:rsidRDefault="0018446E" w:rsidP="0018446E">
            <w:pPr>
              <w:spacing w:after="0" w:line="240" w:lineRule="auto"/>
              <w:ind w:left="0"/>
              <w:jc w:val="center"/>
              <w:rPr>
                <w:rFonts w:ascii="Times New Roman" w:hAnsi="Times New Roman"/>
                <w:lang w:eastAsia="ru-RU"/>
              </w:rPr>
            </w:pPr>
            <w:proofErr w:type="spellStart"/>
            <w:r w:rsidRPr="0018446E">
              <w:rPr>
                <w:rFonts w:ascii="Times New Roman" w:hAnsi="Times New Roman"/>
                <w:lang w:eastAsia="ru-RU"/>
              </w:rPr>
              <w:t>Universitătea</w:t>
            </w:r>
            <w:proofErr w:type="spellEnd"/>
            <w:r w:rsidRPr="0018446E">
              <w:rPr>
                <w:rFonts w:ascii="Times New Roman" w:hAnsi="Times New Roman"/>
                <w:lang w:eastAsia="ru-RU"/>
              </w:rPr>
              <w:t xml:space="preserve"> de Stat „Alecu Russo” din Bălți (USARB)</w:t>
            </w:r>
          </w:p>
          <w:p w14:paraId="6053AC4C" w14:textId="77777777" w:rsidR="0018446E" w:rsidRPr="0018446E" w:rsidRDefault="0018446E" w:rsidP="0018446E">
            <w:pPr>
              <w:spacing w:after="0" w:line="240" w:lineRule="auto"/>
              <w:ind w:left="0"/>
              <w:jc w:val="center"/>
              <w:rPr>
                <w:rFonts w:ascii="Times New Roman" w:hAnsi="Times New Roman"/>
                <w:lang w:eastAsia="ru-RU"/>
              </w:rPr>
            </w:pPr>
          </w:p>
          <w:p w14:paraId="0505D699"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hAnsi="Times New Roman"/>
                <w:lang w:eastAsia="ru-RU"/>
              </w:rPr>
              <w:t>Agenți economici</w:t>
            </w:r>
          </w:p>
        </w:tc>
      </w:tr>
      <w:tr w:rsidR="0018446E" w:rsidRPr="0018446E" w14:paraId="28EA91B9" w14:textId="77777777" w:rsidTr="00B0372F">
        <w:trPr>
          <w:trHeight w:val="557"/>
        </w:trPr>
        <w:tc>
          <w:tcPr>
            <w:tcW w:w="15588" w:type="dxa"/>
            <w:gridSpan w:val="10"/>
            <w:shd w:val="clear" w:color="auto" w:fill="D9E2F3" w:themeFill="accent1" w:themeFillTint="33"/>
            <w:vAlign w:val="center"/>
          </w:tcPr>
          <w:p w14:paraId="2E08F6A3"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 xml:space="preserve">Obiectivul general 3. </w:t>
            </w:r>
            <w:r w:rsidRPr="0018446E">
              <w:rPr>
                <w:rFonts w:ascii="Times New Roman" w:eastAsia="Times New Roman" w:hAnsi="Times New Roman"/>
                <w:b/>
                <w:bCs/>
                <w:lang w:val="ro-MD"/>
              </w:rPr>
              <w:t>Stimularea productivității și tranziției la economia verde</w:t>
            </w:r>
          </w:p>
        </w:tc>
      </w:tr>
      <w:tr w:rsidR="0018446E" w:rsidRPr="0018446E" w14:paraId="6813AFAB" w14:textId="77777777" w:rsidTr="00B0372F">
        <w:trPr>
          <w:trHeight w:val="557"/>
        </w:trPr>
        <w:tc>
          <w:tcPr>
            <w:tcW w:w="876" w:type="dxa"/>
            <w:vMerge w:val="restart"/>
            <w:shd w:val="clear" w:color="auto" w:fill="FFFBEF"/>
            <w:vAlign w:val="center"/>
          </w:tcPr>
          <w:p w14:paraId="49E53D20"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lastRenderedPageBreak/>
              <w:t>Nr.</w:t>
            </w:r>
          </w:p>
        </w:tc>
        <w:tc>
          <w:tcPr>
            <w:tcW w:w="3230" w:type="dxa"/>
            <w:vMerge w:val="restart"/>
            <w:shd w:val="clear" w:color="auto" w:fill="FFFBEF"/>
            <w:vAlign w:val="center"/>
          </w:tcPr>
          <w:p w14:paraId="7A66C312"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Acțiuni</w:t>
            </w:r>
          </w:p>
        </w:tc>
        <w:tc>
          <w:tcPr>
            <w:tcW w:w="2268" w:type="dxa"/>
            <w:vMerge w:val="restart"/>
            <w:shd w:val="clear" w:color="auto" w:fill="FFFBEF"/>
            <w:vAlign w:val="center"/>
          </w:tcPr>
          <w:p w14:paraId="5356908F"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Indicatori de monitorizare</w:t>
            </w:r>
          </w:p>
        </w:tc>
        <w:tc>
          <w:tcPr>
            <w:tcW w:w="1276" w:type="dxa"/>
            <w:vMerge w:val="restart"/>
            <w:shd w:val="clear" w:color="auto" w:fill="FFFBEF"/>
            <w:vAlign w:val="center"/>
          </w:tcPr>
          <w:p w14:paraId="3AF4A414"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Termen de realizare</w:t>
            </w:r>
          </w:p>
        </w:tc>
        <w:tc>
          <w:tcPr>
            <w:tcW w:w="3402" w:type="dxa"/>
            <w:gridSpan w:val="3"/>
            <w:shd w:val="clear" w:color="auto" w:fill="FFFBEF"/>
            <w:vAlign w:val="center"/>
          </w:tcPr>
          <w:p w14:paraId="56475CD8"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 xml:space="preserve">Costuri estimate </w:t>
            </w:r>
            <w:r w:rsidRPr="0018446E">
              <w:rPr>
                <w:rFonts w:ascii="Times New Roman" w:eastAsia="Times New Roman" w:hAnsi="Times New Roman"/>
                <w:b/>
                <w:bCs/>
                <w:i/>
                <w:iCs/>
                <w:lang w:val="ro-MD" w:eastAsia="en-GB"/>
              </w:rPr>
              <w:t>(mii MDL)</w:t>
            </w:r>
          </w:p>
        </w:tc>
        <w:tc>
          <w:tcPr>
            <w:tcW w:w="1366" w:type="dxa"/>
            <w:vMerge w:val="restart"/>
            <w:shd w:val="clear" w:color="auto" w:fill="FFFBEF"/>
            <w:vAlign w:val="center"/>
          </w:tcPr>
          <w:p w14:paraId="0AC1B28C"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Surse de finanțare</w:t>
            </w:r>
          </w:p>
        </w:tc>
        <w:tc>
          <w:tcPr>
            <w:tcW w:w="1520" w:type="dxa"/>
            <w:vMerge w:val="restart"/>
            <w:shd w:val="clear" w:color="auto" w:fill="FFFBEF"/>
            <w:vAlign w:val="center"/>
          </w:tcPr>
          <w:p w14:paraId="43EB63CD"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Instituția responsabilă</w:t>
            </w:r>
          </w:p>
        </w:tc>
        <w:tc>
          <w:tcPr>
            <w:tcW w:w="1650" w:type="dxa"/>
            <w:vMerge w:val="restart"/>
            <w:shd w:val="clear" w:color="auto" w:fill="FFFBEF"/>
            <w:vAlign w:val="center"/>
          </w:tcPr>
          <w:p w14:paraId="38607921"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Parteneri</w:t>
            </w:r>
          </w:p>
        </w:tc>
      </w:tr>
      <w:tr w:rsidR="0018446E" w:rsidRPr="0018446E" w14:paraId="7FFDA319" w14:textId="77777777" w:rsidTr="00B0372F">
        <w:trPr>
          <w:trHeight w:val="557"/>
        </w:trPr>
        <w:tc>
          <w:tcPr>
            <w:tcW w:w="876" w:type="dxa"/>
            <w:vMerge/>
            <w:vAlign w:val="center"/>
          </w:tcPr>
          <w:p w14:paraId="5647144D" w14:textId="77777777" w:rsidR="0018446E" w:rsidRPr="0018446E" w:rsidRDefault="0018446E" w:rsidP="0018446E">
            <w:pPr>
              <w:spacing w:after="0" w:line="240" w:lineRule="auto"/>
              <w:ind w:left="0"/>
              <w:rPr>
                <w:rFonts w:ascii="Times New Roman" w:eastAsia="Times New Roman" w:hAnsi="Times New Roman"/>
                <w:lang w:val="ro-MD" w:eastAsia="en-GB"/>
              </w:rPr>
            </w:pPr>
            <w:bookmarkStart w:id="11" w:name="_Hlk139449072"/>
          </w:p>
        </w:tc>
        <w:tc>
          <w:tcPr>
            <w:tcW w:w="3230" w:type="dxa"/>
            <w:vMerge/>
            <w:vAlign w:val="center"/>
          </w:tcPr>
          <w:p w14:paraId="7FE2BE5D"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2268" w:type="dxa"/>
            <w:vMerge/>
            <w:vAlign w:val="center"/>
          </w:tcPr>
          <w:p w14:paraId="38ADE14F"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276" w:type="dxa"/>
            <w:vMerge/>
            <w:vAlign w:val="center"/>
          </w:tcPr>
          <w:p w14:paraId="01A9605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c>
          <w:tcPr>
            <w:tcW w:w="1134" w:type="dxa"/>
            <w:shd w:val="clear" w:color="auto" w:fill="FFFBEF"/>
            <w:vAlign w:val="center"/>
          </w:tcPr>
          <w:p w14:paraId="59E22F91"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2024</w:t>
            </w:r>
          </w:p>
        </w:tc>
        <w:tc>
          <w:tcPr>
            <w:tcW w:w="1134" w:type="dxa"/>
            <w:shd w:val="clear" w:color="auto" w:fill="FFFBEF"/>
            <w:vAlign w:val="center"/>
          </w:tcPr>
          <w:p w14:paraId="5547A378"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2025</w:t>
            </w:r>
          </w:p>
        </w:tc>
        <w:tc>
          <w:tcPr>
            <w:tcW w:w="1134" w:type="dxa"/>
            <w:shd w:val="clear" w:color="auto" w:fill="FFFBEF"/>
            <w:vAlign w:val="center"/>
          </w:tcPr>
          <w:p w14:paraId="38571713" w14:textId="77777777" w:rsidR="0018446E" w:rsidRPr="0018446E" w:rsidRDefault="0018446E" w:rsidP="0018446E">
            <w:pPr>
              <w:spacing w:after="0" w:line="240" w:lineRule="auto"/>
              <w:ind w:left="0"/>
              <w:jc w:val="center"/>
              <w:rPr>
                <w:rFonts w:ascii="Times New Roman" w:eastAsia="Times New Roman" w:hAnsi="Times New Roman"/>
                <w:b/>
                <w:bCs/>
                <w:lang w:val="ro-MD" w:eastAsia="en-GB"/>
              </w:rPr>
            </w:pPr>
            <w:r w:rsidRPr="0018446E">
              <w:rPr>
                <w:rFonts w:ascii="Times New Roman" w:eastAsia="Times New Roman" w:hAnsi="Times New Roman"/>
                <w:b/>
                <w:bCs/>
                <w:lang w:val="ro-MD" w:eastAsia="en-GB"/>
              </w:rPr>
              <w:t>2026</w:t>
            </w:r>
          </w:p>
        </w:tc>
        <w:tc>
          <w:tcPr>
            <w:tcW w:w="1366" w:type="dxa"/>
            <w:vMerge/>
            <w:vAlign w:val="center"/>
          </w:tcPr>
          <w:p w14:paraId="001CFDA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c>
          <w:tcPr>
            <w:tcW w:w="1520" w:type="dxa"/>
            <w:vMerge/>
            <w:vAlign w:val="center"/>
          </w:tcPr>
          <w:p w14:paraId="733AFF7F"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650" w:type="dxa"/>
            <w:vMerge/>
            <w:vAlign w:val="center"/>
          </w:tcPr>
          <w:p w14:paraId="3968AE90" w14:textId="77777777" w:rsidR="0018446E" w:rsidRPr="0018446E" w:rsidRDefault="0018446E" w:rsidP="0018446E">
            <w:pPr>
              <w:spacing w:after="0" w:line="240" w:lineRule="auto"/>
              <w:ind w:left="0"/>
              <w:rPr>
                <w:rFonts w:ascii="Times New Roman" w:eastAsia="Times New Roman" w:hAnsi="Times New Roman"/>
                <w:lang w:val="ro-MD" w:eastAsia="en-GB"/>
              </w:rPr>
            </w:pPr>
          </w:p>
        </w:tc>
      </w:tr>
      <w:tr w:rsidR="0018446E" w:rsidRPr="0018446E" w14:paraId="70588585" w14:textId="77777777" w:rsidTr="00B0372F">
        <w:trPr>
          <w:trHeight w:val="380"/>
        </w:trPr>
        <w:tc>
          <w:tcPr>
            <w:tcW w:w="15588" w:type="dxa"/>
            <w:gridSpan w:val="10"/>
            <w:shd w:val="clear" w:color="auto" w:fill="D5DCE4" w:themeFill="text2" w:themeFillTint="33"/>
            <w:vAlign w:val="center"/>
          </w:tcPr>
          <w:p w14:paraId="4066FFA7" w14:textId="77777777" w:rsidR="0018446E" w:rsidRPr="0018446E" w:rsidRDefault="0018446E" w:rsidP="0018446E">
            <w:pPr>
              <w:spacing w:after="0" w:line="240" w:lineRule="auto"/>
              <w:ind w:left="0"/>
              <w:rPr>
                <w:rFonts w:ascii="Times New Roman" w:eastAsia="Times New Roman" w:hAnsi="Times New Roman"/>
                <w:b/>
                <w:bCs/>
                <w:i/>
                <w:iCs/>
                <w:shd w:val="clear" w:color="auto" w:fill="D5DCE4" w:themeFill="text2" w:themeFillTint="33"/>
                <w:lang w:val="ro-MD"/>
              </w:rPr>
            </w:pPr>
            <w:bookmarkStart w:id="12" w:name="_Hlk139904520"/>
            <w:bookmarkEnd w:id="11"/>
            <w:r w:rsidRPr="0018446E">
              <w:rPr>
                <w:rFonts w:ascii="Times New Roman" w:eastAsia="Times New Roman" w:hAnsi="Times New Roman"/>
                <w:b/>
                <w:bCs/>
                <w:i/>
                <w:iCs/>
                <w:shd w:val="clear" w:color="auto" w:fill="D5DCE4" w:themeFill="text2" w:themeFillTint="33"/>
                <w:lang w:val="ro-MD" w:eastAsia="en-GB"/>
              </w:rPr>
              <w:t xml:space="preserve">Obiectivul Specific 3.1. </w:t>
            </w:r>
            <w:r w:rsidRPr="0018446E">
              <w:rPr>
                <w:rFonts w:ascii="Times New Roman" w:eastAsia="Times New Roman" w:hAnsi="Times New Roman"/>
                <w:i/>
                <w:iCs/>
                <w:lang w:val="ro-MD"/>
              </w:rPr>
              <w:t xml:space="preserve"> </w:t>
            </w:r>
            <w:r w:rsidRPr="0018446E">
              <w:rPr>
                <w:rFonts w:ascii="Times New Roman" w:eastAsia="Times New Roman" w:hAnsi="Times New Roman"/>
                <w:b/>
                <w:bCs/>
                <w:i/>
                <w:iCs/>
                <w:lang w:val="ro-MD"/>
              </w:rPr>
              <w:t>Creșterea inovării și competitivității în industria prelucrătoare</w:t>
            </w:r>
            <w:r w:rsidRPr="0018446E">
              <w:rPr>
                <w:rFonts w:ascii="Times New Roman" w:eastAsia="Times New Roman" w:hAnsi="Times New Roman"/>
                <w:b/>
                <w:bCs/>
                <w:i/>
                <w:iCs/>
                <w:shd w:val="clear" w:color="auto" w:fill="D5DCE4" w:themeFill="text2" w:themeFillTint="33"/>
                <w:lang w:val="ro-MD"/>
              </w:rPr>
              <w:t xml:space="preserve">  </w:t>
            </w:r>
            <w:bookmarkEnd w:id="12"/>
          </w:p>
          <w:p w14:paraId="4A6A7006"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r>
      <w:tr w:rsidR="0018446E" w:rsidRPr="0018446E" w14:paraId="67D6A7FC" w14:textId="77777777" w:rsidTr="00B0372F">
        <w:trPr>
          <w:trHeight w:val="380"/>
        </w:trPr>
        <w:tc>
          <w:tcPr>
            <w:tcW w:w="15588" w:type="dxa"/>
            <w:gridSpan w:val="10"/>
          </w:tcPr>
          <w:p w14:paraId="0F073C60" w14:textId="77777777" w:rsidR="0018446E" w:rsidRPr="0018446E" w:rsidRDefault="0018446E" w:rsidP="0018446E">
            <w:pPr>
              <w:spacing w:after="0" w:line="240" w:lineRule="auto"/>
              <w:ind w:left="0"/>
              <w:rPr>
                <w:rFonts w:ascii="Times New Roman" w:eastAsia="Times New Roman" w:hAnsi="Times New Roman"/>
                <w:b/>
                <w:bCs/>
                <w:lang w:val="ro-MD" w:eastAsia="en-GB"/>
              </w:rPr>
            </w:pPr>
            <w:bookmarkStart w:id="13" w:name="_Hlk139449613"/>
            <w:r w:rsidRPr="0018446E">
              <w:rPr>
                <w:rFonts w:ascii="Times New Roman" w:eastAsia="Times New Roman" w:hAnsi="Times New Roman"/>
                <w:b/>
                <w:bCs/>
                <w:lang w:val="ro-MD" w:eastAsia="en-GB"/>
              </w:rPr>
              <w:t>Indicatori de rezultat:</w:t>
            </w:r>
          </w:p>
          <w:p w14:paraId="23A3E87F"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1. Creșterea secțiunii sofisticarea business-ului din </w:t>
            </w:r>
            <w:r w:rsidRPr="0018446E">
              <w:rPr>
                <w:rFonts w:ascii="Times New Roman" w:eastAsia="Times New Roman" w:hAnsi="Times New Roman"/>
                <w:lang w:val="ro-MD"/>
              </w:rPr>
              <w:t xml:space="preserve">Indicele Global al Competitivității, cu 20% către anul 2026 </w:t>
            </w:r>
          </w:p>
          <w:p w14:paraId="621B1DC3" w14:textId="77777777" w:rsidR="0018446E" w:rsidRPr="0018446E" w:rsidRDefault="0018446E" w:rsidP="0018446E">
            <w:pPr>
              <w:spacing w:after="0" w:line="240" w:lineRule="auto"/>
              <w:ind w:left="0"/>
              <w:rPr>
                <w:rFonts w:ascii="Times New Roman" w:eastAsia="Times New Roman" w:hAnsi="Times New Roman"/>
                <w:lang w:val="ro-MD"/>
              </w:rPr>
            </w:pPr>
            <w:r w:rsidRPr="0018446E">
              <w:rPr>
                <w:rFonts w:ascii="Times New Roman" w:eastAsia="Times New Roman" w:hAnsi="Times New Roman"/>
                <w:lang w:val="ro-MD" w:eastAsia="en-GB"/>
              </w:rPr>
              <w:t xml:space="preserve">2. </w:t>
            </w:r>
            <w:r w:rsidRPr="0018446E">
              <w:rPr>
                <w:rFonts w:ascii="Times New Roman" w:hAnsi="Times New Roman"/>
                <w:lang w:val="ro-MD"/>
              </w:rPr>
              <w:t xml:space="preserve">Creșterea ponderii </w:t>
            </w:r>
            <w:r w:rsidRPr="0018446E">
              <w:rPr>
                <w:rFonts w:ascii="Times New Roman" w:eastAsia="Times New Roman" w:hAnsi="Times New Roman"/>
                <w:lang w:val="ro-MD"/>
              </w:rPr>
              <w:t>valorii adăugate a industriei de tehnologie medie și înaltă în valoarea adăugată totală, cu 20%  către anul 2026</w:t>
            </w:r>
          </w:p>
          <w:p w14:paraId="4551A293"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rPr>
              <w:t xml:space="preserve">3. Creșterea ponderii </w:t>
            </w:r>
            <w:r w:rsidRPr="0018446E">
              <w:rPr>
                <w:rFonts w:ascii="Times New Roman" w:eastAsia="Times New Roman" w:hAnsi="Times New Roman" w:cstheme="minorBidi"/>
                <w:lang w:val="ro-MD"/>
              </w:rPr>
              <w:t xml:space="preserve">exportului de produse de tehnologie medie/înaltă în totalul exporturilor de produse industriale, </w:t>
            </w:r>
            <w:r w:rsidRPr="0018446E">
              <w:rPr>
                <w:rFonts w:ascii="Times New Roman" w:eastAsia="Times New Roman" w:hAnsi="Times New Roman"/>
                <w:lang w:val="ro-MD"/>
              </w:rPr>
              <w:t xml:space="preserve"> cu 20%  către anul 2026</w:t>
            </w:r>
          </w:p>
        </w:tc>
      </w:tr>
      <w:bookmarkEnd w:id="13"/>
      <w:tr w:rsidR="0018446E" w:rsidRPr="0018446E" w14:paraId="1A3C08A8" w14:textId="77777777" w:rsidTr="00B0372F">
        <w:trPr>
          <w:trHeight w:val="58"/>
        </w:trPr>
        <w:tc>
          <w:tcPr>
            <w:tcW w:w="15588" w:type="dxa"/>
            <w:gridSpan w:val="10"/>
          </w:tcPr>
          <w:p w14:paraId="30F74C6F" w14:textId="77777777" w:rsidR="0018446E" w:rsidRPr="0018446E" w:rsidRDefault="0018446E" w:rsidP="0018446E">
            <w:pPr>
              <w:spacing w:after="0" w:line="276" w:lineRule="auto"/>
              <w:ind w:left="0"/>
              <w:jc w:val="both"/>
              <w:rPr>
                <w:rFonts w:ascii="Times New Roman" w:eastAsia="Times New Roman" w:hAnsi="Times New Roman"/>
                <w:i/>
                <w:iCs/>
                <w:lang w:val="ro-MD"/>
              </w:rPr>
            </w:pPr>
            <w:r w:rsidRPr="0018446E">
              <w:rPr>
                <w:rFonts w:ascii="Times New Roman" w:eastAsia="Times New Roman" w:hAnsi="Times New Roman"/>
                <w:i/>
                <w:iCs/>
                <w:lang w:val="ro-MD" w:eastAsia="en-GB"/>
              </w:rPr>
              <w:t>3.1.1</w:t>
            </w:r>
            <w:r w:rsidRPr="0018446E">
              <w:rPr>
                <w:rFonts w:ascii="Times New Roman" w:eastAsia="Times New Roman" w:hAnsi="Times New Roman"/>
                <w:lang w:val="ro-MD" w:eastAsia="en-GB"/>
              </w:rPr>
              <w:t xml:space="preserve"> </w:t>
            </w:r>
            <w:r w:rsidRPr="0018446E">
              <w:rPr>
                <w:rFonts w:ascii="Times New Roman" w:eastAsia="Times New Roman" w:hAnsi="Times New Roman"/>
                <w:i/>
                <w:iCs/>
                <w:lang w:val="ro-MD"/>
              </w:rPr>
              <w:t>Stimularea inovării în sectorul industrial</w:t>
            </w:r>
          </w:p>
        </w:tc>
      </w:tr>
      <w:tr w:rsidR="0018446E" w:rsidRPr="0018446E" w14:paraId="3ACE1AC9" w14:textId="77777777" w:rsidTr="00B0372F">
        <w:trPr>
          <w:trHeight w:val="1000"/>
        </w:trPr>
        <w:tc>
          <w:tcPr>
            <w:tcW w:w="876" w:type="dxa"/>
          </w:tcPr>
          <w:p w14:paraId="0C24CFB4"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3.1.1.1</w:t>
            </w:r>
          </w:p>
        </w:tc>
        <w:tc>
          <w:tcPr>
            <w:tcW w:w="3230" w:type="dxa"/>
          </w:tcPr>
          <w:p w14:paraId="7B40E87B"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rPr>
              <w:t>Consolidarea cooperării dintre instituțiile de învățământ și întreprinderi</w:t>
            </w:r>
          </w:p>
        </w:tc>
        <w:tc>
          <w:tcPr>
            <w:tcW w:w="2268" w:type="dxa"/>
          </w:tcPr>
          <w:p w14:paraId="0423AA74" w14:textId="77777777" w:rsidR="0018446E" w:rsidRPr="0018446E" w:rsidRDefault="0018446E" w:rsidP="0018446E">
            <w:pPr>
              <w:numPr>
                <w:ilvl w:val="0"/>
                <w:numId w:val="23"/>
              </w:numPr>
              <w:spacing w:after="0" w:line="240" w:lineRule="auto"/>
              <w:ind w:left="33"/>
              <w:contextualSpacing/>
              <w:rPr>
                <w:rFonts w:ascii="Times New Roman" w:eastAsia="Times New Roman" w:hAnsi="Times New Roman" w:cstheme="minorBidi"/>
                <w:lang w:val="ro-MD" w:eastAsia="en-GB"/>
              </w:rPr>
            </w:pPr>
            <w:r w:rsidRPr="0018446E">
              <w:rPr>
                <w:rFonts w:ascii="Times New Roman" w:eastAsia="Times New Roman" w:hAnsi="Times New Roman"/>
                <w:lang w:val="ro-MD" w:eastAsia="en-GB"/>
              </w:rPr>
              <w:t>- Numărul de acorduri de colaborare încheiate între instituțiile de învățământ și mediul de afaceri</w:t>
            </w:r>
          </w:p>
        </w:tc>
        <w:tc>
          <w:tcPr>
            <w:tcW w:w="1276" w:type="dxa"/>
          </w:tcPr>
          <w:p w14:paraId="674EC9A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2024-2026</w:t>
            </w:r>
          </w:p>
        </w:tc>
        <w:tc>
          <w:tcPr>
            <w:tcW w:w="1134" w:type="dxa"/>
            <w:noWrap/>
          </w:tcPr>
          <w:p w14:paraId="549BF220" w14:textId="77777777" w:rsidR="0018446E" w:rsidRPr="0018446E" w:rsidRDefault="0018446E" w:rsidP="0018446E">
            <w:pPr>
              <w:spacing w:after="0" w:line="240" w:lineRule="auto"/>
              <w:ind w:left="-148"/>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7DA48E4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2CF29BF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72566E3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rPr>
              <w:t>-</w:t>
            </w:r>
          </w:p>
        </w:tc>
        <w:tc>
          <w:tcPr>
            <w:tcW w:w="1520" w:type="dxa"/>
          </w:tcPr>
          <w:p w14:paraId="78CEBD6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roofErr w:type="spellStart"/>
            <w:r w:rsidRPr="0018446E">
              <w:rPr>
                <w:rFonts w:ascii="Times New Roman" w:eastAsia="Times New Roman" w:hAnsi="Times New Roman"/>
                <w:lang w:val="ro-MD" w:eastAsia="en-GB"/>
              </w:rPr>
              <w:t>Minstrerul</w:t>
            </w:r>
            <w:proofErr w:type="spellEnd"/>
            <w:r w:rsidRPr="0018446E">
              <w:rPr>
                <w:rFonts w:ascii="Times New Roman" w:eastAsia="Times New Roman" w:hAnsi="Times New Roman"/>
                <w:lang w:val="ro-MD" w:eastAsia="en-GB"/>
              </w:rPr>
              <w:t xml:space="preserve"> Educației și Cercetării</w:t>
            </w:r>
          </w:p>
        </w:tc>
        <w:tc>
          <w:tcPr>
            <w:tcW w:w="1650" w:type="dxa"/>
          </w:tcPr>
          <w:p w14:paraId="2E45ADE1" w14:textId="77777777" w:rsidR="0018446E" w:rsidRPr="0018446E" w:rsidRDefault="0018446E" w:rsidP="0018446E">
            <w:pPr>
              <w:spacing w:after="0" w:line="240" w:lineRule="auto"/>
              <w:ind w:left="0" w:right="-54"/>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422C5BE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Asociațiile profesionale</w:t>
            </w:r>
          </w:p>
        </w:tc>
      </w:tr>
      <w:tr w:rsidR="0018446E" w:rsidRPr="0018446E" w14:paraId="44900D78" w14:textId="77777777" w:rsidTr="00B0372F">
        <w:trPr>
          <w:trHeight w:val="1000"/>
        </w:trPr>
        <w:tc>
          <w:tcPr>
            <w:tcW w:w="876" w:type="dxa"/>
          </w:tcPr>
          <w:p w14:paraId="0FE66C8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3.1.1.2</w:t>
            </w:r>
          </w:p>
        </w:tc>
        <w:tc>
          <w:tcPr>
            <w:tcW w:w="3230" w:type="dxa"/>
          </w:tcPr>
          <w:p w14:paraId="15DD88C0"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rPr>
              <w:t>Instituirea unui mecanism de deducere a cheltuielilor din activitățile de cercetare-dezvoltare</w:t>
            </w:r>
          </w:p>
        </w:tc>
        <w:tc>
          <w:tcPr>
            <w:tcW w:w="2268" w:type="dxa"/>
          </w:tcPr>
          <w:p w14:paraId="6ED3F933" w14:textId="77777777" w:rsidR="0018446E" w:rsidRPr="0018446E" w:rsidRDefault="0018446E" w:rsidP="0018446E">
            <w:pPr>
              <w:numPr>
                <w:ilvl w:val="0"/>
                <w:numId w:val="23"/>
              </w:numPr>
              <w:spacing w:after="0" w:line="240" w:lineRule="auto"/>
              <w:ind w:left="33"/>
              <w:contextualSpacing/>
              <w:rPr>
                <w:rFonts w:ascii="Times New Roman" w:eastAsia="Times New Roman" w:hAnsi="Times New Roman" w:cstheme="minorBidi"/>
                <w:lang w:val="ro-MD" w:eastAsia="en-GB"/>
              </w:rPr>
            </w:pPr>
            <w:r w:rsidRPr="0018446E">
              <w:rPr>
                <w:rFonts w:ascii="Times New Roman" w:eastAsia="Times New Roman" w:hAnsi="Times New Roman"/>
                <w:lang w:val="ro-MD" w:eastAsia="en-GB"/>
              </w:rPr>
              <w:t>- Proiect de lege aprobat de Guvern și transmis Parlamentului spre adoptare</w:t>
            </w:r>
          </w:p>
        </w:tc>
        <w:tc>
          <w:tcPr>
            <w:tcW w:w="1276" w:type="dxa"/>
          </w:tcPr>
          <w:p w14:paraId="550C165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Tr I,</w:t>
            </w:r>
          </w:p>
          <w:p w14:paraId="4BC2929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2025</w:t>
            </w:r>
          </w:p>
        </w:tc>
        <w:tc>
          <w:tcPr>
            <w:tcW w:w="1134" w:type="dxa"/>
            <w:noWrap/>
          </w:tcPr>
          <w:p w14:paraId="027DF25D" w14:textId="77777777" w:rsidR="0018446E" w:rsidRPr="0018446E" w:rsidRDefault="0018446E" w:rsidP="0018446E">
            <w:pPr>
              <w:spacing w:after="0" w:line="240" w:lineRule="auto"/>
              <w:ind w:left="-148"/>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34C78EE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color w:val="C00000"/>
                <w:sz w:val="20"/>
                <w:szCs w:val="20"/>
              </w:rPr>
              <w:t>22,6</w:t>
            </w:r>
          </w:p>
        </w:tc>
        <w:tc>
          <w:tcPr>
            <w:tcW w:w="1134" w:type="dxa"/>
          </w:tcPr>
          <w:p w14:paraId="66C2522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47D71E14" w14:textId="77777777" w:rsidR="0018446E" w:rsidRPr="0018446E" w:rsidRDefault="0018446E" w:rsidP="0018446E">
            <w:pPr>
              <w:spacing w:after="0" w:line="240" w:lineRule="auto"/>
              <w:ind w:left="-106" w:right="-142"/>
              <w:jc w:val="center"/>
              <w:rPr>
                <w:rFonts w:ascii="Times New Roman" w:eastAsia="Times New Roman" w:hAnsi="Times New Roman"/>
                <w:lang w:val="ro-MD"/>
              </w:rPr>
            </w:pPr>
            <w:r w:rsidRPr="0018446E">
              <w:rPr>
                <w:rFonts w:ascii="Times New Roman" w:eastAsia="Times New Roman" w:hAnsi="Times New Roman"/>
                <w:lang w:val="ro-MD"/>
              </w:rPr>
              <w:t xml:space="preserve">Surse </w:t>
            </w:r>
          </w:p>
          <w:p w14:paraId="22A9B2A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rPr>
              <w:t>bugetare</w:t>
            </w:r>
          </w:p>
        </w:tc>
        <w:tc>
          <w:tcPr>
            <w:tcW w:w="1520" w:type="dxa"/>
          </w:tcPr>
          <w:p w14:paraId="633815F2"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Finanțelor</w:t>
            </w:r>
          </w:p>
        </w:tc>
        <w:tc>
          <w:tcPr>
            <w:tcW w:w="1650" w:type="dxa"/>
          </w:tcPr>
          <w:p w14:paraId="79AEDE38" w14:textId="77777777" w:rsidR="0018446E" w:rsidRPr="0018446E" w:rsidRDefault="0018446E" w:rsidP="0018446E">
            <w:pPr>
              <w:spacing w:after="0" w:line="240" w:lineRule="auto"/>
              <w:ind w:left="0" w:right="-54"/>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r>
      <w:tr w:rsidR="0018446E" w:rsidRPr="0018446E" w14:paraId="1081C4BC" w14:textId="77777777" w:rsidTr="00B0372F">
        <w:trPr>
          <w:trHeight w:val="1000"/>
        </w:trPr>
        <w:tc>
          <w:tcPr>
            <w:tcW w:w="876" w:type="dxa"/>
          </w:tcPr>
          <w:p w14:paraId="656189A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3.1.1.3</w:t>
            </w:r>
          </w:p>
        </w:tc>
        <w:tc>
          <w:tcPr>
            <w:tcW w:w="3230" w:type="dxa"/>
          </w:tcPr>
          <w:p w14:paraId="69EA1245"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eastAsia="en-GB"/>
              </w:rPr>
              <w:t xml:space="preserve">Elaborarea și implementarea </w:t>
            </w:r>
            <w:r w:rsidRPr="0018446E">
              <w:rPr>
                <w:rFonts w:ascii="Times New Roman" w:eastAsia="Times New Roman" w:hAnsi="Times New Roman"/>
                <w:i/>
                <w:lang w:val="ro-MD" w:eastAsia="en-GB"/>
              </w:rPr>
              <w:t xml:space="preserve">Programului de </w:t>
            </w:r>
            <w:r w:rsidRPr="0018446E">
              <w:rPr>
                <w:rFonts w:ascii="Times New Roman" w:eastAsia="Times New Roman" w:hAnsi="Times New Roman"/>
                <w:i/>
                <w:iCs/>
                <w:lang w:val="ro-MD"/>
              </w:rPr>
              <w:t xml:space="preserve">stimulare a cercetării-dezvoltării </w:t>
            </w:r>
            <w:proofErr w:type="spellStart"/>
            <w:r w:rsidRPr="0018446E">
              <w:rPr>
                <w:rFonts w:ascii="Times New Roman" w:eastAsia="Times New Roman" w:hAnsi="Times New Roman"/>
                <w:i/>
                <w:iCs/>
                <w:lang w:val="ro-MD"/>
              </w:rPr>
              <w:t>şi</w:t>
            </w:r>
            <w:proofErr w:type="spellEnd"/>
            <w:r w:rsidRPr="0018446E">
              <w:rPr>
                <w:rFonts w:ascii="Times New Roman" w:eastAsia="Times New Roman" w:hAnsi="Times New Roman"/>
                <w:i/>
                <w:iCs/>
                <w:lang w:val="ro-MD"/>
              </w:rPr>
              <w:t xml:space="preserve"> inovării în rândul întreprinderilor mici </w:t>
            </w:r>
            <w:proofErr w:type="spellStart"/>
            <w:r w:rsidRPr="0018446E">
              <w:rPr>
                <w:rFonts w:ascii="Times New Roman" w:eastAsia="Times New Roman" w:hAnsi="Times New Roman"/>
                <w:i/>
                <w:iCs/>
                <w:lang w:val="ro-MD"/>
              </w:rPr>
              <w:t>şi</w:t>
            </w:r>
            <w:proofErr w:type="spellEnd"/>
            <w:r w:rsidRPr="0018446E">
              <w:rPr>
                <w:rFonts w:ascii="Times New Roman" w:eastAsia="Times New Roman" w:hAnsi="Times New Roman"/>
                <w:i/>
                <w:iCs/>
                <w:lang w:val="ro-MD"/>
              </w:rPr>
              <w:t xml:space="preserve"> mijlocii</w:t>
            </w:r>
          </w:p>
        </w:tc>
        <w:tc>
          <w:tcPr>
            <w:tcW w:w="2268" w:type="dxa"/>
          </w:tcPr>
          <w:p w14:paraId="53CBDC06"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Hotărâre de Guvern aprobată,</w:t>
            </w:r>
          </w:p>
          <w:p w14:paraId="4EC4AECA"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Nr. companiilor, finanțate</w:t>
            </w:r>
          </w:p>
          <w:p w14:paraId="6A7268B3" w14:textId="77777777" w:rsidR="0018446E" w:rsidRPr="0018446E" w:rsidRDefault="0018446E" w:rsidP="0018446E">
            <w:pPr>
              <w:numPr>
                <w:ilvl w:val="0"/>
                <w:numId w:val="23"/>
              </w:numPr>
              <w:spacing w:after="0" w:line="240" w:lineRule="auto"/>
              <w:ind w:left="33"/>
              <w:contextualSpacing/>
              <w:rPr>
                <w:rFonts w:ascii="Times New Roman" w:eastAsia="Times New Roman" w:hAnsi="Times New Roman" w:cstheme="minorBidi"/>
                <w:lang w:val="ro-MD" w:eastAsia="en-GB"/>
              </w:rPr>
            </w:pPr>
          </w:p>
        </w:tc>
        <w:tc>
          <w:tcPr>
            <w:tcW w:w="1276" w:type="dxa"/>
          </w:tcPr>
          <w:p w14:paraId="42279BC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IV, 2024</w:t>
            </w:r>
          </w:p>
          <w:p w14:paraId="048F173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2025-2026</w:t>
            </w:r>
          </w:p>
        </w:tc>
        <w:tc>
          <w:tcPr>
            <w:tcW w:w="1134" w:type="dxa"/>
            <w:noWrap/>
          </w:tcPr>
          <w:p w14:paraId="0079E270" w14:textId="77777777" w:rsidR="0018446E" w:rsidRPr="0018446E" w:rsidRDefault="0018446E" w:rsidP="0018446E">
            <w:pPr>
              <w:spacing w:after="0" w:line="240" w:lineRule="auto"/>
              <w:ind w:left="-148"/>
              <w:jc w:val="center"/>
              <w:rPr>
                <w:rFonts w:ascii="Times New Roman" w:eastAsia="Times New Roman" w:hAnsi="Times New Roman" w:cstheme="minorBidi"/>
                <w:lang w:val="ro-MD" w:eastAsia="en-GB"/>
              </w:rPr>
            </w:pPr>
            <w:r w:rsidRPr="0018446E">
              <w:rPr>
                <w:rFonts w:ascii="Times New Roman" w:hAnsi="Times New Roman"/>
                <w:color w:val="C00000"/>
                <w:sz w:val="20"/>
                <w:szCs w:val="20"/>
              </w:rPr>
              <w:t>22,6</w:t>
            </w:r>
          </w:p>
        </w:tc>
        <w:tc>
          <w:tcPr>
            <w:tcW w:w="1134" w:type="dxa"/>
          </w:tcPr>
          <w:p w14:paraId="5EF08D2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5 000,0</w:t>
            </w:r>
          </w:p>
          <w:p w14:paraId="4D64AA7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tcPr>
          <w:p w14:paraId="29EBDE7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10 000,0</w:t>
            </w:r>
          </w:p>
          <w:p w14:paraId="58C12E4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366" w:type="dxa"/>
          </w:tcPr>
          <w:p w14:paraId="061A21FC" w14:textId="77777777" w:rsidR="0018446E" w:rsidRPr="0018446E" w:rsidRDefault="0018446E" w:rsidP="0018446E">
            <w:pPr>
              <w:spacing w:after="0" w:line="240" w:lineRule="auto"/>
              <w:ind w:left="-106" w:right="-142"/>
              <w:jc w:val="center"/>
              <w:rPr>
                <w:rFonts w:ascii="Times New Roman" w:eastAsia="Times New Roman" w:hAnsi="Times New Roman" w:cstheme="minorBidi"/>
                <w:lang w:val="ro-MD"/>
              </w:rPr>
            </w:pPr>
            <w:r w:rsidRPr="0018446E">
              <w:rPr>
                <w:rFonts w:ascii="Times New Roman" w:eastAsia="Times New Roman" w:hAnsi="Times New Roman"/>
                <w:lang w:val="ro-MD" w:eastAsia="en-GB"/>
              </w:rPr>
              <w:t xml:space="preserve">Surse bugetare, alte surse </w:t>
            </w:r>
          </w:p>
        </w:tc>
        <w:tc>
          <w:tcPr>
            <w:tcW w:w="1520" w:type="dxa"/>
          </w:tcPr>
          <w:p w14:paraId="3396642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2B8C774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IP ODA</w:t>
            </w:r>
          </w:p>
        </w:tc>
        <w:tc>
          <w:tcPr>
            <w:tcW w:w="1650" w:type="dxa"/>
          </w:tcPr>
          <w:p w14:paraId="46C862C4" w14:textId="77777777" w:rsidR="0018446E" w:rsidRPr="0018446E" w:rsidRDefault="0018446E" w:rsidP="0018446E">
            <w:pPr>
              <w:spacing w:after="0" w:line="240" w:lineRule="auto"/>
              <w:ind w:left="0" w:right="-54"/>
              <w:jc w:val="center"/>
              <w:rPr>
                <w:rFonts w:ascii="Times New Roman" w:eastAsia="Times New Roman" w:hAnsi="Times New Roman" w:cstheme="minorBidi"/>
                <w:lang w:val="ro-MD" w:eastAsia="en-GB"/>
              </w:rPr>
            </w:pPr>
          </w:p>
        </w:tc>
      </w:tr>
      <w:tr w:rsidR="0018446E" w:rsidRPr="0018446E" w14:paraId="15B81C17" w14:textId="77777777" w:rsidTr="00B0372F">
        <w:trPr>
          <w:trHeight w:val="515"/>
        </w:trPr>
        <w:tc>
          <w:tcPr>
            <w:tcW w:w="15588" w:type="dxa"/>
            <w:gridSpan w:val="10"/>
          </w:tcPr>
          <w:p w14:paraId="5D65175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i/>
                <w:iCs/>
                <w:lang w:val="ro-MD" w:eastAsia="en-GB"/>
              </w:rPr>
              <w:t>3.1.2</w:t>
            </w:r>
            <w:r w:rsidRPr="0018446E">
              <w:rPr>
                <w:rFonts w:ascii="Times New Roman" w:eastAsia="Times New Roman" w:hAnsi="Times New Roman" w:cstheme="minorBidi"/>
                <w:lang w:val="ro-MD" w:eastAsia="en-GB"/>
              </w:rPr>
              <w:t xml:space="preserve"> </w:t>
            </w:r>
            <w:r w:rsidRPr="0018446E">
              <w:rPr>
                <w:rFonts w:ascii="Times New Roman" w:eastAsia="Times New Roman" w:hAnsi="Times New Roman"/>
                <w:i/>
                <w:iCs/>
                <w:lang w:val="ro-MD"/>
              </w:rPr>
              <w:t>Sporirea competitivității companiilor industriei prelucrătoare</w:t>
            </w:r>
          </w:p>
          <w:p w14:paraId="0A3E5E66" w14:textId="77777777" w:rsidR="0018446E" w:rsidRPr="0018446E" w:rsidRDefault="0018446E" w:rsidP="0018446E">
            <w:pPr>
              <w:spacing w:after="0" w:line="240" w:lineRule="auto"/>
              <w:ind w:left="0" w:right="-54"/>
              <w:jc w:val="center"/>
              <w:rPr>
                <w:rFonts w:ascii="Times New Roman" w:eastAsia="Times New Roman" w:hAnsi="Times New Roman" w:cstheme="minorBidi"/>
                <w:lang w:val="ro-MD" w:eastAsia="en-GB"/>
              </w:rPr>
            </w:pPr>
          </w:p>
        </w:tc>
      </w:tr>
      <w:tr w:rsidR="0018446E" w:rsidRPr="0018446E" w14:paraId="6AE9661A" w14:textId="77777777" w:rsidTr="00B0372F">
        <w:trPr>
          <w:trHeight w:val="699"/>
        </w:trPr>
        <w:tc>
          <w:tcPr>
            <w:tcW w:w="876" w:type="dxa"/>
          </w:tcPr>
          <w:p w14:paraId="531A5833"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3.1.2.1</w:t>
            </w:r>
          </w:p>
        </w:tc>
        <w:tc>
          <w:tcPr>
            <w:tcW w:w="3230" w:type="dxa"/>
          </w:tcPr>
          <w:p w14:paraId="34B67F0F"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Elaborarea studiului de evaluarea a </w:t>
            </w:r>
            <w:r w:rsidRPr="0018446E">
              <w:rPr>
                <w:rFonts w:ascii="Times New Roman" w:eastAsia="Times New Roman" w:hAnsi="Times New Roman"/>
                <w:i/>
                <w:iCs/>
                <w:lang w:val="ro-MD" w:eastAsia="en-GB"/>
              </w:rPr>
              <w:t>input</w:t>
            </w:r>
            <w:r w:rsidRPr="0018446E">
              <w:rPr>
                <w:rFonts w:ascii="Times New Roman" w:eastAsia="Times New Roman" w:hAnsi="Times New Roman"/>
                <w:lang w:val="ro-MD" w:eastAsia="en-GB"/>
              </w:rPr>
              <w:t xml:space="preserve">-urilor </w:t>
            </w:r>
            <w:r w:rsidRPr="0018446E">
              <w:rPr>
                <w:rFonts w:ascii="Times New Roman" w:eastAsia="Times New Roman" w:hAnsi="Times New Roman"/>
                <w:lang w:val="ro-MD" w:eastAsia="en-GB"/>
              </w:rPr>
              <w:lastRenderedPageBreak/>
              <w:t>importate de industria prelucrătoare</w:t>
            </w:r>
          </w:p>
        </w:tc>
        <w:tc>
          <w:tcPr>
            <w:tcW w:w="2268" w:type="dxa"/>
          </w:tcPr>
          <w:p w14:paraId="583536D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lastRenderedPageBreak/>
              <w:t>- Studiu de evaluare elaborat</w:t>
            </w:r>
          </w:p>
        </w:tc>
        <w:tc>
          <w:tcPr>
            <w:tcW w:w="1276" w:type="dxa"/>
          </w:tcPr>
          <w:p w14:paraId="0C84DE0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cstheme="minorBidi"/>
                <w:lang w:val="ro-MD" w:eastAsia="en-GB"/>
              </w:rPr>
              <w:t>Tr. IV, 2024</w:t>
            </w:r>
          </w:p>
        </w:tc>
        <w:tc>
          <w:tcPr>
            <w:tcW w:w="1134" w:type="dxa"/>
            <w:noWrap/>
          </w:tcPr>
          <w:p w14:paraId="604552F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200,0</w:t>
            </w:r>
          </w:p>
        </w:tc>
        <w:tc>
          <w:tcPr>
            <w:tcW w:w="1134" w:type="dxa"/>
          </w:tcPr>
          <w:p w14:paraId="5E8C5A3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496EE32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3E0E095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 xml:space="preserve"> alte surse</w:t>
            </w:r>
          </w:p>
        </w:tc>
        <w:tc>
          <w:tcPr>
            <w:tcW w:w="1520" w:type="dxa"/>
          </w:tcPr>
          <w:p w14:paraId="3B89403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 xml:space="preserve">Ministerul Dezvoltării </w:t>
            </w:r>
            <w:r w:rsidRPr="0018446E">
              <w:rPr>
                <w:rFonts w:ascii="Times New Roman" w:eastAsia="Times New Roman" w:hAnsi="Times New Roman"/>
                <w:lang w:val="ro-MD" w:eastAsia="en-GB"/>
              </w:rPr>
              <w:lastRenderedPageBreak/>
              <w:t>Economice și Digitalizării</w:t>
            </w:r>
          </w:p>
        </w:tc>
        <w:tc>
          <w:tcPr>
            <w:tcW w:w="1650" w:type="dxa"/>
          </w:tcPr>
          <w:p w14:paraId="1B70A618" w14:textId="77777777" w:rsidR="0018446E" w:rsidRPr="0018446E" w:rsidRDefault="0018446E" w:rsidP="0018446E">
            <w:pPr>
              <w:spacing w:after="0" w:line="240" w:lineRule="auto"/>
              <w:ind w:left="0" w:right="-54"/>
              <w:jc w:val="center"/>
              <w:rPr>
                <w:rFonts w:ascii="Times New Roman" w:eastAsia="Times New Roman" w:hAnsi="Times New Roman"/>
                <w:lang w:val="ro-MD" w:eastAsia="en-GB"/>
              </w:rPr>
            </w:pPr>
          </w:p>
          <w:p w14:paraId="4BA097B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29C051AB" w14:textId="77777777" w:rsidTr="00B0372F">
        <w:trPr>
          <w:trHeight w:val="1000"/>
        </w:trPr>
        <w:tc>
          <w:tcPr>
            <w:tcW w:w="876" w:type="dxa"/>
          </w:tcPr>
          <w:p w14:paraId="16FEE1BE"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3.1.2.2</w:t>
            </w:r>
          </w:p>
        </w:tc>
        <w:tc>
          <w:tcPr>
            <w:tcW w:w="3230" w:type="dxa"/>
          </w:tcPr>
          <w:p w14:paraId="4B26F7E3"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bCs/>
                <w:iCs/>
                <w:lang w:val="ro-MD" w:eastAsia="en-GB"/>
              </w:rPr>
              <w:t xml:space="preserve">Modificarea Legii nr. 172/2014 privind aprobarea Nomenclaturii combinate a mărfurilor, în vederea eliminării taxelor vamale la </w:t>
            </w:r>
            <w:r w:rsidRPr="0018446E">
              <w:rPr>
                <w:rFonts w:ascii="Times New Roman" w:eastAsia="Times New Roman" w:hAnsi="Times New Roman"/>
                <w:bCs/>
                <w:i/>
                <w:lang w:val="ro-MD" w:eastAsia="en-GB"/>
              </w:rPr>
              <w:t>input</w:t>
            </w:r>
            <w:r w:rsidRPr="0018446E">
              <w:rPr>
                <w:rFonts w:ascii="Times New Roman" w:eastAsia="Times New Roman" w:hAnsi="Times New Roman"/>
                <w:bCs/>
                <w:iCs/>
                <w:lang w:val="ro-MD" w:eastAsia="en-GB"/>
              </w:rPr>
              <w:t xml:space="preserve">-urile din industria prelucrătoare care nu pot fi produse în Republica Moldova </w:t>
            </w:r>
          </w:p>
        </w:tc>
        <w:tc>
          <w:tcPr>
            <w:tcW w:w="2268" w:type="dxa"/>
          </w:tcPr>
          <w:p w14:paraId="31008C58"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Proiect de lege aprobat de Guvern și transmis Parlamentului spre adoptare</w:t>
            </w:r>
          </w:p>
        </w:tc>
        <w:tc>
          <w:tcPr>
            <w:tcW w:w="1276" w:type="dxa"/>
          </w:tcPr>
          <w:p w14:paraId="7D14CD6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IV, 2024</w:t>
            </w:r>
          </w:p>
        </w:tc>
        <w:tc>
          <w:tcPr>
            <w:tcW w:w="1134" w:type="dxa"/>
            <w:noWrap/>
          </w:tcPr>
          <w:p w14:paraId="2217F20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color w:val="C00000"/>
                <w:sz w:val="20"/>
                <w:szCs w:val="20"/>
              </w:rPr>
              <w:t>22,6</w:t>
            </w:r>
          </w:p>
        </w:tc>
        <w:tc>
          <w:tcPr>
            <w:tcW w:w="1134" w:type="dxa"/>
          </w:tcPr>
          <w:p w14:paraId="0BACF70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058E4E8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3F67F36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w:t>
            </w:r>
          </w:p>
        </w:tc>
        <w:tc>
          <w:tcPr>
            <w:tcW w:w="1520" w:type="dxa"/>
          </w:tcPr>
          <w:p w14:paraId="11F1862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79B3F71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Finanțelor</w:t>
            </w:r>
          </w:p>
          <w:p w14:paraId="081BB37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4D809036" w14:textId="77777777" w:rsidTr="00B0372F">
        <w:trPr>
          <w:trHeight w:val="1000"/>
        </w:trPr>
        <w:tc>
          <w:tcPr>
            <w:tcW w:w="876" w:type="dxa"/>
          </w:tcPr>
          <w:p w14:paraId="5209CF8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3.1.2.3</w:t>
            </w:r>
          </w:p>
        </w:tc>
        <w:tc>
          <w:tcPr>
            <w:tcW w:w="3230" w:type="dxa"/>
          </w:tcPr>
          <w:p w14:paraId="5D6A8584" w14:textId="77777777" w:rsidR="0018446E" w:rsidRPr="0018446E" w:rsidRDefault="0018446E" w:rsidP="0018446E">
            <w:pPr>
              <w:spacing w:after="0" w:line="240" w:lineRule="auto"/>
              <w:ind w:left="0"/>
              <w:rPr>
                <w:rFonts w:ascii="Times New Roman" w:eastAsia="Times New Roman" w:hAnsi="Times New Roman"/>
                <w:i/>
                <w:lang w:val="ro-MD" w:eastAsia="en-GB"/>
              </w:rPr>
            </w:pPr>
            <w:r w:rsidRPr="0018446E">
              <w:rPr>
                <w:rFonts w:ascii="Times New Roman" w:eastAsia="Times New Roman" w:hAnsi="Times New Roman"/>
                <w:lang w:val="ro-MD" w:eastAsia="en-GB"/>
              </w:rPr>
              <w:t xml:space="preserve">Modificarea și implementarea </w:t>
            </w:r>
            <w:r w:rsidRPr="0018446E">
              <w:rPr>
                <w:rFonts w:ascii="Times New Roman" w:eastAsia="Times New Roman" w:hAnsi="Times New Roman"/>
                <w:i/>
                <w:lang w:val="ro-MD" w:eastAsia="en-GB"/>
              </w:rPr>
              <w:t xml:space="preserve">Programului de </w:t>
            </w:r>
            <w:r w:rsidRPr="0018446E">
              <w:rPr>
                <w:rFonts w:ascii="Times New Roman" w:eastAsia="Times New Roman" w:hAnsi="Times New Roman" w:cstheme="minorBidi"/>
                <w:bCs/>
                <w:i/>
                <w:iCs/>
                <w:lang w:val="ro-MD"/>
              </w:rPr>
              <w:t>creștere a competitivității la export și integrarea în lanțurile valorice internaționale a ÎMM</w:t>
            </w:r>
          </w:p>
        </w:tc>
        <w:tc>
          <w:tcPr>
            <w:tcW w:w="2268" w:type="dxa"/>
          </w:tcPr>
          <w:p w14:paraId="5A910A3E"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Hotărâre de Guvern aprobată,</w:t>
            </w:r>
          </w:p>
          <w:p w14:paraId="0942DEF1" w14:textId="77777777" w:rsidR="0018446E" w:rsidRPr="0018446E" w:rsidRDefault="0018446E" w:rsidP="0018446E">
            <w:pPr>
              <w:spacing w:after="0" w:line="240" w:lineRule="auto"/>
              <w:ind w:left="0"/>
              <w:rPr>
                <w:rFonts w:ascii="Times New Roman" w:eastAsia="Times New Roman" w:hAnsi="Times New Roman"/>
                <w:bCs/>
                <w:iCs/>
                <w:lang w:val="ro-MD" w:eastAsia="en-GB"/>
              </w:rPr>
            </w:pPr>
            <w:r w:rsidRPr="0018446E">
              <w:rPr>
                <w:rFonts w:ascii="Times New Roman" w:eastAsia="Times New Roman" w:hAnsi="Times New Roman"/>
                <w:lang w:val="ro-MD" w:eastAsia="en-GB"/>
              </w:rPr>
              <w:t>- N</w:t>
            </w:r>
            <w:r w:rsidRPr="0018446E">
              <w:rPr>
                <w:rFonts w:ascii="Times New Roman" w:eastAsia="Times New Roman" w:hAnsi="Times New Roman"/>
                <w:bCs/>
                <w:iCs/>
                <w:lang w:val="ro-MD" w:eastAsia="en-GB"/>
              </w:rPr>
              <w:t>r. companii finanțate,</w:t>
            </w:r>
          </w:p>
          <w:p w14:paraId="656F8509"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p>
        </w:tc>
        <w:tc>
          <w:tcPr>
            <w:tcW w:w="1276" w:type="dxa"/>
          </w:tcPr>
          <w:p w14:paraId="024FA109"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Tr. I, 2024</w:t>
            </w:r>
          </w:p>
          <w:p w14:paraId="43E185ED"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2024-2026</w:t>
            </w:r>
          </w:p>
          <w:p w14:paraId="3DDB9CA8" w14:textId="77777777" w:rsidR="0018446E" w:rsidRPr="0018446E" w:rsidRDefault="0018446E" w:rsidP="0018446E">
            <w:pPr>
              <w:spacing w:after="0" w:line="240" w:lineRule="auto"/>
              <w:ind w:left="0"/>
              <w:rPr>
                <w:rFonts w:ascii="Times New Roman" w:eastAsia="Times New Roman" w:hAnsi="Times New Roman"/>
                <w:lang w:val="ro-MD" w:eastAsia="en-GB"/>
              </w:rPr>
            </w:pPr>
          </w:p>
          <w:p w14:paraId="2D15B56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noWrap/>
          </w:tcPr>
          <w:p w14:paraId="34DDA24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10 000,0</w:t>
            </w:r>
          </w:p>
          <w:p w14:paraId="35A7B13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p w14:paraId="7D4798D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10 000,0</w:t>
            </w:r>
          </w:p>
          <w:p w14:paraId="3EBFAA4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134" w:type="dxa"/>
          </w:tcPr>
          <w:p w14:paraId="59F5345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10 000,0</w:t>
            </w:r>
          </w:p>
          <w:p w14:paraId="2EE6152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p w14:paraId="4BC60BF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10 000,0</w:t>
            </w:r>
          </w:p>
        </w:tc>
        <w:tc>
          <w:tcPr>
            <w:tcW w:w="1134" w:type="dxa"/>
          </w:tcPr>
          <w:p w14:paraId="07C6400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10 000,0</w:t>
            </w:r>
          </w:p>
          <w:p w14:paraId="5B92131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p w14:paraId="0DF36A6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10 000,0</w:t>
            </w:r>
          </w:p>
        </w:tc>
        <w:tc>
          <w:tcPr>
            <w:tcW w:w="1366" w:type="dxa"/>
          </w:tcPr>
          <w:p w14:paraId="4E46578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 xml:space="preserve">Surse bugetare, alte surse </w:t>
            </w:r>
          </w:p>
        </w:tc>
        <w:tc>
          <w:tcPr>
            <w:tcW w:w="1520" w:type="dxa"/>
          </w:tcPr>
          <w:p w14:paraId="7B98828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24D5310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IP ODA</w:t>
            </w:r>
          </w:p>
        </w:tc>
        <w:tc>
          <w:tcPr>
            <w:tcW w:w="1650" w:type="dxa"/>
          </w:tcPr>
          <w:p w14:paraId="21C63F8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7641D269" w14:textId="77777777" w:rsidTr="00B0372F">
        <w:trPr>
          <w:trHeight w:val="1000"/>
        </w:trPr>
        <w:tc>
          <w:tcPr>
            <w:tcW w:w="876" w:type="dxa"/>
          </w:tcPr>
          <w:p w14:paraId="582943D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3.1.2.4</w:t>
            </w:r>
          </w:p>
        </w:tc>
        <w:tc>
          <w:tcPr>
            <w:tcW w:w="3230" w:type="dxa"/>
          </w:tcPr>
          <w:p w14:paraId="421CF30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xml:space="preserve">Instituirea unui nou produs de garantare a FGC, în vederea instituirii unui instrument de garantare în procedura de perfecționare activă </w:t>
            </w:r>
          </w:p>
        </w:tc>
        <w:tc>
          <w:tcPr>
            <w:tcW w:w="2268" w:type="dxa"/>
          </w:tcPr>
          <w:p w14:paraId="6BA48F3C"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 Concept elaborat și aprobat</w:t>
            </w:r>
          </w:p>
        </w:tc>
        <w:tc>
          <w:tcPr>
            <w:tcW w:w="1276" w:type="dxa"/>
          </w:tcPr>
          <w:p w14:paraId="2317F16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II, 2024</w:t>
            </w:r>
          </w:p>
        </w:tc>
        <w:tc>
          <w:tcPr>
            <w:tcW w:w="1134" w:type="dxa"/>
            <w:noWrap/>
          </w:tcPr>
          <w:p w14:paraId="6893BE0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20,2</w:t>
            </w:r>
          </w:p>
        </w:tc>
        <w:tc>
          <w:tcPr>
            <w:tcW w:w="1134" w:type="dxa"/>
          </w:tcPr>
          <w:p w14:paraId="06EDD75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6D6A819D"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29FB448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2781608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2961520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IP ODA</w:t>
            </w:r>
          </w:p>
        </w:tc>
        <w:tc>
          <w:tcPr>
            <w:tcW w:w="1650" w:type="dxa"/>
          </w:tcPr>
          <w:p w14:paraId="15945306"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192A7392" w14:textId="77777777" w:rsidTr="00B0372F">
        <w:trPr>
          <w:trHeight w:val="1000"/>
        </w:trPr>
        <w:tc>
          <w:tcPr>
            <w:tcW w:w="876" w:type="dxa"/>
          </w:tcPr>
          <w:p w14:paraId="5632000D"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3.1.2.5</w:t>
            </w:r>
          </w:p>
        </w:tc>
        <w:tc>
          <w:tcPr>
            <w:tcW w:w="3230" w:type="dxa"/>
          </w:tcPr>
          <w:p w14:paraId="5738E0F1"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Arial Unicode MS" w:hAnsi="Times New Roman" w:cs="Arial Unicode MS"/>
                <w:u w:color="000000"/>
                <w:bdr w:val="nil"/>
                <w:lang w:val="ro-MD"/>
                <w14:textOutline w14:w="0" w14:cap="flat" w14:cmpd="sng" w14:algn="ctr">
                  <w14:noFill/>
                  <w14:prstDash w14:val="solid"/>
                  <w14:bevel/>
                </w14:textOutline>
              </w:rPr>
              <w:t>Desfășurarea unei campanii extinse la nivel național pentru promovarea produselor industriale autohtone</w:t>
            </w:r>
          </w:p>
        </w:tc>
        <w:tc>
          <w:tcPr>
            <w:tcW w:w="2268" w:type="dxa"/>
          </w:tcPr>
          <w:p w14:paraId="3C1A5ECF"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Campanie de promovare realizată,</w:t>
            </w:r>
            <w:r w:rsidRPr="0018446E">
              <w:rPr>
                <w:rFonts w:ascii="Times New Roman" w:eastAsia="Times New Roman" w:hAnsi="Times New Roman" w:cstheme="minorBidi"/>
                <w:lang w:val="ro-MD" w:eastAsia="en-GB"/>
              </w:rPr>
              <w:br/>
              <w:t>- Numărul de livrabile realizate</w:t>
            </w:r>
          </w:p>
        </w:tc>
        <w:tc>
          <w:tcPr>
            <w:tcW w:w="1276" w:type="dxa"/>
          </w:tcPr>
          <w:p w14:paraId="5AB3FC3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2025</w:t>
            </w:r>
          </w:p>
        </w:tc>
        <w:tc>
          <w:tcPr>
            <w:tcW w:w="1134" w:type="dxa"/>
            <w:noWrap/>
          </w:tcPr>
          <w:p w14:paraId="45DEF19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14E614A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300,0</w:t>
            </w:r>
          </w:p>
        </w:tc>
        <w:tc>
          <w:tcPr>
            <w:tcW w:w="1134" w:type="dxa"/>
          </w:tcPr>
          <w:p w14:paraId="59B22CD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23702C53"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alte surse</w:t>
            </w:r>
          </w:p>
        </w:tc>
        <w:tc>
          <w:tcPr>
            <w:tcW w:w="1520" w:type="dxa"/>
          </w:tcPr>
          <w:p w14:paraId="2161204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2621140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c>
          <w:tcPr>
            <w:tcW w:w="1650" w:type="dxa"/>
          </w:tcPr>
          <w:p w14:paraId="5E08F84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Asociațiile de business</w:t>
            </w:r>
          </w:p>
        </w:tc>
      </w:tr>
      <w:tr w:rsidR="0018446E" w:rsidRPr="0018446E" w14:paraId="424259AA" w14:textId="77777777" w:rsidTr="00B0372F">
        <w:trPr>
          <w:trHeight w:val="1000"/>
        </w:trPr>
        <w:tc>
          <w:tcPr>
            <w:tcW w:w="876" w:type="dxa"/>
          </w:tcPr>
          <w:p w14:paraId="0CA07A77"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3.1.2.6</w:t>
            </w:r>
          </w:p>
        </w:tc>
        <w:tc>
          <w:tcPr>
            <w:tcW w:w="3230" w:type="dxa"/>
          </w:tcPr>
          <w:p w14:paraId="0386D338" w14:textId="77777777" w:rsidR="0018446E" w:rsidRPr="0018446E" w:rsidRDefault="0018446E" w:rsidP="0018446E">
            <w:pPr>
              <w:spacing w:after="0" w:line="240" w:lineRule="auto"/>
              <w:ind w:left="0"/>
              <w:rPr>
                <w:rFonts w:ascii="Times New Roman" w:eastAsia="Times New Roman" w:hAnsi="Times New Roman"/>
                <w:lang w:val="ro-MD"/>
              </w:rPr>
            </w:pPr>
            <w:r w:rsidRPr="0018446E">
              <w:rPr>
                <w:rFonts w:ascii="Times New Roman" w:eastAsia="Times New Roman" w:hAnsi="Times New Roman"/>
                <w:lang w:val="ro-MD"/>
              </w:rPr>
              <w:t xml:space="preserve">Revizuirea cadrului normativ prin modificarea Legii nr. 1409/1997 și HG295/2023, în vederea stabilirii unui mecanism separat de aprobare </w:t>
            </w:r>
            <w:r w:rsidRPr="0018446E">
              <w:rPr>
                <w:rFonts w:ascii="Times New Roman" w:eastAsia="Times New Roman" w:hAnsi="Times New Roman"/>
                <w:lang w:val="ro-MD"/>
              </w:rPr>
              <w:lastRenderedPageBreak/>
              <w:t>a prețului pentru producătorii autohtoni de medicamente</w:t>
            </w:r>
          </w:p>
        </w:tc>
        <w:tc>
          <w:tcPr>
            <w:tcW w:w="2268" w:type="dxa"/>
          </w:tcPr>
          <w:p w14:paraId="6661B05B"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lastRenderedPageBreak/>
              <w:t>- Proiect de lege aprobat de Guvern și transmis Parlamentului spre adoptare</w:t>
            </w:r>
          </w:p>
          <w:p w14:paraId="4CB788EC"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lastRenderedPageBreak/>
              <w:t>-Proiect de hotărâre de Guvern aprobată</w:t>
            </w:r>
          </w:p>
        </w:tc>
        <w:tc>
          <w:tcPr>
            <w:tcW w:w="1276" w:type="dxa"/>
          </w:tcPr>
          <w:p w14:paraId="380C94DC"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lastRenderedPageBreak/>
              <w:t>Tr. IV, 2024</w:t>
            </w:r>
          </w:p>
        </w:tc>
        <w:tc>
          <w:tcPr>
            <w:tcW w:w="1134" w:type="dxa"/>
            <w:noWrap/>
          </w:tcPr>
          <w:p w14:paraId="55B78E91"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20,2</w:t>
            </w:r>
          </w:p>
        </w:tc>
        <w:tc>
          <w:tcPr>
            <w:tcW w:w="1134" w:type="dxa"/>
          </w:tcPr>
          <w:p w14:paraId="7DE537EC"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5D9F647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46DE6D0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5E09245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Sănătății</w:t>
            </w:r>
          </w:p>
        </w:tc>
        <w:tc>
          <w:tcPr>
            <w:tcW w:w="1650" w:type="dxa"/>
          </w:tcPr>
          <w:p w14:paraId="1FC4216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73EFC60F" w14:textId="77777777" w:rsidTr="00B0372F">
        <w:trPr>
          <w:trHeight w:val="1000"/>
        </w:trPr>
        <w:tc>
          <w:tcPr>
            <w:tcW w:w="876" w:type="dxa"/>
          </w:tcPr>
          <w:p w14:paraId="0676A228"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3.1.2.7</w:t>
            </w:r>
          </w:p>
        </w:tc>
        <w:tc>
          <w:tcPr>
            <w:tcW w:w="3230" w:type="dxa"/>
          </w:tcPr>
          <w:p w14:paraId="10379261"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rPr>
              <w:t>Modificarea proceselor în domeniul achizițiilor publice de medicamente, astfel încât licitațiile să fie desfășurate din timp, iar necesarul solicitat de fiecare instituție să fie maximal unificat, eficientizat, și, ulterior, realizat</w:t>
            </w:r>
          </w:p>
        </w:tc>
        <w:tc>
          <w:tcPr>
            <w:tcW w:w="2268" w:type="dxa"/>
          </w:tcPr>
          <w:p w14:paraId="3EF74F68"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 Proces de achiziție modificat</w:t>
            </w:r>
          </w:p>
        </w:tc>
        <w:tc>
          <w:tcPr>
            <w:tcW w:w="1276" w:type="dxa"/>
          </w:tcPr>
          <w:p w14:paraId="30AE1D2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IV, 2024</w:t>
            </w:r>
          </w:p>
        </w:tc>
        <w:tc>
          <w:tcPr>
            <w:tcW w:w="1134" w:type="dxa"/>
            <w:noWrap/>
          </w:tcPr>
          <w:p w14:paraId="22A128E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hAnsi="Times New Roman"/>
                <w:bCs/>
                <w:color w:val="C00000"/>
                <w:sz w:val="20"/>
                <w:szCs w:val="20"/>
              </w:rPr>
              <w:t>20,2</w:t>
            </w:r>
          </w:p>
        </w:tc>
        <w:tc>
          <w:tcPr>
            <w:tcW w:w="1134" w:type="dxa"/>
          </w:tcPr>
          <w:p w14:paraId="1BA9ECB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60EA41E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15EF219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11E7B209"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Sănătății,</w:t>
            </w:r>
            <w:r w:rsidRPr="0018446E">
              <w:rPr>
                <w:rFonts w:ascii="Times New Roman" w:eastAsia="Times New Roman" w:hAnsi="Times New Roman"/>
                <w:lang w:val="ro-MD" w:eastAsia="en-GB"/>
              </w:rPr>
              <w:br/>
            </w:r>
            <w:r w:rsidRPr="0018446E">
              <w:rPr>
                <w:rFonts w:ascii="Times New Roman" w:eastAsia="Times New Roman" w:hAnsi="Times New Roman"/>
                <w:shd w:val="clear" w:color="auto" w:fill="FFFFFF"/>
                <w:lang w:val="ro-MD"/>
              </w:rPr>
              <w:t>Agenția Medicamentului și Dispozitivelor Medicale</w:t>
            </w:r>
          </w:p>
        </w:tc>
        <w:tc>
          <w:tcPr>
            <w:tcW w:w="1650" w:type="dxa"/>
          </w:tcPr>
          <w:p w14:paraId="00A5CE8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63BBFC8F" w14:textId="77777777" w:rsidTr="00B0372F">
        <w:trPr>
          <w:trHeight w:val="1000"/>
        </w:trPr>
        <w:tc>
          <w:tcPr>
            <w:tcW w:w="876" w:type="dxa"/>
          </w:tcPr>
          <w:p w14:paraId="508E2B2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2.1.2.8</w:t>
            </w:r>
          </w:p>
        </w:tc>
        <w:tc>
          <w:tcPr>
            <w:tcW w:w="3230" w:type="dxa"/>
          </w:tcPr>
          <w:p w14:paraId="791B6125" w14:textId="77777777" w:rsidR="0018446E" w:rsidRPr="0018446E" w:rsidRDefault="0018446E" w:rsidP="0018446E">
            <w:pPr>
              <w:spacing w:after="0" w:line="240" w:lineRule="auto"/>
              <w:ind w:left="0"/>
              <w:rPr>
                <w:rFonts w:ascii="Times New Roman" w:eastAsia="Times New Roman" w:hAnsi="Times New Roman" w:cstheme="minorBidi"/>
                <w:lang w:val="ro-MD"/>
              </w:rPr>
            </w:pPr>
            <w:r w:rsidRPr="0018446E">
              <w:rPr>
                <w:rFonts w:ascii="Times New Roman" w:eastAsia="Times New Roman" w:hAnsi="Times New Roman"/>
                <w:lang w:val="ro-MD"/>
              </w:rPr>
              <w:t>Ajustarea cadrului normativ, astfel încât prețurile pentru medicamentele compensate să fie stabilite în baza unor medii ale concursurilor de ofertă</w:t>
            </w:r>
          </w:p>
        </w:tc>
        <w:tc>
          <w:tcPr>
            <w:tcW w:w="2268" w:type="dxa"/>
          </w:tcPr>
          <w:p w14:paraId="2A6AB5B0"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cstheme="minorBidi"/>
                <w:lang w:val="ro-MD" w:eastAsia="en-GB"/>
              </w:rPr>
              <w:t xml:space="preserve">- </w:t>
            </w:r>
            <w:r w:rsidRPr="0018446E">
              <w:rPr>
                <w:rFonts w:ascii="Times New Roman" w:eastAsia="Times New Roman" w:hAnsi="Times New Roman"/>
                <w:lang w:val="ro-MD" w:eastAsia="en-GB"/>
              </w:rPr>
              <w:t>Proiect de lege aprobat de Guvern și transmis Parlamentului spre adoptare</w:t>
            </w:r>
          </w:p>
          <w:p w14:paraId="5AC8F47B"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lang w:val="ro-MD" w:eastAsia="en-GB"/>
              </w:rPr>
              <w:t>-Proiect de hotărâre de Guvern aprobată</w:t>
            </w:r>
          </w:p>
        </w:tc>
        <w:tc>
          <w:tcPr>
            <w:tcW w:w="1276" w:type="dxa"/>
          </w:tcPr>
          <w:p w14:paraId="6A5800D3"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Tr. I, 2025</w:t>
            </w:r>
          </w:p>
        </w:tc>
        <w:tc>
          <w:tcPr>
            <w:tcW w:w="1134" w:type="dxa"/>
            <w:noWrap/>
          </w:tcPr>
          <w:p w14:paraId="4D249F4E"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134" w:type="dxa"/>
          </w:tcPr>
          <w:p w14:paraId="1100487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22,0</w:t>
            </w:r>
          </w:p>
        </w:tc>
        <w:tc>
          <w:tcPr>
            <w:tcW w:w="1134" w:type="dxa"/>
          </w:tcPr>
          <w:p w14:paraId="52E8712B"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w:t>
            </w:r>
          </w:p>
        </w:tc>
        <w:tc>
          <w:tcPr>
            <w:tcW w:w="1366" w:type="dxa"/>
          </w:tcPr>
          <w:p w14:paraId="3A4A4F1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Surse bugetare</w:t>
            </w:r>
          </w:p>
        </w:tc>
        <w:tc>
          <w:tcPr>
            <w:tcW w:w="1520" w:type="dxa"/>
          </w:tcPr>
          <w:p w14:paraId="4FC928B4"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r w:rsidRPr="0018446E">
              <w:rPr>
                <w:rFonts w:ascii="Times New Roman" w:eastAsia="Times New Roman" w:hAnsi="Times New Roman"/>
                <w:lang w:val="ro-MD" w:eastAsia="en-GB"/>
              </w:rPr>
              <w:t>Ministerul Sănătății,</w:t>
            </w:r>
            <w:r w:rsidRPr="0018446E">
              <w:rPr>
                <w:rFonts w:ascii="Times New Roman" w:eastAsia="Times New Roman" w:hAnsi="Times New Roman"/>
                <w:lang w:val="ro-MD" w:eastAsia="en-GB"/>
              </w:rPr>
              <w:br/>
            </w:r>
            <w:r w:rsidRPr="0018446E">
              <w:rPr>
                <w:rFonts w:ascii="Times New Roman" w:eastAsia="Times New Roman" w:hAnsi="Times New Roman"/>
                <w:sz w:val="22"/>
                <w:szCs w:val="22"/>
                <w:shd w:val="clear" w:color="auto" w:fill="FFFFFF"/>
                <w:lang w:val="ro-MD"/>
              </w:rPr>
              <w:t>Agenția Medicamentului și Dispozitivelor Medicale</w:t>
            </w:r>
          </w:p>
        </w:tc>
        <w:tc>
          <w:tcPr>
            <w:tcW w:w="1650" w:type="dxa"/>
          </w:tcPr>
          <w:p w14:paraId="732B6B30"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296EB6D0" w14:textId="77777777" w:rsidTr="00B0372F">
        <w:trPr>
          <w:trHeight w:val="380"/>
        </w:trPr>
        <w:tc>
          <w:tcPr>
            <w:tcW w:w="15588" w:type="dxa"/>
            <w:gridSpan w:val="10"/>
            <w:shd w:val="clear" w:color="auto" w:fill="D5DCE4" w:themeFill="text2" w:themeFillTint="33"/>
          </w:tcPr>
          <w:p w14:paraId="3DD4D7FC" w14:textId="77777777" w:rsidR="0018446E" w:rsidRPr="0018446E" w:rsidRDefault="0018446E" w:rsidP="0018446E">
            <w:pPr>
              <w:spacing w:after="0" w:line="240" w:lineRule="auto"/>
              <w:ind w:left="0"/>
              <w:rPr>
                <w:rFonts w:ascii="Times New Roman" w:eastAsia="Times New Roman" w:hAnsi="Times New Roman"/>
                <w:b/>
                <w:bCs/>
                <w:lang w:val="ro-MD" w:eastAsia="en-GB"/>
              </w:rPr>
            </w:pPr>
            <w:bookmarkStart w:id="14" w:name="_Hlk139904549"/>
            <w:r w:rsidRPr="0018446E">
              <w:rPr>
                <w:rFonts w:ascii="Times New Roman" w:eastAsia="Times New Roman" w:hAnsi="Times New Roman"/>
                <w:b/>
                <w:bCs/>
                <w:i/>
                <w:iCs/>
                <w:lang w:val="ro-MD" w:eastAsia="en-GB"/>
              </w:rPr>
              <w:t xml:space="preserve">Obiectivul Specific 3.2. </w:t>
            </w:r>
            <w:r w:rsidRPr="0018446E">
              <w:rPr>
                <w:rFonts w:ascii="Times New Roman" w:eastAsia="Times New Roman" w:hAnsi="Times New Roman"/>
                <w:b/>
                <w:bCs/>
                <w:i/>
                <w:iCs/>
                <w:lang w:val="ro-MD"/>
              </w:rPr>
              <w:t>Facilitarea tranziției la economia verde</w:t>
            </w:r>
            <w:bookmarkEnd w:id="14"/>
          </w:p>
        </w:tc>
      </w:tr>
      <w:tr w:rsidR="0018446E" w:rsidRPr="0018446E" w14:paraId="4434767C" w14:textId="77777777" w:rsidTr="00B0372F">
        <w:trPr>
          <w:trHeight w:val="380"/>
        </w:trPr>
        <w:tc>
          <w:tcPr>
            <w:tcW w:w="15588" w:type="dxa"/>
            <w:gridSpan w:val="10"/>
          </w:tcPr>
          <w:p w14:paraId="1768225B" w14:textId="77777777" w:rsidR="0018446E" w:rsidRPr="0018446E" w:rsidRDefault="0018446E" w:rsidP="0018446E">
            <w:pPr>
              <w:spacing w:after="0" w:line="240" w:lineRule="auto"/>
              <w:ind w:left="0"/>
              <w:rPr>
                <w:rFonts w:ascii="Times New Roman" w:eastAsia="Times New Roman" w:hAnsi="Times New Roman"/>
                <w:b/>
                <w:bCs/>
                <w:lang w:val="ro-MD" w:eastAsia="en-GB"/>
              </w:rPr>
            </w:pPr>
            <w:r w:rsidRPr="0018446E">
              <w:rPr>
                <w:rFonts w:ascii="Times New Roman" w:eastAsia="Times New Roman" w:hAnsi="Times New Roman"/>
                <w:b/>
                <w:bCs/>
                <w:lang w:val="ro-MD" w:eastAsia="en-GB"/>
              </w:rPr>
              <w:t>Indicatori de rezultat:</w:t>
            </w:r>
          </w:p>
          <w:p w14:paraId="10FAB9E7" w14:textId="77777777" w:rsidR="0018446E" w:rsidRPr="0018446E" w:rsidRDefault="0018446E" w:rsidP="0018446E">
            <w:pPr>
              <w:spacing w:after="0" w:line="276"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1. Creșterea numărului companiilor din industria prelucrătoare instruite/familiarizate cu principiile economiei verzi cu cel puțin 30%, către anul 2026</w:t>
            </w:r>
          </w:p>
          <w:p w14:paraId="7DBA9946" w14:textId="77777777" w:rsidR="0018446E" w:rsidRPr="0018446E" w:rsidRDefault="0018446E" w:rsidP="0018446E">
            <w:pPr>
              <w:spacing w:after="0" w:line="276"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2. Rata ÎMM-lor din industria prelucrătoare care aplică mecanisme de epurare a apei și utilizare a deșeurilor în creștere cu 50% către anul 2026</w:t>
            </w:r>
          </w:p>
          <w:p w14:paraId="7A9701C5" w14:textId="77777777" w:rsidR="0018446E" w:rsidRPr="0018446E" w:rsidRDefault="0018446E" w:rsidP="0018446E">
            <w:pPr>
              <w:spacing w:after="0" w:line="276" w:lineRule="auto"/>
              <w:ind w:left="0"/>
              <w:rPr>
                <w:rFonts w:ascii="Times New Roman" w:eastAsia="Times New Roman" w:hAnsi="Times New Roman"/>
                <w:lang w:val="ro-MD"/>
              </w:rPr>
            </w:pPr>
            <w:r w:rsidRPr="0018446E">
              <w:rPr>
                <w:rFonts w:ascii="Times New Roman" w:eastAsia="Times New Roman" w:hAnsi="Times New Roman"/>
                <w:lang w:val="ro-MD"/>
              </w:rPr>
              <w:t xml:space="preserve">3. Reducerea emisiilor de CO2 pe unitatea de valoare adăugată în industria prelucrătoare din Republica Moldova, cu </w:t>
            </w:r>
            <w:r w:rsidRPr="0018446E">
              <w:rPr>
                <w:rFonts w:ascii="Times New Roman" w:eastAsia="Times New Roman" w:hAnsi="Times New Roman"/>
                <w:lang w:val="ro-MD" w:eastAsia="en-GB"/>
              </w:rPr>
              <w:t>cel puțin 25%, către anul 2026</w:t>
            </w:r>
            <w:r w:rsidRPr="0018446E">
              <w:rPr>
                <w:rFonts w:ascii="Times New Roman" w:eastAsia="Times New Roman" w:hAnsi="Times New Roman"/>
                <w:lang w:val="ro-MD"/>
              </w:rPr>
              <w:t>.</w:t>
            </w:r>
          </w:p>
          <w:p w14:paraId="0E2BDFC6" w14:textId="77777777" w:rsidR="0018446E" w:rsidRPr="0018446E" w:rsidRDefault="0018446E" w:rsidP="0018446E">
            <w:pPr>
              <w:spacing w:after="0" w:line="240" w:lineRule="auto"/>
              <w:ind w:left="0"/>
              <w:rPr>
                <w:rFonts w:ascii="Times New Roman" w:eastAsia="Times New Roman" w:hAnsi="Times New Roman"/>
                <w:b/>
                <w:bCs/>
                <w:lang w:val="ro-MD" w:eastAsia="en-GB"/>
              </w:rPr>
            </w:pPr>
          </w:p>
        </w:tc>
      </w:tr>
      <w:tr w:rsidR="0018446E" w:rsidRPr="0018446E" w14:paraId="74EB733A" w14:textId="77777777" w:rsidTr="00B0372F">
        <w:trPr>
          <w:trHeight w:val="486"/>
        </w:trPr>
        <w:tc>
          <w:tcPr>
            <w:tcW w:w="15588" w:type="dxa"/>
            <w:gridSpan w:val="10"/>
          </w:tcPr>
          <w:p w14:paraId="2BB25ECC" w14:textId="77777777" w:rsidR="0018446E" w:rsidRPr="0018446E" w:rsidRDefault="0018446E" w:rsidP="0018446E">
            <w:pPr>
              <w:spacing w:after="0" w:line="240" w:lineRule="auto"/>
              <w:ind w:left="0"/>
              <w:jc w:val="both"/>
              <w:rPr>
                <w:rFonts w:ascii="Times New Roman" w:eastAsia="Times New Roman" w:hAnsi="Times New Roman"/>
                <w:lang w:val="ro-MD" w:eastAsia="en-GB"/>
              </w:rPr>
            </w:pPr>
            <w:r w:rsidRPr="0018446E">
              <w:rPr>
                <w:rFonts w:ascii="Times New Roman" w:eastAsia="Times New Roman" w:hAnsi="Times New Roman"/>
                <w:i/>
                <w:iCs/>
                <w:lang w:val="ro-MD" w:eastAsia="en-GB"/>
              </w:rPr>
              <w:t xml:space="preserve">3.2.1 Alinierea la </w:t>
            </w:r>
            <w:r w:rsidRPr="0018446E">
              <w:rPr>
                <w:rFonts w:ascii="Times New Roman" w:eastAsia="Times New Roman" w:hAnsi="Times New Roman"/>
                <w:i/>
                <w:iCs/>
                <w:lang w:val="ro-MD"/>
              </w:rPr>
              <w:t>Planul industrial al Pactului verde UE și promovarea</w:t>
            </w:r>
            <w:r w:rsidRPr="0018446E">
              <w:rPr>
                <w:rFonts w:ascii="Times New Roman" w:eastAsia="Times New Roman" w:hAnsi="Times New Roman"/>
                <w:lang w:val="en-US"/>
              </w:rPr>
              <w:t xml:space="preserve"> </w:t>
            </w:r>
            <w:r w:rsidRPr="0018446E">
              <w:rPr>
                <w:rFonts w:ascii="Times New Roman" w:eastAsia="Times New Roman" w:hAnsi="Times New Roman"/>
                <w:i/>
                <w:iCs/>
                <w:lang w:val="ro-MD"/>
              </w:rPr>
              <w:t xml:space="preserve">tranziției la economia verde </w:t>
            </w:r>
            <w:r w:rsidRPr="0018446E">
              <w:rPr>
                <w:rFonts w:ascii="Times New Roman" w:eastAsia="Times New Roman" w:hAnsi="Times New Roman"/>
                <w:lang w:val="ro-MD" w:eastAsia="en-GB"/>
              </w:rPr>
              <w:t xml:space="preserve"> </w:t>
            </w:r>
          </w:p>
        </w:tc>
      </w:tr>
      <w:tr w:rsidR="0018446E" w:rsidRPr="0018446E" w14:paraId="367577F8" w14:textId="77777777" w:rsidTr="00B0372F">
        <w:trPr>
          <w:trHeight w:val="1000"/>
        </w:trPr>
        <w:tc>
          <w:tcPr>
            <w:tcW w:w="876" w:type="dxa"/>
          </w:tcPr>
          <w:p w14:paraId="07B05DFA"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3.2.1.1</w:t>
            </w:r>
          </w:p>
        </w:tc>
        <w:tc>
          <w:tcPr>
            <w:tcW w:w="3230" w:type="dxa"/>
          </w:tcPr>
          <w:p w14:paraId="1411F47F"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Asigurarea alinierii cadrului normativ și documentelor de politici la Planul industrial al UE  </w:t>
            </w:r>
          </w:p>
        </w:tc>
        <w:tc>
          <w:tcPr>
            <w:tcW w:w="2268" w:type="dxa"/>
          </w:tcPr>
          <w:p w14:paraId="0FDD7A37"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Modificări realizate</w:t>
            </w:r>
          </w:p>
          <w:p w14:paraId="3EA64DCC"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276" w:type="dxa"/>
          </w:tcPr>
          <w:p w14:paraId="0D035F5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2024-2026</w:t>
            </w:r>
          </w:p>
        </w:tc>
        <w:tc>
          <w:tcPr>
            <w:tcW w:w="1134" w:type="dxa"/>
            <w:noWrap/>
          </w:tcPr>
          <w:p w14:paraId="556CF9A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În limita bugetului aprobat</w:t>
            </w:r>
          </w:p>
        </w:tc>
        <w:tc>
          <w:tcPr>
            <w:tcW w:w="1134" w:type="dxa"/>
          </w:tcPr>
          <w:p w14:paraId="50B230D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În limita bugetului aprobat</w:t>
            </w:r>
          </w:p>
        </w:tc>
        <w:tc>
          <w:tcPr>
            <w:tcW w:w="1134" w:type="dxa"/>
          </w:tcPr>
          <w:p w14:paraId="5F098D2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În limita bugetului aprobat</w:t>
            </w:r>
          </w:p>
        </w:tc>
        <w:tc>
          <w:tcPr>
            <w:tcW w:w="1366" w:type="dxa"/>
          </w:tcPr>
          <w:p w14:paraId="0C78656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 alte surse</w:t>
            </w:r>
          </w:p>
        </w:tc>
        <w:tc>
          <w:tcPr>
            <w:tcW w:w="1520" w:type="dxa"/>
          </w:tcPr>
          <w:p w14:paraId="01D743FE"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Mediului,</w:t>
            </w:r>
          </w:p>
          <w:p w14:paraId="3A580864"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 xml:space="preserve">Ministerul Dezvoltării </w:t>
            </w:r>
            <w:r w:rsidRPr="0018446E">
              <w:rPr>
                <w:rFonts w:ascii="Times New Roman" w:eastAsia="Times New Roman" w:hAnsi="Times New Roman"/>
                <w:lang w:val="ro-MD" w:eastAsia="en-GB"/>
              </w:rPr>
              <w:lastRenderedPageBreak/>
              <w:t>Economice și Digitalizării,</w:t>
            </w:r>
          </w:p>
          <w:p w14:paraId="5E46C91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Finanțelor</w:t>
            </w:r>
          </w:p>
        </w:tc>
        <w:tc>
          <w:tcPr>
            <w:tcW w:w="1650" w:type="dxa"/>
          </w:tcPr>
          <w:p w14:paraId="5C9E0D6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190529CB" w14:textId="77777777" w:rsidTr="00B0372F">
        <w:trPr>
          <w:trHeight w:val="1000"/>
        </w:trPr>
        <w:tc>
          <w:tcPr>
            <w:tcW w:w="876" w:type="dxa"/>
          </w:tcPr>
          <w:p w14:paraId="5388447A"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3.2.1.2</w:t>
            </w:r>
          </w:p>
        </w:tc>
        <w:tc>
          <w:tcPr>
            <w:tcW w:w="3230" w:type="dxa"/>
          </w:tcPr>
          <w:p w14:paraId="2DB7DEED"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Elaborarea studiului de evaluarea a poluării (ape, aer, mediu) în industria prelucrătoare și recomandărilor de remediere</w:t>
            </w:r>
          </w:p>
        </w:tc>
        <w:tc>
          <w:tcPr>
            <w:tcW w:w="2268" w:type="dxa"/>
          </w:tcPr>
          <w:p w14:paraId="01F00570"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Studiu de evaluare elaborat</w:t>
            </w:r>
          </w:p>
        </w:tc>
        <w:tc>
          <w:tcPr>
            <w:tcW w:w="1276" w:type="dxa"/>
          </w:tcPr>
          <w:p w14:paraId="700D5D45"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III, 2024</w:t>
            </w:r>
          </w:p>
        </w:tc>
        <w:tc>
          <w:tcPr>
            <w:tcW w:w="1134" w:type="dxa"/>
            <w:noWrap/>
          </w:tcPr>
          <w:p w14:paraId="4BC01A2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3 000,0</w:t>
            </w:r>
          </w:p>
        </w:tc>
        <w:tc>
          <w:tcPr>
            <w:tcW w:w="1134" w:type="dxa"/>
          </w:tcPr>
          <w:p w14:paraId="23B72A5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44E0615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6F0210C1" w14:textId="77777777" w:rsidR="0018446E" w:rsidRPr="0018446E" w:rsidRDefault="0018446E" w:rsidP="0018446E">
            <w:pPr>
              <w:spacing w:after="0" w:line="240" w:lineRule="auto"/>
              <w:ind w:left="0"/>
              <w:jc w:val="center"/>
              <w:rPr>
                <w:rFonts w:ascii="Times New Roman" w:eastAsia="Times New Roman" w:hAnsi="Times New Roman"/>
                <w:lang w:val="en-US" w:eastAsia="en-GB"/>
              </w:rPr>
            </w:pPr>
            <w:r w:rsidRPr="0018446E">
              <w:rPr>
                <w:rFonts w:ascii="Times New Roman" w:eastAsia="Times New Roman" w:hAnsi="Times New Roman"/>
                <w:lang w:val="en-US" w:eastAsia="en-GB"/>
              </w:rPr>
              <w:t>Finance in Motion</w:t>
            </w:r>
          </w:p>
        </w:tc>
        <w:tc>
          <w:tcPr>
            <w:tcW w:w="1520" w:type="dxa"/>
          </w:tcPr>
          <w:p w14:paraId="3D499C0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p w14:paraId="4BF358D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Mediului</w:t>
            </w:r>
          </w:p>
        </w:tc>
        <w:tc>
          <w:tcPr>
            <w:tcW w:w="1650" w:type="dxa"/>
          </w:tcPr>
          <w:p w14:paraId="51A3EE98"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532B9BA5" w14:textId="77777777" w:rsidTr="00B0372F">
        <w:trPr>
          <w:trHeight w:val="1000"/>
        </w:trPr>
        <w:tc>
          <w:tcPr>
            <w:tcW w:w="876" w:type="dxa"/>
          </w:tcPr>
          <w:p w14:paraId="76210BC9"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3.2.1.3</w:t>
            </w:r>
          </w:p>
        </w:tc>
        <w:tc>
          <w:tcPr>
            <w:tcW w:w="3230" w:type="dxa"/>
          </w:tcPr>
          <w:p w14:paraId="6CCE2351"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Elaborarea și implementarea planurilor de </w:t>
            </w:r>
            <w:proofErr w:type="spellStart"/>
            <w:r w:rsidRPr="0018446E">
              <w:rPr>
                <w:rFonts w:ascii="Times New Roman" w:eastAsia="Times New Roman" w:hAnsi="Times New Roman"/>
                <w:lang w:val="ro-MD" w:eastAsia="en-GB"/>
              </w:rPr>
              <w:t>acțiun</w:t>
            </w:r>
            <w:proofErr w:type="spellEnd"/>
            <w:r w:rsidRPr="0018446E">
              <w:rPr>
                <w:rFonts w:ascii="Times New Roman" w:eastAsia="Times New Roman" w:hAnsi="Times New Roman"/>
                <w:lang w:val="ro-MD" w:eastAsia="en-GB"/>
              </w:rPr>
              <w:t xml:space="preserve">/ foilor de parcurs privind tranziția verde pentru 6 companii din sectoarele industriale prioritare </w:t>
            </w:r>
          </w:p>
        </w:tc>
        <w:tc>
          <w:tcPr>
            <w:tcW w:w="2268" w:type="dxa"/>
          </w:tcPr>
          <w:p w14:paraId="3B2DB9A9"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Planuri de acțiuni elaborate și aprobate</w:t>
            </w:r>
          </w:p>
          <w:p w14:paraId="64385D23" w14:textId="77777777" w:rsidR="0018446E" w:rsidRPr="0018446E" w:rsidRDefault="0018446E" w:rsidP="0018446E">
            <w:pPr>
              <w:spacing w:after="0" w:line="240" w:lineRule="auto"/>
              <w:ind w:left="0"/>
              <w:rPr>
                <w:rFonts w:ascii="Times New Roman" w:eastAsia="Times New Roman" w:hAnsi="Times New Roman"/>
                <w:lang w:val="ro-MD" w:eastAsia="en-GB"/>
              </w:rPr>
            </w:pPr>
          </w:p>
        </w:tc>
        <w:tc>
          <w:tcPr>
            <w:tcW w:w="1276" w:type="dxa"/>
          </w:tcPr>
          <w:p w14:paraId="6159F24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III-IV,</w:t>
            </w:r>
          </w:p>
          <w:p w14:paraId="52AFD96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w:t>
            </w:r>
          </w:p>
        </w:tc>
        <w:tc>
          <w:tcPr>
            <w:tcW w:w="1134" w:type="dxa"/>
            <w:noWrap/>
          </w:tcPr>
          <w:p w14:paraId="3F34B8F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2 500,0</w:t>
            </w:r>
          </w:p>
        </w:tc>
        <w:tc>
          <w:tcPr>
            <w:tcW w:w="1134" w:type="dxa"/>
          </w:tcPr>
          <w:p w14:paraId="64A9709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535130E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6CCE559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en-US" w:eastAsia="en-GB"/>
              </w:rPr>
              <w:t>Finance in Motion</w:t>
            </w:r>
          </w:p>
        </w:tc>
        <w:tc>
          <w:tcPr>
            <w:tcW w:w="1520" w:type="dxa"/>
          </w:tcPr>
          <w:p w14:paraId="42B6D18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7A9221E7"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18E99745" w14:textId="77777777" w:rsidTr="00B0372F">
        <w:trPr>
          <w:trHeight w:val="1000"/>
        </w:trPr>
        <w:tc>
          <w:tcPr>
            <w:tcW w:w="876" w:type="dxa"/>
          </w:tcPr>
          <w:p w14:paraId="4AFEE52E"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3.2.1.4</w:t>
            </w:r>
          </w:p>
        </w:tc>
        <w:tc>
          <w:tcPr>
            <w:tcW w:w="3230" w:type="dxa"/>
          </w:tcPr>
          <w:p w14:paraId="2FAAE031" w14:textId="77777777" w:rsidR="0018446E" w:rsidRPr="0018446E" w:rsidRDefault="0018446E" w:rsidP="0018446E">
            <w:pPr>
              <w:spacing w:after="0" w:line="240" w:lineRule="auto"/>
              <w:ind w:left="0"/>
              <w:rPr>
                <w:rFonts w:ascii="Times New Roman" w:eastAsia="Times New Roman" w:hAnsi="Times New Roman"/>
                <w:lang w:val="ro-MD" w:eastAsia="en-GB"/>
              </w:rPr>
            </w:pPr>
            <w:proofErr w:type="spellStart"/>
            <w:r w:rsidRPr="0018446E">
              <w:rPr>
                <w:rFonts w:ascii="Times New Roman" w:eastAsia="Times New Roman" w:hAnsi="Times New Roman"/>
                <w:lang w:val="ro-MD" w:eastAsia="en-GB"/>
              </w:rPr>
              <w:t>Desfășuarea</w:t>
            </w:r>
            <w:proofErr w:type="spellEnd"/>
            <w:r w:rsidRPr="0018446E">
              <w:rPr>
                <w:rFonts w:ascii="Times New Roman" w:eastAsia="Times New Roman" w:hAnsi="Times New Roman"/>
                <w:lang w:val="ro-MD" w:eastAsia="en-GB"/>
              </w:rPr>
              <w:t xml:space="preserve"> campaniei de promovare a economiei verzi în industria prelucrătoare</w:t>
            </w:r>
          </w:p>
        </w:tc>
        <w:tc>
          <w:tcPr>
            <w:tcW w:w="2268" w:type="dxa"/>
          </w:tcPr>
          <w:p w14:paraId="49678068"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Campanie de promovare realizată</w:t>
            </w:r>
          </w:p>
        </w:tc>
        <w:tc>
          <w:tcPr>
            <w:tcW w:w="1276" w:type="dxa"/>
          </w:tcPr>
          <w:p w14:paraId="22B5EFF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I-II, 2025</w:t>
            </w:r>
          </w:p>
        </w:tc>
        <w:tc>
          <w:tcPr>
            <w:tcW w:w="1134" w:type="dxa"/>
            <w:noWrap/>
          </w:tcPr>
          <w:p w14:paraId="38C4D7C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2 500,0</w:t>
            </w:r>
          </w:p>
        </w:tc>
        <w:tc>
          <w:tcPr>
            <w:tcW w:w="1134" w:type="dxa"/>
          </w:tcPr>
          <w:p w14:paraId="7297252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2B79B2B9"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76CA1D6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en-US" w:eastAsia="en-GB"/>
              </w:rPr>
              <w:t>Finance in Motion</w:t>
            </w:r>
          </w:p>
        </w:tc>
        <w:tc>
          <w:tcPr>
            <w:tcW w:w="1520" w:type="dxa"/>
          </w:tcPr>
          <w:p w14:paraId="42D7BD9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6991C96F"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0D00FE99" w14:textId="77777777" w:rsidTr="00B0372F">
        <w:trPr>
          <w:trHeight w:val="417"/>
        </w:trPr>
        <w:tc>
          <w:tcPr>
            <w:tcW w:w="15588" w:type="dxa"/>
            <w:gridSpan w:val="10"/>
          </w:tcPr>
          <w:p w14:paraId="545CF3C7" w14:textId="77777777" w:rsidR="0018446E" w:rsidRPr="0018446E" w:rsidRDefault="0018446E" w:rsidP="0018446E">
            <w:pPr>
              <w:spacing w:after="0" w:line="240" w:lineRule="auto"/>
              <w:ind w:left="0"/>
              <w:rPr>
                <w:rFonts w:ascii="Times New Roman" w:eastAsia="Times New Roman" w:hAnsi="Times New Roman"/>
                <w:i/>
                <w:lang w:val="ro-MD" w:eastAsia="en-GB"/>
              </w:rPr>
            </w:pPr>
            <w:r w:rsidRPr="0018446E">
              <w:rPr>
                <w:rFonts w:ascii="Times New Roman" w:eastAsia="Times New Roman" w:hAnsi="Times New Roman"/>
                <w:i/>
                <w:lang w:val="ro-MD" w:eastAsia="en-GB"/>
              </w:rPr>
              <w:t>3.2.2 Sprijinul tranziției la economia verde a industriei prelucrătoare</w:t>
            </w:r>
          </w:p>
        </w:tc>
      </w:tr>
      <w:tr w:rsidR="0018446E" w:rsidRPr="0018446E" w14:paraId="2E410267" w14:textId="77777777" w:rsidTr="00B0372F">
        <w:trPr>
          <w:trHeight w:val="1740"/>
        </w:trPr>
        <w:tc>
          <w:tcPr>
            <w:tcW w:w="876" w:type="dxa"/>
          </w:tcPr>
          <w:p w14:paraId="7A33FD3C"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3.2.2.1</w:t>
            </w:r>
          </w:p>
        </w:tc>
        <w:tc>
          <w:tcPr>
            <w:tcW w:w="3230" w:type="dxa"/>
          </w:tcPr>
          <w:p w14:paraId="3786D5D7"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iCs/>
                <w:lang w:val="ro-MD" w:eastAsia="en-GB"/>
              </w:rPr>
              <w:t xml:space="preserve">Modificarea Programului de Ecologizare a IMM-urilor, în scopul includerii </w:t>
            </w:r>
            <w:proofErr w:type="spellStart"/>
            <w:r w:rsidRPr="0018446E">
              <w:rPr>
                <w:rFonts w:ascii="Times New Roman" w:eastAsia="Times New Roman" w:hAnsi="Times New Roman"/>
                <w:iCs/>
                <w:lang w:val="ro-MD" w:eastAsia="en-GB"/>
              </w:rPr>
              <w:t>startup</w:t>
            </w:r>
            <w:proofErr w:type="spellEnd"/>
            <w:r w:rsidRPr="0018446E">
              <w:rPr>
                <w:rFonts w:ascii="Times New Roman" w:eastAsia="Times New Roman" w:hAnsi="Times New Roman"/>
                <w:iCs/>
                <w:lang w:val="ro-MD" w:eastAsia="en-GB"/>
              </w:rPr>
              <w:t xml:space="preserve">-urilor și clusterelor ca eligibile pentru suport </w:t>
            </w:r>
          </w:p>
        </w:tc>
        <w:tc>
          <w:tcPr>
            <w:tcW w:w="2268" w:type="dxa"/>
          </w:tcPr>
          <w:p w14:paraId="4AC67A70"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 Hotărâre de Guvern aprobată </w:t>
            </w:r>
          </w:p>
        </w:tc>
        <w:tc>
          <w:tcPr>
            <w:tcW w:w="1276" w:type="dxa"/>
          </w:tcPr>
          <w:p w14:paraId="3B53F2A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III, 2024</w:t>
            </w:r>
          </w:p>
        </w:tc>
        <w:tc>
          <w:tcPr>
            <w:tcW w:w="1134" w:type="dxa"/>
            <w:noWrap/>
          </w:tcPr>
          <w:p w14:paraId="1E90D3F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bCs/>
                <w:color w:val="C00000"/>
                <w:sz w:val="20"/>
                <w:szCs w:val="20"/>
              </w:rPr>
              <w:t>15,4</w:t>
            </w:r>
          </w:p>
        </w:tc>
        <w:tc>
          <w:tcPr>
            <w:tcW w:w="1134" w:type="dxa"/>
          </w:tcPr>
          <w:p w14:paraId="351FDE9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22ABA52B"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2DEC39B0"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w:t>
            </w:r>
          </w:p>
        </w:tc>
        <w:tc>
          <w:tcPr>
            <w:tcW w:w="1520" w:type="dxa"/>
          </w:tcPr>
          <w:p w14:paraId="5A6DF15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46CFD59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p>
        </w:tc>
      </w:tr>
      <w:tr w:rsidR="0018446E" w:rsidRPr="0018446E" w14:paraId="06AE9860" w14:textId="77777777" w:rsidTr="00B0372F">
        <w:trPr>
          <w:trHeight w:val="1740"/>
        </w:trPr>
        <w:tc>
          <w:tcPr>
            <w:tcW w:w="876" w:type="dxa"/>
          </w:tcPr>
          <w:p w14:paraId="0F060462"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lastRenderedPageBreak/>
              <w:t>3.2.2.2</w:t>
            </w:r>
          </w:p>
        </w:tc>
        <w:tc>
          <w:tcPr>
            <w:tcW w:w="3230" w:type="dxa"/>
          </w:tcPr>
          <w:p w14:paraId="74E2EAB5" w14:textId="77777777" w:rsidR="0018446E" w:rsidRPr="0018446E" w:rsidRDefault="0018446E" w:rsidP="0018446E">
            <w:pPr>
              <w:spacing w:after="0" w:line="240" w:lineRule="auto"/>
              <w:ind w:left="0"/>
              <w:rPr>
                <w:rFonts w:ascii="Times New Roman" w:eastAsia="Times New Roman" w:hAnsi="Times New Roman"/>
              </w:rPr>
            </w:pPr>
            <w:r w:rsidRPr="0018446E">
              <w:rPr>
                <w:rFonts w:ascii="Times New Roman" w:eastAsia="Times New Roman" w:hAnsi="Times New Roman"/>
              </w:rPr>
              <w:t xml:space="preserve">Modificarea Programului de retehnologizare și eficiență energetică a IMM-urilor, în scopul </w:t>
            </w:r>
            <w:proofErr w:type="spellStart"/>
            <w:r w:rsidRPr="0018446E">
              <w:rPr>
                <w:rFonts w:ascii="Times New Roman" w:eastAsia="Times New Roman" w:hAnsi="Times New Roman"/>
              </w:rPr>
              <w:t>inluderii</w:t>
            </w:r>
            <w:proofErr w:type="spellEnd"/>
            <w:r w:rsidRPr="0018446E">
              <w:rPr>
                <w:rFonts w:ascii="Times New Roman" w:eastAsia="Times New Roman" w:hAnsi="Times New Roman"/>
              </w:rPr>
              <w:t xml:space="preserve"> proiectelor de economie circulară </w:t>
            </w:r>
          </w:p>
          <w:p w14:paraId="40530A0E" w14:textId="77777777" w:rsidR="0018446E" w:rsidRPr="0018446E" w:rsidRDefault="0018446E" w:rsidP="0018446E">
            <w:pPr>
              <w:spacing w:after="0" w:line="240" w:lineRule="auto"/>
              <w:ind w:left="0"/>
              <w:rPr>
                <w:rFonts w:ascii="Times New Roman" w:eastAsia="Times New Roman" w:hAnsi="Times New Roman"/>
                <w:iCs/>
                <w:lang w:val="ro-MD" w:eastAsia="en-GB"/>
              </w:rPr>
            </w:pPr>
          </w:p>
        </w:tc>
        <w:tc>
          <w:tcPr>
            <w:tcW w:w="2268" w:type="dxa"/>
          </w:tcPr>
          <w:p w14:paraId="4CB58EEE"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xml:space="preserve">- Hotărâre de Guvern aprobată </w:t>
            </w:r>
          </w:p>
        </w:tc>
        <w:tc>
          <w:tcPr>
            <w:tcW w:w="1276" w:type="dxa"/>
          </w:tcPr>
          <w:p w14:paraId="6C39241D"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Tr. IV, 2024</w:t>
            </w:r>
          </w:p>
        </w:tc>
        <w:tc>
          <w:tcPr>
            <w:tcW w:w="1134" w:type="dxa"/>
            <w:noWrap/>
          </w:tcPr>
          <w:p w14:paraId="672B5CB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hAnsi="Times New Roman"/>
                <w:bCs/>
                <w:color w:val="C00000"/>
                <w:sz w:val="20"/>
                <w:szCs w:val="20"/>
              </w:rPr>
              <w:t>15,4</w:t>
            </w:r>
          </w:p>
        </w:tc>
        <w:tc>
          <w:tcPr>
            <w:tcW w:w="1134" w:type="dxa"/>
          </w:tcPr>
          <w:p w14:paraId="05903C16"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095DD18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6F3C61CA"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Surse bugetare</w:t>
            </w:r>
          </w:p>
        </w:tc>
        <w:tc>
          <w:tcPr>
            <w:tcW w:w="1520" w:type="dxa"/>
          </w:tcPr>
          <w:p w14:paraId="7A80673C"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2B055585"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r w:rsidR="0018446E" w:rsidRPr="0018446E" w14:paraId="67027CDC" w14:textId="77777777" w:rsidTr="00B0372F">
        <w:trPr>
          <w:trHeight w:val="1740"/>
        </w:trPr>
        <w:tc>
          <w:tcPr>
            <w:tcW w:w="876" w:type="dxa"/>
          </w:tcPr>
          <w:p w14:paraId="7318522B" w14:textId="77777777" w:rsidR="0018446E" w:rsidRPr="0018446E" w:rsidRDefault="0018446E" w:rsidP="0018446E">
            <w:pPr>
              <w:spacing w:after="0" w:line="240" w:lineRule="auto"/>
              <w:ind w:left="0"/>
              <w:rPr>
                <w:rFonts w:ascii="Times New Roman" w:eastAsia="Times New Roman" w:hAnsi="Times New Roman" w:cstheme="minorBidi"/>
                <w:lang w:val="ro-MD" w:eastAsia="en-GB"/>
              </w:rPr>
            </w:pPr>
            <w:r w:rsidRPr="0018446E">
              <w:rPr>
                <w:rFonts w:ascii="Times New Roman" w:eastAsia="Times New Roman" w:hAnsi="Times New Roman" w:cstheme="minorBidi"/>
                <w:lang w:val="ro-MD" w:eastAsia="en-GB"/>
              </w:rPr>
              <w:t>3.2.2.3</w:t>
            </w:r>
          </w:p>
        </w:tc>
        <w:tc>
          <w:tcPr>
            <w:tcW w:w="3230" w:type="dxa"/>
          </w:tcPr>
          <w:p w14:paraId="07153DC6" w14:textId="77777777" w:rsidR="0018446E" w:rsidRPr="0018446E" w:rsidRDefault="0018446E" w:rsidP="0018446E">
            <w:pPr>
              <w:spacing w:after="0" w:line="240" w:lineRule="auto"/>
              <w:ind w:left="0"/>
              <w:rPr>
                <w:rFonts w:ascii="Times New Roman" w:eastAsia="Times New Roman" w:hAnsi="Times New Roman"/>
              </w:rPr>
            </w:pPr>
            <w:r w:rsidRPr="0018446E">
              <w:rPr>
                <w:rFonts w:ascii="Times New Roman" w:eastAsia="Times New Roman" w:hAnsi="Times New Roman"/>
              </w:rPr>
              <w:t>Stimularea dezvoltării liniilor de creditare verde în RM</w:t>
            </w:r>
          </w:p>
        </w:tc>
        <w:tc>
          <w:tcPr>
            <w:tcW w:w="2268" w:type="dxa"/>
          </w:tcPr>
          <w:p w14:paraId="54EF9C09" w14:textId="77777777" w:rsidR="0018446E" w:rsidRPr="0018446E" w:rsidRDefault="0018446E" w:rsidP="0018446E">
            <w:pPr>
              <w:spacing w:after="0" w:line="240" w:lineRule="auto"/>
              <w:ind w:left="0"/>
              <w:rPr>
                <w:rFonts w:ascii="Times New Roman" w:eastAsia="Times New Roman" w:hAnsi="Times New Roman"/>
                <w:lang w:val="ro-MD" w:eastAsia="en-GB"/>
              </w:rPr>
            </w:pPr>
            <w:r w:rsidRPr="0018446E">
              <w:rPr>
                <w:rFonts w:ascii="Times New Roman" w:eastAsia="Times New Roman" w:hAnsi="Times New Roman"/>
                <w:lang w:val="ro-MD" w:eastAsia="en-GB"/>
              </w:rPr>
              <w:t>- Numărul liniilor de creditare create</w:t>
            </w:r>
          </w:p>
        </w:tc>
        <w:tc>
          <w:tcPr>
            <w:tcW w:w="1276" w:type="dxa"/>
          </w:tcPr>
          <w:p w14:paraId="0741ED9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2024-2026</w:t>
            </w:r>
          </w:p>
        </w:tc>
        <w:tc>
          <w:tcPr>
            <w:tcW w:w="1134" w:type="dxa"/>
            <w:noWrap/>
          </w:tcPr>
          <w:p w14:paraId="0743CDE3"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4F3E3AC1"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134" w:type="dxa"/>
          </w:tcPr>
          <w:p w14:paraId="2160EE48"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366" w:type="dxa"/>
          </w:tcPr>
          <w:p w14:paraId="1EA216C7"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w:t>
            </w:r>
          </w:p>
        </w:tc>
        <w:tc>
          <w:tcPr>
            <w:tcW w:w="1520" w:type="dxa"/>
          </w:tcPr>
          <w:p w14:paraId="4B5082DF" w14:textId="77777777" w:rsidR="0018446E" w:rsidRPr="0018446E" w:rsidRDefault="0018446E" w:rsidP="0018446E">
            <w:pPr>
              <w:spacing w:after="0" w:line="240" w:lineRule="auto"/>
              <w:ind w:left="0"/>
              <w:jc w:val="center"/>
              <w:rPr>
                <w:rFonts w:ascii="Times New Roman" w:eastAsia="Times New Roman" w:hAnsi="Times New Roman"/>
                <w:lang w:val="ro-MD" w:eastAsia="en-GB"/>
              </w:rPr>
            </w:pPr>
            <w:r w:rsidRPr="0018446E">
              <w:rPr>
                <w:rFonts w:ascii="Times New Roman" w:eastAsia="Times New Roman" w:hAnsi="Times New Roman"/>
                <w:lang w:val="ro-MD" w:eastAsia="en-GB"/>
              </w:rPr>
              <w:t>Ministerul Dezvoltării Economice și Digitalizării</w:t>
            </w:r>
          </w:p>
        </w:tc>
        <w:tc>
          <w:tcPr>
            <w:tcW w:w="1650" w:type="dxa"/>
          </w:tcPr>
          <w:p w14:paraId="6AB96FCA" w14:textId="77777777" w:rsidR="0018446E" w:rsidRPr="0018446E" w:rsidRDefault="0018446E" w:rsidP="0018446E">
            <w:pPr>
              <w:spacing w:after="0" w:line="240" w:lineRule="auto"/>
              <w:ind w:left="0"/>
              <w:jc w:val="center"/>
              <w:rPr>
                <w:rFonts w:ascii="Times New Roman" w:eastAsia="Times New Roman" w:hAnsi="Times New Roman" w:cstheme="minorBidi"/>
                <w:lang w:val="ro-MD" w:eastAsia="en-GB"/>
              </w:rPr>
            </w:pPr>
          </w:p>
        </w:tc>
      </w:tr>
    </w:tbl>
    <w:p w14:paraId="657CF403" w14:textId="77777777" w:rsidR="0018446E" w:rsidRPr="0018446E" w:rsidRDefault="0018446E" w:rsidP="0018446E">
      <w:pPr>
        <w:spacing w:after="0" w:line="240" w:lineRule="auto"/>
        <w:ind w:left="0"/>
        <w:rPr>
          <w:rFonts w:ascii="Times New Roman" w:eastAsia="Times New Roman" w:hAnsi="Times New Roman"/>
          <w:color w:val="FF0000"/>
          <w:lang w:val="ro-MD"/>
        </w:rPr>
      </w:pPr>
    </w:p>
    <w:p w14:paraId="05AA0D1B" w14:textId="77777777" w:rsidR="0018446E" w:rsidRPr="0018446E" w:rsidRDefault="0018446E" w:rsidP="0018446E">
      <w:pPr>
        <w:spacing w:after="0" w:line="240" w:lineRule="auto"/>
        <w:ind w:left="0"/>
        <w:rPr>
          <w:rFonts w:ascii="Times New Roman" w:eastAsia="Times New Roman" w:hAnsi="Times New Roman"/>
          <w:b/>
          <w:sz w:val="28"/>
          <w:szCs w:val="28"/>
          <w:lang w:val="ro-MD"/>
        </w:rPr>
        <w:sectPr w:rsidR="0018446E" w:rsidRPr="0018446E" w:rsidSect="00016735">
          <w:type w:val="continuous"/>
          <w:pgSz w:w="16838" w:h="11906" w:orient="landscape"/>
          <w:pgMar w:top="1440" w:right="1440" w:bottom="1440" w:left="1440" w:header="708" w:footer="429" w:gutter="0"/>
          <w:cols w:space="708"/>
          <w:docGrid w:linePitch="360"/>
        </w:sectPr>
      </w:pPr>
    </w:p>
    <w:p w14:paraId="67C57B81" w14:textId="77777777" w:rsidR="0018446E" w:rsidRPr="0018446E" w:rsidRDefault="0018446E" w:rsidP="0018446E">
      <w:pPr>
        <w:spacing w:after="0" w:line="240" w:lineRule="auto"/>
        <w:ind w:left="0"/>
        <w:jc w:val="right"/>
        <w:rPr>
          <w:rFonts w:ascii="Times New Roman" w:eastAsia="Times New Roman" w:hAnsi="Times New Roman"/>
          <w:i/>
          <w:sz w:val="28"/>
          <w:szCs w:val="28"/>
          <w:lang w:val="ro-MD"/>
        </w:rPr>
      </w:pPr>
      <w:r w:rsidRPr="0018446E">
        <w:rPr>
          <w:rFonts w:ascii="Times New Roman" w:eastAsia="Times New Roman" w:hAnsi="Times New Roman"/>
          <w:i/>
          <w:sz w:val="28"/>
          <w:szCs w:val="28"/>
          <w:lang w:val="ro-MD"/>
        </w:rPr>
        <w:lastRenderedPageBreak/>
        <w:t>Anexă la Programul național pentru dezvoltarea industrială pentru anii 2024-2028</w:t>
      </w:r>
    </w:p>
    <w:p w14:paraId="1E1FF4A2" w14:textId="77777777" w:rsidR="0018446E" w:rsidRPr="0018446E" w:rsidRDefault="0018446E" w:rsidP="0018446E">
      <w:pPr>
        <w:spacing w:after="0" w:line="240" w:lineRule="auto"/>
        <w:ind w:left="0"/>
        <w:jc w:val="center"/>
        <w:rPr>
          <w:rFonts w:ascii="Times New Roman" w:eastAsia="Times New Roman" w:hAnsi="Times New Roman"/>
          <w:b/>
          <w:bCs/>
          <w:sz w:val="28"/>
          <w:szCs w:val="28"/>
          <w:lang w:val="ro-MD"/>
        </w:rPr>
      </w:pPr>
    </w:p>
    <w:p w14:paraId="4AF8AC7D" w14:textId="77777777" w:rsidR="0018446E" w:rsidRPr="0018446E" w:rsidRDefault="0018446E" w:rsidP="0018446E">
      <w:pPr>
        <w:spacing w:after="0" w:line="240" w:lineRule="auto"/>
        <w:ind w:left="0"/>
        <w:jc w:val="center"/>
        <w:rPr>
          <w:rFonts w:ascii="Times New Roman" w:eastAsia="Times New Roman" w:hAnsi="Times New Roman"/>
          <w:b/>
          <w:bCs/>
          <w:sz w:val="28"/>
          <w:szCs w:val="28"/>
          <w:lang w:val="ro-MD"/>
        </w:rPr>
      </w:pPr>
      <w:r w:rsidRPr="0018446E">
        <w:rPr>
          <w:rFonts w:ascii="Times New Roman" w:eastAsia="Times New Roman" w:hAnsi="Times New Roman"/>
          <w:b/>
          <w:bCs/>
          <w:sz w:val="28"/>
          <w:szCs w:val="28"/>
          <w:lang w:val="ro-MD"/>
        </w:rPr>
        <w:t>Lista sectoarelor de activitate pentru care se acordă ajutoare de stat</w:t>
      </w:r>
    </w:p>
    <w:p w14:paraId="40FE15B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
    <w:tbl>
      <w:tblPr>
        <w:tblStyle w:val="afb"/>
        <w:tblW w:w="0" w:type="auto"/>
        <w:tblLook w:val="04A0" w:firstRow="1" w:lastRow="0" w:firstColumn="1" w:lastColumn="0" w:noHBand="0" w:noVBand="1"/>
      </w:tblPr>
      <w:tblGrid>
        <w:gridCol w:w="1034"/>
        <w:gridCol w:w="1254"/>
        <w:gridCol w:w="7056"/>
      </w:tblGrid>
      <w:tr w:rsidR="0018446E" w:rsidRPr="0018446E" w14:paraId="3E667DF5" w14:textId="77777777" w:rsidTr="00B0372F">
        <w:tc>
          <w:tcPr>
            <w:tcW w:w="1034" w:type="dxa"/>
          </w:tcPr>
          <w:p w14:paraId="6E950E29"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Nr.</w:t>
            </w:r>
          </w:p>
        </w:tc>
        <w:tc>
          <w:tcPr>
            <w:tcW w:w="1254" w:type="dxa"/>
          </w:tcPr>
          <w:p w14:paraId="674D2990"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CAEM</w:t>
            </w:r>
          </w:p>
        </w:tc>
        <w:tc>
          <w:tcPr>
            <w:tcW w:w="7057" w:type="dxa"/>
          </w:tcPr>
          <w:p w14:paraId="16405E18"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Denumire</w:t>
            </w:r>
          </w:p>
        </w:tc>
      </w:tr>
      <w:tr w:rsidR="0018446E" w:rsidRPr="0018446E" w14:paraId="451010F7" w14:textId="77777777" w:rsidTr="00B0372F">
        <w:tc>
          <w:tcPr>
            <w:tcW w:w="9345" w:type="dxa"/>
            <w:gridSpan w:val="3"/>
          </w:tcPr>
          <w:p w14:paraId="7CFB0587"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Industria alimentară</w:t>
            </w:r>
          </w:p>
        </w:tc>
      </w:tr>
      <w:tr w:rsidR="0018446E" w:rsidRPr="0018446E" w14:paraId="2EE947C9" w14:textId="77777777" w:rsidTr="00B0372F">
        <w:tc>
          <w:tcPr>
            <w:tcW w:w="1034" w:type="dxa"/>
          </w:tcPr>
          <w:p w14:paraId="1467B690"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69D37C3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1010</w:t>
            </w:r>
          </w:p>
        </w:tc>
        <w:tc>
          <w:tcPr>
            <w:tcW w:w="7057" w:type="dxa"/>
          </w:tcPr>
          <w:p w14:paraId="7150416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Producția, prelucrarea si conservarea cărnii si a produselor din carne</w:t>
            </w:r>
          </w:p>
        </w:tc>
      </w:tr>
      <w:tr w:rsidR="0018446E" w:rsidRPr="0018446E" w14:paraId="5F5A8727" w14:textId="77777777" w:rsidTr="00B0372F">
        <w:tc>
          <w:tcPr>
            <w:tcW w:w="1034" w:type="dxa"/>
          </w:tcPr>
          <w:p w14:paraId="4673B52C"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5FFA39F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1020</w:t>
            </w:r>
          </w:p>
        </w:tc>
        <w:tc>
          <w:tcPr>
            <w:tcW w:w="7057" w:type="dxa"/>
          </w:tcPr>
          <w:p w14:paraId="1D8DAE0A"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Prelucrarea si conservarea peștelui, crustaceelor si moluștelor</w:t>
            </w:r>
          </w:p>
        </w:tc>
      </w:tr>
      <w:tr w:rsidR="0018446E" w:rsidRPr="0018446E" w14:paraId="0CDFBD87" w14:textId="77777777" w:rsidTr="00B0372F">
        <w:tc>
          <w:tcPr>
            <w:tcW w:w="1034" w:type="dxa"/>
          </w:tcPr>
          <w:p w14:paraId="2EFFD4FC"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279A9E0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1030</w:t>
            </w:r>
          </w:p>
        </w:tc>
        <w:tc>
          <w:tcPr>
            <w:tcW w:w="7057" w:type="dxa"/>
          </w:tcPr>
          <w:p w14:paraId="71ACCA7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Prelucrarea si conservarea fructelor si legumelor</w:t>
            </w:r>
          </w:p>
        </w:tc>
      </w:tr>
      <w:tr w:rsidR="0018446E" w:rsidRPr="0018446E" w14:paraId="46DC33B4" w14:textId="77777777" w:rsidTr="00B0372F">
        <w:tc>
          <w:tcPr>
            <w:tcW w:w="1034" w:type="dxa"/>
          </w:tcPr>
          <w:p w14:paraId="7E76A168"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281B09E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C1050</w:t>
            </w:r>
          </w:p>
        </w:tc>
        <w:tc>
          <w:tcPr>
            <w:tcW w:w="7057" w:type="dxa"/>
          </w:tcPr>
          <w:p w14:paraId="30584F0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produselor lactate</w:t>
            </w:r>
          </w:p>
        </w:tc>
      </w:tr>
      <w:tr w:rsidR="0018446E" w:rsidRPr="0018446E" w14:paraId="26CE55FB" w14:textId="77777777" w:rsidTr="00B0372F">
        <w:tc>
          <w:tcPr>
            <w:tcW w:w="1034" w:type="dxa"/>
          </w:tcPr>
          <w:p w14:paraId="08B865C6"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2525073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1060</w:t>
            </w:r>
          </w:p>
        </w:tc>
        <w:tc>
          <w:tcPr>
            <w:tcW w:w="7057" w:type="dxa"/>
          </w:tcPr>
          <w:p w14:paraId="1891A75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produselor de morărit, a amidonului si produselor din amidon</w:t>
            </w:r>
          </w:p>
        </w:tc>
      </w:tr>
      <w:tr w:rsidR="0018446E" w:rsidRPr="0018446E" w14:paraId="2CD5CF68" w14:textId="77777777" w:rsidTr="00B0372F">
        <w:tc>
          <w:tcPr>
            <w:tcW w:w="1034" w:type="dxa"/>
          </w:tcPr>
          <w:p w14:paraId="54C544B1"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2EE9113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1070</w:t>
            </w:r>
          </w:p>
        </w:tc>
        <w:tc>
          <w:tcPr>
            <w:tcW w:w="7057" w:type="dxa"/>
          </w:tcPr>
          <w:p w14:paraId="3E465FC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produselor de </w:t>
            </w:r>
            <w:proofErr w:type="spellStart"/>
            <w:r w:rsidRPr="0018446E">
              <w:rPr>
                <w:rFonts w:ascii="Times New Roman" w:eastAsia="Times New Roman" w:hAnsi="Times New Roman"/>
                <w:color w:val="000000" w:themeColor="text1"/>
                <w:lang w:val="ro-MD"/>
              </w:rPr>
              <w:t>brutarie</w:t>
            </w:r>
            <w:proofErr w:type="spellEnd"/>
            <w:r w:rsidRPr="0018446E">
              <w:rPr>
                <w:rFonts w:ascii="Times New Roman" w:eastAsia="Times New Roman" w:hAnsi="Times New Roman"/>
                <w:color w:val="000000" w:themeColor="text1"/>
                <w:lang w:val="ro-MD"/>
              </w:rPr>
              <w:t xml:space="preserve"> si a produselor </w:t>
            </w:r>
            <w:proofErr w:type="spellStart"/>
            <w:r w:rsidRPr="0018446E">
              <w:rPr>
                <w:rFonts w:ascii="Times New Roman" w:eastAsia="Times New Roman" w:hAnsi="Times New Roman"/>
                <w:color w:val="000000" w:themeColor="text1"/>
                <w:lang w:val="ro-MD"/>
              </w:rPr>
              <w:t>fainoase</w:t>
            </w:r>
            <w:proofErr w:type="spellEnd"/>
          </w:p>
        </w:tc>
      </w:tr>
      <w:tr w:rsidR="0018446E" w:rsidRPr="0018446E" w14:paraId="077DF9BE" w14:textId="77777777" w:rsidTr="00B0372F">
        <w:tc>
          <w:tcPr>
            <w:tcW w:w="1034" w:type="dxa"/>
          </w:tcPr>
          <w:p w14:paraId="21828866"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27B76CB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1080</w:t>
            </w:r>
          </w:p>
        </w:tc>
        <w:tc>
          <w:tcPr>
            <w:tcW w:w="7057" w:type="dxa"/>
          </w:tcPr>
          <w:p w14:paraId="42D1D8F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altor produse alimentare</w:t>
            </w:r>
          </w:p>
        </w:tc>
      </w:tr>
      <w:tr w:rsidR="0018446E" w:rsidRPr="0018446E" w14:paraId="10E82A5E" w14:textId="77777777" w:rsidTr="00B0372F">
        <w:tc>
          <w:tcPr>
            <w:tcW w:w="1034" w:type="dxa"/>
          </w:tcPr>
          <w:p w14:paraId="06E2985D" w14:textId="77777777" w:rsidR="0018446E" w:rsidRPr="0018446E" w:rsidRDefault="0018446E" w:rsidP="0018446E">
            <w:pPr>
              <w:numPr>
                <w:ilvl w:val="0"/>
                <w:numId w:val="45"/>
              </w:numPr>
              <w:spacing w:after="0" w:line="240" w:lineRule="auto"/>
              <w:contextualSpacing/>
              <w:rPr>
                <w:rFonts w:ascii="Times New Roman" w:eastAsia="Times New Roman" w:hAnsi="Times New Roman"/>
                <w:lang w:val="ro-MD"/>
              </w:rPr>
            </w:pPr>
          </w:p>
        </w:tc>
        <w:tc>
          <w:tcPr>
            <w:tcW w:w="1254" w:type="dxa"/>
          </w:tcPr>
          <w:p w14:paraId="3DFBCCF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1090</w:t>
            </w:r>
          </w:p>
        </w:tc>
        <w:tc>
          <w:tcPr>
            <w:tcW w:w="7057" w:type="dxa"/>
          </w:tcPr>
          <w:p w14:paraId="7FF263B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preparatelor pentru hrana animalelor</w:t>
            </w:r>
          </w:p>
        </w:tc>
      </w:tr>
      <w:tr w:rsidR="0018446E" w:rsidRPr="0018446E" w14:paraId="700F55A8" w14:textId="77777777" w:rsidTr="00B0372F">
        <w:tc>
          <w:tcPr>
            <w:tcW w:w="9345" w:type="dxa"/>
            <w:gridSpan w:val="3"/>
          </w:tcPr>
          <w:p w14:paraId="35AE0555"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produselor textile</w:t>
            </w:r>
          </w:p>
        </w:tc>
      </w:tr>
      <w:tr w:rsidR="0018446E" w:rsidRPr="0018446E" w14:paraId="137EADE2" w14:textId="77777777" w:rsidTr="00B0372F">
        <w:tc>
          <w:tcPr>
            <w:tcW w:w="1034" w:type="dxa"/>
          </w:tcPr>
          <w:p w14:paraId="17560EB0"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B7E24C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C1320</w:t>
            </w:r>
          </w:p>
        </w:tc>
        <w:tc>
          <w:tcPr>
            <w:tcW w:w="7057" w:type="dxa"/>
          </w:tcPr>
          <w:p w14:paraId="1155613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Productia</w:t>
            </w:r>
            <w:proofErr w:type="spellEnd"/>
            <w:r w:rsidRPr="0018446E">
              <w:rPr>
                <w:rFonts w:ascii="Times New Roman" w:eastAsia="Times New Roman" w:hAnsi="Times New Roman"/>
                <w:color w:val="000000" w:themeColor="text1"/>
                <w:lang w:val="ro-MD"/>
              </w:rPr>
              <w:t xml:space="preserve"> de </w:t>
            </w:r>
            <w:proofErr w:type="spellStart"/>
            <w:r w:rsidRPr="0018446E">
              <w:rPr>
                <w:rFonts w:ascii="Times New Roman" w:eastAsia="Times New Roman" w:hAnsi="Times New Roman"/>
                <w:color w:val="000000" w:themeColor="text1"/>
                <w:lang w:val="ro-MD"/>
              </w:rPr>
              <w:t>tesaturi</w:t>
            </w:r>
            <w:proofErr w:type="spellEnd"/>
          </w:p>
        </w:tc>
      </w:tr>
      <w:tr w:rsidR="0018446E" w:rsidRPr="0018446E" w14:paraId="49D989E4" w14:textId="77777777" w:rsidTr="00B0372F">
        <w:tc>
          <w:tcPr>
            <w:tcW w:w="1034" w:type="dxa"/>
          </w:tcPr>
          <w:p w14:paraId="7DE16E18"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C499B5C"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1330</w:t>
            </w:r>
          </w:p>
        </w:tc>
        <w:tc>
          <w:tcPr>
            <w:tcW w:w="7057" w:type="dxa"/>
          </w:tcPr>
          <w:p w14:paraId="3ED9F00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Finisarea materialelor textile</w:t>
            </w:r>
          </w:p>
        </w:tc>
      </w:tr>
      <w:tr w:rsidR="0018446E" w:rsidRPr="0018446E" w14:paraId="4B9899D7" w14:textId="77777777" w:rsidTr="00B0372F">
        <w:tc>
          <w:tcPr>
            <w:tcW w:w="1034" w:type="dxa"/>
          </w:tcPr>
          <w:p w14:paraId="398BD1C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3FAE8D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1390</w:t>
            </w:r>
          </w:p>
        </w:tc>
        <w:tc>
          <w:tcPr>
            <w:tcW w:w="7057" w:type="dxa"/>
          </w:tcPr>
          <w:p w14:paraId="0BC2CF5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altor articole textile</w:t>
            </w:r>
          </w:p>
        </w:tc>
      </w:tr>
      <w:tr w:rsidR="0018446E" w:rsidRPr="0018446E" w14:paraId="543D7635" w14:textId="77777777" w:rsidTr="00B0372F">
        <w:tc>
          <w:tcPr>
            <w:tcW w:w="9345" w:type="dxa"/>
            <w:gridSpan w:val="3"/>
          </w:tcPr>
          <w:p w14:paraId="38529C28"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 xml:space="preserve">Fabricarea articolelor de </w:t>
            </w:r>
            <w:proofErr w:type="spellStart"/>
            <w:r w:rsidRPr="0018446E">
              <w:rPr>
                <w:rFonts w:ascii="Times New Roman" w:eastAsia="Times New Roman" w:hAnsi="Times New Roman"/>
                <w:b/>
                <w:bCs/>
                <w:color w:val="000000" w:themeColor="text1"/>
                <w:lang w:val="ro-MD"/>
              </w:rPr>
              <w:t>imbracaminte</w:t>
            </w:r>
            <w:proofErr w:type="spellEnd"/>
          </w:p>
        </w:tc>
      </w:tr>
      <w:tr w:rsidR="0018446E" w:rsidRPr="0018446E" w14:paraId="65709884" w14:textId="77777777" w:rsidTr="00B0372F">
        <w:tc>
          <w:tcPr>
            <w:tcW w:w="1034" w:type="dxa"/>
          </w:tcPr>
          <w:p w14:paraId="54ECBAA0"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8C0712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1410</w:t>
            </w:r>
          </w:p>
        </w:tc>
        <w:tc>
          <w:tcPr>
            <w:tcW w:w="7057" w:type="dxa"/>
          </w:tcPr>
          <w:p w14:paraId="29C0D32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articolelor de </w:t>
            </w:r>
            <w:proofErr w:type="spellStart"/>
            <w:r w:rsidRPr="0018446E">
              <w:rPr>
                <w:rFonts w:ascii="Times New Roman" w:eastAsia="Times New Roman" w:hAnsi="Times New Roman"/>
                <w:color w:val="000000" w:themeColor="text1"/>
                <w:lang w:val="ro-MD"/>
              </w:rPr>
              <w:t>imbracaminte</w:t>
            </w:r>
            <w:proofErr w:type="spellEnd"/>
            <w:r w:rsidRPr="0018446E">
              <w:rPr>
                <w:rFonts w:ascii="Times New Roman" w:eastAsia="Times New Roman" w:hAnsi="Times New Roman"/>
                <w:color w:val="000000" w:themeColor="text1"/>
                <w:lang w:val="ro-MD"/>
              </w:rPr>
              <w:t xml:space="preserve">, cu </w:t>
            </w:r>
            <w:proofErr w:type="spellStart"/>
            <w:r w:rsidRPr="0018446E">
              <w:rPr>
                <w:rFonts w:ascii="Times New Roman" w:eastAsia="Times New Roman" w:hAnsi="Times New Roman"/>
                <w:color w:val="000000" w:themeColor="text1"/>
                <w:lang w:val="ro-MD"/>
              </w:rPr>
              <w:t>exceptia</w:t>
            </w:r>
            <w:proofErr w:type="spellEnd"/>
            <w:r w:rsidRPr="0018446E">
              <w:rPr>
                <w:rFonts w:ascii="Times New Roman" w:eastAsia="Times New Roman" w:hAnsi="Times New Roman"/>
                <w:color w:val="000000" w:themeColor="text1"/>
                <w:lang w:val="ro-MD"/>
              </w:rPr>
              <w:t xml:space="preserve"> articolelor din blana</w:t>
            </w:r>
          </w:p>
        </w:tc>
      </w:tr>
      <w:tr w:rsidR="0018446E" w:rsidRPr="0018446E" w14:paraId="59DC8474" w14:textId="77777777" w:rsidTr="00B0372F">
        <w:tc>
          <w:tcPr>
            <w:tcW w:w="1034" w:type="dxa"/>
          </w:tcPr>
          <w:p w14:paraId="2B97DFA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C6B485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1420</w:t>
            </w:r>
          </w:p>
        </w:tc>
        <w:tc>
          <w:tcPr>
            <w:tcW w:w="7057" w:type="dxa"/>
          </w:tcPr>
          <w:p w14:paraId="3AC2AFBC"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articolelor din blană</w:t>
            </w:r>
          </w:p>
        </w:tc>
      </w:tr>
      <w:tr w:rsidR="0018446E" w:rsidRPr="0018446E" w14:paraId="1785174D" w14:textId="77777777" w:rsidTr="00B0372F">
        <w:tc>
          <w:tcPr>
            <w:tcW w:w="1034" w:type="dxa"/>
          </w:tcPr>
          <w:p w14:paraId="7BD24914"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D4A768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1430</w:t>
            </w:r>
          </w:p>
        </w:tc>
        <w:tc>
          <w:tcPr>
            <w:tcW w:w="7057" w:type="dxa"/>
          </w:tcPr>
          <w:p w14:paraId="3CB2196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articolelor de </w:t>
            </w:r>
            <w:proofErr w:type="spellStart"/>
            <w:r w:rsidRPr="0018446E">
              <w:rPr>
                <w:rFonts w:ascii="Times New Roman" w:eastAsia="Times New Roman" w:hAnsi="Times New Roman"/>
                <w:color w:val="000000" w:themeColor="text1"/>
                <w:lang w:val="ro-MD"/>
              </w:rPr>
              <w:t>imbracaminte</w:t>
            </w:r>
            <w:proofErr w:type="spellEnd"/>
            <w:r w:rsidRPr="0018446E">
              <w:rPr>
                <w:rFonts w:ascii="Times New Roman" w:eastAsia="Times New Roman" w:hAnsi="Times New Roman"/>
                <w:color w:val="000000" w:themeColor="text1"/>
                <w:lang w:val="ro-MD"/>
              </w:rPr>
              <w:t xml:space="preserve"> prin tricotare sau </w:t>
            </w:r>
            <w:proofErr w:type="spellStart"/>
            <w:r w:rsidRPr="0018446E">
              <w:rPr>
                <w:rFonts w:ascii="Times New Roman" w:eastAsia="Times New Roman" w:hAnsi="Times New Roman"/>
                <w:color w:val="000000" w:themeColor="text1"/>
                <w:lang w:val="ro-MD"/>
              </w:rPr>
              <w:t>crosetare</w:t>
            </w:r>
            <w:proofErr w:type="spellEnd"/>
          </w:p>
        </w:tc>
      </w:tr>
      <w:tr w:rsidR="0018446E" w:rsidRPr="0018446E" w14:paraId="72E6923C" w14:textId="77777777" w:rsidTr="00B0372F">
        <w:tc>
          <w:tcPr>
            <w:tcW w:w="9345" w:type="dxa"/>
            <w:gridSpan w:val="3"/>
          </w:tcPr>
          <w:p w14:paraId="67DBB61E"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proofErr w:type="spellStart"/>
            <w:r w:rsidRPr="0018446E">
              <w:rPr>
                <w:rFonts w:ascii="Times New Roman" w:eastAsia="Times New Roman" w:hAnsi="Times New Roman"/>
                <w:b/>
                <w:bCs/>
                <w:color w:val="000000" w:themeColor="text1"/>
                <w:lang w:val="ro-MD"/>
              </w:rPr>
              <w:t>Tabacirea</w:t>
            </w:r>
            <w:proofErr w:type="spellEnd"/>
            <w:r w:rsidRPr="0018446E">
              <w:rPr>
                <w:rFonts w:ascii="Times New Roman" w:eastAsia="Times New Roman" w:hAnsi="Times New Roman"/>
                <w:b/>
                <w:bCs/>
                <w:color w:val="000000" w:themeColor="text1"/>
                <w:lang w:val="ro-MD"/>
              </w:rPr>
              <w:t xml:space="preserve"> si finisarea pieilor</w:t>
            </w:r>
          </w:p>
        </w:tc>
      </w:tr>
      <w:tr w:rsidR="0018446E" w:rsidRPr="0018446E" w14:paraId="053C7451" w14:textId="77777777" w:rsidTr="00B0372F">
        <w:tc>
          <w:tcPr>
            <w:tcW w:w="1034" w:type="dxa"/>
          </w:tcPr>
          <w:p w14:paraId="1284F2DF"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1661E3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1510</w:t>
            </w:r>
          </w:p>
        </w:tc>
        <w:tc>
          <w:tcPr>
            <w:tcW w:w="7057" w:type="dxa"/>
          </w:tcPr>
          <w:p w14:paraId="15A20F9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Tabacirea</w:t>
            </w:r>
            <w:proofErr w:type="spellEnd"/>
            <w:r w:rsidRPr="0018446E">
              <w:rPr>
                <w:rFonts w:ascii="Times New Roman" w:eastAsia="Times New Roman" w:hAnsi="Times New Roman"/>
                <w:color w:val="000000" w:themeColor="text1"/>
                <w:lang w:val="ro-MD"/>
              </w:rPr>
              <w:t xml:space="preserve"> si finisarea pieilor; fabricarea articolelor de voiaj si </w:t>
            </w:r>
            <w:proofErr w:type="spellStart"/>
            <w:r w:rsidRPr="0018446E">
              <w:rPr>
                <w:rFonts w:ascii="Times New Roman" w:eastAsia="Times New Roman" w:hAnsi="Times New Roman"/>
                <w:color w:val="000000" w:themeColor="text1"/>
                <w:lang w:val="ro-MD"/>
              </w:rPr>
              <w:t>marochinarie</w:t>
            </w:r>
            <w:proofErr w:type="spellEnd"/>
            <w:r w:rsidRPr="0018446E">
              <w:rPr>
                <w:rFonts w:ascii="Times New Roman" w:eastAsia="Times New Roman" w:hAnsi="Times New Roman"/>
                <w:color w:val="000000" w:themeColor="text1"/>
                <w:lang w:val="ro-MD"/>
              </w:rPr>
              <w:t xml:space="preserve"> si a articolelor de </w:t>
            </w:r>
            <w:proofErr w:type="spellStart"/>
            <w:r w:rsidRPr="0018446E">
              <w:rPr>
                <w:rFonts w:ascii="Times New Roman" w:eastAsia="Times New Roman" w:hAnsi="Times New Roman"/>
                <w:color w:val="000000" w:themeColor="text1"/>
                <w:lang w:val="ro-MD"/>
              </w:rPr>
              <w:t>harnasament</w:t>
            </w:r>
            <w:proofErr w:type="spellEnd"/>
            <w:r w:rsidRPr="0018446E">
              <w:rPr>
                <w:rFonts w:ascii="Times New Roman" w:eastAsia="Times New Roman" w:hAnsi="Times New Roman"/>
                <w:color w:val="000000" w:themeColor="text1"/>
                <w:lang w:val="ro-MD"/>
              </w:rPr>
              <w:t xml:space="preserve">; prepararea si vopsirea </w:t>
            </w:r>
            <w:proofErr w:type="spellStart"/>
            <w:r w:rsidRPr="0018446E">
              <w:rPr>
                <w:rFonts w:ascii="Times New Roman" w:eastAsia="Times New Roman" w:hAnsi="Times New Roman"/>
                <w:color w:val="000000" w:themeColor="text1"/>
                <w:lang w:val="ro-MD"/>
              </w:rPr>
              <w:t>blanurilor</w:t>
            </w:r>
            <w:proofErr w:type="spellEnd"/>
          </w:p>
        </w:tc>
      </w:tr>
      <w:tr w:rsidR="0018446E" w:rsidRPr="0018446E" w14:paraId="3824F91E" w14:textId="77777777" w:rsidTr="00B0372F">
        <w:tc>
          <w:tcPr>
            <w:tcW w:w="1034" w:type="dxa"/>
          </w:tcPr>
          <w:p w14:paraId="7B46E8D7"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A5F80C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1520</w:t>
            </w:r>
          </w:p>
        </w:tc>
        <w:tc>
          <w:tcPr>
            <w:tcW w:w="7057" w:type="dxa"/>
          </w:tcPr>
          <w:p w14:paraId="6CDB67A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w:t>
            </w:r>
            <w:proofErr w:type="spellStart"/>
            <w:r w:rsidRPr="0018446E">
              <w:rPr>
                <w:rFonts w:ascii="Times New Roman" w:eastAsia="Times New Roman" w:hAnsi="Times New Roman"/>
                <w:color w:val="000000" w:themeColor="text1"/>
                <w:lang w:val="ro-MD"/>
              </w:rPr>
              <w:t>incaltamintei</w:t>
            </w:r>
            <w:proofErr w:type="spellEnd"/>
          </w:p>
        </w:tc>
      </w:tr>
      <w:tr w:rsidR="0018446E" w:rsidRPr="0018446E" w14:paraId="295D349D" w14:textId="77777777" w:rsidTr="00B0372F">
        <w:tc>
          <w:tcPr>
            <w:tcW w:w="9345" w:type="dxa"/>
            <w:gridSpan w:val="3"/>
          </w:tcPr>
          <w:p w14:paraId="7D75C03F"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Prelucrarea lemnului</w:t>
            </w:r>
          </w:p>
        </w:tc>
      </w:tr>
      <w:tr w:rsidR="0018446E" w:rsidRPr="0018446E" w14:paraId="78AF8E09" w14:textId="77777777" w:rsidTr="00B0372F">
        <w:tc>
          <w:tcPr>
            <w:tcW w:w="1034" w:type="dxa"/>
          </w:tcPr>
          <w:p w14:paraId="77B82B19"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F5A438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1610</w:t>
            </w:r>
          </w:p>
        </w:tc>
        <w:tc>
          <w:tcPr>
            <w:tcW w:w="7057" w:type="dxa"/>
          </w:tcPr>
          <w:p w14:paraId="74DDB68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Taierea</w:t>
            </w:r>
            <w:proofErr w:type="spellEnd"/>
            <w:r w:rsidRPr="0018446E">
              <w:rPr>
                <w:rFonts w:ascii="Times New Roman" w:eastAsia="Times New Roman" w:hAnsi="Times New Roman"/>
                <w:color w:val="000000" w:themeColor="text1"/>
                <w:lang w:val="ro-MD"/>
              </w:rPr>
              <w:t xml:space="preserve"> si rindeluirea lemnului</w:t>
            </w:r>
          </w:p>
        </w:tc>
      </w:tr>
      <w:tr w:rsidR="0018446E" w:rsidRPr="0018446E" w14:paraId="053EC484" w14:textId="77777777" w:rsidTr="00B0372F">
        <w:tc>
          <w:tcPr>
            <w:tcW w:w="1034" w:type="dxa"/>
          </w:tcPr>
          <w:p w14:paraId="01E8F65F"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1403AC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1620</w:t>
            </w:r>
          </w:p>
        </w:tc>
        <w:tc>
          <w:tcPr>
            <w:tcW w:w="7057" w:type="dxa"/>
          </w:tcPr>
          <w:p w14:paraId="781CD5B0"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produselor din lemn, pluta,  paie si din alte materiale vegetale </w:t>
            </w:r>
            <w:proofErr w:type="spellStart"/>
            <w:r w:rsidRPr="0018446E">
              <w:rPr>
                <w:rFonts w:ascii="Times New Roman" w:eastAsia="Times New Roman" w:hAnsi="Times New Roman"/>
                <w:color w:val="000000" w:themeColor="text1"/>
                <w:lang w:val="ro-MD"/>
              </w:rPr>
              <w:t>impletite</w:t>
            </w:r>
            <w:proofErr w:type="spellEnd"/>
          </w:p>
        </w:tc>
      </w:tr>
      <w:tr w:rsidR="0018446E" w:rsidRPr="0018446E" w14:paraId="78EE6337" w14:textId="77777777" w:rsidTr="00B0372F">
        <w:tc>
          <w:tcPr>
            <w:tcW w:w="9345" w:type="dxa"/>
            <w:gridSpan w:val="3"/>
          </w:tcPr>
          <w:p w14:paraId="5405ADEE"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 xml:space="preserve">Fabricarea hârtiei </w:t>
            </w:r>
            <w:proofErr w:type="spellStart"/>
            <w:r w:rsidRPr="0018446E">
              <w:rPr>
                <w:rFonts w:ascii="Times New Roman" w:eastAsia="Times New Roman" w:hAnsi="Times New Roman"/>
                <w:b/>
                <w:bCs/>
                <w:color w:val="000000" w:themeColor="text1"/>
                <w:lang w:val="ro-MD"/>
              </w:rPr>
              <w:t>şi</w:t>
            </w:r>
            <w:proofErr w:type="spellEnd"/>
            <w:r w:rsidRPr="0018446E">
              <w:rPr>
                <w:rFonts w:ascii="Times New Roman" w:eastAsia="Times New Roman" w:hAnsi="Times New Roman"/>
                <w:b/>
                <w:bCs/>
                <w:color w:val="000000" w:themeColor="text1"/>
                <w:lang w:val="ro-MD"/>
              </w:rPr>
              <w:t xml:space="preserve"> a produselor din hârtie</w:t>
            </w:r>
          </w:p>
        </w:tc>
      </w:tr>
      <w:tr w:rsidR="0018446E" w:rsidRPr="0018446E" w14:paraId="44843579" w14:textId="77777777" w:rsidTr="00B0372F">
        <w:tc>
          <w:tcPr>
            <w:tcW w:w="1034" w:type="dxa"/>
          </w:tcPr>
          <w:p w14:paraId="6C613A6D"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90B54C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1720</w:t>
            </w:r>
          </w:p>
        </w:tc>
        <w:tc>
          <w:tcPr>
            <w:tcW w:w="7057" w:type="dxa"/>
          </w:tcPr>
          <w:p w14:paraId="72BFD61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articolelor din </w:t>
            </w:r>
            <w:proofErr w:type="spellStart"/>
            <w:r w:rsidRPr="0018446E">
              <w:rPr>
                <w:rFonts w:ascii="Times New Roman" w:eastAsia="Times New Roman" w:hAnsi="Times New Roman"/>
                <w:color w:val="000000" w:themeColor="text1"/>
                <w:lang w:val="ro-MD"/>
              </w:rPr>
              <w:t>hartie</w:t>
            </w:r>
            <w:proofErr w:type="spellEnd"/>
            <w:r w:rsidRPr="0018446E">
              <w:rPr>
                <w:rFonts w:ascii="Times New Roman" w:eastAsia="Times New Roman" w:hAnsi="Times New Roman"/>
                <w:color w:val="000000" w:themeColor="text1"/>
                <w:lang w:val="ro-MD"/>
              </w:rPr>
              <w:t xml:space="preserve"> si carton</w:t>
            </w:r>
          </w:p>
        </w:tc>
      </w:tr>
      <w:tr w:rsidR="0018446E" w:rsidRPr="0018446E" w14:paraId="013E288B" w14:textId="77777777" w:rsidTr="00B0372F">
        <w:tc>
          <w:tcPr>
            <w:tcW w:w="9345" w:type="dxa"/>
            <w:gridSpan w:val="3"/>
          </w:tcPr>
          <w:p w14:paraId="1F0440FF"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 xml:space="preserve">Fabricarea produselor de cocserie si a produselor </w:t>
            </w:r>
            <w:proofErr w:type="spellStart"/>
            <w:r w:rsidRPr="0018446E">
              <w:rPr>
                <w:rFonts w:ascii="Times New Roman" w:eastAsia="Times New Roman" w:hAnsi="Times New Roman"/>
                <w:b/>
                <w:bCs/>
                <w:color w:val="000000" w:themeColor="text1"/>
                <w:lang w:val="ro-MD"/>
              </w:rPr>
              <w:t>obtinute</w:t>
            </w:r>
            <w:proofErr w:type="spellEnd"/>
            <w:r w:rsidRPr="0018446E">
              <w:rPr>
                <w:rFonts w:ascii="Times New Roman" w:eastAsia="Times New Roman" w:hAnsi="Times New Roman"/>
                <w:b/>
                <w:bCs/>
                <w:color w:val="000000" w:themeColor="text1"/>
                <w:lang w:val="ro-MD"/>
              </w:rPr>
              <w:t xml:space="preserve"> din prelucrarea </w:t>
            </w:r>
            <w:proofErr w:type="spellStart"/>
            <w:r w:rsidRPr="0018446E">
              <w:rPr>
                <w:rFonts w:ascii="Times New Roman" w:eastAsia="Times New Roman" w:hAnsi="Times New Roman"/>
                <w:b/>
                <w:bCs/>
                <w:color w:val="000000" w:themeColor="text1"/>
                <w:lang w:val="ro-MD"/>
              </w:rPr>
              <w:t>titeiului</w:t>
            </w:r>
            <w:proofErr w:type="spellEnd"/>
          </w:p>
        </w:tc>
      </w:tr>
      <w:tr w:rsidR="0018446E" w:rsidRPr="0018446E" w14:paraId="27AC7CD7" w14:textId="77777777" w:rsidTr="00B0372F">
        <w:tc>
          <w:tcPr>
            <w:tcW w:w="1034" w:type="dxa"/>
          </w:tcPr>
          <w:p w14:paraId="48A60EEC"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259756F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1920</w:t>
            </w:r>
          </w:p>
        </w:tc>
        <w:tc>
          <w:tcPr>
            <w:tcW w:w="7057" w:type="dxa"/>
          </w:tcPr>
          <w:p w14:paraId="39EF2D60"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produselor </w:t>
            </w:r>
            <w:proofErr w:type="spellStart"/>
            <w:r w:rsidRPr="0018446E">
              <w:rPr>
                <w:rFonts w:ascii="Times New Roman" w:eastAsia="Times New Roman" w:hAnsi="Times New Roman"/>
                <w:color w:val="000000" w:themeColor="text1"/>
                <w:lang w:val="ro-MD"/>
              </w:rPr>
              <w:t>obtinute</w:t>
            </w:r>
            <w:proofErr w:type="spellEnd"/>
            <w:r w:rsidRPr="0018446E">
              <w:rPr>
                <w:rFonts w:ascii="Times New Roman" w:eastAsia="Times New Roman" w:hAnsi="Times New Roman"/>
                <w:color w:val="000000" w:themeColor="text1"/>
                <w:lang w:val="ro-MD"/>
              </w:rPr>
              <w:t xml:space="preserve"> din prelucrarea </w:t>
            </w:r>
            <w:proofErr w:type="spellStart"/>
            <w:r w:rsidRPr="0018446E">
              <w:rPr>
                <w:rFonts w:ascii="Times New Roman" w:eastAsia="Times New Roman" w:hAnsi="Times New Roman"/>
                <w:color w:val="000000" w:themeColor="text1"/>
                <w:lang w:val="ro-MD"/>
              </w:rPr>
              <w:t>titeiului</w:t>
            </w:r>
            <w:proofErr w:type="spellEnd"/>
          </w:p>
        </w:tc>
      </w:tr>
      <w:tr w:rsidR="0018446E" w:rsidRPr="0018446E" w14:paraId="2A15E0DC" w14:textId="77777777" w:rsidTr="00B0372F">
        <w:tc>
          <w:tcPr>
            <w:tcW w:w="9345" w:type="dxa"/>
            <w:gridSpan w:val="3"/>
          </w:tcPr>
          <w:p w14:paraId="1F3E0A17"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 xml:space="preserve">Fabricarea </w:t>
            </w:r>
            <w:proofErr w:type="spellStart"/>
            <w:r w:rsidRPr="0018446E">
              <w:rPr>
                <w:rFonts w:ascii="Times New Roman" w:eastAsia="Times New Roman" w:hAnsi="Times New Roman"/>
                <w:b/>
                <w:bCs/>
                <w:color w:val="000000" w:themeColor="text1"/>
                <w:lang w:val="ro-MD"/>
              </w:rPr>
              <w:t>substanţelor</w:t>
            </w:r>
            <w:proofErr w:type="spellEnd"/>
            <w:r w:rsidRPr="0018446E">
              <w:rPr>
                <w:rFonts w:ascii="Times New Roman" w:eastAsia="Times New Roman" w:hAnsi="Times New Roman"/>
                <w:b/>
                <w:bCs/>
                <w:color w:val="000000" w:themeColor="text1"/>
                <w:lang w:val="ro-MD"/>
              </w:rPr>
              <w:t xml:space="preserve"> </w:t>
            </w:r>
            <w:proofErr w:type="spellStart"/>
            <w:r w:rsidRPr="0018446E">
              <w:rPr>
                <w:rFonts w:ascii="Times New Roman" w:eastAsia="Times New Roman" w:hAnsi="Times New Roman"/>
                <w:b/>
                <w:bCs/>
                <w:color w:val="000000" w:themeColor="text1"/>
                <w:lang w:val="ro-MD"/>
              </w:rPr>
              <w:t>şi</w:t>
            </w:r>
            <w:proofErr w:type="spellEnd"/>
            <w:r w:rsidRPr="0018446E">
              <w:rPr>
                <w:rFonts w:ascii="Times New Roman" w:eastAsia="Times New Roman" w:hAnsi="Times New Roman"/>
                <w:b/>
                <w:bCs/>
                <w:color w:val="000000" w:themeColor="text1"/>
                <w:lang w:val="ro-MD"/>
              </w:rPr>
              <w:t xml:space="preserve"> a produselor chimice</w:t>
            </w:r>
          </w:p>
        </w:tc>
      </w:tr>
      <w:tr w:rsidR="0018446E" w:rsidRPr="0018446E" w14:paraId="427C23D6" w14:textId="77777777" w:rsidTr="00B0372F">
        <w:tc>
          <w:tcPr>
            <w:tcW w:w="1034" w:type="dxa"/>
          </w:tcPr>
          <w:p w14:paraId="24601CDC"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63FDB99"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2010</w:t>
            </w:r>
          </w:p>
        </w:tc>
        <w:tc>
          <w:tcPr>
            <w:tcW w:w="7057" w:type="dxa"/>
          </w:tcPr>
          <w:p w14:paraId="2AD82E7C"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produselor chimice de baza, a </w:t>
            </w:r>
            <w:proofErr w:type="spellStart"/>
            <w:r w:rsidRPr="0018446E">
              <w:rPr>
                <w:rFonts w:ascii="Times New Roman" w:eastAsia="Times New Roman" w:hAnsi="Times New Roman"/>
                <w:color w:val="000000" w:themeColor="text1"/>
                <w:lang w:val="ro-MD"/>
              </w:rPr>
              <w:t>ingrasamintelor</w:t>
            </w:r>
            <w:proofErr w:type="spellEnd"/>
            <w:r w:rsidRPr="0018446E">
              <w:rPr>
                <w:rFonts w:ascii="Times New Roman" w:eastAsia="Times New Roman" w:hAnsi="Times New Roman"/>
                <w:color w:val="000000" w:themeColor="text1"/>
                <w:lang w:val="ro-MD"/>
              </w:rPr>
              <w:t xml:space="preserve"> si produselor azotoase; fabricarea materialelor plastice si a cauciucului sintetic, in forme primare</w:t>
            </w:r>
          </w:p>
        </w:tc>
      </w:tr>
      <w:tr w:rsidR="0018446E" w:rsidRPr="0018446E" w14:paraId="5399F9DB" w14:textId="77777777" w:rsidTr="00B0372F">
        <w:tc>
          <w:tcPr>
            <w:tcW w:w="1034" w:type="dxa"/>
          </w:tcPr>
          <w:p w14:paraId="2F77ABF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D0C4FA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2020</w:t>
            </w:r>
          </w:p>
        </w:tc>
        <w:tc>
          <w:tcPr>
            <w:tcW w:w="7057" w:type="dxa"/>
          </w:tcPr>
          <w:p w14:paraId="7C57E93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pesticidelor si a altor produse agrochimice</w:t>
            </w:r>
          </w:p>
        </w:tc>
      </w:tr>
      <w:tr w:rsidR="0018446E" w:rsidRPr="0018446E" w14:paraId="7B603E37" w14:textId="77777777" w:rsidTr="00B0372F">
        <w:tc>
          <w:tcPr>
            <w:tcW w:w="1034" w:type="dxa"/>
          </w:tcPr>
          <w:p w14:paraId="5513268A"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ABA701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2030</w:t>
            </w:r>
          </w:p>
        </w:tc>
        <w:tc>
          <w:tcPr>
            <w:tcW w:w="7057" w:type="dxa"/>
          </w:tcPr>
          <w:p w14:paraId="3D6C35F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vopselelor, lacurilor, cernelii tipografice si masticurilor</w:t>
            </w:r>
          </w:p>
        </w:tc>
      </w:tr>
      <w:tr w:rsidR="0018446E" w:rsidRPr="0018446E" w14:paraId="3DCD1D5C" w14:textId="77777777" w:rsidTr="00B0372F">
        <w:tc>
          <w:tcPr>
            <w:tcW w:w="1034" w:type="dxa"/>
          </w:tcPr>
          <w:p w14:paraId="363FC83B"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7F149D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2040</w:t>
            </w:r>
          </w:p>
        </w:tc>
        <w:tc>
          <w:tcPr>
            <w:tcW w:w="7057" w:type="dxa"/>
          </w:tcPr>
          <w:p w14:paraId="0EAA7EB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w:t>
            </w:r>
            <w:proofErr w:type="spellStart"/>
            <w:r w:rsidRPr="0018446E">
              <w:rPr>
                <w:rFonts w:ascii="Times New Roman" w:eastAsia="Times New Roman" w:hAnsi="Times New Roman"/>
                <w:color w:val="000000" w:themeColor="text1"/>
                <w:lang w:val="ro-MD"/>
              </w:rPr>
              <w:t>sapunurilor</w:t>
            </w:r>
            <w:proofErr w:type="spellEnd"/>
            <w:r w:rsidRPr="0018446E">
              <w:rPr>
                <w:rFonts w:ascii="Times New Roman" w:eastAsia="Times New Roman" w:hAnsi="Times New Roman"/>
                <w:color w:val="000000" w:themeColor="text1"/>
                <w:lang w:val="ro-MD"/>
              </w:rPr>
              <w:t xml:space="preserve">, </w:t>
            </w:r>
            <w:proofErr w:type="spellStart"/>
            <w:r w:rsidRPr="0018446E">
              <w:rPr>
                <w:rFonts w:ascii="Times New Roman" w:eastAsia="Times New Roman" w:hAnsi="Times New Roman"/>
                <w:color w:val="000000" w:themeColor="text1"/>
                <w:lang w:val="ro-MD"/>
              </w:rPr>
              <w:t>detergentilor</w:t>
            </w:r>
            <w:proofErr w:type="spellEnd"/>
            <w:r w:rsidRPr="0018446E">
              <w:rPr>
                <w:rFonts w:ascii="Times New Roman" w:eastAsia="Times New Roman" w:hAnsi="Times New Roman"/>
                <w:color w:val="000000" w:themeColor="text1"/>
                <w:lang w:val="ro-MD"/>
              </w:rPr>
              <w:t xml:space="preserve"> si a produselor de </w:t>
            </w:r>
            <w:proofErr w:type="spellStart"/>
            <w:r w:rsidRPr="0018446E">
              <w:rPr>
                <w:rFonts w:ascii="Times New Roman" w:eastAsia="Times New Roman" w:hAnsi="Times New Roman"/>
                <w:color w:val="000000" w:themeColor="text1"/>
                <w:lang w:val="ro-MD"/>
              </w:rPr>
              <w:t>intretinere</w:t>
            </w:r>
            <w:proofErr w:type="spellEnd"/>
            <w:r w:rsidRPr="0018446E">
              <w:rPr>
                <w:rFonts w:ascii="Times New Roman" w:eastAsia="Times New Roman" w:hAnsi="Times New Roman"/>
                <w:color w:val="000000" w:themeColor="text1"/>
                <w:lang w:val="ro-MD"/>
              </w:rPr>
              <w:t>, cosmetice si de parfumerie</w:t>
            </w:r>
          </w:p>
        </w:tc>
      </w:tr>
      <w:tr w:rsidR="0018446E" w:rsidRPr="0018446E" w14:paraId="69990BCD" w14:textId="77777777" w:rsidTr="00B0372F">
        <w:tc>
          <w:tcPr>
            <w:tcW w:w="1034" w:type="dxa"/>
          </w:tcPr>
          <w:p w14:paraId="00EC2034"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D9C0CD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2050</w:t>
            </w:r>
          </w:p>
        </w:tc>
        <w:tc>
          <w:tcPr>
            <w:tcW w:w="7057" w:type="dxa"/>
          </w:tcPr>
          <w:p w14:paraId="66A52C1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altor produse chimice</w:t>
            </w:r>
          </w:p>
        </w:tc>
      </w:tr>
      <w:tr w:rsidR="0018446E" w:rsidRPr="0018446E" w14:paraId="735E4A1B" w14:textId="77777777" w:rsidTr="00B0372F">
        <w:tc>
          <w:tcPr>
            <w:tcW w:w="1034" w:type="dxa"/>
          </w:tcPr>
          <w:p w14:paraId="2F66A01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0F17C24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2060</w:t>
            </w:r>
          </w:p>
        </w:tc>
        <w:tc>
          <w:tcPr>
            <w:tcW w:w="7057" w:type="dxa"/>
          </w:tcPr>
          <w:p w14:paraId="1D84312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fibrelor sintetice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artificiale</w:t>
            </w:r>
          </w:p>
        </w:tc>
      </w:tr>
      <w:tr w:rsidR="0018446E" w:rsidRPr="0018446E" w14:paraId="5D18B8A2" w14:textId="77777777" w:rsidTr="00B0372F">
        <w:tc>
          <w:tcPr>
            <w:tcW w:w="9345" w:type="dxa"/>
            <w:gridSpan w:val="3"/>
          </w:tcPr>
          <w:p w14:paraId="034DDCB5"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lastRenderedPageBreak/>
              <w:t>Fabricarea produselor farmaceutice de baza si a preparatelor farmaceutice</w:t>
            </w:r>
          </w:p>
        </w:tc>
      </w:tr>
      <w:tr w:rsidR="0018446E" w:rsidRPr="0018446E" w14:paraId="1A801ED5" w14:textId="77777777" w:rsidTr="00B0372F">
        <w:tc>
          <w:tcPr>
            <w:tcW w:w="1034" w:type="dxa"/>
          </w:tcPr>
          <w:p w14:paraId="1870177E"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F41F1D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2110</w:t>
            </w:r>
          </w:p>
        </w:tc>
        <w:tc>
          <w:tcPr>
            <w:tcW w:w="7057" w:type="dxa"/>
          </w:tcPr>
          <w:p w14:paraId="3FE6F63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produselor farmaceutice de baza</w:t>
            </w:r>
          </w:p>
        </w:tc>
      </w:tr>
      <w:tr w:rsidR="0018446E" w:rsidRPr="0018446E" w14:paraId="366B41BD" w14:textId="77777777" w:rsidTr="00B0372F">
        <w:tc>
          <w:tcPr>
            <w:tcW w:w="1034" w:type="dxa"/>
          </w:tcPr>
          <w:p w14:paraId="402B811C"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004DDB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2120</w:t>
            </w:r>
          </w:p>
        </w:tc>
        <w:tc>
          <w:tcPr>
            <w:tcW w:w="7057" w:type="dxa"/>
          </w:tcPr>
          <w:p w14:paraId="35B9DD4A"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preparatelor farmaceutice</w:t>
            </w:r>
          </w:p>
        </w:tc>
      </w:tr>
      <w:tr w:rsidR="0018446E" w:rsidRPr="0018446E" w14:paraId="7F17B66D" w14:textId="77777777" w:rsidTr="00B0372F">
        <w:tc>
          <w:tcPr>
            <w:tcW w:w="9345" w:type="dxa"/>
            <w:gridSpan w:val="3"/>
          </w:tcPr>
          <w:p w14:paraId="4BC5D20A"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produselor din cauciuc si mase plastice</w:t>
            </w:r>
          </w:p>
        </w:tc>
      </w:tr>
      <w:tr w:rsidR="0018446E" w:rsidRPr="0018446E" w14:paraId="6441B5BA" w14:textId="77777777" w:rsidTr="00B0372F">
        <w:tc>
          <w:tcPr>
            <w:tcW w:w="1034" w:type="dxa"/>
          </w:tcPr>
          <w:p w14:paraId="4BBE69E9"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2F1E24A"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2210</w:t>
            </w:r>
          </w:p>
        </w:tc>
        <w:tc>
          <w:tcPr>
            <w:tcW w:w="7057" w:type="dxa"/>
          </w:tcPr>
          <w:p w14:paraId="7483182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articolelor din cauciuc</w:t>
            </w:r>
          </w:p>
        </w:tc>
      </w:tr>
      <w:tr w:rsidR="0018446E" w:rsidRPr="0018446E" w14:paraId="5C17D6BA" w14:textId="77777777" w:rsidTr="00B0372F">
        <w:tc>
          <w:tcPr>
            <w:tcW w:w="1034" w:type="dxa"/>
          </w:tcPr>
          <w:p w14:paraId="47E597A2"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DF6ED6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2220</w:t>
            </w:r>
          </w:p>
        </w:tc>
        <w:tc>
          <w:tcPr>
            <w:tcW w:w="7057" w:type="dxa"/>
          </w:tcPr>
          <w:p w14:paraId="14FD7FA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articolelor din material plastic</w:t>
            </w:r>
          </w:p>
        </w:tc>
      </w:tr>
      <w:tr w:rsidR="0018446E" w:rsidRPr="0018446E" w14:paraId="1ADB51BA" w14:textId="77777777" w:rsidTr="00B0372F">
        <w:tc>
          <w:tcPr>
            <w:tcW w:w="9345" w:type="dxa"/>
            <w:gridSpan w:val="3"/>
          </w:tcPr>
          <w:p w14:paraId="19959755"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altor produse din minerale nemetalice</w:t>
            </w:r>
          </w:p>
        </w:tc>
      </w:tr>
      <w:tr w:rsidR="0018446E" w:rsidRPr="0018446E" w14:paraId="1CFBB32D" w14:textId="77777777" w:rsidTr="00B0372F">
        <w:tc>
          <w:tcPr>
            <w:tcW w:w="1034" w:type="dxa"/>
          </w:tcPr>
          <w:p w14:paraId="6ADB08BC"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FEB0F07"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2310</w:t>
            </w:r>
          </w:p>
        </w:tc>
        <w:tc>
          <w:tcPr>
            <w:tcW w:w="7057" w:type="dxa"/>
          </w:tcPr>
          <w:p w14:paraId="27AC6DC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sticlei si a articolelor din sticla</w:t>
            </w:r>
          </w:p>
        </w:tc>
      </w:tr>
      <w:tr w:rsidR="0018446E" w:rsidRPr="0018446E" w14:paraId="3F757A99" w14:textId="77777777" w:rsidTr="00B0372F">
        <w:tc>
          <w:tcPr>
            <w:tcW w:w="1034" w:type="dxa"/>
          </w:tcPr>
          <w:p w14:paraId="7F1576F2"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5812B8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2330</w:t>
            </w:r>
          </w:p>
        </w:tc>
        <w:tc>
          <w:tcPr>
            <w:tcW w:w="7057" w:type="dxa"/>
          </w:tcPr>
          <w:p w14:paraId="7770DA59"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materialelor de </w:t>
            </w:r>
            <w:proofErr w:type="spellStart"/>
            <w:r w:rsidRPr="0018446E">
              <w:rPr>
                <w:rFonts w:ascii="Times New Roman" w:eastAsia="Times New Roman" w:hAnsi="Times New Roman"/>
                <w:color w:val="000000" w:themeColor="text1"/>
                <w:lang w:val="ro-MD"/>
              </w:rPr>
              <w:t>constructii</w:t>
            </w:r>
            <w:proofErr w:type="spellEnd"/>
            <w:r w:rsidRPr="0018446E">
              <w:rPr>
                <w:rFonts w:ascii="Times New Roman" w:eastAsia="Times New Roman" w:hAnsi="Times New Roman"/>
                <w:color w:val="000000" w:themeColor="text1"/>
                <w:lang w:val="ro-MD"/>
              </w:rPr>
              <w:t xml:space="preserve"> din argila</w:t>
            </w:r>
          </w:p>
        </w:tc>
      </w:tr>
      <w:tr w:rsidR="0018446E" w:rsidRPr="0018446E" w14:paraId="1947BB1E" w14:textId="77777777" w:rsidTr="00B0372F">
        <w:tc>
          <w:tcPr>
            <w:tcW w:w="1034" w:type="dxa"/>
          </w:tcPr>
          <w:p w14:paraId="18ED199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AFAD5A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2340</w:t>
            </w:r>
          </w:p>
        </w:tc>
        <w:tc>
          <w:tcPr>
            <w:tcW w:w="7057" w:type="dxa"/>
          </w:tcPr>
          <w:p w14:paraId="63E3127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altor articole din ceramica si </w:t>
            </w:r>
            <w:proofErr w:type="spellStart"/>
            <w:r w:rsidRPr="0018446E">
              <w:rPr>
                <w:rFonts w:ascii="Times New Roman" w:eastAsia="Times New Roman" w:hAnsi="Times New Roman"/>
                <w:color w:val="000000" w:themeColor="text1"/>
                <w:lang w:val="ro-MD"/>
              </w:rPr>
              <w:t>portelan</w:t>
            </w:r>
            <w:proofErr w:type="spellEnd"/>
          </w:p>
        </w:tc>
      </w:tr>
      <w:tr w:rsidR="0018446E" w:rsidRPr="0018446E" w14:paraId="285AF11D" w14:textId="77777777" w:rsidTr="00B0372F">
        <w:tc>
          <w:tcPr>
            <w:tcW w:w="1034" w:type="dxa"/>
          </w:tcPr>
          <w:p w14:paraId="6FE2329B"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3BC53C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2350</w:t>
            </w:r>
          </w:p>
        </w:tc>
        <w:tc>
          <w:tcPr>
            <w:tcW w:w="7057" w:type="dxa"/>
          </w:tcPr>
          <w:p w14:paraId="7AE7C419"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cimentului, varului si ipsosului</w:t>
            </w:r>
          </w:p>
        </w:tc>
      </w:tr>
      <w:tr w:rsidR="0018446E" w:rsidRPr="0018446E" w14:paraId="56778700" w14:textId="77777777" w:rsidTr="00B0372F">
        <w:tc>
          <w:tcPr>
            <w:tcW w:w="1034" w:type="dxa"/>
          </w:tcPr>
          <w:p w14:paraId="43E0AD17"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D5D371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2360</w:t>
            </w:r>
          </w:p>
        </w:tc>
        <w:tc>
          <w:tcPr>
            <w:tcW w:w="7057" w:type="dxa"/>
          </w:tcPr>
          <w:p w14:paraId="1C17C1E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articolelor din beton, ciment si ipsos</w:t>
            </w:r>
          </w:p>
        </w:tc>
      </w:tr>
      <w:tr w:rsidR="0018446E" w:rsidRPr="0018446E" w14:paraId="4B7DAF0B" w14:textId="77777777" w:rsidTr="00B0372F">
        <w:tc>
          <w:tcPr>
            <w:tcW w:w="1034" w:type="dxa"/>
          </w:tcPr>
          <w:p w14:paraId="4282E60A"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32BFDBB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2370</w:t>
            </w:r>
          </w:p>
        </w:tc>
        <w:tc>
          <w:tcPr>
            <w:tcW w:w="7057" w:type="dxa"/>
          </w:tcPr>
          <w:p w14:paraId="055C92F0"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Taierea</w:t>
            </w:r>
            <w:proofErr w:type="spellEnd"/>
            <w:r w:rsidRPr="0018446E">
              <w:rPr>
                <w:rFonts w:ascii="Times New Roman" w:eastAsia="Times New Roman" w:hAnsi="Times New Roman"/>
                <w:color w:val="000000" w:themeColor="text1"/>
                <w:lang w:val="ro-MD"/>
              </w:rPr>
              <w:t>, fasonarea si finisarea pietrei</w:t>
            </w:r>
          </w:p>
        </w:tc>
      </w:tr>
      <w:tr w:rsidR="0018446E" w:rsidRPr="0018446E" w14:paraId="3EC61AD0" w14:textId="77777777" w:rsidTr="00B0372F">
        <w:tc>
          <w:tcPr>
            <w:tcW w:w="1034" w:type="dxa"/>
          </w:tcPr>
          <w:p w14:paraId="2FB11921"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381DE28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2390</w:t>
            </w:r>
          </w:p>
        </w:tc>
        <w:tc>
          <w:tcPr>
            <w:tcW w:w="7057" w:type="dxa"/>
          </w:tcPr>
          <w:p w14:paraId="6D8913B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altor produse din minerale nemetalice </w:t>
            </w:r>
            <w:proofErr w:type="spellStart"/>
            <w:r w:rsidRPr="0018446E">
              <w:rPr>
                <w:rFonts w:ascii="Times New Roman" w:eastAsia="Times New Roman" w:hAnsi="Times New Roman"/>
                <w:color w:val="000000" w:themeColor="text1"/>
                <w:lang w:val="ro-MD"/>
              </w:rPr>
              <w:t>n.c.a</w:t>
            </w:r>
            <w:proofErr w:type="spellEnd"/>
            <w:r w:rsidRPr="0018446E">
              <w:rPr>
                <w:rFonts w:ascii="Times New Roman" w:eastAsia="Times New Roman" w:hAnsi="Times New Roman"/>
                <w:color w:val="000000" w:themeColor="text1"/>
                <w:lang w:val="ro-MD"/>
              </w:rPr>
              <w:t>.</w:t>
            </w:r>
          </w:p>
        </w:tc>
      </w:tr>
      <w:tr w:rsidR="0018446E" w:rsidRPr="0018446E" w14:paraId="73218143" w14:textId="77777777" w:rsidTr="00B0372F">
        <w:tc>
          <w:tcPr>
            <w:tcW w:w="9345" w:type="dxa"/>
            <w:gridSpan w:val="3"/>
          </w:tcPr>
          <w:p w14:paraId="50FF7467"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 xml:space="preserve">Industria </w:t>
            </w:r>
            <w:proofErr w:type="spellStart"/>
            <w:r w:rsidRPr="0018446E">
              <w:rPr>
                <w:rFonts w:ascii="Times New Roman" w:eastAsia="Times New Roman" w:hAnsi="Times New Roman"/>
                <w:b/>
                <w:bCs/>
                <w:color w:val="000000" w:themeColor="text1"/>
                <w:lang w:val="ro-MD"/>
              </w:rPr>
              <w:t>constructiilor</w:t>
            </w:r>
            <w:proofErr w:type="spellEnd"/>
            <w:r w:rsidRPr="0018446E">
              <w:rPr>
                <w:rFonts w:ascii="Times New Roman" w:eastAsia="Times New Roman" w:hAnsi="Times New Roman"/>
                <w:b/>
                <w:bCs/>
                <w:color w:val="000000" w:themeColor="text1"/>
                <w:lang w:val="ro-MD"/>
              </w:rPr>
              <w:t xml:space="preserve"> metalice si a produselor din metal, exclusiv </w:t>
            </w:r>
            <w:proofErr w:type="spellStart"/>
            <w:r w:rsidRPr="0018446E">
              <w:rPr>
                <w:rFonts w:ascii="Times New Roman" w:eastAsia="Times New Roman" w:hAnsi="Times New Roman"/>
                <w:b/>
                <w:bCs/>
                <w:color w:val="000000" w:themeColor="text1"/>
                <w:lang w:val="ro-MD"/>
              </w:rPr>
              <w:t>masini</w:t>
            </w:r>
            <w:proofErr w:type="spellEnd"/>
            <w:r w:rsidRPr="0018446E">
              <w:rPr>
                <w:rFonts w:ascii="Times New Roman" w:eastAsia="Times New Roman" w:hAnsi="Times New Roman"/>
                <w:b/>
                <w:bCs/>
                <w:color w:val="000000" w:themeColor="text1"/>
                <w:lang w:val="ro-MD"/>
              </w:rPr>
              <w:t xml:space="preserve">, utilaje si </w:t>
            </w:r>
            <w:proofErr w:type="spellStart"/>
            <w:r w:rsidRPr="0018446E">
              <w:rPr>
                <w:rFonts w:ascii="Times New Roman" w:eastAsia="Times New Roman" w:hAnsi="Times New Roman"/>
                <w:b/>
                <w:bCs/>
                <w:color w:val="000000" w:themeColor="text1"/>
                <w:lang w:val="ro-MD"/>
              </w:rPr>
              <w:t>instalatii</w:t>
            </w:r>
            <w:proofErr w:type="spellEnd"/>
          </w:p>
        </w:tc>
      </w:tr>
      <w:tr w:rsidR="0018446E" w:rsidRPr="0018446E" w14:paraId="62DB18FE" w14:textId="77777777" w:rsidTr="00B0372F">
        <w:tc>
          <w:tcPr>
            <w:tcW w:w="1034" w:type="dxa"/>
          </w:tcPr>
          <w:p w14:paraId="6768CC1E"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3A6B809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2510</w:t>
            </w:r>
          </w:p>
        </w:tc>
        <w:tc>
          <w:tcPr>
            <w:tcW w:w="7057" w:type="dxa"/>
          </w:tcPr>
          <w:p w14:paraId="493073E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de </w:t>
            </w:r>
            <w:proofErr w:type="spellStart"/>
            <w:r w:rsidRPr="0018446E">
              <w:rPr>
                <w:rFonts w:ascii="Times New Roman" w:eastAsia="Times New Roman" w:hAnsi="Times New Roman"/>
                <w:color w:val="000000" w:themeColor="text1"/>
                <w:lang w:val="ro-MD"/>
              </w:rPr>
              <w:t>constructii</w:t>
            </w:r>
            <w:proofErr w:type="spellEnd"/>
            <w:r w:rsidRPr="0018446E">
              <w:rPr>
                <w:rFonts w:ascii="Times New Roman" w:eastAsia="Times New Roman" w:hAnsi="Times New Roman"/>
                <w:color w:val="000000" w:themeColor="text1"/>
                <w:lang w:val="ro-MD"/>
              </w:rPr>
              <w:t xml:space="preserve"> metalice</w:t>
            </w:r>
          </w:p>
        </w:tc>
      </w:tr>
      <w:tr w:rsidR="0018446E" w:rsidRPr="0018446E" w14:paraId="682A971B" w14:textId="77777777" w:rsidTr="00B0372F">
        <w:tc>
          <w:tcPr>
            <w:tcW w:w="1034" w:type="dxa"/>
          </w:tcPr>
          <w:p w14:paraId="0A5AAB55"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36B944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2520</w:t>
            </w:r>
          </w:p>
        </w:tc>
        <w:tc>
          <w:tcPr>
            <w:tcW w:w="7057" w:type="dxa"/>
          </w:tcPr>
          <w:p w14:paraId="61251F31" w14:textId="77777777" w:rsidR="0018446E" w:rsidRPr="0018446E" w:rsidRDefault="0018446E" w:rsidP="0018446E">
            <w:pPr>
              <w:spacing w:after="0" w:line="240" w:lineRule="auto"/>
              <w:ind w:left="0"/>
              <w:jc w:val="both"/>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Productia</w:t>
            </w:r>
            <w:proofErr w:type="spellEnd"/>
            <w:r w:rsidRPr="0018446E">
              <w:rPr>
                <w:rFonts w:ascii="Times New Roman" w:eastAsia="Times New Roman" w:hAnsi="Times New Roman"/>
                <w:color w:val="000000" w:themeColor="text1"/>
                <w:lang w:val="ro-MD"/>
              </w:rPr>
              <w:t xml:space="preserve"> de rezervoare, cisterne si containere metalice; </w:t>
            </w:r>
            <w:proofErr w:type="spellStart"/>
            <w:r w:rsidRPr="0018446E">
              <w:rPr>
                <w:rFonts w:ascii="Times New Roman" w:eastAsia="Times New Roman" w:hAnsi="Times New Roman"/>
                <w:color w:val="000000" w:themeColor="text1"/>
                <w:lang w:val="ro-MD"/>
              </w:rPr>
              <w:t>productia</w:t>
            </w:r>
            <w:proofErr w:type="spellEnd"/>
            <w:r w:rsidRPr="0018446E">
              <w:rPr>
                <w:rFonts w:ascii="Times New Roman" w:eastAsia="Times New Roman" w:hAnsi="Times New Roman"/>
                <w:color w:val="000000" w:themeColor="text1"/>
                <w:lang w:val="ro-MD"/>
              </w:rPr>
              <w:t xml:space="preserve"> de radiatoare si cazane pentru </w:t>
            </w:r>
            <w:proofErr w:type="spellStart"/>
            <w:r w:rsidRPr="0018446E">
              <w:rPr>
                <w:rFonts w:ascii="Times New Roman" w:eastAsia="Times New Roman" w:hAnsi="Times New Roman"/>
                <w:color w:val="000000" w:themeColor="text1"/>
                <w:lang w:val="ro-MD"/>
              </w:rPr>
              <w:t>incalzire</w:t>
            </w:r>
            <w:proofErr w:type="spellEnd"/>
            <w:r w:rsidRPr="0018446E">
              <w:rPr>
                <w:rFonts w:ascii="Times New Roman" w:eastAsia="Times New Roman" w:hAnsi="Times New Roman"/>
                <w:color w:val="000000" w:themeColor="text1"/>
                <w:lang w:val="ro-MD"/>
              </w:rPr>
              <w:t xml:space="preserve"> centrala</w:t>
            </w:r>
          </w:p>
        </w:tc>
      </w:tr>
      <w:tr w:rsidR="0018446E" w:rsidRPr="0018446E" w14:paraId="6F6E8253" w14:textId="77777777" w:rsidTr="00B0372F">
        <w:tc>
          <w:tcPr>
            <w:tcW w:w="1034" w:type="dxa"/>
          </w:tcPr>
          <w:p w14:paraId="44F3CDC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8297B5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2560</w:t>
            </w:r>
          </w:p>
        </w:tc>
        <w:tc>
          <w:tcPr>
            <w:tcW w:w="7057" w:type="dxa"/>
          </w:tcPr>
          <w:p w14:paraId="4A6DC01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Tratarea si acoperirea metalelor; </w:t>
            </w:r>
            <w:proofErr w:type="spellStart"/>
            <w:r w:rsidRPr="0018446E">
              <w:rPr>
                <w:rFonts w:ascii="Times New Roman" w:eastAsia="Times New Roman" w:hAnsi="Times New Roman"/>
                <w:color w:val="000000" w:themeColor="text1"/>
                <w:lang w:val="ro-MD"/>
              </w:rPr>
              <w:t>operatiuni</w:t>
            </w:r>
            <w:proofErr w:type="spellEnd"/>
            <w:r w:rsidRPr="0018446E">
              <w:rPr>
                <w:rFonts w:ascii="Times New Roman" w:eastAsia="Times New Roman" w:hAnsi="Times New Roman"/>
                <w:color w:val="000000" w:themeColor="text1"/>
                <w:lang w:val="ro-MD"/>
              </w:rPr>
              <w:t xml:space="preserve"> de mecanica generala</w:t>
            </w:r>
          </w:p>
        </w:tc>
      </w:tr>
      <w:tr w:rsidR="0018446E" w:rsidRPr="0018446E" w14:paraId="4FA91E38" w14:textId="77777777" w:rsidTr="00B0372F">
        <w:tc>
          <w:tcPr>
            <w:tcW w:w="1034" w:type="dxa"/>
          </w:tcPr>
          <w:p w14:paraId="7D8A99CB"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93AF37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2570</w:t>
            </w:r>
          </w:p>
        </w:tc>
        <w:tc>
          <w:tcPr>
            <w:tcW w:w="7057" w:type="dxa"/>
          </w:tcPr>
          <w:p w14:paraId="759AD34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Productia</w:t>
            </w:r>
            <w:proofErr w:type="spellEnd"/>
            <w:r w:rsidRPr="0018446E">
              <w:rPr>
                <w:rFonts w:ascii="Times New Roman" w:eastAsia="Times New Roman" w:hAnsi="Times New Roman"/>
                <w:color w:val="000000" w:themeColor="text1"/>
                <w:lang w:val="ro-MD"/>
              </w:rPr>
              <w:t xml:space="preserve"> de unelte si articole de </w:t>
            </w:r>
            <w:proofErr w:type="spellStart"/>
            <w:r w:rsidRPr="0018446E">
              <w:rPr>
                <w:rFonts w:ascii="Times New Roman" w:eastAsia="Times New Roman" w:hAnsi="Times New Roman"/>
                <w:color w:val="000000" w:themeColor="text1"/>
                <w:lang w:val="ro-MD"/>
              </w:rPr>
              <w:t>fierarie</w:t>
            </w:r>
            <w:proofErr w:type="spellEnd"/>
          </w:p>
        </w:tc>
      </w:tr>
      <w:tr w:rsidR="0018446E" w:rsidRPr="0018446E" w14:paraId="2A02577D" w14:textId="77777777" w:rsidTr="00B0372F">
        <w:tc>
          <w:tcPr>
            <w:tcW w:w="1034" w:type="dxa"/>
          </w:tcPr>
          <w:p w14:paraId="25F91DE4"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0FC7B9C"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2590</w:t>
            </w:r>
          </w:p>
        </w:tc>
        <w:tc>
          <w:tcPr>
            <w:tcW w:w="7057" w:type="dxa"/>
          </w:tcPr>
          <w:p w14:paraId="511EE9F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altor produse prelucrate din metal</w:t>
            </w:r>
          </w:p>
        </w:tc>
      </w:tr>
      <w:tr w:rsidR="0018446E" w:rsidRPr="0018446E" w14:paraId="40F90460" w14:textId="77777777" w:rsidTr="00B0372F">
        <w:tc>
          <w:tcPr>
            <w:tcW w:w="9345" w:type="dxa"/>
            <w:gridSpan w:val="3"/>
          </w:tcPr>
          <w:p w14:paraId="36E31713"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calculatoarelor si a produselor electronice si optice</w:t>
            </w:r>
          </w:p>
        </w:tc>
      </w:tr>
      <w:tr w:rsidR="0018446E" w:rsidRPr="0018446E" w14:paraId="0A66CFB2" w14:textId="77777777" w:rsidTr="00B0372F">
        <w:tc>
          <w:tcPr>
            <w:tcW w:w="1034" w:type="dxa"/>
          </w:tcPr>
          <w:p w14:paraId="2C29B3DD"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6E5E8B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2610</w:t>
            </w:r>
          </w:p>
        </w:tc>
        <w:tc>
          <w:tcPr>
            <w:tcW w:w="7057" w:type="dxa"/>
          </w:tcPr>
          <w:p w14:paraId="4D1DC6F7"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componentelor electronice</w:t>
            </w:r>
          </w:p>
        </w:tc>
      </w:tr>
      <w:tr w:rsidR="0018446E" w:rsidRPr="0018446E" w14:paraId="51F68430" w14:textId="77777777" w:rsidTr="00B0372F">
        <w:tc>
          <w:tcPr>
            <w:tcW w:w="1034" w:type="dxa"/>
          </w:tcPr>
          <w:p w14:paraId="253A8A9A"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1E3EC7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2620</w:t>
            </w:r>
          </w:p>
        </w:tc>
        <w:tc>
          <w:tcPr>
            <w:tcW w:w="7057" w:type="dxa"/>
          </w:tcPr>
          <w:p w14:paraId="2FF4809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calculatoarelor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a echipamentelor periferice</w:t>
            </w:r>
          </w:p>
        </w:tc>
      </w:tr>
      <w:tr w:rsidR="0018446E" w:rsidRPr="0018446E" w14:paraId="642B5A20" w14:textId="77777777" w:rsidTr="00B0372F">
        <w:tc>
          <w:tcPr>
            <w:tcW w:w="1034" w:type="dxa"/>
          </w:tcPr>
          <w:p w14:paraId="793A0305"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192D200"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2630</w:t>
            </w:r>
          </w:p>
        </w:tc>
        <w:tc>
          <w:tcPr>
            <w:tcW w:w="7057" w:type="dxa"/>
          </w:tcPr>
          <w:p w14:paraId="388F1527"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echipamentelor de </w:t>
            </w:r>
            <w:proofErr w:type="spellStart"/>
            <w:r w:rsidRPr="0018446E">
              <w:rPr>
                <w:rFonts w:ascii="Times New Roman" w:eastAsia="Times New Roman" w:hAnsi="Times New Roman"/>
                <w:color w:val="000000" w:themeColor="text1"/>
                <w:lang w:val="ro-MD"/>
              </w:rPr>
              <w:t>comunicaţii</w:t>
            </w:r>
            <w:proofErr w:type="spellEnd"/>
          </w:p>
        </w:tc>
      </w:tr>
      <w:tr w:rsidR="0018446E" w:rsidRPr="0018446E" w14:paraId="5D08CD62" w14:textId="77777777" w:rsidTr="00B0372F">
        <w:tc>
          <w:tcPr>
            <w:tcW w:w="1034" w:type="dxa"/>
          </w:tcPr>
          <w:p w14:paraId="6E2D591C"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CC07F0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2640</w:t>
            </w:r>
          </w:p>
        </w:tc>
        <w:tc>
          <w:tcPr>
            <w:tcW w:w="7057" w:type="dxa"/>
          </w:tcPr>
          <w:p w14:paraId="5FD72DE7"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produselor electronice de larg consum</w:t>
            </w:r>
          </w:p>
        </w:tc>
      </w:tr>
      <w:tr w:rsidR="0018446E" w:rsidRPr="0018446E" w14:paraId="1F7EEF7A" w14:textId="77777777" w:rsidTr="00B0372F">
        <w:tc>
          <w:tcPr>
            <w:tcW w:w="1034" w:type="dxa"/>
          </w:tcPr>
          <w:p w14:paraId="35BC19F8"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0C3D121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2650</w:t>
            </w:r>
          </w:p>
        </w:tc>
        <w:tc>
          <w:tcPr>
            <w:tcW w:w="7057" w:type="dxa"/>
          </w:tcPr>
          <w:p w14:paraId="1DECC64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de echipamente de </w:t>
            </w:r>
            <w:proofErr w:type="spellStart"/>
            <w:r w:rsidRPr="0018446E">
              <w:rPr>
                <w:rFonts w:ascii="Times New Roman" w:eastAsia="Times New Roman" w:hAnsi="Times New Roman"/>
                <w:color w:val="000000" w:themeColor="text1"/>
                <w:lang w:val="ro-MD"/>
              </w:rPr>
              <w:t>masura</w:t>
            </w:r>
            <w:proofErr w:type="spellEnd"/>
            <w:r w:rsidRPr="0018446E">
              <w:rPr>
                <w:rFonts w:ascii="Times New Roman" w:eastAsia="Times New Roman" w:hAnsi="Times New Roman"/>
                <w:color w:val="000000" w:themeColor="text1"/>
                <w:lang w:val="ro-MD"/>
              </w:rPr>
              <w:t xml:space="preserve">, verificare, control si </w:t>
            </w:r>
            <w:proofErr w:type="spellStart"/>
            <w:r w:rsidRPr="0018446E">
              <w:rPr>
                <w:rFonts w:ascii="Times New Roman" w:eastAsia="Times New Roman" w:hAnsi="Times New Roman"/>
                <w:color w:val="000000" w:themeColor="text1"/>
                <w:lang w:val="ro-MD"/>
              </w:rPr>
              <w:t>navigatie</w:t>
            </w:r>
            <w:proofErr w:type="spellEnd"/>
            <w:r w:rsidRPr="0018446E">
              <w:rPr>
                <w:rFonts w:ascii="Times New Roman" w:eastAsia="Times New Roman" w:hAnsi="Times New Roman"/>
                <w:color w:val="000000" w:themeColor="text1"/>
                <w:lang w:val="ro-MD"/>
              </w:rPr>
              <w:t xml:space="preserve">; </w:t>
            </w:r>
            <w:proofErr w:type="spellStart"/>
            <w:r w:rsidRPr="0018446E">
              <w:rPr>
                <w:rFonts w:ascii="Times New Roman" w:eastAsia="Times New Roman" w:hAnsi="Times New Roman"/>
                <w:color w:val="000000" w:themeColor="text1"/>
                <w:lang w:val="ro-MD"/>
              </w:rPr>
              <w:t>productia</w:t>
            </w:r>
            <w:proofErr w:type="spellEnd"/>
            <w:r w:rsidRPr="0018446E">
              <w:rPr>
                <w:rFonts w:ascii="Times New Roman" w:eastAsia="Times New Roman" w:hAnsi="Times New Roman"/>
                <w:color w:val="000000" w:themeColor="text1"/>
                <w:lang w:val="ro-MD"/>
              </w:rPr>
              <w:t xml:space="preserve"> de ceasuri</w:t>
            </w:r>
          </w:p>
        </w:tc>
      </w:tr>
      <w:tr w:rsidR="0018446E" w:rsidRPr="0018446E" w14:paraId="29D75988" w14:textId="77777777" w:rsidTr="00B0372F">
        <w:tc>
          <w:tcPr>
            <w:tcW w:w="1034" w:type="dxa"/>
          </w:tcPr>
          <w:p w14:paraId="63B5EDD1"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571443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2660</w:t>
            </w:r>
          </w:p>
        </w:tc>
        <w:tc>
          <w:tcPr>
            <w:tcW w:w="7057" w:type="dxa"/>
          </w:tcPr>
          <w:p w14:paraId="7553C5C7"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de echipamente pentru radiologie, electrodiagnostic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electroterapie</w:t>
            </w:r>
          </w:p>
        </w:tc>
      </w:tr>
      <w:tr w:rsidR="0018446E" w:rsidRPr="0018446E" w14:paraId="1E9D5EB6" w14:textId="77777777" w:rsidTr="00B0372F">
        <w:tc>
          <w:tcPr>
            <w:tcW w:w="1034" w:type="dxa"/>
          </w:tcPr>
          <w:p w14:paraId="45928229"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20982AE0"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2670</w:t>
            </w:r>
          </w:p>
        </w:tc>
        <w:tc>
          <w:tcPr>
            <w:tcW w:w="7057" w:type="dxa"/>
          </w:tcPr>
          <w:p w14:paraId="08B18DE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de instrumente optice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echipamente fotografice</w:t>
            </w:r>
          </w:p>
        </w:tc>
      </w:tr>
      <w:tr w:rsidR="0018446E" w:rsidRPr="0018446E" w14:paraId="60767607" w14:textId="77777777" w:rsidTr="00B0372F">
        <w:tc>
          <w:tcPr>
            <w:tcW w:w="1034" w:type="dxa"/>
          </w:tcPr>
          <w:p w14:paraId="164741C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6B2A0E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2680</w:t>
            </w:r>
          </w:p>
        </w:tc>
        <w:tc>
          <w:tcPr>
            <w:tcW w:w="7057" w:type="dxa"/>
          </w:tcPr>
          <w:p w14:paraId="4DD4315C"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w:t>
            </w:r>
            <w:proofErr w:type="spellStart"/>
            <w:r w:rsidRPr="0018446E">
              <w:rPr>
                <w:rFonts w:ascii="Times New Roman" w:eastAsia="Times New Roman" w:hAnsi="Times New Roman"/>
                <w:color w:val="000000" w:themeColor="text1"/>
                <w:lang w:val="ro-MD"/>
              </w:rPr>
              <w:t>suporţilor</w:t>
            </w:r>
            <w:proofErr w:type="spellEnd"/>
            <w:r w:rsidRPr="0018446E">
              <w:rPr>
                <w:rFonts w:ascii="Times New Roman" w:eastAsia="Times New Roman" w:hAnsi="Times New Roman"/>
                <w:color w:val="000000" w:themeColor="text1"/>
                <w:lang w:val="ro-MD"/>
              </w:rPr>
              <w:t xml:space="preserve"> magnetici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optici </w:t>
            </w:r>
            <w:proofErr w:type="spellStart"/>
            <w:r w:rsidRPr="0018446E">
              <w:rPr>
                <w:rFonts w:ascii="Times New Roman" w:eastAsia="Times New Roman" w:hAnsi="Times New Roman"/>
                <w:color w:val="000000" w:themeColor="text1"/>
                <w:lang w:val="ro-MD"/>
              </w:rPr>
              <w:t>destinaţi</w:t>
            </w:r>
            <w:proofErr w:type="spellEnd"/>
            <w:r w:rsidRPr="0018446E">
              <w:rPr>
                <w:rFonts w:ascii="Times New Roman" w:eastAsia="Times New Roman" w:hAnsi="Times New Roman"/>
                <w:color w:val="000000" w:themeColor="text1"/>
                <w:lang w:val="ro-MD"/>
              </w:rPr>
              <w:t xml:space="preserve"> înregistrărilor</w:t>
            </w:r>
          </w:p>
        </w:tc>
      </w:tr>
      <w:tr w:rsidR="0018446E" w:rsidRPr="0018446E" w14:paraId="3FDF0210" w14:textId="77777777" w:rsidTr="00B0372F">
        <w:tc>
          <w:tcPr>
            <w:tcW w:w="9345" w:type="dxa"/>
            <w:gridSpan w:val="3"/>
          </w:tcPr>
          <w:p w14:paraId="3B9AE20E"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echipamentelor electrice</w:t>
            </w:r>
          </w:p>
        </w:tc>
      </w:tr>
      <w:tr w:rsidR="0018446E" w:rsidRPr="0018446E" w14:paraId="0EA73AC3" w14:textId="77777777" w:rsidTr="00B0372F">
        <w:tc>
          <w:tcPr>
            <w:tcW w:w="1034" w:type="dxa"/>
          </w:tcPr>
          <w:p w14:paraId="695EE485"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871B1C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2710</w:t>
            </w:r>
          </w:p>
        </w:tc>
        <w:tc>
          <w:tcPr>
            <w:tcW w:w="7057" w:type="dxa"/>
          </w:tcPr>
          <w:p w14:paraId="3CBF36D4"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motoarelor electrice, generatoarelor si transformatoarelor electrice si a aparatelor de </w:t>
            </w:r>
            <w:proofErr w:type="spellStart"/>
            <w:r w:rsidRPr="0018446E">
              <w:rPr>
                <w:rFonts w:ascii="Times New Roman" w:eastAsia="Times New Roman" w:hAnsi="Times New Roman"/>
                <w:color w:val="000000" w:themeColor="text1"/>
                <w:lang w:val="ro-MD"/>
              </w:rPr>
              <w:t>distributie</w:t>
            </w:r>
            <w:proofErr w:type="spellEnd"/>
            <w:r w:rsidRPr="0018446E">
              <w:rPr>
                <w:rFonts w:ascii="Times New Roman" w:eastAsia="Times New Roman" w:hAnsi="Times New Roman"/>
                <w:color w:val="000000" w:themeColor="text1"/>
                <w:lang w:val="ro-MD"/>
              </w:rPr>
              <w:t xml:space="preserve"> si control a </w:t>
            </w:r>
            <w:proofErr w:type="spellStart"/>
            <w:r w:rsidRPr="0018446E">
              <w:rPr>
                <w:rFonts w:ascii="Times New Roman" w:eastAsia="Times New Roman" w:hAnsi="Times New Roman"/>
                <w:color w:val="000000" w:themeColor="text1"/>
                <w:lang w:val="ro-MD"/>
              </w:rPr>
              <w:t>electricitatii</w:t>
            </w:r>
            <w:proofErr w:type="spellEnd"/>
          </w:p>
        </w:tc>
      </w:tr>
      <w:tr w:rsidR="0018446E" w:rsidRPr="0018446E" w14:paraId="37A18C29" w14:textId="77777777" w:rsidTr="00B0372F">
        <w:tc>
          <w:tcPr>
            <w:tcW w:w="1034" w:type="dxa"/>
          </w:tcPr>
          <w:p w14:paraId="4085F2DA"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6DC26EE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2720</w:t>
            </w:r>
          </w:p>
        </w:tc>
        <w:tc>
          <w:tcPr>
            <w:tcW w:w="7057" w:type="dxa"/>
          </w:tcPr>
          <w:p w14:paraId="5724BE3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de acumulatori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baterii</w:t>
            </w:r>
          </w:p>
        </w:tc>
      </w:tr>
      <w:tr w:rsidR="0018446E" w:rsidRPr="0018446E" w14:paraId="438AAFD1" w14:textId="77777777" w:rsidTr="00B0372F">
        <w:tc>
          <w:tcPr>
            <w:tcW w:w="1034" w:type="dxa"/>
          </w:tcPr>
          <w:p w14:paraId="4B8ACE5F"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271BE54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2730</w:t>
            </w:r>
          </w:p>
        </w:tc>
        <w:tc>
          <w:tcPr>
            <w:tcW w:w="7057" w:type="dxa"/>
          </w:tcPr>
          <w:p w14:paraId="7438D685" w14:textId="77777777" w:rsidR="0018446E" w:rsidRPr="0018446E" w:rsidRDefault="0018446E" w:rsidP="0018446E">
            <w:pPr>
              <w:spacing w:after="0" w:line="240" w:lineRule="auto"/>
              <w:ind w:left="0"/>
              <w:jc w:val="both"/>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de fire si cabluri; fabricarea dispozitivelor de conexiune pentru acestea</w:t>
            </w:r>
          </w:p>
        </w:tc>
      </w:tr>
      <w:tr w:rsidR="0018446E" w:rsidRPr="0018446E" w14:paraId="0205FEB9" w14:textId="77777777" w:rsidTr="00B0372F">
        <w:tc>
          <w:tcPr>
            <w:tcW w:w="1034" w:type="dxa"/>
          </w:tcPr>
          <w:p w14:paraId="3A87B660"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036C455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2740</w:t>
            </w:r>
          </w:p>
        </w:tc>
        <w:tc>
          <w:tcPr>
            <w:tcW w:w="7057" w:type="dxa"/>
          </w:tcPr>
          <w:p w14:paraId="6BADB502"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de echipamente electrice de iluminat</w:t>
            </w:r>
          </w:p>
        </w:tc>
      </w:tr>
      <w:tr w:rsidR="0018446E" w:rsidRPr="0018446E" w14:paraId="7D882064" w14:textId="77777777" w:rsidTr="00B0372F">
        <w:tc>
          <w:tcPr>
            <w:tcW w:w="1034" w:type="dxa"/>
          </w:tcPr>
          <w:p w14:paraId="3B09AF63"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D9A3AE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2750</w:t>
            </w:r>
          </w:p>
        </w:tc>
        <w:tc>
          <w:tcPr>
            <w:tcW w:w="7057" w:type="dxa"/>
          </w:tcPr>
          <w:p w14:paraId="20D3EF1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de echipamente casnice</w:t>
            </w:r>
          </w:p>
        </w:tc>
      </w:tr>
      <w:tr w:rsidR="0018446E" w:rsidRPr="0018446E" w14:paraId="56DD2E34" w14:textId="77777777" w:rsidTr="00B0372F">
        <w:tc>
          <w:tcPr>
            <w:tcW w:w="1034" w:type="dxa"/>
          </w:tcPr>
          <w:p w14:paraId="6A4F90C4"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09719389"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2790</w:t>
            </w:r>
          </w:p>
        </w:tc>
        <w:tc>
          <w:tcPr>
            <w:tcW w:w="7057" w:type="dxa"/>
          </w:tcPr>
          <w:p w14:paraId="6535AA8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altor echipamente electrice</w:t>
            </w:r>
          </w:p>
        </w:tc>
      </w:tr>
      <w:tr w:rsidR="0018446E" w:rsidRPr="0018446E" w14:paraId="52FE6556" w14:textId="77777777" w:rsidTr="00B0372F">
        <w:tc>
          <w:tcPr>
            <w:tcW w:w="9345" w:type="dxa"/>
            <w:gridSpan w:val="3"/>
          </w:tcPr>
          <w:p w14:paraId="7E425D33"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 xml:space="preserve">Fabricarea de </w:t>
            </w:r>
            <w:proofErr w:type="spellStart"/>
            <w:r w:rsidRPr="0018446E">
              <w:rPr>
                <w:rFonts w:ascii="Times New Roman" w:eastAsia="Times New Roman" w:hAnsi="Times New Roman"/>
                <w:b/>
                <w:bCs/>
                <w:color w:val="000000" w:themeColor="text1"/>
                <w:lang w:val="ro-MD"/>
              </w:rPr>
              <w:t>masini</w:t>
            </w:r>
            <w:proofErr w:type="spellEnd"/>
            <w:r w:rsidRPr="0018446E">
              <w:rPr>
                <w:rFonts w:ascii="Times New Roman" w:eastAsia="Times New Roman" w:hAnsi="Times New Roman"/>
                <w:b/>
                <w:bCs/>
                <w:color w:val="000000" w:themeColor="text1"/>
                <w:lang w:val="ro-MD"/>
              </w:rPr>
              <w:t xml:space="preserve">, utilaje si echipamente </w:t>
            </w:r>
            <w:proofErr w:type="spellStart"/>
            <w:r w:rsidRPr="0018446E">
              <w:rPr>
                <w:rFonts w:ascii="Times New Roman" w:eastAsia="Times New Roman" w:hAnsi="Times New Roman"/>
                <w:b/>
                <w:bCs/>
                <w:color w:val="000000" w:themeColor="text1"/>
                <w:lang w:val="ro-MD"/>
              </w:rPr>
              <w:t>n.c.a</w:t>
            </w:r>
            <w:proofErr w:type="spellEnd"/>
            <w:r w:rsidRPr="0018446E">
              <w:rPr>
                <w:rFonts w:ascii="Times New Roman" w:eastAsia="Times New Roman" w:hAnsi="Times New Roman"/>
                <w:b/>
                <w:bCs/>
                <w:color w:val="000000" w:themeColor="text1"/>
                <w:lang w:val="ro-MD"/>
              </w:rPr>
              <w:t>.</w:t>
            </w:r>
          </w:p>
        </w:tc>
      </w:tr>
      <w:tr w:rsidR="0018446E" w:rsidRPr="0018446E" w14:paraId="7A00383D" w14:textId="77777777" w:rsidTr="00B0372F">
        <w:tc>
          <w:tcPr>
            <w:tcW w:w="1034" w:type="dxa"/>
          </w:tcPr>
          <w:p w14:paraId="04827F2B"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D554FD1"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2810</w:t>
            </w:r>
          </w:p>
        </w:tc>
        <w:tc>
          <w:tcPr>
            <w:tcW w:w="7057" w:type="dxa"/>
          </w:tcPr>
          <w:p w14:paraId="6CE3CB6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de </w:t>
            </w:r>
            <w:proofErr w:type="spellStart"/>
            <w:r w:rsidRPr="0018446E">
              <w:rPr>
                <w:rFonts w:ascii="Times New Roman" w:eastAsia="Times New Roman" w:hAnsi="Times New Roman"/>
                <w:color w:val="000000" w:themeColor="text1"/>
                <w:lang w:val="ro-MD"/>
              </w:rPr>
              <w:t>maşini</w:t>
            </w:r>
            <w:proofErr w:type="spellEnd"/>
            <w:r w:rsidRPr="0018446E">
              <w:rPr>
                <w:rFonts w:ascii="Times New Roman" w:eastAsia="Times New Roman" w:hAnsi="Times New Roman"/>
                <w:color w:val="000000" w:themeColor="text1"/>
                <w:lang w:val="ro-MD"/>
              </w:rPr>
              <w:t xml:space="preserve">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utilaje de utilizare generală</w:t>
            </w:r>
          </w:p>
        </w:tc>
      </w:tr>
      <w:tr w:rsidR="0018446E" w:rsidRPr="0018446E" w14:paraId="285AFC6F" w14:textId="77777777" w:rsidTr="00B0372F">
        <w:tc>
          <w:tcPr>
            <w:tcW w:w="1034" w:type="dxa"/>
          </w:tcPr>
          <w:p w14:paraId="757A70F8"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54CE130"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2820</w:t>
            </w:r>
          </w:p>
        </w:tc>
        <w:tc>
          <w:tcPr>
            <w:tcW w:w="7057" w:type="dxa"/>
          </w:tcPr>
          <w:p w14:paraId="2167DB7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altor </w:t>
            </w:r>
            <w:proofErr w:type="spellStart"/>
            <w:r w:rsidRPr="0018446E">
              <w:rPr>
                <w:rFonts w:ascii="Times New Roman" w:eastAsia="Times New Roman" w:hAnsi="Times New Roman"/>
                <w:color w:val="000000" w:themeColor="text1"/>
                <w:lang w:val="ro-MD"/>
              </w:rPr>
              <w:t>maşini</w:t>
            </w:r>
            <w:proofErr w:type="spellEnd"/>
            <w:r w:rsidRPr="0018446E">
              <w:rPr>
                <w:rFonts w:ascii="Times New Roman" w:eastAsia="Times New Roman" w:hAnsi="Times New Roman"/>
                <w:color w:val="000000" w:themeColor="text1"/>
                <w:lang w:val="ro-MD"/>
              </w:rPr>
              <w:t xml:space="preserve">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utilaje de utilizare generală</w:t>
            </w:r>
          </w:p>
        </w:tc>
      </w:tr>
      <w:tr w:rsidR="0018446E" w:rsidRPr="0018446E" w14:paraId="15AA4228" w14:textId="77777777" w:rsidTr="00B0372F">
        <w:tc>
          <w:tcPr>
            <w:tcW w:w="1034" w:type="dxa"/>
          </w:tcPr>
          <w:p w14:paraId="4592FB80"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32C73AC9"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2830</w:t>
            </w:r>
          </w:p>
        </w:tc>
        <w:tc>
          <w:tcPr>
            <w:tcW w:w="7057" w:type="dxa"/>
          </w:tcPr>
          <w:p w14:paraId="2027105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w:t>
            </w:r>
            <w:proofErr w:type="spellStart"/>
            <w:r w:rsidRPr="0018446E">
              <w:rPr>
                <w:rFonts w:ascii="Times New Roman" w:eastAsia="Times New Roman" w:hAnsi="Times New Roman"/>
                <w:color w:val="000000" w:themeColor="text1"/>
                <w:lang w:val="ro-MD"/>
              </w:rPr>
              <w:t>masinilor</w:t>
            </w:r>
            <w:proofErr w:type="spellEnd"/>
            <w:r w:rsidRPr="0018446E">
              <w:rPr>
                <w:rFonts w:ascii="Times New Roman" w:eastAsia="Times New Roman" w:hAnsi="Times New Roman"/>
                <w:color w:val="000000" w:themeColor="text1"/>
                <w:lang w:val="ro-MD"/>
              </w:rPr>
              <w:t xml:space="preserve"> si utilajelor pentru agricultura si </w:t>
            </w:r>
            <w:proofErr w:type="spellStart"/>
            <w:r w:rsidRPr="0018446E">
              <w:rPr>
                <w:rFonts w:ascii="Times New Roman" w:eastAsia="Times New Roman" w:hAnsi="Times New Roman"/>
                <w:color w:val="000000" w:themeColor="text1"/>
                <w:lang w:val="ro-MD"/>
              </w:rPr>
              <w:t>exploatari</w:t>
            </w:r>
            <w:proofErr w:type="spellEnd"/>
            <w:r w:rsidRPr="0018446E">
              <w:rPr>
                <w:rFonts w:ascii="Times New Roman" w:eastAsia="Times New Roman" w:hAnsi="Times New Roman"/>
                <w:color w:val="000000" w:themeColor="text1"/>
                <w:lang w:val="ro-MD"/>
              </w:rPr>
              <w:t xml:space="preserve"> forestiere</w:t>
            </w:r>
          </w:p>
        </w:tc>
      </w:tr>
      <w:tr w:rsidR="0018446E" w:rsidRPr="0018446E" w14:paraId="302BA6D9" w14:textId="77777777" w:rsidTr="00B0372F">
        <w:tc>
          <w:tcPr>
            <w:tcW w:w="1034" w:type="dxa"/>
          </w:tcPr>
          <w:p w14:paraId="3FB8B1A1"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2B8330B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2840</w:t>
            </w:r>
          </w:p>
        </w:tc>
        <w:tc>
          <w:tcPr>
            <w:tcW w:w="7057" w:type="dxa"/>
          </w:tcPr>
          <w:p w14:paraId="62F01A3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utilajelor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a </w:t>
            </w:r>
            <w:proofErr w:type="spellStart"/>
            <w:r w:rsidRPr="0018446E">
              <w:rPr>
                <w:rFonts w:ascii="Times New Roman" w:eastAsia="Times New Roman" w:hAnsi="Times New Roman"/>
                <w:color w:val="000000" w:themeColor="text1"/>
                <w:lang w:val="ro-MD"/>
              </w:rPr>
              <w:t>maşinilor</w:t>
            </w:r>
            <w:proofErr w:type="spellEnd"/>
            <w:r w:rsidRPr="0018446E">
              <w:rPr>
                <w:rFonts w:ascii="Times New Roman" w:eastAsia="Times New Roman" w:hAnsi="Times New Roman"/>
                <w:color w:val="000000" w:themeColor="text1"/>
                <w:lang w:val="ro-MD"/>
              </w:rPr>
              <w:t>-unelte pentru prelucrarea metalelor</w:t>
            </w:r>
          </w:p>
        </w:tc>
      </w:tr>
      <w:tr w:rsidR="0018446E" w:rsidRPr="0018446E" w14:paraId="61C290CD" w14:textId="77777777" w:rsidTr="00B0372F">
        <w:tc>
          <w:tcPr>
            <w:tcW w:w="1034" w:type="dxa"/>
          </w:tcPr>
          <w:p w14:paraId="15ACA302"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AF644D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2890</w:t>
            </w:r>
          </w:p>
        </w:tc>
        <w:tc>
          <w:tcPr>
            <w:tcW w:w="7057" w:type="dxa"/>
          </w:tcPr>
          <w:p w14:paraId="74BBC00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altor </w:t>
            </w:r>
            <w:proofErr w:type="spellStart"/>
            <w:r w:rsidRPr="0018446E">
              <w:rPr>
                <w:rFonts w:ascii="Times New Roman" w:eastAsia="Times New Roman" w:hAnsi="Times New Roman"/>
                <w:color w:val="000000" w:themeColor="text1"/>
                <w:lang w:val="ro-MD"/>
              </w:rPr>
              <w:t>maşini</w:t>
            </w:r>
            <w:proofErr w:type="spellEnd"/>
            <w:r w:rsidRPr="0018446E">
              <w:rPr>
                <w:rFonts w:ascii="Times New Roman" w:eastAsia="Times New Roman" w:hAnsi="Times New Roman"/>
                <w:color w:val="000000" w:themeColor="text1"/>
                <w:lang w:val="ro-MD"/>
              </w:rPr>
              <w:t xml:space="preserve">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utilaje cu </w:t>
            </w:r>
            <w:proofErr w:type="spellStart"/>
            <w:r w:rsidRPr="0018446E">
              <w:rPr>
                <w:rFonts w:ascii="Times New Roman" w:eastAsia="Times New Roman" w:hAnsi="Times New Roman"/>
                <w:color w:val="000000" w:themeColor="text1"/>
                <w:lang w:val="ro-MD"/>
              </w:rPr>
              <w:t>destinaţie</w:t>
            </w:r>
            <w:proofErr w:type="spellEnd"/>
            <w:r w:rsidRPr="0018446E">
              <w:rPr>
                <w:rFonts w:ascii="Times New Roman" w:eastAsia="Times New Roman" w:hAnsi="Times New Roman"/>
                <w:color w:val="000000" w:themeColor="text1"/>
                <w:lang w:val="ro-MD"/>
              </w:rPr>
              <w:t xml:space="preserve"> specifică</w:t>
            </w:r>
          </w:p>
        </w:tc>
      </w:tr>
      <w:tr w:rsidR="0018446E" w:rsidRPr="0018446E" w14:paraId="4A69492E" w14:textId="77777777" w:rsidTr="00B0372F">
        <w:tc>
          <w:tcPr>
            <w:tcW w:w="9345" w:type="dxa"/>
            <w:gridSpan w:val="3"/>
          </w:tcPr>
          <w:p w14:paraId="0039F499"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autovehiculelor, a remorcilor si semiremorcilor</w:t>
            </w:r>
          </w:p>
        </w:tc>
      </w:tr>
      <w:tr w:rsidR="0018446E" w:rsidRPr="0018446E" w14:paraId="6DCC6952" w14:textId="77777777" w:rsidTr="00B0372F">
        <w:tc>
          <w:tcPr>
            <w:tcW w:w="1034" w:type="dxa"/>
          </w:tcPr>
          <w:p w14:paraId="44293B02"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CC9A705"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2910</w:t>
            </w:r>
          </w:p>
        </w:tc>
        <w:tc>
          <w:tcPr>
            <w:tcW w:w="7057" w:type="dxa"/>
          </w:tcPr>
          <w:p w14:paraId="5F196F37"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autovehiculelor de transport rutier</w:t>
            </w:r>
          </w:p>
        </w:tc>
      </w:tr>
      <w:tr w:rsidR="0018446E" w:rsidRPr="0018446E" w14:paraId="4E6E028B" w14:textId="77777777" w:rsidTr="00B0372F">
        <w:tc>
          <w:tcPr>
            <w:tcW w:w="1034" w:type="dxa"/>
          </w:tcPr>
          <w:p w14:paraId="55F14E8C"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255F301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2920</w:t>
            </w:r>
          </w:p>
        </w:tc>
        <w:tc>
          <w:tcPr>
            <w:tcW w:w="7057" w:type="dxa"/>
          </w:tcPr>
          <w:p w14:paraId="4FC4DD6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Producţia</w:t>
            </w:r>
            <w:proofErr w:type="spellEnd"/>
            <w:r w:rsidRPr="0018446E">
              <w:rPr>
                <w:rFonts w:ascii="Times New Roman" w:eastAsia="Times New Roman" w:hAnsi="Times New Roman"/>
                <w:color w:val="000000" w:themeColor="text1"/>
                <w:lang w:val="ro-MD"/>
              </w:rPr>
              <w:t xml:space="preserve"> de caroserii pentru autovehicule; fabricarea de remorci </w:t>
            </w:r>
            <w:proofErr w:type="spellStart"/>
            <w:r w:rsidRPr="0018446E">
              <w:rPr>
                <w:rFonts w:ascii="Times New Roman" w:eastAsia="Times New Roman" w:hAnsi="Times New Roman"/>
                <w:color w:val="000000" w:themeColor="text1"/>
                <w:lang w:val="ro-MD"/>
              </w:rPr>
              <w:t>şi</w:t>
            </w:r>
            <w:proofErr w:type="spellEnd"/>
            <w:r w:rsidRPr="0018446E">
              <w:rPr>
                <w:rFonts w:ascii="Times New Roman" w:eastAsia="Times New Roman" w:hAnsi="Times New Roman"/>
                <w:color w:val="000000" w:themeColor="text1"/>
                <w:lang w:val="ro-MD"/>
              </w:rPr>
              <w:t xml:space="preserve"> semiremorci</w:t>
            </w:r>
          </w:p>
        </w:tc>
      </w:tr>
      <w:tr w:rsidR="0018446E" w:rsidRPr="0018446E" w14:paraId="15A78EB8" w14:textId="77777777" w:rsidTr="00B0372F">
        <w:tc>
          <w:tcPr>
            <w:tcW w:w="1034" w:type="dxa"/>
          </w:tcPr>
          <w:p w14:paraId="6D6477B1"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4250C267"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2930</w:t>
            </w:r>
          </w:p>
        </w:tc>
        <w:tc>
          <w:tcPr>
            <w:tcW w:w="7057" w:type="dxa"/>
          </w:tcPr>
          <w:p w14:paraId="2F3EC20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proofErr w:type="spellStart"/>
            <w:r w:rsidRPr="0018446E">
              <w:rPr>
                <w:rFonts w:ascii="Times New Roman" w:eastAsia="Times New Roman" w:hAnsi="Times New Roman"/>
                <w:color w:val="000000" w:themeColor="text1"/>
                <w:lang w:val="ro-MD"/>
              </w:rPr>
              <w:t>Productia</w:t>
            </w:r>
            <w:proofErr w:type="spellEnd"/>
            <w:r w:rsidRPr="0018446E">
              <w:rPr>
                <w:rFonts w:ascii="Times New Roman" w:eastAsia="Times New Roman" w:hAnsi="Times New Roman"/>
                <w:color w:val="000000" w:themeColor="text1"/>
                <w:lang w:val="ro-MD"/>
              </w:rPr>
              <w:t xml:space="preserve"> de piese si accesorii pentru autovehicule si pentru motoare de autovehicule</w:t>
            </w:r>
          </w:p>
        </w:tc>
      </w:tr>
      <w:tr w:rsidR="0018446E" w:rsidRPr="0018446E" w14:paraId="1D9398A6" w14:textId="77777777" w:rsidTr="00B0372F">
        <w:tc>
          <w:tcPr>
            <w:tcW w:w="9345" w:type="dxa"/>
            <w:gridSpan w:val="3"/>
          </w:tcPr>
          <w:p w14:paraId="581AF771"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altor mijloace de transport</w:t>
            </w:r>
          </w:p>
        </w:tc>
      </w:tr>
      <w:tr w:rsidR="0018446E" w:rsidRPr="0018446E" w14:paraId="1A5CC10E" w14:textId="77777777" w:rsidTr="00B0372F">
        <w:tc>
          <w:tcPr>
            <w:tcW w:w="1034" w:type="dxa"/>
          </w:tcPr>
          <w:p w14:paraId="4253CFAD"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2453029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3090</w:t>
            </w:r>
          </w:p>
        </w:tc>
        <w:tc>
          <w:tcPr>
            <w:tcW w:w="7057" w:type="dxa"/>
          </w:tcPr>
          <w:p w14:paraId="1F97B739"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altor echipamente de transport </w:t>
            </w:r>
            <w:proofErr w:type="spellStart"/>
            <w:r w:rsidRPr="0018446E">
              <w:rPr>
                <w:rFonts w:ascii="Times New Roman" w:eastAsia="Times New Roman" w:hAnsi="Times New Roman"/>
                <w:color w:val="000000" w:themeColor="text1"/>
                <w:lang w:val="ro-MD"/>
              </w:rPr>
              <w:t>n.c.a</w:t>
            </w:r>
            <w:proofErr w:type="spellEnd"/>
          </w:p>
        </w:tc>
      </w:tr>
      <w:tr w:rsidR="0018446E" w:rsidRPr="0018446E" w14:paraId="4D4C144C" w14:textId="77777777" w:rsidTr="00B0372F">
        <w:tc>
          <w:tcPr>
            <w:tcW w:w="9345" w:type="dxa"/>
            <w:gridSpan w:val="3"/>
          </w:tcPr>
          <w:p w14:paraId="7366E42A"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Fabricarea de mobilă</w:t>
            </w:r>
          </w:p>
        </w:tc>
      </w:tr>
      <w:tr w:rsidR="0018446E" w:rsidRPr="0018446E" w14:paraId="40E37E33" w14:textId="77777777" w:rsidTr="00B0372F">
        <w:tc>
          <w:tcPr>
            <w:tcW w:w="1034" w:type="dxa"/>
          </w:tcPr>
          <w:p w14:paraId="7AB376F5"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1E77C8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3100</w:t>
            </w:r>
          </w:p>
        </w:tc>
        <w:tc>
          <w:tcPr>
            <w:tcW w:w="7057" w:type="dxa"/>
          </w:tcPr>
          <w:p w14:paraId="38A22EA0"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de mobilă</w:t>
            </w:r>
          </w:p>
        </w:tc>
      </w:tr>
      <w:tr w:rsidR="0018446E" w:rsidRPr="0018446E" w14:paraId="667149F9" w14:textId="77777777" w:rsidTr="00B0372F">
        <w:tc>
          <w:tcPr>
            <w:tcW w:w="9345" w:type="dxa"/>
            <w:gridSpan w:val="3"/>
          </w:tcPr>
          <w:p w14:paraId="726D4EB4" w14:textId="77777777" w:rsidR="0018446E" w:rsidRPr="0018446E" w:rsidRDefault="0018446E" w:rsidP="0018446E">
            <w:pPr>
              <w:spacing w:after="0" w:line="240" w:lineRule="auto"/>
              <w:ind w:left="0"/>
              <w:rPr>
                <w:rFonts w:ascii="Times New Roman" w:eastAsia="Times New Roman" w:hAnsi="Times New Roman"/>
                <w:b/>
                <w:bCs/>
                <w:color w:val="000000" w:themeColor="text1"/>
                <w:lang w:val="ro-MD"/>
              </w:rPr>
            </w:pPr>
            <w:r w:rsidRPr="0018446E">
              <w:rPr>
                <w:rFonts w:ascii="Times New Roman" w:eastAsia="Times New Roman" w:hAnsi="Times New Roman"/>
                <w:b/>
                <w:bCs/>
                <w:color w:val="000000" w:themeColor="text1"/>
                <w:lang w:val="ro-MD"/>
              </w:rPr>
              <w:t xml:space="preserve">Alte </w:t>
            </w:r>
            <w:proofErr w:type="spellStart"/>
            <w:r w:rsidRPr="0018446E">
              <w:rPr>
                <w:rFonts w:ascii="Times New Roman" w:eastAsia="Times New Roman" w:hAnsi="Times New Roman"/>
                <w:b/>
                <w:bCs/>
                <w:color w:val="000000" w:themeColor="text1"/>
                <w:lang w:val="ro-MD"/>
              </w:rPr>
              <w:t>activitati</w:t>
            </w:r>
            <w:proofErr w:type="spellEnd"/>
            <w:r w:rsidRPr="0018446E">
              <w:rPr>
                <w:rFonts w:ascii="Times New Roman" w:eastAsia="Times New Roman" w:hAnsi="Times New Roman"/>
                <w:b/>
                <w:bCs/>
                <w:color w:val="000000" w:themeColor="text1"/>
                <w:lang w:val="ro-MD"/>
              </w:rPr>
              <w:t xml:space="preserve"> industriale </w:t>
            </w:r>
            <w:proofErr w:type="spellStart"/>
            <w:r w:rsidRPr="0018446E">
              <w:rPr>
                <w:rFonts w:ascii="Times New Roman" w:eastAsia="Times New Roman" w:hAnsi="Times New Roman"/>
                <w:b/>
                <w:bCs/>
                <w:color w:val="000000" w:themeColor="text1"/>
                <w:lang w:val="ro-MD"/>
              </w:rPr>
              <w:t>n.c.a</w:t>
            </w:r>
            <w:proofErr w:type="spellEnd"/>
            <w:r w:rsidRPr="0018446E">
              <w:rPr>
                <w:rFonts w:ascii="Times New Roman" w:eastAsia="Times New Roman" w:hAnsi="Times New Roman"/>
                <w:b/>
                <w:bCs/>
                <w:color w:val="000000" w:themeColor="text1"/>
                <w:lang w:val="ro-MD"/>
              </w:rPr>
              <w:t>.</w:t>
            </w:r>
          </w:p>
        </w:tc>
      </w:tr>
      <w:tr w:rsidR="0018446E" w:rsidRPr="0018446E" w14:paraId="67BD5931" w14:textId="77777777" w:rsidTr="00B0372F">
        <w:tc>
          <w:tcPr>
            <w:tcW w:w="1034" w:type="dxa"/>
          </w:tcPr>
          <w:p w14:paraId="232FB598"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78563D6A"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3210</w:t>
            </w:r>
          </w:p>
        </w:tc>
        <w:tc>
          <w:tcPr>
            <w:tcW w:w="7057" w:type="dxa"/>
          </w:tcPr>
          <w:p w14:paraId="1F7F0A5D"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bijuteriilor, </w:t>
            </w:r>
            <w:proofErr w:type="spellStart"/>
            <w:r w:rsidRPr="0018446E">
              <w:rPr>
                <w:rFonts w:ascii="Times New Roman" w:eastAsia="Times New Roman" w:hAnsi="Times New Roman"/>
                <w:color w:val="000000" w:themeColor="text1"/>
                <w:lang w:val="ro-MD"/>
              </w:rPr>
              <w:t>imitatiilor</w:t>
            </w:r>
            <w:proofErr w:type="spellEnd"/>
            <w:r w:rsidRPr="0018446E">
              <w:rPr>
                <w:rFonts w:ascii="Times New Roman" w:eastAsia="Times New Roman" w:hAnsi="Times New Roman"/>
                <w:color w:val="000000" w:themeColor="text1"/>
                <w:lang w:val="ro-MD"/>
              </w:rPr>
              <w:t xml:space="preserve"> de bijuterii si articolelor similare</w:t>
            </w:r>
          </w:p>
        </w:tc>
      </w:tr>
      <w:tr w:rsidR="0018446E" w:rsidRPr="0018446E" w14:paraId="6DB7978C" w14:textId="77777777" w:rsidTr="00B0372F">
        <w:tc>
          <w:tcPr>
            <w:tcW w:w="1034" w:type="dxa"/>
          </w:tcPr>
          <w:p w14:paraId="66138A9C"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16B96C66"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3220</w:t>
            </w:r>
          </w:p>
        </w:tc>
        <w:tc>
          <w:tcPr>
            <w:tcW w:w="7057" w:type="dxa"/>
          </w:tcPr>
          <w:p w14:paraId="628043D8"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articolelor pentru sport</w:t>
            </w:r>
          </w:p>
        </w:tc>
      </w:tr>
      <w:tr w:rsidR="0018446E" w:rsidRPr="0018446E" w14:paraId="6055A1C8" w14:textId="77777777" w:rsidTr="00B0372F">
        <w:tc>
          <w:tcPr>
            <w:tcW w:w="1034" w:type="dxa"/>
          </w:tcPr>
          <w:p w14:paraId="373DCD25"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8F3E4DF"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3240</w:t>
            </w:r>
          </w:p>
        </w:tc>
        <w:tc>
          <w:tcPr>
            <w:tcW w:w="7057" w:type="dxa"/>
          </w:tcPr>
          <w:p w14:paraId="1FA0367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Fabricarea jocurilor si </w:t>
            </w:r>
            <w:proofErr w:type="spellStart"/>
            <w:r w:rsidRPr="0018446E">
              <w:rPr>
                <w:rFonts w:ascii="Times New Roman" w:eastAsia="Times New Roman" w:hAnsi="Times New Roman"/>
                <w:color w:val="000000" w:themeColor="text1"/>
                <w:lang w:val="ro-MD"/>
              </w:rPr>
              <w:t>jucariilor</w:t>
            </w:r>
            <w:proofErr w:type="spellEnd"/>
          </w:p>
        </w:tc>
      </w:tr>
      <w:tr w:rsidR="0018446E" w:rsidRPr="0018446E" w14:paraId="2AC84ADF" w14:textId="77777777" w:rsidTr="00B0372F">
        <w:tc>
          <w:tcPr>
            <w:tcW w:w="1034" w:type="dxa"/>
          </w:tcPr>
          <w:p w14:paraId="502C64D9"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5225C7F3"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3250</w:t>
            </w:r>
          </w:p>
        </w:tc>
        <w:tc>
          <w:tcPr>
            <w:tcW w:w="7057" w:type="dxa"/>
          </w:tcPr>
          <w:p w14:paraId="0E749D6E"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Fabricarea de dispozitive, aparate si instrumente medicale si stomatologice</w:t>
            </w:r>
          </w:p>
        </w:tc>
      </w:tr>
      <w:tr w:rsidR="0018446E" w:rsidRPr="0018446E" w14:paraId="410E66E9" w14:textId="77777777" w:rsidTr="00B0372F">
        <w:tc>
          <w:tcPr>
            <w:tcW w:w="1034" w:type="dxa"/>
          </w:tcPr>
          <w:p w14:paraId="60ED128B" w14:textId="77777777" w:rsidR="0018446E" w:rsidRPr="0018446E" w:rsidRDefault="0018446E" w:rsidP="0018446E">
            <w:pPr>
              <w:numPr>
                <w:ilvl w:val="0"/>
                <w:numId w:val="45"/>
              </w:numPr>
              <w:spacing w:after="0" w:line="240" w:lineRule="auto"/>
              <w:contextualSpacing/>
              <w:rPr>
                <w:rFonts w:ascii="Times New Roman" w:eastAsia="Times New Roman" w:hAnsi="Times New Roman"/>
                <w:color w:val="000000" w:themeColor="text1"/>
                <w:lang w:val="ro-MD"/>
              </w:rPr>
            </w:pPr>
          </w:p>
        </w:tc>
        <w:tc>
          <w:tcPr>
            <w:tcW w:w="1254" w:type="dxa"/>
          </w:tcPr>
          <w:p w14:paraId="01ED4DEB"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C 3290</w:t>
            </w:r>
          </w:p>
        </w:tc>
        <w:tc>
          <w:tcPr>
            <w:tcW w:w="7057" w:type="dxa"/>
          </w:tcPr>
          <w:p w14:paraId="07D2E7AC" w14:textId="77777777" w:rsidR="0018446E" w:rsidRPr="0018446E" w:rsidRDefault="0018446E" w:rsidP="0018446E">
            <w:pPr>
              <w:spacing w:after="0" w:line="240" w:lineRule="auto"/>
              <w:ind w:left="0"/>
              <w:rPr>
                <w:rFonts w:ascii="Times New Roman" w:eastAsia="Times New Roman" w:hAnsi="Times New Roman"/>
                <w:color w:val="000000" w:themeColor="text1"/>
                <w:lang w:val="ro-MD"/>
              </w:rPr>
            </w:pPr>
            <w:r w:rsidRPr="0018446E">
              <w:rPr>
                <w:rFonts w:ascii="Times New Roman" w:eastAsia="Times New Roman" w:hAnsi="Times New Roman"/>
                <w:color w:val="000000" w:themeColor="text1"/>
                <w:lang w:val="ro-MD"/>
              </w:rPr>
              <w:t xml:space="preserve">Alte </w:t>
            </w:r>
            <w:proofErr w:type="spellStart"/>
            <w:r w:rsidRPr="0018446E">
              <w:rPr>
                <w:rFonts w:ascii="Times New Roman" w:eastAsia="Times New Roman" w:hAnsi="Times New Roman"/>
                <w:color w:val="000000" w:themeColor="text1"/>
                <w:lang w:val="ro-MD"/>
              </w:rPr>
              <w:t>activitati</w:t>
            </w:r>
            <w:proofErr w:type="spellEnd"/>
            <w:r w:rsidRPr="0018446E">
              <w:rPr>
                <w:rFonts w:ascii="Times New Roman" w:eastAsia="Times New Roman" w:hAnsi="Times New Roman"/>
                <w:color w:val="000000" w:themeColor="text1"/>
                <w:lang w:val="ro-MD"/>
              </w:rPr>
              <w:t xml:space="preserve"> industriale </w:t>
            </w:r>
            <w:proofErr w:type="spellStart"/>
            <w:r w:rsidRPr="0018446E">
              <w:rPr>
                <w:rFonts w:ascii="Times New Roman" w:eastAsia="Times New Roman" w:hAnsi="Times New Roman"/>
                <w:color w:val="000000" w:themeColor="text1"/>
                <w:lang w:val="ro-MD"/>
              </w:rPr>
              <w:t>n.c.a</w:t>
            </w:r>
            <w:proofErr w:type="spellEnd"/>
            <w:r w:rsidRPr="0018446E">
              <w:rPr>
                <w:rFonts w:ascii="Times New Roman" w:eastAsia="Times New Roman" w:hAnsi="Times New Roman"/>
                <w:color w:val="000000" w:themeColor="text1"/>
                <w:lang w:val="ro-MD"/>
              </w:rPr>
              <w:t>.</w:t>
            </w:r>
          </w:p>
        </w:tc>
      </w:tr>
    </w:tbl>
    <w:p w14:paraId="608ED6AB" w14:textId="77777777" w:rsidR="0018446E" w:rsidRPr="0018446E" w:rsidRDefault="0018446E" w:rsidP="0018446E">
      <w:pPr>
        <w:spacing w:after="0" w:line="240" w:lineRule="auto"/>
        <w:ind w:left="0"/>
        <w:jc w:val="both"/>
        <w:rPr>
          <w:rFonts w:ascii="Times New Roman" w:eastAsia="Times New Roman" w:hAnsi="Times New Roman"/>
          <w:b/>
          <w:bCs/>
          <w:lang w:val="ro-MD"/>
        </w:rPr>
      </w:pPr>
    </w:p>
    <w:p w14:paraId="62CE4D76" w14:textId="77777777" w:rsidR="0018446E" w:rsidRPr="0018446E" w:rsidRDefault="0018446E" w:rsidP="0018446E">
      <w:pPr>
        <w:spacing w:after="0" w:line="240" w:lineRule="auto"/>
        <w:ind w:left="0"/>
        <w:jc w:val="right"/>
        <w:rPr>
          <w:rFonts w:ascii="Times New Roman" w:eastAsia="Times New Roman" w:hAnsi="Times New Roman"/>
          <w:i/>
          <w:sz w:val="28"/>
          <w:szCs w:val="28"/>
          <w:lang w:val="ro-MD"/>
        </w:rPr>
      </w:pPr>
      <w:r w:rsidRPr="0018446E">
        <w:rPr>
          <w:rFonts w:ascii="Times New Roman" w:eastAsia="Times New Roman" w:hAnsi="Times New Roman"/>
          <w:i/>
          <w:sz w:val="28"/>
          <w:szCs w:val="28"/>
          <w:lang w:val="ro-MD"/>
        </w:rPr>
        <w:t xml:space="preserve"> </w:t>
      </w:r>
    </w:p>
    <w:p w14:paraId="1F7EA4ED" w14:textId="77777777" w:rsidR="0018446E" w:rsidRPr="0018446E" w:rsidRDefault="0018446E" w:rsidP="0018446E">
      <w:pPr>
        <w:spacing w:after="0" w:line="240" w:lineRule="auto"/>
        <w:ind w:left="0"/>
        <w:jc w:val="right"/>
        <w:rPr>
          <w:rFonts w:ascii="Times New Roman" w:eastAsia="Times New Roman" w:hAnsi="Times New Roman"/>
          <w:i/>
          <w:sz w:val="28"/>
          <w:szCs w:val="28"/>
          <w:lang w:val="ro-MD"/>
        </w:rPr>
      </w:pPr>
    </w:p>
    <w:bookmarkEnd w:id="6"/>
    <w:p w14:paraId="5889D1A4" w14:textId="77777777" w:rsidR="0018446E" w:rsidRPr="0018446E" w:rsidRDefault="0018446E" w:rsidP="0018446E">
      <w:pPr>
        <w:spacing w:after="0" w:line="240" w:lineRule="auto"/>
        <w:ind w:left="0"/>
        <w:jc w:val="right"/>
        <w:rPr>
          <w:rFonts w:ascii="Times New Roman" w:eastAsia="Times New Roman" w:hAnsi="Times New Roman"/>
          <w:i/>
          <w:sz w:val="28"/>
          <w:szCs w:val="28"/>
          <w:lang w:val="ro-MD"/>
        </w:rPr>
      </w:pPr>
    </w:p>
    <w:p w14:paraId="5CA356B8" w14:textId="77777777" w:rsidR="00621FA9" w:rsidRPr="00621FA9" w:rsidRDefault="00621FA9" w:rsidP="00621FA9">
      <w:pPr>
        <w:spacing w:after="0" w:line="240" w:lineRule="auto"/>
        <w:ind w:left="0" w:firstLine="851"/>
        <w:jc w:val="both"/>
        <w:rPr>
          <w:rFonts w:ascii="Times New Roman" w:eastAsia="Times New Roman" w:hAnsi="Times New Roman"/>
          <w:b/>
          <w:sz w:val="28"/>
          <w:szCs w:val="28"/>
          <w:lang w:val="ro-MD" w:eastAsia="ru-RU"/>
        </w:rPr>
      </w:pPr>
    </w:p>
    <w:sectPr w:rsidR="00621FA9" w:rsidRPr="00621FA9" w:rsidSect="00E95A60">
      <w:headerReference w:type="default" r:id="rId66"/>
      <w:pgSz w:w="11906" w:h="16838"/>
      <w:pgMar w:top="1418" w:right="567"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F20D3" w14:textId="77777777" w:rsidR="00E911D2" w:rsidRDefault="00E911D2" w:rsidP="00E95A60">
      <w:pPr>
        <w:spacing w:after="0" w:line="240" w:lineRule="auto"/>
      </w:pPr>
      <w:r>
        <w:separator/>
      </w:r>
    </w:p>
  </w:endnote>
  <w:endnote w:type="continuationSeparator" w:id="0">
    <w:p w14:paraId="6E7E23F1" w14:textId="77777777" w:rsidR="00E911D2" w:rsidRDefault="00E911D2" w:rsidP="00E95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ora">
    <w:charset w:val="CC"/>
    <w:family w:val="auto"/>
    <w:pitch w:val="variable"/>
    <w:sig w:usb0="A00002F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ill Sans MT Pro Book">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05B10" w14:textId="77777777" w:rsidR="0018446E" w:rsidRPr="00213E4D" w:rsidRDefault="0018446E" w:rsidP="00C30D84">
    <w:pPr>
      <w:tabs>
        <w:tab w:val="right" w:pos="9639"/>
      </w:tabs>
      <w:spacing w:line="276" w:lineRule="auto"/>
      <w:rPr>
        <w:rFonts w:ascii="Cambria" w:hAnsi="Cambria" w:cs="Cambria"/>
        <w:sz w:val="18"/>
        <w:szCs w:val="18"/>
      </w:rPr>
    </w:pPr>
  </w:p>
  <w:p w14:paraId="3132327B" w14:textId="77777777" w:rsidR="0018446E" w:rsidRDefault="0018446E" w:rsidP="00C30D84">
    <w:pPr>
      <w:spacing w:line="276" w:lineRule="auto"/>
      <w:ind w:firstLine="1170"/>
      <w:jc w:val="center"/>
    </w:pPr>
    <w:r>
      <w:rPr>
        <w:noProof/>
      </w:rPr>
      <mc:AlternateContent>
        <mc:Choice Requires="wps">
          <w:drawing>
            <wp:anchor distT="4294967294" distB="4294967294" distL="114300" distR="114300" simplePos="0" relativeHeight="251659264" behindDoc="0" locked="0" layoutInCell="1" allowOverlap="1" wp14:anchorId="1493121C" wp14:editId="692A70B2">
              <wp:simplePos x="0" y="0"/>
              <wp:positionH relativeFrom="margin">
                <wp:posOffset>2419350</wp:posOffset>
              </wp:positionH>
              <wp:positionV relativeFrom="paragraph">
                <wp:posOffset>753744</wp:posOffset>
              </wp:positionV>
              <wp:extent cx="602361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36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FEA99C" id="Straight Connector 17"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90.5pt,59.35pt" to="664.8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">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96B28" w14:textId="77777777" w:rsidR="00E911D2" w:rsidRDefault="00E911D2" w:rsidP="00E95A60">
      <w:pPr>
        <w:spacing w:after="0" w:line="240" w:lineRule="auto"/>
      </w:pPr>
      <w:r>
        <w:separator/>
      </w:r>
    </w:p>
  </w:footnote>
  <w:footnote w:type="continuationSeparator" w:id="0">
    <w:p w14:paraId="4BD6A53B" w14:textId="77777777" w:rsidR="00E911D2" w:rsidRDefault="00E911D2" w:rsidP="00E95A60">
      <w:pPr>
        <w:spacing w:after="0" w:line="240" w:lineRule="auto"/>
      </w:pPr>
      <w:r>
        <w:continuationSeparator/>
      </w:r>
    </w:p>
  </w:footnote>
  <w:footnote w:id="1">
    <w:p w14:paraId="42D26284" w14:textId="77777777" w:rsidR="0018446E" w:rsidRPr="00D64673" w:rsidRDefault="0018446E" w:rsidP="0018446E">
      <w:pPr>
        <w:pStyle w:val="af9"/>
        <w:jc w:val="both"/>
        <w:rPr>
          <w:lang w:val="ro-MD"/>
        </w:rPr>
      </w:pPr>
      <w:r w:rsidRPr="00D64673">
        <w:rPr>
          <w:rStyle w:val="afa"/>
        </w:rPr>
        <w:footnoteRef/>
      </w:r>
      <w:r>
        <w:t xml:space="preserve"> </w:t>
      </w:r>
      <w:proofErr w:type="spellStart"/>
      <w:r w:rsidRPr="00D64673">
        <w:t>Dasgupta</w:t>
      </w:r>
      <w:proofErr w:type="spellEnd"/>
      <w:r w:rsidRPr="00D64673">
        <w:t xml:space="preserve"> S., Singh A. (2006). </w:t>
      </w:r>
      <w:r w:rsidRPr="00D64673">
        <w:rPr>
          <w:i/>
          <w:iCs/>
        </w:rPr>
        <w:t xml:space="preserve">Manufacturing, services and premature deindustrialization in developing countries: A </w:t>
      </w:r>
      <w:proofErr w:type="spellStart"/>
      <w:r w:rsidRPr="00D64673">
        <w:rPr>
          <w:i/>
          <w:iCs/>
        </w:rPr>
        <w:t>Kaldorian</w:t>
      </w:r>
      <w:proofErr w:type="spellEnd"/>
      <w:r w:rsidRPr="00D64673">
        <w:rPr>
          <w:i/>
          <w:iCs/>
        </w:rPr>
        <w:t xml:space="preserve"> analysis</w:t>
      </w:r>
      <w:r w:rsidRPr="00D64673">
        <w:t>.</w:t>
      </w:r>
      <w:r>
        <w:t xml:space="preserve"> În:</w:t>
      </w:r>
      <w:r w:rsidRPr="00D64673">
        <w:t xml:space="preserve"> UNU-WIDER, United Nations University Research Paper, No. 2006/49; </w:t>
      </w:r>
      <w:proofErr w:type="spellStart"/>
      <w:r w:rsidRPr="00D64673">
        <w:t>Rodrik</w:t>
      </w:r>
      <w:proofErr w:type="spellEnd"/>
      <w:r w:rsidRPr="00D64673">
        <w:t xml:space="preserve"> D. (2016). </w:t>
      </w:r>
      <w:r w:rsidRPr="00D64673">
        <w:rPr>
          <w:i/>
          <w:iCs/>
        </w:rPr>
        <w:t>Premature deindustrialization</w:t>
      </w:r>
      <w:r w:rsidRPr="00D64673">
        <w:t xml:space="preserve">. </w:t>
      </w:r>
      <w:r w:rsidRPr="00D64673">
        <w:rPr>
          <w:lang w:val="ro-MD"/>
        </w:rPr>
        <w:t>În:</w:t>
      </w:r>
      <w:r w:rsidRPr="00D64673">
        <w:t xml:space="preserve"> </w:t>
      </w:r>
      <w:r w:rsidRPr="00D64673">
        <w:rPr>
          <w:rStyle w:val="af1"/>
          <w:shd w:val="clear" w:color="auto" w:fill="FFFFFF"/>
        </w:rPr>
        <w:t>Journal</w:t>
      </w:r>
      <w:r w:rsidRPr="00D64673">
        <w:rPr>
          <w:i/>
          <w:iCs/>
          <w:shd w:val="clear" w:color="auto" w:fill="FFFFFF"/>
        </w:rPr>
        <w:t> of </w:t>
      </w:r>
      <w:r w:rsidRPr="00D64673">
        <w:rPr>
          <w:rStyle w:val="af1"/>
          <w:shd w:val="clear" w:color="auto" w:fill="FFFFFF"/>
        </w:rPr>
        <w:t>Economic Growth</w:t>
      </w:r>
      <w:r w:rsidRPr="00D64673">
        <w:rPr>
          <w:shd w:val="clear" w:color="auto" w:fill="FFFFFF"/>
        </w:rPr>
        <w:t>, </w:t>
      </w:r>
      <w:r w:rsidRPr="00D64673">
        <w:rPr>
          <w:rStyle w:val="af1"/>
          <w:shd w:val="clear" w:color="auto" w:fill="FFFFFF"/>
        </w:rPr>
        <w:t>2016</w:t>
      </w:r>
      <w:r w:rsidRPr="00D64673">
        <w:rPr>
          <w:shd w:val="clear" w:color="auto" w:fill="FFFFFF"/>
        </w:rPr>
        <w:t xml:space="preserve">, vol. 21, issue 1, pp. 1-33. </w:t>
      </w:r>
      <w:r w:rsidRPr="00D64673">
        <w:rPr>
          <w:shd w:val="clear" w:color="auto" w:fill="FFFFFF"/>
          <w:lang w:val="ro-MD"/>
        </w:rPr>
        <w:t xml:space="preserve">Disponibil: </w:t>
      </w:r>
      <w:hyperlink r:id="rId1" w:history="1">
        <w:r w:rsidRPr="00D64673">
          <w:rPr>
            <w:rStyle w:val="af4"/>
            <w:lang w:val="ro-MD"/>
          </w:rPr>
          <w:t>https://drodrik.scholar.harvard.edu/files/dani-rodrik/files/premature_deindustrialization.pdf</w:t>
        </w:r>
      </w:hyperlink>
      <w:r w:rsidRPr="00D64673">
        <w:rPr>
          <w:rStyle w:val="af4"/>
          <w:lang w:val="ro-MD"/>
        </w:rPr>
        <w:t>.</w:t>
      </w:r>
    </w:p>
  </w:footnote>
  <w:footnote w:id="2">
    <w:p w14:paraId="1C1A4250" w14:textId="77777777" w:rsidR="0018446E" w:rsidRDefault="0018446E" w:rsidP="0018446E">
      <w:pPr>
        <w:pBdr>
          <w:top w:val="nil"/>
          <w:left w:val="nil"/>
          <w:bottom w:val="nil"/>
          <w:right w:val="nil"/>
          <w:between w:val="nil"/>
        </w:pBdr>
        <w:rPr>
          <w:color w:val="000000"/>
          <w:sz w:val="20"/>
          <w:szCs w:val="20"/>
        </w:rPr>
      </w:pPr>
      <w:r>
        <w:rPr>
          <w:rStyle w:val="afa"/>
        </w:rPr>
        <w:footnoteRef/>
      </w:r>
      <w:r>
        <w:rPr>
          <w:color w:val="000000"/>
          <w:sz w:val="20"/>
          <w:szCs w:val="20"/>
        </w:rPr>
        <w:t xml:space="preserve"> Valoarea producției industriale în prețuri comparabile raportată la numărul mediu al salariaților</w:t>
      </w:r>
    </w:p>
  </w:footnote>
  <w:footnote w:id="3">
    <w:p w14:paraId="366EC12B" w14:textId="77777777" w:rsidR="0018446E" w:rsidRDefault="0018446E" w:rsidP="0018446E">
      <w:pPr>
        <w:pBdr>
          <w:top w:val="nil"/>
          <w:left w:val="nil"/>
          <w:bottom w:val="nil"/>
          <w:right w:val="nil"/>
          <w:between w:val="nil"/>
        </w:pBdr>
        <w:rPr>
          <w:color w:val="000000"/>
          <w:sz w:val="20"/>
          <w:szCs w:val="20"/>
        </w:rPr>
      </w:pPr>
      <w:r>
        <w:rPr>
          <w:rStyle w:val="afa"/>
        </w:rPr>
        <w:footnoteRef/>
      </w:r>
      <w:r>
        <w:rPr>
          <w:color w:val="000000"/>
          <w:sz w:val="20"/>
          <w:szCs w:val="20"/>
        </w:rPr>
        <w:t xml:space="preserve"> Cele mai recente date statistice disponibile</w:t>
      </w:r>
    </w:p>
  </w:footnote>
  <w:footnote w:id="4">
    <w:p w14:paraId="51F55ABF" w14:textId="77777777" w:rsidR="0018446E" w:rsidRPr="00950771" w:rsidRDefault="0018446E" w:rsidP="0018446E">
      <w:pPr>
        <w:pStyle w:val="af9"/>
        <w:rPr>
          <w:lang w:val="ro-MD"/>
        </w:rPr>
      </w:pPr>
      <w:r w:rsidRPr="00950771">
        <w:rPr>
          <w:rStyle w:val="afa"/>
          <w:lang w:val="ro-MD"/>
        </w:rPr>
        <w:footnoteRef/>
      </w:r>
      <w:r w:rsidRPr="00950771">
        <w:rPr>
          <w:lang w:val="ro-MD"/>
        </w:rPr>
        <w:t xml:space="preserve"> </w:t>
      </w:r>
      <w:r w:rsidRPr="00950771">
        <w:rPr>
          <w:i/>
          <w:iCs/>
          <w:lang w:val="ro-MD"/>
        </w:rPr>
        <w:t>ANOFM (2023).</w:t>
      </w:r>
      <w:r w:rsidRPr="00950771">
        <w:rPr>
          <w:lang w:val="ro-MD"/>
        </w:rPr>
        <w:t xml:space="preserve"> </w:t>
      </w:r>
      <w:r w:rsidRPr="00950771">
        <w:rPr>
          <w:i/>
          <w:iCs/>
          <w:lang w:val="ro-MD"/>
        </w:rPr>
        <w:t xml:space="preserve">Prognoza pieței muncii pentru anul 2023 din perspectiva angajatorilor. </w:t>
      </w:r>
      <w:hyperlink r:id="rId2" w:history="1">
        <w:r w:rsidRPr="00950771">
          <w:rPr>
            <w:rStyle w:val="af4"/>
            <w:i/>
            <w:iCs/>
            <w:lang w:val="ro-MD"/>
          </w:rPr>
          <w:t>https://www.anofm.md/view_document?nid=20224</w:t>
        </w:r>
      </w:hyperlink>
      <w:r w:rsidRPr="00950771">
        <w:rPr>
          <w:i/>
          <w:iCs/>
          <w:lang w:val="ro-MD"/>
        </w:rPr>
        <w:t xml:space="preserve">. </w:t>
      </w:r>
    </w:p>
  </w:footnote>
  <w:footnote w:id="5">
    <w:p w14:paraId="4CA74035" w14:textId="77777777" w:rsidR="0018446E" w:rsidRPr="00F03A3C" w:rsidRDefault="0018446E" w:rsidP="0018446E">
      <w:pPr>
        <w:spacing w:before="120"/>
        <w:jc w:val="both"/>
        <w:rPr>
          <w:sz w:val="20"/>
          <w:szCs w:val="20"/>
          <w:lang w:val="ro-MD"/>
        </w:rPr>
      </w:pPr>
      <w:r>
        <w:rPr>
          <w:rStyle w:val="afa"/>
        </w:rPr>
        <w:footnoteRef/>
      </w:r>
      <w:r>
        <w:t xml:space="preserve"> </w:t>
      </w:r>
      <w:r w:rsidRPr="001343D1">
        <w:rPr>
          <w:sz w:val="20"/>
          <w:szCs w:val="20"/>
          <w:lang w:val="ro-MD"/>
        </w:rPr>
        <w:t xml:space="preserve">United </w:t>
      </w:r>
      <w:proofErr w:type="spellStart"/>
      <w:r w:rsidRPr="001343D1">
        <w:rPr>
          <w:sz w:val="20"/>
          <w:szCs w:val="20"/>
          <w:lang w:val="ro-MD"/>
        </w:rPr>
        <w:t>Nations</w:t>
      </w:r>
      <w:proofErr w:type="spellEnd"/>
      <w:r w:rsidRPr="001343D1">
        <w:rPr>
          <w:sz w:val="20"/>
          <w:szCs w:val="20"/>
          <w:lang w:val="ro-MD"/>
        </w:rPr>
        <w:t xml:space="preserve"> Industrial </w:t>
      </w:r>
      <w:proofErr w:type="spellStart"/>
      <w:r w:rsidRPr="001343D1">
        <w:rPr>
          <w:sz w:val="20"/>
          <w:szCs w:val="20"/>
          <w:lang w:val="ro-MD"/>
        </w:rPr>
        <w:t>Development</w:t>
      </w:r>
      <w:proofErr w:type="spellEnd"/>
      <w:r w:rsidRPr="001343D1">
        <w:rPr>
          <w:sz w:val="20"/>
          <w:szCs w:val="20"/>
          <w:lang w:val="ro-MD"/>
        </w:rPr>
        <w:t xml:space="preserve"> </w:t>
      </w:r>
      <w:proofErr w:type="spellStart"/>
      <w:r w:rsidRPr="001343D1">
        <w:rPr>
          <w:sz w:val="20"/>
          <w:szCs w:val="20"/>
          <w:lang w:val="ro-MD"/>
        </w:rPr>
        <w:t>Organization</w:t>
      </w:r>
      <w:proofErr w:type="spellEnd"/>
      <w:r w:rsidRPr="001343D1">
        <w:rPr>
          <w:sz w:val="20"/>
          <w:szCs w:val="20"/>
          <w:lang w:val="ro-MD"/>
        </w:rPr>
        <w:t xml:space="preserve"> (2021). </w:t>
      </w:r>
      <w:r w:rsidRPr="001343D1">
        <w:rPr>
          <w:i/>
          <w:iCs/>
          <w:sz w:val="20"/>
          <w:szCs w:val="20"/>
          <w:lang w:val="ro-MD"/>
        </w:rPr>
        <w:t xml:space="preserve">Industrial </w:t>
      </w:r>
      <w:proofErr w:type="spellStart"/>
      <w:r w:rsidRPr="001343D1">
        <w:rPr>
          <w:i/>
          <w:iCs/>
          <w:sz w:val="20"/>
          <w:szCs w:val="20"/>
          <w:lang w:val="ro-MD"/>
        </w:rPr>
        <w:t>Development</w:t>
      </w:r>
      <w:proofErr w:type="spellEnd"/>
      <w:r w:rsidRPr="001343D1">
        <w:rPr>
          <w:i/>
          <w:iCs/>
          <w:sz w:val="20"/>
          <w:szCs w:val="20"/>
          <w:lang w:val="ro-MD"/>
        </w:rPr>
        <w:t xml:space="preserve"> Report 2022. The </w:t>
      </w:r>
      <w:proofErr w:type="spellStart"/>
      <w:r w:rsidRPr="001343D1">
        <w:rPr>
          <w:i/>
          <w:iCs/>
          <w:sz w:val="20"/>
          <w:szCs w:val="20"/>
          <w:lang w:val="ro-MD"/>
        </w:rPr>
        <w:t>Future</w:t>
      </w:r>
      <w:proofErr w:type="spellEnd"/>
      <w:r w:rsidRPr="001343D1">
        <w:rPr>
          <w:i/>
          <w:iCs/>
          <w:sz w:val="20"/>
          <w:szCs w:val="20"/>
          <w:lang w:val="ro-MD"/>
        </w:rPr>
        <w:t xml:space="preserve"> of </w:t>
      </w:r>
      <w:proofErr w:type="spellStart"/>
      <w:r w:rsidRPr="001343D1">
        <w:rPr>
          <w:i/>
          <w:iCs/>
          <w:sz w:val="20"/>
          <w:szCs w:val="20"/>
          <w:lang w:val="ro-MD"/>
        </w:rPr>
        <w:t>Industrialization</w:t>
      </w:r>
      <w:proofErr w:type="spellEnd"/>
      <w:r w:rsidRPr="001343D1">
        <w:rPr>
          <w:i/>
          <w:iCs/>
          <w:sz w:val="20"/>
          <w:szCs w:val="20"/>
          <w:lang w:val="ro-MD"/>
        </w:rPr>
        <w:t xml:space="preserve"> in a Post-Pandemic World</w:t>
      </w:r>
      <w:r w:rsidRPr="001343D1">
        <w:rPr>
          <w:sz w:val="20"/>
          <w:szCs w:val="20"/>
          <w:lang w:val="ro-MD"/>
        </w:rPr>
        <w:t xml:space="preserve">. </w:t>
      </w:r>
      <w:proofErr w:type="spellStart"/>
      <w:r w:rsidRPr="001343D1">
        <w:rPr>
          <w:sz w:val="20"/>
          <w:szCs w:val="20"/>
          <w:lang w:val="ro-MD"/>
        </w:rPr>
        <w:t>Vienna</w:t>
      </w:r>
      <w:proofErr w:type="spellEnd"/>
      <w:r w:rsidRPr="001343D1">
        <w:rPr>
          <w:sz w:val="20"/>
          <w:szCs w:val="20"/>
          <w:lang w:val="ro-MD"/>
        </w:rPr>
        <w:t>.</w:t>
      </w:r>
    </w:p>
  </w:footnote>
  <w:footnote w:id="6">
    <w:p w14:paraId="4756FD88" w14:textId="77777777" w:rsidR="0018446E" w:rsidRPr="00E96AA5" w:rsidRDefault="0018446E" w:rsidP="0018446E">
      <w:pPr>
        <w:autoSpaceDE w:val="0"/>
        <w:autoSpaceDN w:val="0"/>
        <w:adjustRightInd w:val="0"/>
        <w:jc w:val="both"/>
        <w:rPr>
          <w:color w:val="000000"/>
          <w:sz w:val="20"/>
          <w:szCs w:val="20"/>
        </w:rPr>
      </w:pPr>
      <w:r w:rsidRPr="00E96AA5">
        <w:rPr>
          <w:rStyle w:val="afa"/>
          <w:sz w:val="20"/>
          <w:szCs w:val="20"/>
        </w:rPr>
        <w:footnoteRef/>
      </w:r>
      <w:proofErr w:type="spellStart"/>
      <w:r w:rsidRPr="00E96AA5">
        <w:rPr>
          <w:color w:val="000000"/>
          <w:sz w:val="20"/>
          <w:szCs w:val="20"/>
        </w:rPr>
        <w:t>Stiglitz</w:t>
      </w:r>
      <w:proofErr w:type="spellEnd"/>
      <w:r w:rsidRPr="00E96AA5">
        <w:rPr>
          <w:color w:val="000000"/>
          <w:sz w:val="20"/>
          <w:szCs w:val="20"/>
        </w:rPr>
        <w:t xml:space="preserve"> J., Lin J. (2013). </w:t>
      </w:r>
      <w:r w:rsidRPr="00E96AA5">
        <w:rPr>
          <w:i/>
          <w:color w:val="000000"/>
          <w:sz w:val="20"/>
          <w:szCs w:val="20"/>
        </w:rPr>
        <w:t xml:space="preserve">The Industrial </w:t>
      </w:r>
      <w:proofErr w:type="spellStart"/>
      <w:r w:rsidRPr="00E96AA5">
        <w:rPr>
          <w:i/>
          <w:color w:val="000000"/>
          <w:sz w:val="20"/>
          <w:szCs w:val="20"/>
        </w:rPr>
        <w:t>Policy</w:t>
      </w:r>
      <w:proofErr w:type="spellEnd"/>
      <w:r w:rsidRPr="00E96AA5">
        <w:rPr>
          <w:i/>
          <w:color w:val="000000"/>
          <w:sz w:val="20"/>
          <w:szCs w:val="20"/>
        </w:rPr>
        <w:t xml:space="preserve"> </w:t>
      </w:r>
      <w:proofErr w:type="spellStart"/>
      <w:r w:rsidRPr="00E96AA5">
        <w:rPr>
          <w:i/>
          <w:color w:val="000000"/>
          <w:sz w:val="20"/>
          <w:szCs w:val="20"/>
        </w:rPr>
        <w:t>Revolution</w:t>
      </w:r>
      <w:proofErr w:type="spellEnd"/>
      <w:r w:rsidRPr="00E96AA5">
        <w:rPr>
          <w:i/>
          <w:color w:val="000000"/>
          <w:sz w:val="20"/>
          <w:szCs w:val="20"/>
        </w:rPr>
        <w:t xml:space="preserve"> I: </w:t>
      </w:r>
      <w:r w:rsidRPr="00E96AA5">
        <w:rPr>
          <w:i/>
          <w:iCs/>
          <w:color w:val="000000"/>
          <w:sz w:val="20"/>
          <w:szCs w:val="20"/>
        </w:rPr>
        <w:t xml:space="preserve">The Role of </w:t>
      </w:r>
      <w:proofErr w:type="spellStart"/>
      <w:r w:rsidRPr="00E96AA5">
        <w:rPr>
          <w:i/>
          <w:iCs/>
          <w:color w:val="000000"/>
          <w:sz w:val="20"/>
          <w:szCs w:val="20"/>
        </w:rPr>
        <w:t>Government</w:t>
      </w:r>
      <w:proofErr w:type="spellEnd"/>
      <w:r w:rsidRPr="00E96AA5">
        <w:rPr>
          <w:i/>
          <w:iCs/>
          <w:color w:val="000000"/>
          <w:sz w:val="20"/>
          <w:szCs w:val="20"/>
        </w:rPr>
        <w:t xml:space="preserve"> </w:t>
      </w:r>
      <w:proofErr w:type="spellStart"/>
      <w:r w:rsidRPr="00E96AA5">
        <w:rPr>
          <w:i/>
          <w:iCs/>
          <w:color w:val="000000"/>
          <w:sz w:val="20"/>
          <w:szCs w:val="20"/>
        </w:rPr>
        <w:t>Beyond</w:t>
      </w:r>
      <w:proofErr w:type="spellEnd"/>
      <w:r w:rsidRPr="00E96AA5">
        <w:rPr>
          <w:i/>
          <w:iCs/>
          <w:color w:val="000000"/>
          <w:sz w:val="20"/>
          <w:szCs w:val="20"/>
        </w:rPr>
        <w:t xml:space="preserve"> </w:t>
      </w:r>
      <w:proofErr w:type="spellStart"/>
      <w:r w:rsidRPr="00E96AA5">
        <w:rPr>
          <w:i/>
          <w:iCs/>
          <w:color w:val="000000"/>
          <w:sz w:val="20"/>
          <w:szCs w:val="20"/>
        </w:rPr>
        <w:t>Ideology</w:t>
      </w:r>
      <w:proofErr w:type="spellEnd"/>
      <w:r w:rsidRPr="00E96AA5">
        <w:rPr>
          <w:i/>
          <w:iCs/>
          <w:color w:val="000000"/>
          <w:sz w:val="20"/>
          <w:szCs w:val="20"/>
        </w:rPr>
        <w:t xml:space="preserve">. </w:t>
      </w:r>
      <w:r w:rsidRPr="00E96AA5">
        <w:rPr>
          <w:color w:val="000000"/>
          <w:sz w:val="20"/>
          <w:szCs w:val="20"/>
        </w:rPr>
        <w:t>International Economic Association.</w:t>
      </w:r>
    </w:p>
  </w:footnote>
  <w:footnote w:id="7">
    <w:p w14:paraId="6F4920CC" w14:textId="77777777" w:rsidR="0018446E" w:rsidRPr="00A46DE5" w:rsidRDefault="0018446E" w:rsidP="0018446E">
      <w:pPr>
        <w:pStyle w:val="af9"/>
        <w:jc w:val="both"/>
        <w:rPr>
          <w:lang w:val="ro-MD"/>
        </w:rPr>
      </w:pPr>
      <w:r w:rsidRPr="00A46DE5">
        <w:rPr>
          <w:rStyle w:val="afa"/>
        </w:rPr>
        <w:footnoteRef/>
      </w:r>
      <w:r w:rsidRPr="00A46DE5">
        <w:rPr>
          <w:lang w:val="ro-MD"/>
        </w:rPr>
        <w:t xml:space="preserve"> </w:t>
      </w:r>
      <w:proofErr w:type="spellStart"/>
      <w:r w:rsidRPr="00A46DE5">
        <w:rPr>
          <w:lang w:val="ro-MD"/>
        </w:rPr>
        <w:t>Acemoglu</w:t>
      </w:r>
      <w:proofErr w:type="spellEnd"/>
      <w:r w:rsidRPr="00A46DE5">
        <w:rPr>
          <w:lang w:val="ro-MD"/>
        </w:rPr>
        <w:t xml:space="preserve"> D., Robinson J. (2018). </w:t>
      </w:r>
      <w:r w:rsidRPr="00A46DE5">
        <w:rPr>
          <w:i/>
          <w:iCs/>
          <w:lang w:val="ro-MD"/>
        </w:rPr>
        <w:t xml:space="preserve">De ce eșuează națiunile. </w:t>
      </w:r>
      <w:r w:rsidRPr="00A46DE5">
        <w:rPr>
          <w:i/>
          <w:iCs/>
          <w:spacing w:val="6"/>
          <w:lang w:val="ro-MD"/>
        </w:rPr>
        <w:t>Originile puterii, ale prosperității și ale sărăciei.</w:t>
      </w:r>
      <w:r w:rsidRPr="00A46DE5">
        <w:rPr>
          <w:lang w:val="ro-MD"/>
        </w:rPr>
        <w:t xml:space="preserve"> București: Litera.</w:t>
      </w:r>
    </w:p>
  </w:footnote>
  <w:footnote w:id="8">
    <w:p w14:paraId="637C1C81" w14:textId="77777777" w:rsidR="0018446E" w:rsidRPr="00A46DE5" w:rsidRDefault="0018446E" w:rsidP="0018446E">
      <w:pPr>
        <w:pStyle w:val="af9"/>
        <w:jc w:val="both"/>
      </w:pPr>
      <w:r w:rsidRPr="00A46DE5">
        <w:rPr>
          <w:rStyle w:val="afa"/>
        </w:rPr>
        <w:footnoteRef/>
      </w:r>
      <w:r w:rsidRPr="00A46DE5">
        <w:t xml:space="preserve"> North D. (1990). </w:t>
      </w:r>
      <w:r w:rsidRPr="00A46DE5">
        <w:rPr>
          <w:i/>
          <w:iCs/>
        </w:rPr>
        <w:t>Institutions, Institutional Change, and Economic Performance</w:t>
      </w:r>
      <w:r w:rsidRPr="00A46DE5">
        <w:t>. New York: Cambridge University Press. p. 3.</w:t>
      </w:r>
    </w:p>
  </w:footnote>
  <w:footnote w:id="9">
    <w:p w14:paraId="2B5E7E5F" w14:textId="77777777" w:rsidR="0018446E" w:rsidRPr="00A46DE5" w:rsidRDefault="0018446E" w:rsidP="0018446E">
      <w:pPr>
        <w:pStyle w:val="2"/>
        <w:numPr>
          <w:ilvl w:val="0"/>
          <w:numId w:val="0"/>
        </w:numPr>
        <w:shd w:val="clear" w:color="auto" w:fill="FFFFFF"/>
        <w:spacing w:before="0" w:after="0" w:line="240" w:lineRule="auto"/>
        <w:jc w:val="both"/>
        <w:rPr>
          <w:rFonts w:ascii="Times New Roman" w:hAnsi="Times New Roman"/>
          <w:color w:val="000000"/>
          <w:sz w:val="20"/>
          <w:szCs w:val="20"/>
          <w:lang w:val="en-US"/>
        </w:rPr>
      </w:pPr>
      <w:r w:rsidRPr="00A46DE5">
        <w:rPr>
          <w:rStyle w:val="afa"/>
          <w:rFonts w:ascii="Times New Roman" w:hAnsi="Times New Roman"/>
          <w:color w:val="auto"/>
          <w:sz w:val="20"/>
          <w:szCs w:val="20"/>
        </w:rPr>
        <w:footnoteRef/>
      </w:r>
      <w:r w:rsidRPr="00A46DE5">
        <w:rPr>
          <w:rFonts w:ascii="Times New Roman" w:hAnsi="Times New Roman"/>
          <w:color w:val="auto"/>
          <w:sz w:val="20"/>
          <w:szCs w:val="20"/>
          <w:lang w:val="en-US"/>
        </w:rPr>
        <w:t xml:space="preserve"> The World Bank. </w:t>
      </w:r>
      <w:r w:rsidRPr="00A46DE5">
        <w:rPr>
          <w:rFonts w:ascii="Times New Roman" w:hAnsi="Times New Roman"/>
          <w:i/>
          <w:iCs/>
          <w:color w:val="auto"/>
          <w:sz w:val="20"/>
          <w:szCs w:val="20"/>
          <w:lang w:val="en-US"/>
        </w:rPr>
        <w:t>Worldwide Governance Indicators</w:t>
      </w:r>
      <w:r w:rsidRPr="00A46DE5">
        <w:rPr>
          <w:rFonts w:ascii="Times New Roman" w:hAnsi="Times New Roman"/>
          <w:color w:val="auto"/>
          <w:sz w:val="20"/>
          <w:szCs w:val="20"/>
          <w:lang w:val="en-US"/>
        </w:rPr>
        <w:t>.</w:t>
      </w:r>
      <w:r w:rsidRPr="00A46DE5">
        <w:rPr>
          <w:rFonts w:ascii="Times New Roman" w:hAnsi="Times New Roman"/>
          <w:b/>
          <w:bCs/>
          <w:color w:val="auto"/>
          <w:sz w:val="20"/>
          <w:szCs w:val="20"/>
          <w:lang w:val="en-US"/>
        </w:rPr>
        <w:t xml:space="preserve"> </w:t>
      </w:r>
      <w:hyperlink r:id="rId3" w:history="1">
        <w:r w:rsidRPr="00A46DE5">
          <w:rPr>
            <w:rStyle w:val="af4"/>
            <w:rFonts w:ascii="Times New Roman" w:hAnsi="Times New Roman"/>
            <w:sz w:val="20"/>
            <w:szCs w:val="20"/>
            <w:lang w:val="en-US"/>
          </w:rPr>
          <w:t>https://databank.worldbank.org/source/worldwide-governance-indicators</w:t>
        </w:r>
      </w:hyperlink>
      <w:r w:rsidRPr="00A46DE5">
        <w:rPr>
          <w:rFonts w:ascii="Times New Roman" w:hAnsi="Times New Roman"/>
          <w:b/>
          <w:bCs/>
          <w:color w:val="000000"/>
          <w:sz w:val="20"/>
          <w:szCs w:val="20"/>
          <w:lang w:val="en-US"/>
        </w:rPr>
        <w:t xml:space="preserve">. </w:t>
      </w:r>
    </w:p>
  </w:footnote>
  <w:footnote w:id="10">
    <w:p w14:paraId="6322BF80" w14:textId="77777777" w:rsidR="0018446E" w:rsidRPr="0059088A" w:rsidRDefault="0018446E" w:rsidP="0018446E">
      <w:pPr>
        <w:pStyle w:val="af9"/>
        <w:jc w:val="both"/>
      </w:pPr>
      <w:r w:rsidRPr="00A46DE5">
        <w:rPr>
          <w:rStyle w:val="afa"/>
        </w:rPr>
        <w:footnoteRef/>
      </w:r>
      <w:r w:rsidRPr="00A46DE5">
        <w:t xml:space="preserve"> </w:t>
      </w:r>
      <w:proofErr w:type="spellStart"/>
      <w:r w:rsidRPr="00A46DE5">
        <w:rPr>
          <w:lang w:val="ro-MD"/>
        </w:rPr>
        <w:t>Acemoglu</w:t>
      </w:r>
      <w:proofErr w:type="spellEnd"/>
      <w:r w:rsidRPr="00A46DE5">
        <w:rPr>
          <w:lang w:val="ro-MD"/>
        </w:rPr>
        <w:t xml:space="preserve">, D. (2009). </w:t>
      </w:r>
      <w:proofErr w:type="spellStart"/>
      <w:r w:rsidRPr="00A46DE5">
        <w:rPr>
          <w:i/>
          <w:iCs/>
          <w:lang w:val="ro-MD"/>
        </w:rPr>
        <w:t>Introduction</w:t>
      </w:r>
      <w:proofErr w:type="spellEnd"/>
      <w:r w:rsidRPr="00A46DE5">
        <w:rPr>
          <w:i/>
          <w:iCs/>
          <w:lang w:val="ro-MD"/>
        </w:rPr>
        <w:t xml:space="preserve"> </w:t>
      </w:r>
      <w:proofErr w:type="spellStart"/>
      <w:r w:rsidRPr="00A46DE5">
        <w:rPr>
          <w:i/>
          <w:iCs/>
          <w:lang w:val="ro-MD"/>
        </w:rPr>
        <w:t>to</w:t>
      </w:r>
      <w:proofErr w:type="spellEnd"/>
      <w:r w:rsidRPr="00A46DE5">
        <w:rPr>
          <w:i/>
          <w:iCs/>
          <w:lang w:val="ro-MD"/>
        </w:rPr>
        <w:t xml:space="preserve"> modern economic </w:t>
      </w:r>
      <w:proofErr w:type="spellStart"/>
      <w:r w:rsidRPr="00A46DE5">
        <w:rPr>
          <w:i/>
          <w:iCs/>
          <w:lang w:val="ro-MD"/>
        </w:rPr>
        <w:t>growth</w:t>
      </w:r>
      <w:proofErr w:type="spellEnd"/>
      <w:r w:rsidRPr="00A46DE5">
        <w:rPr>
          <w:lang w:val="ro-MD"/>
        </w:rPr>
        <w:t>. Princeton University Press, pp.</w:t>
      </w:r>
      <w:r w:rsidRPr="00A46DE5">
        <w:t xml:space="preserve"> 781-784.</w:t>
      </w:r>
    </w:p>
  </w:footnote>
  <w:footnote w:id="11">
    <w:p w14:paraId="47198C28" w14:textId="77777777" w:rsidR="0018446E" w:rsidRPr="0059088A" w:rsidRDefault="0018446E" w:rsidP="0018446E">
      <w:pPr>
        <w:pStyle w:val="af5"/>
        <w:jc w:val="both"/>
        <w:rPr>
          <w:rFonts w:ascii="Times New Roman" w:eastAsiaTheme="majorEastAsia" w:hAnsi="Times New Roman"/>
          <w:sz w:val="20"/>
          <w:szCs w:val="20"/>
          <w:lang w:val="en-GB"/>
        </w:rPr>
      </w:pPr>
      <w:r w:rsidRPr="0059088A">
        <w:rPr>
          <w:rStyle w:val="afa"/>
          <w:rFonts w:ascii="Times New Roman" w:hAnsi="Times New Roman"/>
          <w:sz w:val="20"/>
          <w:szCs w:val="20"/>
        </w:rPr>
        <w:footnoteRef/>
      </w:r>
      <w:r w:rsidRPr="0059088A">
        <w:rPr>
          <w:rFonts w:ascii="Times New Roman" w:hAnsi="Times New Roman"/>
          <w:sz w:val="20"/>
          <w:szCs w:val="20"/>
        </w:rPr>
        <w:t xml:space="preserve"> UNE &amp; ASRO. </w:t>
      </w:r>
      <w:r w:rsidRPr="0059088A">
        <w:rPr>
          <w:rFonts w:ascii="Times New Roman" w:eastAsiaTheme="majorEastAsia" w:hAnsi="Times New Roman"/>
          <w:i/>
          <w:iCs/>
          <w:sz w:val="20"/>
          <w:szCs w:val="20"/>
        </w:rPr>
        <w:t>Republic of Moldova. National Quality Infrastructure system’s gap assessment</w:t>
      </w:r>
      <w:r w:rsidRPr="0059088A">
        <w:rPr>
          <w:rFonts w:ascii="Times New Roman" w:eastAsiaTheme="majorEastAsia" w:hAnsi="Times New Roman"/>
          <w:sz w:val="20"/>
          <w:szCs w:val="20"/>
        </w:rPr>
        <w:t xml:space="preserve">. Final Report, October, 2023. </w:t>
      </w:r>
    </w:p>
  </w:footnote>
  <w:footnote w:id="12">
    <w:p w14:paraId="3A22C1A2" w14:textId="77777777" w:rsidR="0018446E" w:rsidRPr="0005344F" w:rsidRDefault="0018446E" w:rsidP="0018446E">
      <w:pPr>
        <w:pStyle w:val="af9"/>
        <w:jc w:val="both"/>
      </w:pPr>
      <w:r w:rsidRPr="0059088A">
        <w:rPr>
          <w:rStyle w:val="afa"/>
        </w:rPr>
        <w:footnoteRef/>
      </w:r>
      <w:r w:rsidRPr="0059088A">
        <w:t xml:space="preserve"> Moldova. Quality Infrastructure Index for Sustainable Development. </w:t>
      </w:r>
      <w:hyperlink r:id="rId4" w:history="1">
        <w:r w:rsidRPr="0059088A">
          <w:rPr>
            <w:rStyle w:val="af4"/>
          </w:rPr>
          <w:t>https://hub.unido.org/qi4sd/MDA</w:t>
        </w:r>
      </w:hyperlink>
      <w:r w:rsidRPr="0059088A">
        <w:t>.</w:t>
      </w:r>
      <w:r>
        <w:rPr>
          <w:rFonts w:cstheme="minorHAnsi"/>
        </w:rPr>
        <w:t xml:space="preserve"> </w:t>
      </w:r>
    </w:p>
  </w:footnote>
  <w:footnote w:id="13">
    <w:p w14:paraId="626B3B4B" w14:textId="77777777" w:rsidR="0018446E" w:rsidRPr="002B6A40" w:rsidRDefault="0018446E" w:rsidP="0018446E">
      <w:pPr>
        <w:pStyle w:val="af9"/>
        <w:rPr>
          <w:lang w:val="ro-MD"/>
        </w:rPr>
      </w:pPr>
      <w:r w:rsidRPr="002B6A40">
        <w:rPr>
          <w:rStyle w:val="afa"/>
        </w:rPr>
        <w:footnoteRef/>
      </w:r>
      <w:r w:rsidRPr="002B6A40">
        <w:t xml:space="preserve"> UNCTAD (2019). </w:t>
      </w:r>
      <w:r w:rsidRPr="002B6A40">
        <w:rPr>
          <w:i/>
          <w:iCs/>
        </w:rPr>
        <w:t>World Investment Report. Special Economic Zones</w:t>
      </w:r>
      <w:r w:rsidRPr="002B6A40">
        <w:t>. p</w:t>
      </w:r>
      <w:r w:rsidRPr="002B6A40">
        <w:rPr>
          <w:lang w:val="ro-MD"/>
        </w:rPr>
        <w:t>p. 127-210.</w:t>
      </w:r>
    </w:p>
  </w:footnote>
  <w:footnote w:id="14">
    <w:p w14:paraId="46CE851C" w14:textId="77777777" w:rsidR="0018446E" w:rsidRPr="002D1C42" w:rsidRDefault="0018446E" w:rsidP="0018446E">
      <w:pPr>
        <w:jc w:val="both"/>
        <w:rPr>
          <w:sz w:val="20"/>
          <w:szCs w:val="20"/>
        </w:rPr>
      </w:pPr>
      <w:r w:rsidRPr="002D1C42">
        <w:rPr>
          <w:rStyle w:val="afa"/>
          <w:sz w:val="20"/>
          <w:szCs w:val="20"/>
        </w:rPr>
        <w:footnoteRef/>
      </w:r>
      <w:r w:rsidRPr="002D1C42">
        <w:rPr>
          <w:sz w:val="20"/>
          <w:szCs w:val="20"/>
        </w:rPr>
        <w:t xml:space="preserve"> Porter M. (1990). </w:t>
      </w:r>
      <w:r w:rsidRPr="002D1C42">
        <w:rPr>
          <w:i/>
          <w:iCs/>
          <w:sz w:val="20"/>
          <w:szCs w:val="20"/>
        </w:rPr>
        <w:t xml:space="preserve">The </w:t>
      </w:r>
      <w:proofErr w:type="spellStart"/>
      <w:r w:rsidRPr="002D1C42">
        <w:rPr>
          <w:i/>
          <w:iCs/>
          <w:sz w:val="20"/>
          <w:szCs w:val="20"/>
        </w:rPr>
        <w:t>Competitiveness</w:t>
      </w:r>
      <w:proofErr w:type="spellEnd"/>
      <w:r w:rsidRPr="002D1C42">
        <w:rPr>
          <w:i/>
          <w:iCs/>
          <w:sz w:val="20"/>
          <w:szCs w:val="20"/>
        </w:rPr>
        <w:t xml:space="preserve"> </w:t>
      </w:r>
      <w:proofErr w:type="spellStart"/>
      <w:r w:rsidRPr="002D1C42">
        <w:rPr>
          <w:i/>
          <w:iCs/>
          <w:sz w:val="20"/>
          <w:szCs w:val="20"/>
        </w:rPr>
        <w:t>Advantage</w:t>
      </w:r>
      <w:proofErr w:type="spellEnd"/>
      <w:r w:rsidRPr="002D1C42">
        <w:rPr>
          <w:i/>
          <w:iCs/>
          <w:sz w:val="20"/>
          <w:szCs w:val="20"/>
        </w:rPr>
        <w:t xml:space="preserve"> of </w:t>
      </w:r>
      <w:proofErr w:type="spellStart"/>
      <w:r w:rsidRPr="002D1C42">
        <w:rPr>
          <w:i/>
          <w:iCs/>
          <w:sz w:val="20"/>
          <w:szCs w:val="20"/>
        </w:rPr>
        <w:t>Nations</w:t>
      </w:r>
      <w:proofErr w:type="spellEnd"/>
      <w:r w:rsidRPr="002D1C42">
        <w:rPr>
          <w:sz w:val="20"/>
          <w:szCs w:val="20"/>
        </w:rPr>
        <w:t>. Harvard Business Review.</w:t>
      </w:r>
    </w:p>
  </w:footnote>
  <w:footnote w:id="15">
    <w:p w14:paraId="7BD56D58" w14:textId="77777777" w:rsidR="0018446E" w:rsidRPr="002D1C42" w:rsidRDefault="0018446E" w:rsidP="0018446E">
      <w:pPr>
        <w:pStyle w:val="af9"/>
        <w:jc w:val="both"/>
        <w:rPr>
          <w:lang w:val="ro-MD"/>
        </w:rPr>
      </w:pPr>
      <w:r w:rsidRPr="002D1C42">
        <w:rPr>
          <w:rStyle w:val="afa"/>
        </w:rPr>
        <w:footnoteRef/>
      </w:r>
      <w:r w:rsidRPr="002D1C42">
        <w:t xml:space="preserve"> </w:t>
      </w:r>
      <w:r w:rsidRPr="002D1C42">
        <w:rPr>
          <w:lang w:val="ro-MD"/>
        </w:rPr>
        <w:t xml:space="preserve">Teoriile contemporane ale </w:t>
      </w:r>
      <w:proofErr w:type="spellStart"/>
      <w:r w:rsidRPr="002D1C42">
        <w:rPr>
          <w:lang w:val="ro-MD"/>
        </w:rPr>
        <w:t>clusterizării</w:t>
      </w:r>
      <w:proofErr w:type="spellEnd"/>
      <w:r w:rsidRPr="002D1C42">
        <w:rPr>
          <w:lang w:val="ro-MD"/>
        </w:rPr>
        <w:t xml:space="preserve"> definesc patru etape majore în dezvoltarea clusterelor, implicit: etapa inițială; etapa creării; etapa operaționalizării și; etapa transformării.</w:t>
      </w:r>
    </w:p>
  </w:footnote>
  <w:footnote w:id="16">
    <w:p w14:paraId="45D0B192" w14:textId="77777777" w:rsidR="0018446E" w:rsidRPr="00B43CB6" w:rsidRDefault="0018446E" w:rsidP="0018446E">
      <w:pPr>
        <w:pStyle w:val="af9"/>
        <w:jc w:val="both"/>
      </w:pPr>
      <w:r w:rsidRPr="002D1C42">
        <w:rPr>
          <w:rStyle w:val="afa"/>
        </w:rPr>
        <w:footnoteRef/>
      </w:r>
      <w:r w:rsidRPr="002D1C42">
        <w:t xml:space="preserve"> </w:t>
      </w:r>
      <w:r w:rsidRPr="002D1C42">
        <w:rPr>
          <w:lang w:val="ro-MD"/>
        </w:rPr>
        <w:t xml:space="preserve">GIZ (2021). </w:t>
      </w:r>
      <w:r w:rsidRPr="002D1C42">
        <w:rPr>
          <w:i/>
          <w:iCs/>
        </w:rPr>
        <w:t>Cluster Development Guide – A Practitioners Guide for Cluster Policy, Strategy and Implementation – A Practitioners Guide for Cluster Policy, Strategy and Implementation</w:t>
      </w:r>
      <w:r w:rsidRPr="002D1C42">
        <w:t xml:space="preserve">. </w:t>
      </w:r>
      <w:hyperlink r:id="rId5" w:history="1">
        <w:r w:rsidRPr="002D1C42">
          <w:rPr>
            <w:rStyle w:val="af4"/>
          </w:rPr>
          <w:t>https://www.giz.de/en/downloads/giz2021-en-cluster-development-guide.pdf</w:t>
        </w:r>
      </w:hyperlink>
      <w:r w:rsidRPr="002D1C42">
        <w:t>.</w:t>
      </w:r>
      <w:r>
        <w:t xml:space="preserve"> </w:t>
      </w:r>
    </w:p>
  </w:footnote>
  <w:footnote w:id="17">
    <w:p w14:paraId="7238F764" w14:textId="77777777" w:rsidR="0018446E" w:rsidRPr="001B645E" w:rsidRDefault="0018446E" w:rsidP="0018446E">
      <w:pPr>
        <w:pStyle w:val="af9"/>
        <w:rPr>
          <w:lang w:val="ro-MD"/>
        </w:rPr>
      </w:pPr>
      <w:r>
        <w:rPr>
          <w:rStyle w:val="afa"/>
        </w:rPr>
        <w:footnoteRef/>
      </w:r>
      <w:r w:rsidRPr="001B645E">
        <w:t xml:space="preserve"> </w:t>
      </w:r>
      <w:proofErr w:type="spellStart"/>
      <w:r w:rsidRPr="00D81CF2">
        <w:t>Aghion</w:t>
      </w:r>
      <w:proofErr w:type="spellEnd"/>
      <w:r w:rsidRPr="00D81CF2">
        <w:t xml:space="preserve"> Ph., Howitt P. (2009). </w:t>
      </w:r>
      <w:r w:rsidRPr="00D81CF2">
        <w:rPr>
          <w:i/>
          <w:iCs/>
        </w:rPr>
        <w:t>The economics of growth</w:t>
      </w:r>
      <w:r w:rsidRPr="00D81CF2">
        <w:t>. The MIT Press</w:t>
      </w:r>
      <w:r>
        <w:t>.</w:t>
      </w:r>
    </w:p>
  </w:footnote>
  <w:footnote w:id="18">
    <w:p w14:paraId="0E77B0DD" w14:textId="77777777" w:rsidR="0018446E" w:rsidRPr="004E0418" w:rsidRDefault="0018446E" w:rsidP="0018446E">
      <w:pPr>
        <w:pStyle w:val="af9"/>
        <w:rPr>
          <w:lang w:val="ro-MD"/>
        </w:rPr>
      </w:pPr>
      <w:r>
        <w:rPr>
          <w:rStyle w:val="afa"/>
        </w:rPr>
        <w:footnoteRef/>
      </w:r>
      <w:r w:rsidRPr="004E0418">
        <w:t xml:space="preserve"> </w:t>
      </w:r>
      <w:r>
        <w:rPr>
          <w:lang w:val="ro-MD"/>
        </w:rPr>
        <w:t xml:space="preserve">ODA (2022). Raport anual privind activitatea FGC. </w:t>
      </w:r>
      <w:hyperlink r:id="rId6" w:history="1">
        <w:r w:rsidRPr="002E0ABC">
          <w:rPr>
            <w:rStyle w:val="af4"/>
            <w:lang w:val="ro-MD"/>
          </w:rPr>
          <w:t>https://www.oda.md/files/fgc/2023/Raport%20anual%20FGC%202022.pdf</w:t>
        </w:r>
      </w:hyperlink>
      <w:r>
        <w:rPr>
          <w:lang w:val="ro-MD"/>
        </w:rPr>
        <w:t xml:space="preserve">. </w:t>
      </w:r>
    </w:p>
  </w:footnote>
  <w:footnote w:id="19">
    <w:p w14:paraId="20C8D9BD" w14:textId="77777777" w:rsidR="0018446E" w:rsidRPr="00775A60" w:rsidRDefault="0018446E" w:rsidP="0018446E">
      <w:pPr>
        <w:pStyle w:val="af9"/>
        <w:rPr>
          <w:lang w:val="ro-MD"/>
        </w:rPr>
      </w:pPr>
      <w:r>
        <w:rPr>
          <w:rStyle w:val="afa"/>
        </w:rPr>
        <w:footnoteRef/>
      </w:r>
      <w:r w:rsidRPr="004A6B60">
        <w:rPr>
          <w:lang w:val="ro-MD"/>
        </w:rPr>
        <w:t xml:space="preserve"> </w:t>
      </w:r>
      <w:hyperlink r:id="rId7" w:anchor="page=30" w:history="1">
        <w:r w:rsidRPr="001B1D84">
          <w:rPr>
            <w:rStyle w:val="af4"/>
            <w:lang w:val="ro-MD"/>
          </w:rPr>
          <w:t>https://www.bnm.md/files/02_CI_2022_q4.pdf#page=30</w:t>
        </w:r>
      </w:hyperlink>
      <w:r w:rsidRPr="001B1D84">
        <w:rPr>
          <w:lang w:val="ro-MD"/>
        </w:rPr>
        <w:t xml:space="preserve">. </w:t>
      </w:r>
      <w:r>
        <w:rPr>
          <w:lang w:val="ro-MD"/>
        </w:rPr>
        <w:t>p.31.</w:t>
      </w:r>
    </w:p>
  </w:footnote>
  <w:footnote w:id="20">
    <w:p w14:paraId="5455FE20" w14:textId="77777777" w:rsidR="0018446E" w:rsidRPr="000F3FED" w:rsidRDefault="0018446E" w:rsidP="0018446E">
      <w:pPr>
        <w:pStyle w:val="af9"/>
        <w:jc w:val="both"/>
      </w:pPr>
      <w:r w:rsidRPr="000F3FED">
        <w:rPr>
          <w:rStyle w:val="afa"/>
        </w:rPr>
        <w:footnoteRef/>
      </w:r>
      <w:r w:rsidRPr="000F3FED">
        <w:t xml:space="preserve"> </w:t>
      </w:r>
      <w:proofErr w:type="spellStart"/>
      <w:r w:rsidRPr="000F3FED">
        <w:t>Atoyan</w:t>
      </w:r>
      <w:proofErr w:type="spellEnd"/>
      <w:r w:rsidRPr="000F3FED">
        <w:t xml:space="preserve"> R., </w:t>
      </w:r>
      <w:r>
        <w:t xml:space="preserve">et al. </w:t>
      </w:r>
      <w:r w:rsidRPr="000F3FED">
        <w:t xml:space="preserve">(2016). Emigration and Its Economic Impact on Eastern Europe, </w:t>
      </w:r>
      <w:r w:rsidRPr="000F3FED">
        <w:rPr>
          <w:i/>
          <w:iCs/>
        </w:rPr>
        <w:t>IMF SDN</w:t>
      </w:r>
      <w:r w:rsidRPr="000F3FED">
        <w:t>/16/07.</w:t>
      </w:r>
    </w:p>
  </w:footnote>
  <w:footnote w:id="21">
    <w:p w14:paraId="020302FF" w14:textId="77777777" w:rsidR="0018446E" w:rsidRPr="00950771" w:rsidRDefault="0018446E" w:rsidP="0018446E">
      <w:pPr>
        <w:pStyle w:val="af9"/>
        <w:spacing w:line="276" w:lineRule="auto"/>
        <w:jc w:val="both"/>
        <w:rPr>
          <w:lang w:val="ro-MD"/>
        </w:rPr>
      </w:pPr>
      <w:r w:rsidRPr="000F3FED">
        <w:rPr>
          <w:rStyle w:val="afa"/>
        </w:rPr>
        <w:footnoteRef/>
      </w:r>
      <w:r w:rsidRPr="000F3FED">
        <w:t xml:space="preserve"> Gagauz O., </w:t>
      </w:r>
      <w:proofErr w:type="spellStart"/>
      <w:r w:rsidRPr="000F3FED">
        <w:t>Tabac</w:t>
      </w:r>
      <w:proofErr w:type="spellEnd"/>
      <w:r w:rsidRPr="000F3FED">
        <w:t xml:space="preserve"> T., </w:t>
      </w:r>
      <w:proofErr w:type="spellStart"/>
      <w:r w:rsidRPr="000F3FED">
        <w:t>Pahomii</w:t>
      </w:r>
      <w:proofErr w:type="spellEnd"/>
      <w:r w:rsidRPr="000F3FED">
        <w:t xml:space="preserve"> I. (2023). Depopulation in Moldova: The main challenge in the context of </w:t>
      </w:r>
      <w:proofErr w:type="spellStart"/>
      <w:r w:rsidRPr="000F3FED">
        <w:t>extremly</w:t>
      </w:r>
      <w:proofErr w:type="spellEnd"/>
      <w:r w:rsidRPr="000F3FED">
        <w:t xml:space="preserve"> high emigration, </w:t>
      </w:r>
      <w:r w:rsidRPr="000F3FED">
        <w:rPr>
          <w:i/>
          <w:iCs/>
        </w:rPr>
        <w:t>Vienna Yearbook of Population Research 2023</w:t>
      </w:r>
      <w:r w:rsidRPr="000F3FED">
        <w:t xml:space="preserve"> (Vol. 21), pp. 1–25. </w:t>
      </w:r>
      <w:hyperlink r:id="rId8" w:history="1">
        <w:r w:rsidRPr="000F3FED">
          <w:rPr>
            <w:rStyle w:val="af4"/>
          </w:rPr>
          <w:t>https://austriaca.at/0xc1aa5576_0x003e2751.pdf</w:t>
        </w:r>
      </w:hyperlink>
      <w:r w:rsidRPr="000F3FED">
        <w:t>.</w:t>
      </w:r>
      <w:r w:rsidRPr="00950771">
        <w:rPr>
          <w:lang w:val="ro-MD"/>
        </w:rPr>
        <w:t xml:space="preserve"> </w:t>
      </w:r>
    </w:p>
  </w:footnote>
  <w:footnote w:id="22">
    <w:p w14:paraId="48969D4B" w14:textId="77777777" w:rsidR="0018446E" w:rsidRPr="00950771" w:rsidRDefault="0018446E" w:rsidP="0018446E">
      <w:pPr>
        <w:pStyle w:val="af9"/>
        <w:rPr>
          <w:lang w:val="ro-MD"/>
        </w:rPr>
      </w:pPr>
      <w:r w:rsidRPr="00950771">
        <w:rPr>
          <w:rStyle w:val="afa"/>
          <w:lang w:val="ro-MD"/>
        </w:rPr>
        <w:footnoteRef/>
      </w:r>
      <w:r w:rsidRPr="00950771">
        <w:rPr>
          <w:lang w:val="ro-MD"/>
        </w:rPr>
        <w:t xml:space="preserve"> </w:t>
      </w:r>
      <w:r w:rsidRPr="00950771">
        <w:rPr>
          <w:i/>
          <w:iCs/>
          <w:lang w:val="ro-MD"/>
        </w:rPr>
        <w:t>ANOFM (2023).</w:t>
      </w:r>
      <w:r w:rsidRPr="00950771">
        <w:rPr>
          <w:lang w:val="ro-MD"/>
        </w:rPr>
        <w:t xml:space="preserve"> </w:t>
      </w:r>
      <w:r w:rsidRPr="00950771">
        <w:rPr>
          <w:i/>
          <w:iCs/>
          <w:lang w:val="ro-MD"/>
        </w:rPr>
        <w:t xml:space="preserve">Prognoza pieței muncii pentru anul 2023 din perspectiva angajatorilor. </w:t>
      </w:r>
      <w:hyperlink r:id="rId9" w:history="1">
        <w:r w:rsidRPr="00950771">
          <w:rPr>
            <w:rStyle w:val="af4"/>
            <w:i/>
            <w:iCs/>
            <w:lang w:val="ro-MD"/>
          </w:rPr>
          <w:t>https://www.anofm.md/view_document?nid=20224</w:t>
        </w:r>
      </w:hyperlink>
      <w:r w:rsidRPr="00950771">
        <w:rPr>
          <w:i/>
          <w:iCs/>
          <w:lang w:val="ro-MD"/>
        </w:rPr>
        <w:t xml:space="preserve">. </w:t>
      </w:r>
    </w:p>
  </w:footnote>
  <w:footnote w:id="23">
    <w:p w14:paraId="551D29FA" w14:textId="77777777" w:rsidR="0018446E" w:rsidRPr="00945883" w:rsidRDefault="0018446E" w:rsidP="0018446E">
      <w:pPr>
        <w:pStyle w:val="af9"/>
        <w:jc w:val="both"/>
        <w:rPr>
          <w:lang w:val="ro-MD"/>
        </w:rPr>
      </w:pPr>
      <w:r w:rsidRPr="00945883">
        <w:rPr>
          <w:rStyle w:val="afa"/>
        </w:rPr>
        <w:footnoteRef/>
      </w:r>
      <w:r w:rsidRPr="00945883">
        <w:t xml:space="preserve"> </w:t>
      </w:r>
      <w:r w:rsidRPr="00945883">
        <w:rPr>
          <w:lang w:val="ro-MD"/>
        </w:rPr>
        <w:t>Strategia națională de dezvoltare „Moldova Europeană 2030” (obiectivele 1 și 3), Strategia de dezvoltare „Educația 2030” (Obiectivele generale 1, 2, 5 și 7)</w:t>
      </w:r>
      <w:r>
        <w:rPr>
          <w:lang w:val="ro-MD"/>
        </w:rPr>
        <w:t xml:space="preserve">, </w:t>
      </w:r>
      <w:r w:rsidRPr="00945883">
        <w:rPr>
          <w:lang w:val="ro-MD"/>
        </w:rPr>
        <w:t>Programul național pentru ocuparea forței de muncă pe anii 2022-2026.</w:t>
      </w:r>
    </w:p>
  </w:footnote>
  <w:footnote w:id="24">
    <w:p w14:paraId="5AE04398" w14:textId="77777777" w:rsidR="0018446E" w:rsidRPr="000537A3" w:rsidRDefault="0018446E" w:rsidP="0018446E">
      <w:pPr>
        <w:pStyle w:val="af9"/>
        <w:rPr>
          <w:lang w:val="ro-MD"/>
        </w:rPr>
      </w:pPr>
      <w:r>
        <w:rPr>
          <w:rStyle w:val="afa"/>
        </w:rPr>
        <w:footnoteRef/>
      </w:r>
      <w:r w:rsidRPr="000537A3">
        <w:t xml:space="preserve"> World Intellectual Property Organization (WIPO) (2023). Global Innovation Index 2023: Innovation in the face of uncertainty. </w:t>
      </w:r>
      <w:r>
        <w:t>Geneva: WIPO.</w:t>
      </w:r>
    </w:p>
  </w:footnote>
  <w:footnote w:id="25">
    <w:p w14:paraId="688E0E02" w14:textId="77777777" w:rsidR="0018446E" w:rsidRPr="00670613" w:rsidRDefault="0018446E" w:rsidP="0018446E">
      <w:pPr>
        <w:pStyle w:val="af9"/>
      </w:pPr>
      <w:r>
        <w:rPr>
          <w:rStyle w:val="afa"/>
        </w:rPr>
        <w:footnoteRef/>
      </w:r>
      <w:r w:rsidRPr="00670613">
        <w:t xml:space="preserve"> </w:t>
      </w:r>
      <w:proofErr w:type="spellStart"/>
      <w:r>
        <w:t>Studwell</w:t>
      </w:r>
      <w:proofErr w:type="spellEnd"/>
      <w:r>
        <w:t xml:space="preserve"> J (2014). </w:t>
      </w:r>
      <w:r w:rsidRPr="00670613">
        <w:rPr>
          <w:i/>
          <w:iCs/>
        </w:rPr>
        <w:t>How Asia Works</w:t>
      </w:r>
      <w:r>
        <w:t>. Grove Press.</w:t>
      </w:r>
    </w:p>
  </w:footnote>
  <w:footnote w:id="26">
    <w:p w14:paraId="2CBC633B" w14:textId="77777777" w:rsidR="0018446E" w:rsidRPr="00DC21C7" w:rsidRDefault="0018446E" w:rsidP="0018446E">
      <w:pPr>
        <w:pStyle w:val="af9"/>
        <w:rPr>
          <w:lang w:val="ro-MD"/>
        </w:rPr>
      </w:pPr>
      <w:r>
        <w:rPr>
          <w:rStyle w:val="afa"/>
        </w:rPr>
        <w:footnoteRef/>
      </w:r>
      <w:r>
        <w:t xml:space="preserve"> </w:t>
      </w:r>
      <w:r>
        <w:rPr>
          <w:lang w:val="ro-MD"/>
        </w:rPr>
        <w:t xml:space="preserve">European </w:t>
      </w:r>
      <w:proofErr w:type="spellStart"/>
      <w:r>
        <w:rPr>
          <w:lang w:val="ro-MD"/>
        </w:rPr>
        <w:t>Commission</w:t>
      </w:r>
      <w:proofErr w:type="spellEnd"/>
      <w:r>
        <w:rPr>
          <w:lang w:val="ro-MD"/>
        </w:rPr>
        <w:t xml:space="preserve"> (2023). </w:t>
      </w:r>
      <w:r w:rsidRPr="00DC21C7">
        <w:rPr>
          <w:i/>
          <w:iCs/>
        </w:rPr>
        <w:t>A Green Deal Industrial Plan for the Net-Zero Age</w:t>
      </w:r>
      <w:r>
        <w:t xml:space="preserve">. </w:t>
      </w:r>
      <w:hyperlink r:id="rId10" w:history="1">
        <w:r w:rsidRPr="002E0ABC">
          <w:rPr>
            <w:rStyle w:val="af4"/>
          </w:rPr>
          <w:t>https://commission.europa.eu/system/files/2023-02/COM_2023_62_2_EN_ACT_A%20Green%20Deal%20Industrial%20Plan%20for%20the%20Net-Zero%20Age.pdf</w:t>
        </w:r>
      </w:hyperlink>
      <w:r>
        <w:t xml:space="preserve">. </w:t>
      </w:r>
    </w:p>
  </w:footnote>
  <w:footnote w:id="27">
    <w:p w14:paraId="5237959D" w14:textId="77777777" w:rsidR="0018446E" w:rsidRPr="002A1B0A" w:rsidRDefault="0018446E" w:rsidP="0018446E">
      <w:pPr>
        <w:pStyle w:val="aff5"/>
        <w:rPr>
          <w:rFonts w:ascii="Times New Roman" w:hAnsi="Times New Roman" w:cs="Times New Roman"/>
          <w:sz w:val="20"/>
          <w:szCs w:val="20"/>
        </w:rPr>
      </w:pPr>
      <w:r w:rsidRPr="002A1B0A">
        <w:rPr>
          <w:rStyle w:val="afa"/>
          <w:rFonts w:ascii="Times New Roman" w:hAnsi="Times New Roman" w:cs="Times New Roman"/>
          <w:sz w:val="20"/>
          <w:szCs w:val="20"/>
        </w:rPr>
        <w:footnoteRef/>
      </w:r>
      <w:r w:rsidRPr="002A1B0A">
        <w:rPr>
          <w:rFonts w:ascii="Times New Roman" w:hAnsi="Times New Roman" w:cs="Times New Roman"/>
          <w:sz w:val="20"/>
          <w:szCs w:val="20"/>
        </w:rPr>
        <w:t xml:space="preserve"> </w:t>
      </w:r>
      <w:proofErr w:type="spellStart"/>
      <w:r w:rsidRPr="002A1B0A">
        <w:rPr>
          <w:rFonts w:ascii="Times New Roman" w:hAnsi="Times New Roman" w:cs="Times New Roman"/>
          <w:sz w:val="20"/>
          <w:szCs w:val="20"/>
        </w:rPr>
        <w:t>Prohni</w:t>
      </w:r>
      <w:r>
        <w:rPr>
          <w:rFonts w:ascii="Times New Roman" w:hAnsi="Times New Roman" w:cs="Times New Roman"/>
          <w:sz w:val="20"/>
          <w:szCs w:val="20"/>
        </w:rPr>
        <w:t>ț</w:t>
      </w:r>
      <w:r w:rsidRPr="002A1B0A">
        <w:rPr>
          <w:rFonts w:ascii="Times New Roman" w:hAnsi="Times New Roman" w:cs="Times New Roman"/>
          <w:sz w:val="20"/>
          <w:szCs w:val="20"/>
        </w:rPr>
        <w:t>chi</w:t>
      </w:r>
      <w:proofErr w:type="spellEnd"/>
      <w:r w:rsidRPr="002A1B0A">
        <w:rPr>
          <w:rFonts w:ascii="Times New Roman" w:hAnsi="Times New Roman" w:cs="Times New Roman"/>
          <w:sz w:val="20"/>
          <w:szCs w:val="20"/>
        </w:rPr>
        <w:t xml:space="preserve"> V (2023). </w:t>
      </w:r>
      <w:r w:rsidRPr="002A1B0A">
        <w:rPr>
          <w:rFonts w:ascii="Times New Roman" w:hAnsi="Times New Roman" w:cs="Times New Roman"/>
          <w:i/>
          <w:iCs/>
          <w:sz w:val="20"/>
          <w:szCs w:val="20"/>
        </w:rPr>
        <w:t xml:space="preserve">Schema de ajutor de stat în industria prelucrătoare: evaluare ex-ante de impact. </w:t>
      </w:r>
      <w:r w:rsidRPr="002A1B0A">
        <w:rPr>
          <w:rFonts w:ascii="Times New Roman" w:hAnsi="Times New Roman" w:cs="Times New Roman"/>
          <w:sz w:val="20"/>
          <w:szCs w:val="20"/>
        </w:rPr>
        <w:t>Chișinău: Octombrie, 2023.</w:t>
      </w:r>
    </w:p>
    <w:p w14:paraId="3973974E" w14:textId="77777777" w:rsidR="0018446E" w:rsidRPr="002A1B0A" w:rsidRDefault="0018446E" w:rsidP="0018446E">
      <w:pPr>
        <w:pStyle w:val="af9"/>
        <w:rPr>
          <w:lang w:val="ro-M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526574"/>
      <w:docPartObj>
        <w:docPartGallery w:val="Page Numbers (Top of Page)"/>
        <w:docPartUnique/>
      </w:docPartObj>
    </w:sdtPr>
    <w:sdtEndPr>
      <w:rPr>
        <w:rFonts w:ascii="Times New Roman" w:hAnsi="Times New Roman"/>
        <w:noProof/>
        <w:sz w:val="28"/>
        <w:szCs w:val="28"/>
      </w:rPr>
    </w:sdtEndPr>
    <w:sdtContent>
      <w:p w14:paraId="04B24BB4" w14:textId="0A075780" w:rsidR="00E95A60" w:rsidRPr="00E95A60" w:rsidRDefault="00E95A60" w:rsidP="00E95A60">
        <w:pPr>
          <w:pStyle w:val="a5"/>
          <w:ind w:left="0"/>
          <w:jc w:val="center"/>
          <w:rPr>
            <w:rFonts w:ascii="Times New Roman" w:hAnsi="Times New Roman"/>
            <w:sz w:val="28"/>
            <w:szCs w:val="28"/>
          </w:rPr>
        </w:pPr>
        <w:r w:rsidRPr="00E95A60">
          <w:rPr>
            <w:rFonts w:ascii="Times New Roman" w:hAnsi="Times New Roman"/>
            <w:sz w:val="28"/>
            <w:szCs w:val="28"/>
          </w:rPr>
          <w:fldChar w:fldCharType="begin"/>
        </w:r>
        <w:r w:rsidRPr="00E95A60">
          <w:rPr>
            <w:rFonts w:ascii="Times New Roman" w:hAnsi="Times New Roman"/>
            <w:sz w:val="28"/>
            <w:szCs w:val="28"/>
          </w:rPr>
          <w:instrText xml:space="preserve"> PAGE   \* MERGEFORMAT </w:instrText>
        </w:r>
        <w:r w:rsidRPr="00E95A60">
          <w:rPr>
            <w:rFonts w:ascii="Times New Roman" w:hAnsi="Times New Roman"/>
            <w:sz w:val="28"/>
            <w:szCs w:val="28"/>
          </w:rPr>
          <w:fldChar w:fldCharType="separate"/>
        </w:r>
        <w:r w:rsidR="009C50E0">
          <w:rPr>
            <w:rFonts w:ascii="Times New Roman" w:hAnsi="Times New Roman"/>
            <w:noProof/>
            <w:sz w:val="28"/>
            <w:szCs w:val="28"/>
          </w:rPr>
          <w:t>59</w:t>
        </w:r>
        <w:r w:rsidRPr="00E95A60">
          <w:rPr>
            <w:rFonts w:ascii="Times New Roman" w:hAnsi="Times New Roman"/>
            <w:noProof/>
            <w:sz w:val="28"/>
            <w:szCs w:val="28"/>
          </w:rPr>
          <w:fldChar w:fldCharType="end"/>
        </w:r>
      </w:p>
    </w:sdtContent>
  </w:sdt>
  <w:p w14:paraId="457CA94C" w14:textId="77777777" w:rsidR="00E95A60" w:rsidRDefault="00E95A6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36F1"/>
    <w:multiLevelType w:val="hybridMultilevel"/>
    <w:tmpl w:val="180E4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714F1A"/>
    <w:multiLevelType w:val="multilevel"/>
    <w:tmpl w:val="E5C432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9483B"/>
    <w:multiLevelType w:val="hybridMultilevel"/>
    <w:tmpl w:val="D5C0D058"/>
    <w:lvl w:ilvl="0" w:tplc="B000725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62438A6"/>
    <w:multiLevelType w:val="hybridMultilevel"/>
    <w:tmpl w:val="14E05A6E"/>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15:restartNumberingAfterBreak="0">
    <w:nsid w:val="064D7576"/>
    <w:multiLevelType w:val="hybridMultilevel"/>
    <w:tmpl w:val="5C801A04"/>
    <w:lvl w:ilvl="0" w:tplc="208261EE">
      <w:start w:val="1"/>
      <w:numFmt w:val="lowerLetter"/>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 w15:restartNumberingAfterBreak="0">
    <w:nsid w:val="0DC02469"/>
    <w:multiLevelType w:val="hybridMultilevel"/>
    <w:tmpl w:val="7B283342"/>
    <w:lvl w:ilvl="0" w:tplc="6EF04B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1410FB4"/>
    <w:multiLevelType w:val="hybridMultilevel"/>
    <w:tmpl w:val="3BCA0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7A169B"/>
    <w:multiLevelType w:val="hybridMultilevel"/>
    <w:tmpl w:val="E326E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831A89"/>
    <w:multiLevelType w:val="hybridMultilevel"/>
    <w:tmpl w:val="50CE6D06"/>
    <w:lvl w:ilvl="0" w:tplc="763C4E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B856935"/>
    <w:multiLevelType w:val="hybridMultilevel"/>
    <w:tmpl w:val="B5808DBA"/>
    <w:lvl w:ilvl="0" w:tplc="B4D8375C">
      <w:numFmt w:val="bullet"/>
      <w:lvlText w:val="-"/>
      <w:lvlJc w:val="left"/>
      <w:pPr>
        <w:ind w:left="720" w:hanging="360"/>
      </w:pPr>
      <w:rPr>
        <w:rFonts w:ascii="Cambria" w:eastAsiaTheme="minorEastAs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ED1F04"/>
    <w:multiLevelType w:val="hybridMultilevel"/>
    <w:tmpl w:val="6EFAE44E"/>
    <w:lvl w:ilvl="0" w:tplc="43741304">
      <w:start w:val="1"/>
      <w:numFmt w:val="decimal"/>
      <w:lvlText w:val="(%1)"/>
      <w:lvlJc w:val="left"/>
      <w:pPr>
        <w:ind w:left="1579" w:hanging="510"/>
      </w:pPr>
      <w:rPr>
        <w:rFonts w:hint="default"/>
      </w:rPr>
    </w:lvl>
    <w:lvl w:ilvl="1" w:tplc="0BACFFD8">
      <w:start w:val="1"/>
      <w:numFmt w:val="lowerLetter"/>
      <w:lvlText w:val="%2)"/>
      <w:lvlJc w:val="left"/>
      <w:pPr>
        <w:ind w:left="2149" w:hanging="360"/>
      </w:pPr>
      <w:rPr>
        <w:rFonts w:hint="default"/>
      </w:rPr>
    </w:lvl>
    <w:lvl w:ilvl="2" w:tplc="0818001B" w:tentative="1">
      <w:start w:val="1"/>
      <w:numFmt w:val="lowerRoman"/>
      <w:lvlText w:val="%3."/>
      <w:lvlJc w:val="right"/>
      <w:pPr>
        <w:ind w:left="2869" w:hanging="180"/>
      </w:pPr>
    </w:lvl>
    <w:lvl w:ilvl="3" w:tplc="0818000F" w:tentative="1">
      <w:start w:val="1"/>
      <w:numFmt w:val="decimal"/>
      <w:lvlText w:val="%4."/>
      <w:lvlJc w:val="left"/>
      <w:pPr>
        <w:ind w:left="3589" w:hanging="360"/>
      </w:pPr>
    </w:lvl>
    <w:lvl w:ilvl="4" w:tplc="08180019" w:tentative="1">
      <w:start w:val="1"/>
      <w:numFmt w:val="lowerLetter"/>
      <w:lvlText w:val="%5."/>
      <w:lvlJc w:val="left"/>
      <w:pPr>
        <w:ind w:left="4309" w:hanging="360"/>
      </w:pPr>
    </w:lvl>
    <w:lvl w:ilvl="5" w:tplc="0818001B" w:tentative="1">
      <w:start w:val="1"/>
      <w:numFmt w:val="lowerRoman"/>
      <w:lvlText w:val="%6."/>
      <w:lvlJc w:val="right"/>
      <w:pPr>
        <w:ind w:left="5029" w:hanging="180"/>
      </w:pPr>
    </w:lvl>
    <w:lvl w:ilvl="6" w:tplc="0818000F" w:tentative="1">
      <w:start w:val="1"/>
      <w:numFmt w:val="decimal"/>
      <w:lvlText w:val="%7."/>
      <w:lvlJc w:val="left"/>
      <w:pPr>
        <w:ind w:left="5749" w:hanging="360"/>
      </w:pPr>
    </w:lvl>
    <w:lvl w:ilvl="7" w:tplc="08180019" w:tentative="1">
      <w:start w:val="1"/>
      <w:numFmt w:val="lowerLetter"/>
      <w:lvlText w:val="%8."/>
      <w:lvlJc w:val="left"/>
      <w:pPr>
        <w:ind w:left="6469" w:hanging="360"/>
      </w:pPr>
    </w:lvl>
    <w:lvl w:ilvl="8" w:tplc="0818001B" w:tentative="1">
      <w:start w:val="1"/>
      <w:numFmt w:val="lowerRoman"/>
      <w:lvlText w:val="%9."/>
      <w:lvlJc w:val="right"/>
      <w:pPr>
        <w:ind w:left="7189" w:hanging="180"/>
      </w:pPr>
    </w:lvl>
  </w:abstractNum>
  <w:abstractNum w:abstractNumId="11" w15:restartNumberingAfterBreak="0">
    <w:nsid w:val="1F2D4353"/>
    <w:multiLevelType w:val="hybridMultilevel"/>
    <w:tmpl w:val="6DAA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C102D"/>
    <w:multiLevelType w:val="hybridMultilevel"/>
    <w:tmpl w:val="82D21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3A53A2"/>
    <w:multiLevelType w:val="hybridMultilevel"/>
    <w:tmpl w:val="ED129220"/>
    <w:lvl w:ilvl="0" w:tplc="5D1ECF6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27EE1493"/>
    <w:multiLevelType w:val="hybridMultilevel"/>
    <w:tmpl w:val="1B6A3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AF5053"/>
    <w:multiLevelType w:val="hybridMultilevel"/>
    <w:tmpl w:val="78CCA662"/>
    <w:lvl w:ilvl="0" w:tplc="DE7E2666">
      <w:numFmt w:val="bullet"/>
      <w:lvlText w:val="-"/>
      <w:lvlJc w:val="left"/>
      <w:pPr>
        <w:ind w:left="1211" w:hanging="360"/>
      </w:pPr>
      <w:rPr>
        <w:rFonts w:ascii="Georgia" w:eastAsia="Calibri" w:hAnsi="Georgia"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2B1B5C3B"/>
    <w:multiLevelType w:val="hybridMultilevel"/>
    <w:tmpl w:val="0A3AB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83723E"/>
    <w:multiLevelType w:val="multilevel"/>
    <w:tmpl w:val="E5C432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BDF5808"/>
    <w:multiLevelType w:val="hybridMultilevel"/>
    <w:tmpl w:val="9C8E7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7121F"/>
    <w:multiLevelType w:val="hybridMultilevel"/>
    <w:tmpl w:val="D2627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73669A"/>
    <w:multiLevelType w:val="hybridMultilevel"/>
    <w:tmpl w:val="49000490"/>
    <w:lvl w:ilvl="0" w:tplc="EADEE5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3EAB5D50"/>
    <w:multiLevelType w:val="hybridMultilevel"/>
    <w:tmpl w:val="C394B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A770BD"/>
    <w:multiLevelType w:val="hybridMultilevel"/>
    <w:tmpl w:val="96EEB968"/>
    <w:lvl w:ilvl="0" w:tplc="B4D8375C">
      <w:numFmt w:val="bullet"/>
      <w:lvlText w:val="-"/>
      <w:lvlJc w:val="left"/>
      <w:pPr>
        <w:ind w:left="720" w:hanging="360"/>
      </w:pPr>
      <w:rPr>
        <w:rFonts w:ascii="Cambria" w:eastAsiaTheme="minorEastAs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C8599F"/>
    <w:multiLevelType w:val="hybridMultilevel"/>
    <w:tmpl w:val="7ACA1B26"/>
    <w:lvl w:ilvl="0" w:tplc="FAA419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42847E58"/>
    <w:multiLevelType w:val="hybridMultilevel"/>
    <w:tmpl w:val="7DDA87D2"/>
    <w:lvl w:ilvl="0" w:tplc="11C06ED0">
      <w:start w:val="1"/>
      <w:numFmt w:val="decimal"/>
      <w:lvlText w:val="%1."/>
      <w:lvlJc w:val="left"/>
      <w:pPr>
        <w:ind w:left="1170" w:hanging="360"/>
      </w:pPr>
      <w:rPr>
        <w:rFonts w:hint="default"/>
        <w:b/>
        <w:bCs/>
        <w:strike w:val="0"/>
        <w:color w:val="auto"/>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15:restartNumberingAfterBreak="0">
    <w:nsid w:val="461D05E4"/>
    <w:multiLevelType w:val="hybridMultilevel"/>
    <w:tmpl w:val="81DA2D2A"/>
    <w:lvl w:ilvl="0" w:tplc="E3C21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34F58"/>
    <w:multiLevelType w:val="hybridMultilevel"/>
    <w:tmpl w:val="56DE0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567DCA"/>
    <w:multiLevelType w:val="multilevel"/>
    <w:tmpl w:val="E292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541BCD"/>
    <w:multiLevelType w:val="hybridMultilevel"/>
    <w:tmpl w:val="7B283342"/>
    <w:lvl w:ilvl="0" w:tplc="6EF04B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C2E55E8"/>
    <w:multiLevelType w:val="hybridMultilevel"/>
    <w:tmpl w:val="611839E4"/>
    <w:lvl w:ilvl="0" w:tplc="B0CE3E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4CAA613A"/>
    <w:multiLevelType w:val="hybridMultilevel"/>
    <w:tmpl w:val="8DA222C4"/>
    <w:lvl w:ilvl="0" w:tplc="84FE67B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4F716DEC"/>
    <w:multiLevelType w:val="hybridMultilevel"/>
    <w:tmpl w:val="ADB47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3F3921"/>
    <w:multiLevelType w:val="hybridMultilevel"/>
    <w:tmpl w:val="3774D8F4"/>
    <w:lvl w:ilvl="0" w:tplc="AB52DEEA">
      <w:start w:val="1"/>
      <w:numFmt w:val="lowerLetter"/>
      <w:lvlText w:val="%1)"/>
      <w:lvlJc w:val="left"/>
      <w:pPr>
        <w:ind w:left="1350" w:hanging="360"/>
      </w:pPr>
      <w:rPr>
        <w:rFonts w:hint="default"/>
        <w:i/>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52221BDB"/>
    <w:multiLevelType w:val="hybridMultilevel"/>
    <w:tmpl w:val="E102C200"/>
    <w:lvl w:ilvl="0" w:tplc="1C8434D2">
      <w:start w:val="1"/>
      <w:numFmt w:val="decimal"/>
      <w:pStyle w:val="2"/>
      <w:lvlText w:val="Section %1"/>
      <w:lvlJc w:val="center"/>
      <w:pPr>
        <w:ind w:left="4188" w:hanging="360"/>
      </w:pPr>
      <w:rPr>
        <w:rFonts w:hint="default"/>
      </w:rPr>
    </w:lvl>
    <w:lvl w:ilvl="1" w:tplc="08090019" w:tentative="1">
      <w:start w:val="1"/>
      <w:numFmt w:val="lowerLetter"/>
      <w:lvlText w:val="%2."/>
      <w:lvlJc w:val="left"/>
      <w:pPr>
        <w:ind w:left="1440" w:hanging="360"/>
      </w:pPr>
    </w:lvl>
    <w:lvl w:ilvl="2" w:tplc="0809001B">
      <w:start w:val="1"/>
      <w:numFmt w:val="lowerRoman"/>
      <w:pStyle w:val="3"/>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B62A75"/>
    <w:multiLevelType w:val="hybridMultilevel"/>
    <w:tmpl w:val="CFB6F546"/>
    <w:lvl w:ilvl="0" w:tplc="1AA6A09E">
      <w:start w:val="10"/>
      <w:numFmt w:val="decimal"/>
      <w:lvlText w:val="%1."/>
      <w:lvlJc w:val="left"/>
      <w:pPr>
        <w:ind w:left="1085" w:hanging="375"/>
      </w:pPr>
      <w:rPr>
        <w:rFonts w:hint="default"/>
        <w:b/>
        <w:bCs/>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15:restartNumberingAfterBreak="0">
    <w:nsid w:val="5AE079FD"/>
    <w:multiLevelType w:val="hybridMultilevel"/>
    <w:tmpl w:val="48241736"/>
    <w:lvl w:ilvl="0" w:tplc="0D6A05FE">
      <w:start w:val="1"/>
      <w:numFmt w:val="bullet"/>
      <w:lvlText w:val="-"/>
      <w:lvlJc w:val="left"/>
      <w:pPr>
        <w:ind w:left="720" w:hanging="360"/>
      </w:pPr>
      <w:rPr>
        <w:rFonts w:ascii="Lora" w:hAnsi="Lo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CF2819"/>
    <w:multiLevelType w:val="hybridMultilevel"/>
    <w:tmpl w:val="00B0C6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5B27C2"/>
    <w:multiLevelType w:val="multilevel"/>
    <w:tmpl w:val="D60880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0950D62"/>
    <w:multiLevelType w:val="hybridMultilevel"/>
    <w:tmpl w:val="CA804DA6"/>
    <w:lvl w:ilvl="0" w:tplc="406C01CA">
      <w:start w:val="1"/>
      <w:numFmt w:val="decimal"/>
      <w:lvlText w:val="%1."/>
      <w:lvlJc w:val="left"/>
      <w:pPr>
        <w:ind w:left="2204" w:hanging="360"/>
      </w:pPr>
      <w:rPr>
        <w:b w:val="0"/>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48B70E7"/>
    <w:multiLevelType w:val="hybridMultilevel"/>
    <w:tmpl w:val="5080ACE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0" w15:restartNumberingAfterBreak="0">
    <w:nsid w:val="64C7799B"/>
    <w:multiLevelType w:val="hybridMultilevel"/>
    <w:tmpl w:val="3AC29D94"/>
    <w:lvl w:ilvl="0" w:tplc="31340CAA">
      <w:start w:val="1"/>
      <w:numFmt w:val="lowerLetter"/>
      <w:lvlText w:val="%1)"/>
      <w:lvlJc w:val="left"/>
      <w:pPr>
        <w:ind w:left="765" w:hanging="405"/>
      </w:pPr>
      <w:rPr>
        <w:rFonts w:hint="default"/>
        <w:i/>
        <w:color w:val="00000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1" w15:restartNumberingAfterBreak="0">
    <w:nsid w:val="6E2555FC"/>
    <w:multiLevelType w:val="hybridMultilevel"/>
    <w:tmpl w:val="DAA4525C"/>
    <w:lvl w:ilvl="0" w:tplc="ACC6C818">
      <w:start w:val="10"/>
      <w:numFmt w:val="decimal"/>
      <w:lvlText w:val="%1."/>
      <w:lvlJc w:val="left"/>
      <w:pPr>
        <w:ind w:left="1084" w:hanging="375"/>
      </w:pPr>
      <w:rPr>
        <w:rFonts w:hint="default"/>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42" w15:restartNumberingAfterBreak="0">
    <w:nsid w:val="724644F9"/>
    <w:multiLevelType w:val="hybridMultilevel"/>
    <w:tmpl w:val="8DA222C4"/>
    <w:lvl w:ilvl="0" w:tplc="FFFFFFFF">
      <w:start w:val="1"/>
      <w:numFmt w:val="lowerLetter"/>
      <w:lvlText w:val="%1)"/>
      <w:lvlJc w:val="left"/>
      <w:pPr>
        <w:ind w:left="107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72CE1F88"/>
    <w:multiLevelType w:val="hybridMultilevel"/>
    <w:tmpl w:val="DBE43682"/>
    <w:lvl w:ilvl="0" w:tplc="6EA09110">
      <w:start w:val="1"/>
      <w:numFmt w:val="decimal"/>
      <w:lvlText w:val="%1."/>
      <w:lvlJc w:val="left"/>
      <w:pPr>
        <w:ind w:left="1211"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41"/>
  </w:num>
  <w:num w:numId="3">
    <w:abstractNumId w:val="43"/>
  </w:num>
  <w:num w:numId="4">
    <w:abstractNumId w:val="8"/>
  </w:num>
  <w:num w:numId="5">
    <w:abstractNumId w:val="30"/>
  </w:num>
  <w:num w:numId="6">
    <w:abstractNumId w:val="20"/>
  </w:num>
  <w:num w:numId="7">
    <w:abstractNumId w:val="42"/>
  </w:num>
  <w:num w:numId="8">
    <w:abstractNumId w:val="29"/>
  </w:num>
  <w:num w:numId="9">
    <w:abstractNumId w:val="32"/>
  </w:num>
  <w:num w:numId="10">
    <w:abstractNumId w:val="13"/>
  </w:num>
  <w:num w:numId="11">
    <w:abstractNumId w:val="10"/>
  </w:num>
  <w:num w:numId="12">
    <w:abstractNumId w:val="24"/>
  </w:num>
  <w:num w:numId="13">
    <w:abstractNumId w:val="40"/>
  </w:num>
  <w:num w:numId="14">
    <w:abstractNumId w:val="15"/>
  </w:num>
  <w:num w:numId="15">
    <w:abstractNumId w:val="4"/>
  </w:num>
  <w:num w:numId="16">
    <w:abstractNumId w:val="34"/>
  </w:num>
  <w:num w:numId="17">
    <w:abstractNumId w:val="36"/>
  </w:num>
  <w:num w:numId="18">
    <w:abstractNumId w:val="23"/>
  </w:num>
  <w:num w:numId="19">
    <w:abstractNumId w:val="28"/>
  </w:num>
  <w:num w:numId="20">
    <w:abstractNumId w:val="5"/>
  </w:num>
  <w:num w:numId="21">
    <w:abstractNumId w:val="33"/>
  </w:num>
  <w:num w:numId="22">
    <w:abstractNumId w:val="27"/>
  </w:num>
  <w:num w:numId="23">
    <w:abstractNumId w:val="22"/>
  </w:num>
  <w:num w:numId="24">
    <w:abstractNumId w:val="35"/>
  </w:num>
  <w:num w:numId="25">
    <w:abstractNumId w:val="11"/>
  </w:num>
  <w:num w:numId="26">
    <w:abstractNumId w:val="18"/>
  </w:num>
  <w:num w:numId="27">
    <w:abstractNumId w:val="17"/>
  </w:num>
  <w:num w:numId="28">
    <w:abstractNumId w:val="21"/>
  </w:num>
  <w:num w:numId="29">
    <w:abstractNumId w:val="2"/>
  </w:num>
  <w:num w:numId="30">
    <w:abstractNumId w:val="19"/>
  </w:num>
  <w:num w:numId="31">
    <w:abstractNumId w:val="31"/>
  </w:num>
  <w:num w:numId="32">
    <w:abstractNumId w:val="26"/>
  </w:num>
  <w:num w:numId="33">
    <w:abstractNumId w:val="0"/>
  </w:num>
  <w:num w:numId="34">
    <w:abstractNumId w:val="14"/>
  </w:num>
  <w:num w:numId="35">
    <w:abstractNumId w:val="3"/>
  </w:num>
  <w:num w:numId="36">
    <w:abstractNumId w:val="7"/>
  </w:num>
  <w:num w:numId="37">
    <w:abstractNumId w:val="16"/>
  </w:num>
  <w:num w:numId="38">
    <w:abstractNumId w:val="12"/>
  </w:num>
  <w:num w:numId="39">
    <w:abstractNumId w:val="37"/>
  </w:num>
  <w:num w:numId="40">
    <w:abstractNumId w:val="1"/>
  </w:num>
  <w:num w:numId="41">
    <w:abstractNumId w:val="25"/>
  </w:num>
  <w:num w:numId="42">
    <w:abstractNumId w:val="39"/>
  </w:num>
  <w:num w:numId="43">
    <w:abstractNumId w:val="38"/>
  </w:num>
  <w:num w:numId="44">
    <w:abstractNumId w:val="9"/>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51B"/>
    <w:rsid w:val="000008C3"/>
    <w:rsid w:val="00000CE7"/>
    <w:rsid w:val="00004A33"/>
    <w:rsid w:val="00004F2F"/>
    <w:rsid w:val="00010842"/>
    <w:rsid w:val="00011CB1"/>
    <w:rsid w:val="00012D2C"/>
    <w:rsid w:val="0001406A"/>
    <w:rsid w:val="000155E6"/>
    <w:rsid w:val="00017AE1"/>
    <w:rsid w:val="00027899"/>
    <w:rsid w:val="00032E2E"/>
    <w:rsid w:val="000333DA"/>
    <w:rsid w:val="00035D54"/>
    <w:rsid w:val="00036254"/>
    <w:rsid w:val="0003757E"/>
    <w:rsid w:val="000403DE"/>
    <w:rsid w:val="0004045D"/>
    <w:rsid w:val="00040747"/>
    <w:rsid w:val="0004443E"/>
    <w:rsid w:val="00046F79"/>
    <w:rsid w:val="00050A5C"/>
    <w:rsid w:val="00053195"/>
    <w:rsid w:val="00054A6D"/>
    <w:rsid w:val="00061513"/>
    <w:rsid w:val="000672A8"/>
    <w:rsid w:val="000723F0"/>
    <w:rsid w:val="000733CF"/>
    <w:rsid w:val="00073ACA"/>
    <w:rsid w:val="000761A0"/>
    <w:rsid w:val="00077045"/>
    <w:rsid w:val="000818CC"/>
    <w:rsid w:val="00081C1B"/>
    <w:rsid w:val="0008343F"/>
    <w:rsid w:val="00087377"/>
    <w:rsid w:val="00092238"/>
    <w:rsid w:val="00096212"/>
    <w:rsid w:val="00096D42"/>
    <w:rsid w:val="000A47E8"/>
    <w:rsid w:val="000A4C11"/>
    <w:rsid w:val="000A53D8"/>
    <w:rsid w:val="000B069A"/>
    <w:rsid w:val="000B4EE1"/>
    <w:rsid w:val="000C23FB"/>
    <w:rsid w:val="000C3B3D"/>
    <w:rsid w:val="000C421B"/>
    <w:rsid w:val="000C628D"/>
    <w:rsid w:val="000E6D15"/>
    <w:rsid w:val="000F2CCF"/>
    <w:rsid w:val="000F642A"/>
    <w:rsid w:val="000F7CEA"/>
    <w:rsid w:val="001009A8"/>
    <w:rsid w:val="001074E7"/>
    <w:rsid w:val="001205D8"/>
    <w:rsid w:val="00123437"/>
    <w:rsid w:val="0013268B"/>
    <w:rsid w:val="00135A95"/>
    <w:rsid w:val="00136C05"/>
    <w:rsid w:val="001468AF"/>
    <w:rsid w:val="001475AC"/>
    <w:rsid w:val="00150A48"/>
    <w:rsid w:val="00155AD3"/>
    <w:rsid w:val="00156D38"/>
    <w:rsid w:val="001579F4"/>
    <w:rsid w:val="00165FAF"/>
    <w:rsid w:val="00173491"/>
    <w:rsid w:val="0017428B"/>
    <w:rsid w:val="001748B6"/>
    <w:rsid w:val="00174CB9"/>
    <w:rsid w:val="00175034"/>
    <w:rsid w:val="00175D41"/>
    <w:rsid w:val="0017693F"/>
    <w:rsid w:val="00176B28"/>
    <w:rsid w:val="0017737B"/>
    <w:rsid w:val="00180BFB"/>
    <w:rsid w:val="0018446E"/>
    <w:rsid w:val="00185CEA"/>
    <w:rsid w:val="00192C3D"/>
    <w:rsid w:val="0019651C"/>
    <w:rsid w:val="00196718"/>
    <w:rsid w:val="001A0532"/>
    <w:rsid w:val="001A0829"/>
    <w:rsid w:val="001C0C7B"/>
    <w:rsid w:val="001C3736"/>
    <w:rsid w:val="001C613A"/>
    <w:rsid w:val="001D2755"/>
    <w:rsid w:val="001D56D5"/>
    <w:rsid w:val="001D6C4A"/>
    <w:rsid w:val="001E24FF"/>
    <w:rsid w:val="001E3A37"/>
    <w:rsid w:val="001F1875"/>
    <w:rsid w:val="001F3199"/>
    <w:rsid w:val="001F6020"/>
    <w:rsid w:val="0020325C"/>
    <w:rsid w:val="00207921"/>
    <w:rsid w:val="00210030"/>
    <w:rsid w:val="00216B9F"/>
    <w:rsid w:val="0022112A"/>
    <w:rsid w:val="00221922"/>
    <w:rsid w:val="00223B56"/>
    <w:rsid w:val="0022470E"/>
    <w:rsid w:val="002260DE"/>
    <w:rsid w:val="002266FE"/>
    <w:rsid w:val="00231488"/>
    <w:rsid w:val="00232D59"/>
    <w:rsid w:val="00235105"/>
    <w:rsid w:val="00236F54"/>
    <w:rsid w:val="00246414"/>
    <w:rsid w:val="0024704A"/>
    <w:rsid w:val="00254C3F"/>
    <w:rsid w:val="0026109C"/>
    <w:rsid w:val="00266DF7"/>
    <w:rsid w:val="0026772E"/>
    <w:rsid w:val="00272F39"/>
    <w:rsid w:val="0027341A"/>
    <w:rsid w:val="00275423"/>
    <w:rsid w:val="00280359"/>
    <w:rsid w:val="00280B55"/>
    <w:rsid w:val="00284B59"/>
    <w:rsid w:val="0028694A"/>
    <w:rsid w:val="00290656"/>
    <w:rsid w:val="002926D7"/>
    <w:rsid w:val="00292E73"/>
    <w:rsid w:val="00293874"/>
    <w:rsid w:val="0029478A"/>
    <w:rsid w:val="0029590B"/>
    <w:rsid w:val="0029684D"/>
    <w:rsid w:val="002B0BA4"/>
    <w:rsid w:val="002B285D"/>
    <w:rsid w:val="002B3D45"/>
    <w:rsid w:val="002B4EA8"/>
    <w:rsid w:val="002B5BC1"/>
    <w:rsid w:val="002B6CC3"/>
    <w:rsid w:val="002C155F"/>
    <w:rsid w:val="002C31C1"/>
    <w:rsid w:val="002C5482"/>
    <w:rsid w:val="002D1F4E"/>
    <w:rsid w:val="002D272F"/>
    <w:rsid w:val="002D43EF"/>
    <w:rsid w:val="002D47CC"/>
    <w:rsid w:val="002D6CDA"/>
    <w:rsid w:val="002D6E26"/>
    <w:rsid w:val="002E2016"/>
    <w:rsid w:val="002E3452"/>
    <w:rsid w:val="002F42A7"/>
    <w:rsid w:val="0030195D"/>
    <w:rsid w:val="0030464A"/>
    <w:rsid w:val="00310446"/>
    <w:rsid w:val="00310ECC"/>
    <w:rsid w:val="00312B32"/>
    <w:rsid w:val="0031431C"/>
    <w:rsid w:val="00322C6C"/>
    <w:rsid w:val="003330B5"/>
    <w:rsid w:val="00334F83"/>
    <w:rsid w:val="00341E7A"/>
    <w:rsid w:val="003432FB"/>
    <w:rsid w:val="00343B69"/>
    <w:rsid w:val="003450A8"/>
    <w:rsid w:val="00350138"/>
    <w:rsid w:val="003536A3"/>
    <w:rsid w:val="00360062"/>
    <w:rsid w:val="003600F8"/>
    <w:rsid w:val="00362C66"/>
    <w:rsid w:val="00371794"/>
    <w:rsid w:val="003753C5"/>
    <w:rsid w:val="00381409"/>
    <w:rsid w:val="00381986"/>
    <w:rsid w:val="00383770"/>
    <w:rsid w:val="00383E20"/>
    <w:rsid w:val="00385FE4"/>
    <w:rsid w:val="00387FF3"/>
    <w:rsid w:val="0039404A"/>
    <w:rsid w:val="00395BED"/>
    <w:rsid w:val="00397971"/>
    <w:rsid w:val="00397E9D"/>
    <w:rsid w:val="003A3497"/>
    <w:rsid w:val="003A4C57"/>
    <w:rsid w:val="003C09CC"/>
    <w:rsid w:val="003D0A62"/>
    <w:rsid w:val="003D4D5F"/>
    <w:rsid w:val="003E31A0"/>
    <w:rsid w:val="003E4EC3"/>
    <w:rsid w:val="003F2460"/>
    <w:rsid w:val="003F5758"/>
    <w:rsid w:val="00402EF7"/>
    <w:rsid w:val="00411AED"/>
    <w:rsid w:val="00414445"/>
    <w:rsid w:val="00416186"/>
    <w:rsid w:val="00416BF0"/>
    <w:rsid w:val="00420931"/>
    <w:rsid w:val="00423DFE"/>
    <w:rsid w:val="00424797"/>
    <w:rsid w:val="0043264C"/>
    <w:rsid w:val="00433028"/>
    <w:rsid w:val="00435079"/>
    <w:rsid w:val="00437682"/>
    <w:rsid w:val="004416BC"/>
    <w:rsid w:val="00443D42"/>
    <w:rsid w:val="0044424A"/>
    <w:rsid w:val="0044611B"/>
    <w:rsid w:val="004464C3"/>
    <w:rsid w:val="004520B7"/>
    <w:rsid w:val="004542F9"/>
    <w:rsid w:val="00457853"/>
    <w:rsid w:val="00466326"/>
    <w:rsid w:val="00466654"/>
    <w:rsid w:val="0047049E"/>
    <w:rsid w:val="00471009"/>
    <w:rsid w:val="0047195C"/>
    <w:rsid w:val="00474CA0"/>
    <w:rsid w:val="0047700D"/>
    <w:rsid w:val="00486D75"/>
    <w:rsid w:val="00487CB9"/>
    <w:rsid w:val="00490758"/>
    <w:rsid w:val="00491188"/>
    <w:rsid w:val="00492979"/>
    <w:rsid w:val="00496A2E"/>
    <w:rsid w:val="004A0383"/>
    <w:rsid w:val="004A1A7F"/>
    <w:rsid w:val="004A338F"/>
    <w:rsid w:val="004B3D0B"/>
    <w:rsid w:val="004C18F1"/>
    <w:rsid w:val="004C4AB4"/>
    <w:rsid w:val="004D3D03"/>
    <w:rsid w:val="004D57FE"/>
    <w:rsid w:val="004E0867"/>
    <w:rsid w:val="004E1852"/>
    <w:rsid w:val="004E1DB0"/>
    <w:rsid w:val="004E7488"/>
    <w:rsid w:val="004F1F61"/>
    <w:rsid w:val="004F4667"/>
    <w:rsid w:val="005002B4"/>
    <w:rsid w:val="00505734"/>
    <w:rsid w:val="0051263F"/>
    <w:rsid w:val="0051388C"/>
    <w:rsid w:val="00514AF1"/>
    <w:rsid w:val="0051654C"/>
    <w:rsid w:val="005223D3"/>
    <w:rsid w:val="00523676"/>
    <w:rsid w:val="005254A5"/>
    <w:rsid w:val="005257F3"/>
    <w:rsid w:val="00532058"/>
    <w:rsid w:val="00536DA0"/>
    <w:rsid w:val="00544C33"/>
    <w:rsid w:val="0054633C"/>
    <w:rsid w:val="00547358"/>
    <w:rsid w:val="00552748"/>
    <w:rsid w:val="00563304"/>
    <w:rsid w:val="00571480"/>
    <w:rsid w:val="0057494F"/>
    <w:rsid w:val="00576C5D"/>
    <w:rsid w:val="0058306A"/>
    <w:rsid w:val="00590826"/>
    <w:rsid w:val="00591B6F"/>
    <w:rsid w:val="005934D0"/>
    <w:rsid w:val="00594D14"/>
    <w:rsid w:val="005A0581"/>
    <w:rsid w:val="005A1C9C"/>
    <w:rsid w:val="005A29A7"/>
    <w:rsid w:val="005A5B5A"/>
    <w:rsid w:val="005A6527"/>
    <w:rsid w:val="005A71B8"/>
    <w:rsid w:val="005B1D46"/>
    <w:rsid w:val="005B3895"/>
    <w:rsid w:val="005B7F1B"/>
    <w:rsid w:val="005C028F"/>
    <w:rsid w:val="005C1136"/>
    <w:rsid w:val="005D19A7"/>
    <w:rsid w:val="005D3752"/>
    <w:rsid w:val="005D5A3A"/>
    <w:rsid w:val="005D772A"/>
    <w:rsid w:val="005D7D1F"/>
    <w:rsid w:val="005E0998"/>
    <w:rsid w:val="005E1E16"/>
    <w:rsid w:val="005E3DF6"/>
    <w:rsid w:val="005E604F"/>
    <w:rsid w:val="005F183B"/>
    <w:rsid w:val="006003E7"/>
    <w:rsid w:val="006043CD"/>
    <w:rsid w:val="00605E6F"/>
    <w:rsid w:val="00620F8E"/>
    <w:rsid w:val="00621FA9"/>
    <w:rsid w:val="006231B0"/>
    <w:rsid w:val="00631E69"/>
    <w:rsid w:val="006349E0"/>
    <w:rsid w:val="00641A5F"/>
    <w:rsid w:val="00641C19"/>
    <w:rsid w:val="00650BB5"/>
    <w:rsid w:val="00650BDD"/>
    <w:rsid w:val="00652983"/>
    <w:rsid w:val="0065597D"/>
    <w:rsid w:val="00657791"/>
    <w:rsid w:val="0066414D"/>
    <w:rsid w:val="00666988"/>
    <w:rsid w:val="0067144A"/>
    <w:rsid w:val="00676BA9"/>
    <w:rsid w:val="0068105B"/>
    <w:rsid w:val="0068113B"/>
    <w:rsid w:val="00681E2E"/>
    <w:rsid w:val="00683A18"/>
    <w:rsid w:val="00685EA0"/>
    <w:rsid w:val="0069039B"/>
    <w:rsid w:val="0069609A"/>
    <w:rsid w:val="006978FA"/>
    <w:rsid w:val="00697F86"/>
    <w:rsid w:val="006A26BC"/>
    <w:rsid w:val="006A5962"/>
    <w:rsid w:val="006B03D4"/>
    <w:rsid w:val="006B3341"/>
    <w:rsid w:val="006D349D"/>
    <w:rsid w:val="006D5D53"/>
    <w:rsid w:val="006D6397"/>
    <w:rsid w:val="006E1A4F"/>
    <w:rsid w:val="006F219C"/>
    <w:rsid w:val="006F245A"/>
    <w:rsid w:val="006F4A9D"/>
    <w:rsid w:val="006F6E96"/>
    <w:rsid w:val="00700D37"/>
    <w:rsid w:val="00701C67"/>
    <w:rsid w:val="00702148"/>
    <w:rsid w:val="00707160"/>
    <w:rsid w:val="007113A4"/>
    <w:rsid w:val="007120C4"/>
    <w:rsid w:val="007133DF"/>
    <w:rsid w:val="00715390"/>
    <w:rsid w:val="00715879"/>
    <w:rsid w:val="0072101A"/>
    <w:rsid w:val="0072129C"/>
    <w:rsid w:val="007245FA"/>
    <w:rsid w:val="007252C9"/>
    <w:rsid w:val="00726DD9"/>
    <w:rsid w:val="0073053B"/>
    <w:rsid w:val="00733D11"/>
    <w:rsid w:val="00733F73"/>
    <w:rsid w:val="00737762"/>
    <w:rsid w:val="007417E9"/>
    <w:rsid w:val="007429D5"/>
    <w:rsid w:val="007449EC"/>
    <w:rsid w:val="0074615D"/>
    <w:rsid w:val="0074660F"/>
    <w:rsid w:val="00747457"/>
    <w:rsid w:val="00752A12"/>
    <w:rsid w:val="00752EB6"/>
    <w:rsid w:val="0075776D"/>
    <w:rsid w:val="00761A25"/>
    <w:rsid w:val="007650E0"/>
    <w:rsid w:val="0077096B"/>
    <w:rsid w:val="00771475"/>
    <w:rsid w:val="00771CB8"/>
    <w:rsid w:val="00774CE7"/>
    <w:rsid w:val="00775CE7"/>
    <w:rsid w:val="0077609C"/>
    <w:rsid w:val="00777691"/>
    <w:rsid w:val="007833DE"/>
    <w:rsid w:val="0079214E"/>
    <w:rsid w:val="00796552"/>
    <w:rsid w:val="007A2972"/>
    <w:rsid w:val="007A5766"/>
    <w:rsid w:val="007B0558"/>
    <w:rsid w:val="007B3A7A"/>
    <w:rsid w:val="007C09A7"/>
    <w:rsid w:val="007C0F11"/>
    <w:rsid w:val="007C2D0E"/>
    <w:rsid w:val="007C4787"/>
    <w:rsid w:val="007C7B25"/>
    <w:rsid w:val="007D2877"/>
    <w:rsid w:val="007E0B76"/>
    <w:rsid w:val="007E5D53"/>
    <w:rsid w:val="007F223C"/>
    <w:rsid w:val="007F3180"/>
    <w:rsid w:val="007F3A4F"/>
    <w:rsid w:val="007F64B6"/>
    <w:rsid w:val="00801B5B"/>
    <w:rsid w:val="00802432"/>
    <w:rsid w:val="0080338C"/>
    <w:rsid w:val="00810685"/>
    <w:rsid w:val="0081306D"/>
    <w:rsid w:val="00814783"/>
    <w:rsid w:val="00825DCB"/>
    <w:rsid w:val="00827A02"/>
    <w:rsid w:val="00831C1E"/>
    <w:rsid w:val="00835BD3"/>
    <w:rsid w:val="00835FCA"/>
    <w:rsid w:val="00841FE1"/>
    <w:rsid w:val="00842B05"/>
    <w:rsid w:val="008469A0"/>
    <w:rsid w:val="00850B71"/>
    <w:rsid w:val="00850CA7"/>
    <w:rsid w:val="00850FF2"/>
    <w:rsid w:val="008520F1"/>
    <w:rsid w:val="0085275B"/>
    <w:rsid w:val="00852D2C"/>
    <w:rsid w:val="00855F94"/>
    <w:rsid w:val="00857470"/>
    <w:rsid w:val="008645B1"/>
    <w:rsid w:val="00864BC9"/>
    <w:rsid w:val="0086700D"/>
    <w:rsid w:val="00870F0E"/>
    <w:rsid w:val="008723AD"/>
    <w:rsid w:val="008802AC"/>
    <w:rsid w:val="00881E7D"/>
    <w:rsid w:val="008827A8"/>
    <w:rsid w:val="008877B7"/>
    <w:rsid w:val="00890B2B"/>
    <w:rsid w:val="00891415"/>
    <w:rsid w:val="00894487"/>
    <w:rsid w:val="008A06E1"/>
    <w:rsid w:val="008A5F66"/>
    <w:rsid w:val="008B16EA"/>
    <w:rsid w:val="008B417E"/>
    <w:rsid w:val="008B45E2"/>
    <w:rsid w:val="008B5E25"/>
    <w:rsid w:val="008C230C"/>
    <w:rsid w:val="008C2442"/>
    <w:rsid w:val="008D11B7"/>
    <w:rsid w:val="008D3286"/>
    <w:rsid w:val="008D4985"/>
    <w:rsid w:val="008E14E8"/>
    <w:rsid w:val="008E21DB"/>
    <w:rsid w:val="009036CC"/>
    <w:rsid w:val="009115B9"/>
    <w:rsid w:val="0091287A"/>
    <w:rsid w:val="00914932"/>
    <w:rsid w:val="00915D54"/>
    <w:rsid w:val="00916719"/>
    <w:rsid w:val="00924E11"/>
    <w:rsid w:val="009306F8"/>
    <w:rsid w:val="00932086"/>
    <w:rsid w:val="009345D4"/>
    <w:rsid w:val="00937067"/>
    <w:rsid w:val="009411F0"/>
    <w:rsid w:val="00943E17"/>
    <w:rsid w:val="009456D4"/>
    <w:rsid w:val="00950524"/>
    <w:rsid w:val="00954D9A"/>
    <w:rsid w:val="00956CAE"/>
    <w:rsid w:val="009620EA"/>
    <w:rsid w:val="0096487E"/>
    <w:rsid w:val="00970086"/>
    <w:rsid w:val="00971DF6"/>
    <w:rsid w:val="00974A18"/>
    <w:rsid w:val="00974FE7"/>
    <w:rsid w:val="009767E9"/>
    <w:rsid w:val="00982C9F"/>
    <w:rsid w:val="0098747B"/>
    <w:rsid w:val="00996AD8"/>
    <w:rsid w:val="00997959"/>
    <w:rsid w:val="009A2848"/>
    <w:rsid w:val="009A2D6F"/>
    <w:rsid w:val="009A4FA1"/>
    <w:rsid w:val="009A797C"/>
    <w:rsid w:val="009B6D5E"/>
    <w:rsid w:val="009B7C3B"/>
    <w:rsid w:val="009C0473"/>
    <w:rsid w:val="009C1F71"/>
    <w:rsid w:val="009C30D8"/>
    <w:rsid w:val="009C320F"/>
    <w:rsid w:val="009C3427"/>
    <w:rsid w:val="009C4471"/>
    <w:rsid w:val="009C50B2"/>
    <w:rsid w:val="009C50E0"/>
    <w:rsid w:val="009C5557"/>
    <w:rsid w:val="009C6AB0"/>
    <w:rsid w:val="009D2EBE"/>
    <w:rsid w:val="009E3C03"/>
    <w:rsid w:val="009E5D0F"/>
    <w:rsid w:val="009E5D87"/>
    <w:rsid w:val="009E712D"/>
    <w:rsid w:val="009F444B"/>
    <w:rsid w:val="009F6759"/>
    <w:rsid w:val="009F6C19"/>
    <w:rsid w:val="009F7107"/>
    <w:rsid w:val="00A03BDF"/>
    <w:rsid w:val="00A1051C"/>
    <w:rsid w:val="00A13E79"/>
    <w:rsid w:val="00A1578D"/>
    <w:rsid w:val="00A15982"/>
    <w:rsid w:val="00A1674F"/>
    <w:rsid w:val="00A20E53"/>
    <w:rsid w:val="00A20F14"/>
    <w:rsid w:val="00A24BE0"/>
    <w:rsid w:val="00A24F50"/>
    <w:rsid w:val="00A327EC"/>
    <w:rsid w:val="00A3436C"/>
    <w:rsid w:val="00A40529"/>
    <w:rsid w:val="00A41F30"/>
    <w:rsid w:val="00A432C5"/>
    <w:rsid w:val="00A54393"/>
    <w:rsid w:val="00A609F3"/>
    <w:rsid w:val="00A61A4F"/>
    <w:rsid w:val="00A633E3"/>
    <w:rsid w:val="00A64FCD"/>
    <w:rsid w:val="00A661DF"/>
    <w:rsid w:val="00A67993"/>
    <w:rsid w:val="00A712BA"/>
    <w:rsid w:val="00A72396"/>
    <w:rsid w:val="00A803DD"/>
    <w:rsid w:val="00A80D6C"/>
    <w:rsid w:val="00A812DA"/>
    <w:rsid w:val="00A82A84"/>
    <w:rsid w:val="00A84013"/>
    <w:rsid w:val="00A95F91"/>
    <w:rsid w:val="00A9624D"/>
    <w:rsid w:val="00A96319"/>
    <w:rsid w:val="00AA0EB3"/>
    <w:rsid w:val="00AA2627"/>
    <w:rsid w:val="00AA4008"/>
    <w:rsid w:val="00AB1B27"/>
    <w:rsid w:val="00AB23E2"/>
    <w:rsid w:val="00AB44BF"/>
    <w:rsid w:val="00AB6A81"/>
    <w:rsid w:val="00AB7C1C"/>
    <w:rsid w:val="00AB7E22"/>
    <w:rsid w:val="00AC02D1"/>
    <w:rsid w:val="00AC2A82"/>
    <w:rsid w:val="00AD1057"/>
    <w:rsid w:val="00AD1722"/>
    <w:rsid w:val="00AE2470"/>
    <w:rsid w:val="00AE3963"/>
    <w:rsid w:val="00AE7BD5"/>
    <w:rsid w:val="00AE7E21"/>
    <w:rsid w:val="00AF637C"/>
    <w:rsid w:val="00B05D0A"/>
    <w:rsid w:val="00B13E9F"/>
    <w:rsid w:val="00B15D86"/>
    <w:rsid w:val="00B20AFB"/>
    <w:rsid w:val="00B228C6"/>
    <w:rsid w:val="00B240F7"/>
    <w:rsid w:val="00B31A3C"/>
    <w:rsid w:val="00B33FC9"/>
    <w:rsid w:val="00B36F3A"/>
    <w:rsid w:val="00B42F21"/>
    <w:rsid w:val="00B43092"/>
    <w:rsid w:val="00B4344E"/>
    <w:rsid w:val="00B452DE"/>
    <w:rsid w:val="00B454CB"/>
    <w:rsid w:val="00B46BAF"/>
    <w:rsid w:val="00B50283"/>
    <w:rsid w:val="00B5031A"/>
    <w:rsid w:val="00B5061F"/>
    <w:rsid w:val="00B521A7"/>
    <w:rsid w:val="00B52217"/>
    <w:rsid w:val="00B522DD"/>
    <w:rsid w:val="00B527B6"/>
    <w:rsid w:val="00B53BC8"/>
    <w:rsid w:val="00B54136"/>
    <w:rsid w:val="00B54BAA"/>
    <w:rsid w:val="00B555BE"/>
    <w:rsid w:val="00B6029A"/>
    <w:rsid w:val="00B61EAC"/>
    <w:rsid w:val="00B64E4A"/>
    <w:rsid w:val="00B7218A"/>
    <w:rsid w:val="00B74C3E"/>
    <w:rsid w:val="00B76C57"/>
    <w:rsid w:val="00B8106E"/>
    <w:rsid w:val="00B81463"/>
    <w:rsid w:val="00B859CD"/>
    <w:rsid w:val="00B958A9"/>
    <w:rsid w:val="00B960C9"/>
    <w:rsid w:val="00BA262D"/>
    <w:rsid w:val="00BA2D9C"/>
    <w:rsid w:val="00BA4A34"/>
    <w:rsid w:val="00BA4CAF"/>
    <w:rsid w:val="00BA5AC9"/>
    <w:rsid w:val="00BB0051"/>
    <w:rsid w:val="00BB0574"/>
    <w:rsid w:val="00BB2182"/>
    <w:rsid w:val="00BB4E13"/>
    <w:rsid w:val="00BB5CE5"/>
    <w:rsid w:val="00BB78D2"/>
    <w:rsid w:val="00BC19B3"/>
    <w:rsid w:val="00BC1BB7"/>
    <w:rsid w:val="00BC48AC"/>
    <w:rsid w:val="00BC4F63"/>
    <w:rsid w:val="00BC51E4"/>
    <w:rsid w:val="00BD5F32"/>
    <w:rsid w:val="00BE008B"/>
    <w:rsid w:val="00BE250C"/>
    <w:rsid w:val="00BE4458"/>
    <w:rsid w:val="00BE5047"/>
    <w:rsid w:val="00BE6A23"/>
    <w:rsid w:val="00BE6EB2"/>
    <w:rsid w:val="00BF36A7"/>
    <w:rsid w:val="00C07207"/>
    <w:rsid w:val="00C126A4"/>
    <w:rsid w:val="00C130ED"/>
    <w:rsid w:val="00C1312A"/>
    <w:rsid w:val="00C25ACC"/>
    <w:rsid w:val="00C27308"/>
    <w:rsid w:val="00C27A29"/>
    <w:rsid w:val="00C304EC"/>
    <w:rsid w:val="00C43EEC"/>
    <w:rsid w:val="00C44962"/>
    <w:rsid w:val="00C457AA"/>
    <w:rsid w:val="00C45959"/>
    <w:rsid w:val="00C51B50"/>
    <w:rsid w:val="00C54EA8"/>
    <w:rsid w:val="00C56D0F"/>
    <w:rsid w:val="00C56E8F"/>
    <w:rsid w:val="00C574DA"/>
    <w:rsid w:val="00C613F3"/>
    <w:rsid w:val="00C65D4E"/>
    <w:rsid w:val="00C74B09"/>
    <w:rsid w:val="00C74F0E"/>
    <w:rsid w:val="00C8097C"/>
    <w:rsid w:val="00C80C86"/>
    <w:rsid w:val="00C84A36"/>
    <w:rsid w:val="00C84BAE"/>
    <w:rsid w:val="00C85529"/>
    <w:rsid w:val="00C902D4"/>
    <w:rsid w:val="00C91D35"/>
    <w:rsid w:val="00C946C3"/>
    <w:rsid w:val="00C9492E"/>
    <w:rsid w:val="00C94C79"/>
    <w:rsid w:val="00CA2B2E"/>
    <w:rsid w:val="00CA4A2B"/>
    <w:rsid w:val="00CA4C51"/>
    <w:rsid w:val="00CA4CA5"/>
    <w:rsid w:val="00CA7BF5"/>
    <w:rsid w:val="00CB1CBD"/>
    <w:rsid w:val="00CB5CA9"/>
    <w:rsid w:val="00CC608C"/>
    <w:rsid w:val="00CC628A"/>
    <w:rsid w:val="00CD3F31"/>
    <w:rsid w:val="00CD4D1B"/>
    <w:rsid w:val="00CD63DE"/>
    <w:rsid w:val="00CD7EBF"/>
    <w:rsid w:val="00CD7FC0"/>
    <w:rsid w:val="00CE05F1"/>
    <w:rsid w:val="00CF1842"/>
    <w:rsid w:val="00CF47B1"/>
    <w:rsid w:val="00CF76B3"/>
    <w:rsid w:val="00D005F1"/>
    <w:rsid w:val="00D01C9D"/>
    <w:rsid w:val="00D01FB8"/>
    <w:rsid w:val="00D050E1"/>
    <w:rsid w:val="00D06AC7"/>
    <w:rsid w:val="00D11E3E"/>
    <w:rsid w:val="00D15062"/>
    <w:rsid w:val="00D16350"/>
    <w:rsid w:val="00D17C53"/>
    <w:rsid w:val="00D20693"/>
    <w:rsid w:val="00D30F0F"/>
    <w:rsid w:val="00D33DB3"/>
    <w:rsid w:val="00D340AF"/>
    <w:rsid w:val="00D34562"/>
    <w:rsid w:val="00D43B73"/>
    <w:rsid w:val="00D56AEC"/>
    <w:rsid w:val="00D572C4"/>
    <w:rsid w:val="00D60091"/>
    <w:rsid w:val="00D6095E"/>
    <w:rsid w:val="00D619E9"/>
    <w:rsid w:val="00D644CB"/>
    <w:rsid w:val="00D718AF"/>
    <w:rsid w:val="00D73B3E"/>
    <w:rsid w:val="00D75D7D"/>
    <w:rsid w:val="00D77713"/>
    <w:rsid w:val="00D77F31"/>
    <w:rsid w:val="00D81F96"/>
    <w:rsid w:val="00D85460"/>
    <w:rsid w:val="00D85556"/>
    <w:rsid w:val="00D91B17"/>
    <w:rsid w:val="00D93CA5"/>
    <w:rsid w:val="00D94AE3"/>
    <w:rsid w:val="00D96458"/>
    <w:rsid w:val="00DA028D"/>
    <w:rsid w:val="00DA46AC"/>
    <w:rsid w:val="00DA46C2"/>
    <w:rsid w:val="00DB4B63"/>
    <w:rsid w:val="00DC0CFC"/>
    <w:rsid w:val="00DC6C65"/>
    <w:rsid w:val="00DD2CAE"/>
    <w:rsid w:val="00DD76B8"/>
    <w:rsid w:val="00DE63D9"/>
    <w:rsid w:val="00DF0241"/>
    <w:rsid w:val="00E0005F"/>
    <w:rsid w:val="00E00B28"/>
    <w:rsid w:val="00E020F4"/>
    <w:rsid w:val="00E05C91"/>
    <w:rsid w:val="00E07F97"/>
    <w:rsid w:val="00E12690"/>
    <w:rsid w:val="00E1292D"/>
    <w:rsid w:val="00E17BCA"/>
    <w:rsid w:val="00E203D5"/>
    <w:rsid w:val="00E226B5"/>
    <w:rsid w:val="00E23BAE"/>
    <w:rsid w:val="00E26B80"/>
    <w:rsid w:val="00E30476"/>
    <w:rsid w:val="00E322B6"/>
    <w:rsid w:val="00E36F3F"/>
    <w:rsid w:val="00E416C5"/>
    <w:rsid w:val="00E42421"/>
    <w:rsid w:val="00E429B6"/>
    <w:rsid w:val="00E42C24"/>
    <w:rsid w:val="00E45A00"/>
    <w:rsid w:val="00E50E4C"/>
    <w:rsid w:val="00E52AB6"/>
    <w:rsid w:val="00E5585B"/>
    <w:rsid w:val="00E60029"/>
    <w:rsid w:val="00E63902"/>
    <w:rsid w:val="00E64CD5"/>
    <w:rsid w:val="00E70755"/>
    <w:rsid w:val="00E75965"/>
    <w:rsid w:val="00E76305"/>
    <w:rsid w:val="00E81F7C"/>
    <w:rsid w:val="00E861CB"/>
    <w:rsid w:val="00E86C69"/>
    <w:rsid w:val="00E86F53"/>
    <w:rsid w:val="00E877AE"/>
    <w:rsid w:val="00E90A8A"/>
    <w:rsid w:val="00E911D2"/>
    <w:rsid w:val="00E95A60"/>
    <w:rsid w:val="00E977CC"/>
    <w:rsid w:val="00EB1348"/>
    <w:rsid w:val="00EB51A0"/>
    <w:rsid w:val="00EB768B"/>
    <w:rsid w:val="00EC34DD"/>
    <w:rsid w:val="00EC350E"/>
    <w:rsid w:val="00EE0718"/>
    <w:rsid w:val="00EE2D50"/>
    <w:rsid w:val="00EE4E7B"/>
    <w:rsid w:val="00EF4AFE"/>
    <w:rsid w:val="00EF65D7"/>
    <w:rsid w:val="00EF6BBB"/>
    <w:rsid w:val="00F0007D"/>
    <w:rsid w:val="00F07E32"/>
    <w:rsid w:val="00F110B2"/>
    <w:rsid w:val="00F110BE"/>
    <w:rsid w:val="00F162AF"/>
    <w:rsid w:val="00F16946"/>
    <w:rsid w:val="00F172D1"/>
    <w:rsid w:val="00F217C9"/>
    <w:rsid w:val="00F238D4"/>
    <w:rsid w:val="00F253CB"/>
    <w:rsid w:val="00F308CF"/>
    <w:rsid w:val="00F36406"/>
    <w:rsid w:val="00F40974"/>
    <w:rsid w:val="00F42A6E"/>
    <w:rsid w:val="00F42F63"/>
    <w:rsid w:val="00F44131"/>
    <w:rsid w:val="00F442A8"/>
    <w:rsid w:val="00F47827"/>
    <w:rsid w:val="00F47864"/>
    <w:rsid w:val="00F52B86"/>
    <w:rsid w:val="00F52E1E"/>
    <w:rsid w:val="00F550BC"/>
    <w:rsid w:val="00F55961"/>
    <w:rsid w:val="00F57607"/>
    <w:rsid w:val="00F61A93"/>
    <w:rsid w:val="00F66A91"/>
    <w:rsid w:val="00F7059F"/>
    <w:rsid w:val="00F73644"/>
    <w:rsid w:val="00F771FC"/>
    <w:rsid w:val="00F77FDF"/>
    <w:rsid w:val="00F808EF"/>
    <w:rsid w:val="00F80BF6"/>
    <w:rsid w:val="00F81B72"/>
    <w:rsid w:val="00F934FC"/>
    <w:rsid w:val="00F95873"/>
    <w:rsid w:val="00F97DEF"/>
    <w:rsid w:val="00FA013A"/>
    <w:rsid w:val="00FA10A3"/>
    <w:rsid w:val="00FA418D"/>
    <w:rsid w:val="00FA4ACC"/>
    <w:rsid w:val="00FA6502"/>
    <w:rsid w:val="00FA6E99"/>
    <w:rsid w:val="00FB0503"/>
    <w:rsid w:val="00FB3474"/>
    <w:rsid w:val="00FB5820"/>
    <w:rsid w:val="00FB5E7E"/>
    <w:rsid w:val="00FB69DA"/>
    <w:rsid w:val="00FB6D01"/>
    <w:rsid w:val="00FB751B"/>
    <w:rsid w:val="00FC3ED3"/>
    <w:rsid w:val="00FC51D5"/>
    <w:rsid w:val="00FD1826"/>
    <w:rsid w:val="00FE01EE"/>
    <w:rsid w:val="00FF0C1E"/>
    <w:rsid w:val="00FF1031"/>
    <w:rsid w:val="00FF5609"/>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D4A3"/>
  <w15:chartTrackingRefBased/>
  <w15:docId w15:val="{71105DAC-451E-4DA9-9274-F93DE3AE7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M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A26BC"/>
    <w:pPr>
      <w:spacing w:after="120" w:line="360" w:lineRule="auto"/>
      <w:ind w:left="851"/>
    </w:pPr>
    <w:rPr>
      <w:rFonts w:ascii="Georgia" w:eastAsia="Calibri" w:hAnsi="Georgia" w:cs="Times New Roman"/>
      <w:sz w:val="24"/>
      <w:szCs w:val="24"/>
      <w:lang w:val="ro-RO"/>
    </w:rPr>
  </w:style>
  <w:style w:type="paragraph" w:styleId="1">
    <w:name w:val="heading 1"/>
    <w:basedOn w:val="a"/>
    <w:next w:val="a"/>
    <w:link w:val="10"/>
    <w:uiPriority w:val="9"/>
    <w:qFormat/>
    <w:rsid w:val="0018446E"/>
    <w:pPr>
      <w:keepNext/>
      <w:keepLines/>
      <w:spacing w:before="240" w:after="0" w:line="240" w:lineRule="auto"/>
      <w:ind w:left="0"/>
      <w:outlineLvl w:val="0"/>
    </w:pPr>
    <w:rPr>
      <w:rFonts w:ascii="Times New Roman" w:eastAsia="Times New Roman" w:hAnsi="Times New Roman"/>
      <w:b/>
      <w:bCs/>
      <w:color w:val="000000"/>
      <w:sz w:val="28"/>
      <w:szCs w:val="28"/>
      <w:lang w:val="ru-RU" w:eastAsia="ru-RU"/>
    </w:rPr>
  </w:style>
  <w:style w:type="paragraph" w:styleId="2">
    <w:name w:val="heading 2"/>
    <w:basedOn w:val="1"/>
    <w:next w:val="a"/>
    <w:link w:val="20"/>
    <w:uiPriority w:val="9"/>
    <w:unhideWhenUsed/>
    <w:qFormat/>
    <w:rsid w:val="0018446E"/>
    <w:pPr>
      <w:numPr>
        <w:numId w:val="21"/>
      </w:numPr>
      <w:pBdr>
        <w:top w:val="nil"/>
        <w:left w:val="nil"/>
        <w:bottom w:val="nil"/>
        <w:right w:val="nil"/>
        <w:between w:val="nil"/>
      </w:pBdr>
      <w:spacing w:after="240" w:line="276" w:lineRule="auto"/>
      <w:ind w:left="0" w:firstLine="698"/>
      <w:jc w:val="center"/>
      <w:outlineLvl w:val="1"/>
    </w:pPr>
    <w:rPr>
      <w:rFonts w:ascii="Calibri Light" w:hAnsi="Calibri Light"/>
      <w:b w:val="0"/>
      <w:bCs w:val="0"/>
      <w:color w:val="2E74B5"/>
      <w:sz w:val="32"/>
      <w:szCs w:val="32"/>
      <w:lang w:val="en-GB" w:eastAsia="en-US"/>
    </w:rPr>
  </w:style>
  <w:style w:type="paragraph" w:styleId="3">
    <w:name w:val="heading 3"/>
    <w:basedOn w:val="2"/>
    <w:next w:val="a"/>
    <w:link w:val="30"/>
    <w:uiPriority w:val="9"/>
    <w:unhideWhenUsed/>
    <w:qFormat/>
    <w:rsid w:val="0018446E"/>
    <w:pPr>
      <w:numPr>
        <w:ilvl w:val="2"/>
      </w:numPr>
      <w:outlineLvl w:val="2"/>
    </w:pPr>
  </w:style>
  <w:style w:type="paragraph" w:styleId="4">
    <w:name w:val="heading 4"/>
    <w:basedOn w:val="a"/>
    <w:link w:val="40"/>
    <w:uiPriority w:val="9"/>
    <w:qFormat/>
    <w:rsid w:val="0018446E"/>
    <w:pPr>
      <w:spacing w:before="100" w:beforeAutospacing="1" w:after="100" w:afterAutospacing="1" w:line="240" w:lineRule="auto"/>
      <w:ind w:left="0"/>
      <w:outlineLvl w:val="3"/>
    </w:pPr>
    <w:rPr>
      <w:rFonts w:ascii="Times New Roman" w:eastAsia="Times New Roman" w:hAnsi="Times New Roman"/>
      <w:b/>
      <w:bCs/>
      <w:lang w:eastAsia="ro-RO"/>
    </w:rPr>
  </w:style>
  <w:style w:type="paragraph" w:styleId="5">
    <w:name w:val="heading 5"/>
    <w:basedOn w:val="a"/>
    <w:next w:val="a"/>
    <w:link w:val="50"/>
    <w:uiPriority w:val="9"/>
    <w:semiHidden/>
    <w:unhideWhenUsed/>
    <w:qFormat/>
    <w:rsid w:val="0018446E"/>
    <w:pPr>
      <w:keepNext/>
      <w:keepLines/>
      <w:pBdr>
        <w:top w:val="nil"/>
        <w:left w:val="nil"/>
        <w:bottom w:val="nil"/>
        <w:right w:val="nil"/>
        <w:between w:val="nil"/>
      </w:pBdr>
      <w:spacing w:before="40" w:after="0" w:line="276" w:lineRule="auto"/>
      <w:ind w:left="5120" w:hanging="1008"/>
      <w:jc w:val="both"/>
      <w:outlineLvl w:val="4"/>
    </w:pPr>
    <w:rPr>
      <w:rFonts w:ascii="Calibri Light" w:eastAsia="Times New Roman" w:hAnsi="Calibri Light"/>
      <w:color w:val="2E74B5"/>
      <w:lang w:val="en-GB"/>
    </w:rPr>
  </w:style>
  <w:style w:type="paragraph" w:styleId="6">
    <w:name w:val="heading 6"/>
    <w:basedOn w:val="a"/>
    <w:next w:val="a"/>
    <w:link w:val="60"/>
    <w:uiPriority w:val="9"/>
    <w:semiHidden/>
    <w:unhideWhenUsed/>
    <w:qFormat/>
    <w:rsid w:val="0018446E"/>
    <w:pPr>
      <w:keepNext/>
      <w:keepLines/>
      <w:pBdr>
        <w:top w:val="nil"/>
        <w:left w:val="nil"/>
        <w:bottom w:val="nil"/>
        <w:right w:val="nil"/>
        <w:between w:val="nil"/>
      </w:pBdr>
      <w:spacing w:before="40" w:after="0" w:line="276" w:lineRule="auto"/>
      <w:ind w:left="5264" w:hanging="1152"/>
      <w:jc w:val="both"/>
      <w:outlineLvl w:val="5"/>
    </w:pPr>
    <w:rPr>
      <w:rFonts w:ascii="Calibri Light" w:eastAsia="Times New Roman" w:hAnsi="Calibri Light"/>
      <w:color w:val="1F4D78"/>
      <w:lang w:val="en-GB"/>
    </w:rPr>
  </w:style>
  <w:style w:type="paragraph" w:styleId="7">
    <w:name w:val="heading 7"/>
    <w:basedOn w:val="a"/>
    <w:next w:val="a"/>
    <w:link w:val="70"/>
    <w:uiPriority w:val="9"/>
    <w:semiHidden/>
    <w:unhideWhenUsed/>
    <w:qFormat/>
    <w:rsid w:val="0018446E"/>
    <w:pPr>
      <w:keepNext/>
      <w:keepLines/>
      <w:pBdr>
        <w:top w:val="nil"/>
        <w:left w:val="nil"/>
        <w:bottom w:val="nil"/>
        <w:right w:val="nil"/>
        <w:between w:val="nil"/>
      </w:pBdr>
      <w:spacing w:before="40" w:after="0" w:line="276" w:lineRule="auto"/>
      <w:ind w:left="5408" w:hanging="1296"/>
      <w:jc w:val="both"/>
      <w:outlineLvl w:val="6"/>
    </w:pPr>
    <w:rPr>
      <w:rFonts w:ascii="Calibri Light" w:eastAsia="Times New Roman" w:hAnsi="Calibri Light"/>
      <w:i/>
      <w:iCs/>
      <w:color w:val="1F4D78"/>
      <w:lang w:val="en-GB"/>
    </w:rPr>
  </w:style>
  <w:style w:type="paragraph" w:styleId="8">
    <w:name w:val="heading 8"/>
    <w:basedOn w:val="a"/>
    <w:next w:val="a"/>
    <w:link w:val="80"/>
    <w:uiPriority w:val="9"/>
    <w:semiHidden/>
    <w:unhideWhenUsed/>
    <w:qFormat/>
    <w:rsid w:val="0018446E"/>
    <w:pPr>
      <w:keepNext/>
      <w:keepLines/>
      <w:pBdr>
        <w:top w:val="nil"/>
        <w:left w:val="nil"/>
        <w:bottom w:val="nil"/>
        <w:right w:val="nil"/>
        <w:between w:val="nil"/>
      </w:pBdr>
      <w:spacing w:before="40" w:after="0" w:line="276" w:lineRule="auto"/>
      <w:ind w:left="5552" w:hanging="1440"/>
      <w:jc w:val="both"/>
      <w:outlineLvl w:val="7"/>
    </w:pPr>
    <w:rPr>
      <w:rFonts w:ascii="Calibri Light" w:eastAsia="Times New Roman" w:hAnsi="Calibri Light"/>
      <w:color w:val="272727"/>
      <w:sz w:val="21"/>
      <w:szCs w:val="21"/>
      <w:lang w:val="en-GB"/>
    </w:rPr>
  </w:style>
  <w:style w:type="paragraph" w:styleId="9">
    <w:name w:val="heading 9"/>
    <w:basedOn w:val="a"/>
    <w:next w:val="a"/>
    <w:link w:val="90"/>
    <w:uiPriority w:val="9"/>
    <w:semiHidden/>
    <w:unhideWhenUsed/>
    <w:qFormat/>
    <w:rsid w:val="0018446E"/>
    <w:pPr>
      <w:keepNext/>
      <w:keepLines/>
      <w:pBdr>
        <w:top w:val="nil"/>
        <w:left w:val="nil"/>
        <w:bottom w:val="nil"/>
        <w:right w:val="nil"/>
        <w:between w:val="nil"/>
      </w:pBdr>
      <w:spacing w:before="40" w:after="0" w:line="276" w:lineRule="auto"/>
      <w:ind w:left="5696" w:hanging="1584"/>
      <w:jc w:val="both"/>
      <w:outlineLvl w:val="8"/>
    </w:pPr>
    <w:rPr>
      <w:rFonts w:ascii="Calibri Light" w:eastAsia="Times New Roman" w:hAnsi="Calibri Light"/>
      <w:i/>
      <w:iCs/>
      <w:color w:val="272727"/>
      <w:sz w:val="21"/>
      <w:szCs w:val="21"/>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References,NUMBERED PARAGRAPH,List Paragraph 1,Bullets,List_Paragraph,Multilevel para_II,List Paragraph1,Scriptoria bullet points,Bullet Points,Liste Paragraf,Listenabsatz1,Llista Nivell1,Lista de nivel 1,Paragraphe de liste PBLH,Bullet list"/>
    <w:basedOn w:val="a"/>
    <w:link w:val="a4"/>
    <w:uiPriority w:val="34"/>
    <w:qFormat/>
    <w:rsid w:val="006A26BC"/>
    <w:pPr>
      <w:ind w:left="720"/>
      <w:contextualSpacing/>
    </w:pPr>
    <w:rPr>
      <w:lang w:eastAsia="x-none"/>
    </w:rPr>
  </w:style>
  <w:style w:type="character" w:customStyle="1" w:styleId="a4">
    <w:name w:val="Абзац списка Знак"/>
    <w:aliases w:val="References Знак,NUMBERED PARAGRAPH Знак,List Paragraph 1 Знак,Bullets Знак,List_Paragraph Знак,Multilevel para_II Знак,List Paragraph1 Знак,Scriptoria bullet points Знак,Bullet Points Знак,Liste Paragraf Знак,Listenabsatz1 Знак"/>
    <w:link w:val="a3"/>
    <w:uiPriority w:val="34"/>
    <w:qFormat/>
    <w:locked/>
    <w:rsid w:val="006A26BC"/>
    <w:rPr>
      <w:rFonts w:ascii="Georgia" w:eastAsia="Calibri" w:hAnsi="Georgia" w:cs="Times New Roman"/>
      <w:sz w:val="24"/>
      <w:szCs w:val="24"/>
      <w:lang w:val="ro-RO" w:eastAsia="x-none"/>
    </w:rPr>
  </w:style>
  <w:style w:type="paragraph" w:customStyle="1" w:styleId="tt">
    <w:name w:val="tt"/>
    <w:basedOn w:val="a"/>
    <w:rsid w:val="006A26BC"/>
    <w:pPr>
      <w:spacing w:after="0" w:line="240" w:lineRule="auto"/>
      <w:ind w:left="0"/>
      <w:jc w:val="center"/>
    </w:pPr>
    <w:rPr>
      <w:rFonts w:ascii="Times New Roman" w:eastAsia="Times New Roman" w:hAnsi="Times New Roman"/>
      <w:b/>
      <w:bCs/>
    </w:rPr>
  </w:style>
  <w:style w:type="paragraph" w:styleId="a5">
    <w:name w:val="header"/>
    <w:basedOn w:val="a"/>
    <w:link w:val="a6"/>
    <w:uiPriority w:val="99"/>
    <w:unhideWhenUsed/>
    <w:rsid w:val="00E95A6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A60"/>
    <w:rPr>
      <w:rFonts w:ascii="Georgia" w:eastAsia="Calibri" w:hAnsi="Georgia" w:cs="Times New Roman"/>
      <w:sz w:val="24"/>
      <w:szCs w:val="24"/>
      <w:lang w:val="ro-RO"/>
    </w:rPr>
  </w:style>
  <w:style w:type="paragraph" w:styleId="a7">
    <w:name w:val="footer"/>
    <w:basedOn w:val="a"/>
    <w:link w:val="a8"/>
    <w:uiPriority w:val="99"/>
    <w:unhideWhenUsed/>
    <w:rsid w:val="00E95A6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A60"/>
    <w:rPr>
      <w:rFonts w:ascii="Georgia" w:eastAsia="Calibri" w:hAnsi="Georgia" w:cs="Times New Roman"/>
      <w:sz w:val="24"/>
      <w:szCs w:val="24"/>
      <w:lang w:val="ro-RO"/>
    </w:rPr>
  </w:style>
  <w:style w:type="character" w:styleId="a9">
    <w:name w:val="annotation reference"/>
    <w:basedOn w:val="a0"/>
    <w:uiPriority w:val="99"/>
    <w:semiHidden/>
    <w:unhideWhenUsed/>
    <w:rsid w:val="00A61A4F"/>
    <w:rPr>
      <w:sz w:val="16"/>
      <w:szCs w:val="16"/>
    </w:rPr>
  </w:style>
  <w:style w:type="paragraph" w:styleId="aa">
    <w:name w:val="annotation text"/>
    <w:basedOn w:val="a"/>
    <w:link w:val="ab"/>
    <w:uiPriority w:val="99"/>
    <w:unhideWhenUsed/>
    <w:rsid w:val="00A61A4F"/>
    <w:pPr>
      <w:spacing w:line="240" w:lineRule="auto"/>
    </w:pPr>
    <w:rPr>
      <w:sz w:val="20"/>
      <w:szCs w:val="20"/>
    </w:rPr>
  </w:style>
  <w:style w:type="character" w:customStyle="1" w:styleId="ab">
    <w:name w:val="Текст примечания Знак"/>
    <w:basedOn w:val="a0"/>
    <w:link w:val="aa"/>
    <w:uiPriority w:val="99"/>
    <w:rsid w:val="00A61A4F"/>
    <w:rPr>
      <w:rFonts w:ascii="Georgia" w:eastAsia="Calibri" w:hAnsi="Georgia" w:cs="Times New Roman"/>
      <w:sz w:val="20"/>
      <w:szCs w:val="20"/>
      <w:lang w:val="ro-RO"/>
    </w:rPr>
  </w:style>
  <w:style w:type="paragraph" w:styleId="ac">
    <w:name w:val="annotation subject"/>
    <w:basedOn w:val="aa"/>
    <w:next w:val="aa"/>
    <w:link w:val="ad"/>
    <w:uiPriority w:val="99"/>
    <w:semiHidden/>
    <w:unhideWhenUsed/>
    <w:rsid w:val="00A61A4F"/>
    <w:rPr>
      <w:b/>
      <w:bCs/>
    </w:rPr>
  </w:style>
  <w:style w:type="character" w:customStyle="1" w:styleId="ad">
    <w:name w:val="Тема примечания Знак"/>
    <w:basedOn w:val="ab"/>
    <w:link w:val="ac"/>
    <w:uiPriority w:val="99"/>
    <w:semiHidden/>
    <w:rsid w:val="00A61A4F"/>
    <w:rPr>
      <w:rFonts w:ascii="Georgia" w:eastAsia="Calibri" w:hAnsi="Georgia" w:cs="Times New Roman"/>
      <w:b/>
      <w:bCs/>
      <w:sz w:val="20"/>
      <w:szCs w:val="20"/>
      <w:lang w:val="ro-RO"/>
    </w:rPr>
  </w:style>
  <w:style w:type="paragraph" w:customStyle="1" w:styleId="tj">
    <w:name w:val="tj"/>
    <w:basedOn w:val="a"/>
    <w:rsid w:val="00A96319"/>
    <w:pPr>
      <w:spacing w:before="100" w:beforeAutospacing="1" w:after="100" w:afterAutospacing="1" w:line="240" w:lineRule="auto"/>
      <w:ind w:left="0"/>
    </w:pPr>
    <w:rPr>
      <w:rFonts w:ascii="Times New Roman" w:eastAsia="Times New Roman" w:hAnsi="Times New Roman"/>
      <w:lang w:val="en-US"/>
    </w:rPr>
  </w:style>
  <w:style w:type="paragraph" w:styleId="ae">
    <w:name w:val="Normal (Web)"/>
    <w:basedOn w:val="a"/>
    <w:link w:val="af"/>
    <w:uiPriority w:val="99"/>
    <w:unhideWhenUsed/>
    <w:rsid w:val="00E977CC"/>
    <w:pPr>
      <w:spacing w:before="100" w:beforeAutospacing="1" w:after="100" w:afterAutospacing="1" w:line="240" w:lineRule="auto"/>
      <w:ind w:left="0"/>
    </w:pPr>
    <w:rPr>
      <w:rFonts w:ascii="Times New Roman" w:eastAsia="Times New Roman" w:hAnsi="Times New Roman"/>
      <w:lang w:val="en-US"/>
    </w:rPr>
  </w:style>
  <w:style w:type="paragraph" w:styleId="af0">
    <w:name w:val="Revision"/>
    <w:hidden/>
    <w:uiPriority w:val="99"/>
    <w:semiHidden/>
    <w:rsid w:val="00971DF6"/>
    <w:pPr>
      <w:spacing w:after="0" w:line="240" w:lineRule="auto"/>
    </w:pPr>
    <w:rPr>
      <w:rFonts w:ascii="Georgia" w:eastAsia="Calibri" w:hAnsi="Georgia" w:cs="Times New Roman"/>
      <w:sz w:val="24"/>
      <w:szCs w:val="24"/>
      <w:lang w:val="ro-RO"/>
    </w:rPr>
  </w:style>
  <w:style w:type="character" w:customStyle="1" w:styleId="cf01">
    <w:name w:val="cf01"/>
    <w:basedOn w:val="a0"/>
    <w:rsid w:val="00971DF6"/>
    <w:rPr>
      <w:rFonts w:ascii="Segoe UI" w:hAnsi="Segoe UI" w:cs="Segoe UI" w:hint="default"/>
      <w:sz w:val="18"/>
      <w:szCs w:val="18"/>
    </w:rPr>
  </w:style>
  <w:style w:type="character" w:styleId="af1">
    <w:name w:val="Emphasis"/>
    <w:basedOn w:val="a0"/>
    <w:uiPriority w:val="20"/>
    <w:qFormat/>
    <w:rsid w:val="009F6C19"/>
    <w:rPr>
      <w:i/>
      <w:iCs/>
    </w:rPr>
  </w:style>
  <w:style w:type="paragraph" w:customStyle="1" w:styleId="xmsonormal">
    <w:name w:val="x_msonormal"/>
    <w:basedOn w:val="a"/>
    <w:rsid w:val="005D3752"/>
    <w:pPr>
      <w:spacing w:before="100" w:beforeAutospacing="1" w:after="100" w:afterAutospacing="1" w:line="240" w:lineRule="auto"/>
      <w:ind w:left="0"/>
    </w:pPr>
    <w:rPr>
      <w:rFonts w:ascii="Times New Roman" w:eastAsia="Times New Roman" w:hAnsi="Times New Roman"/>
      <w:lang w:val="ru-RU" w:eastAsia="ru-RU"/>
    </w:rPr>
  </w:style>
  <w:style w:type="character" w:customStyle="1" w:styleId="highlight">
    <w:name w:val="highlight"/>
    <w:basedOn w:val="a0"/>
    <w:rsid w:val="005D3752"/>
  </w:style>
  <w:style w:type="paragraph" w:styleId="af2">
    <w:name w:val="Balloon Text"/>
    <w:basedOn w:val="a"/>
    <w:link w:val="af3"/>
    <w:uiPriority w:val="99"/>
    <w:semiHidden/>
    <w:unhideWhenUsed/>
    <w:rsid w:val="0017503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75034"/>
    <w:rPr>
      <w:rFonts w:ascii="Segoe UI" w:eastAsia="Calibri" w:hAnsi="Segoe UI" w:cs="Segoe UI"/>
      <w:sz w:val="18"/>
      <w:szCs w:val="18"/>
      <w:lang w:val="ro-RO"/>
    </w:rPr>
  </w:style>
  <w:style w:type="character" w:styleId="af4">
    <w:name w:val="Hyperlink"/>
    <w:basedOn w:val="a0"/>
    <w:uiPriority w:val="99"/>
    <w:unhideWhenUsed/>
    <w:rsid w:val="0069039B"/>
    <w:rPr>
      <w:color w:val="0000FF"/>
      <w:u w:val="single"/>
    </w:rPr>
  </w:style>
  <w:style w:type="paragraph" w:customStyle="1" w:styleId="md">
    <w:name w:val="md"/>
    <w:basedOn w:val="a"/>
    <w:uiPriority w:val="99"/>
    <w:rsid w:val="000C3B3D"/>
    <w:pPr>
      <w:spacing w:before="100" w:beforeAutospacing="1" w:after="100" w:afterAutospacing="1" w:line="240" w:lineRule="auto"/>
      <w:ind w:left="0"/>
    </w:pPr>
    <w:rPr>
      <w:rFonts w:ascii="Times New Roman" w:eastAsiaTheme="minorEastAsia" w:hAnsi="Times New Roman"/>
      <w:i/>
      <w:iCs/>
      <w:color w:val="663300"/>
      <w:sz w:val="20"/>
      <w:szCs w:val="20"/>
      <w:lang w:val="ru-MD" w:eastAsia="ru-MD"/>
    </w:rPr>
  </w:style>
  <w:style w:type="character" w:customStyle="1" w:styleId="10">
    <w:name w:val="Заголовок 1 Знак"/>
    <w:basedOn w:val="a0"/>
    <w:link w:val="1"/>
    <w:uiPriority w:val="9"/>
    <w:rsid w:val="0018446E"/>
    <w:rPr>
      <w:rFonts w:ascii="Times New Roman" w:eastAsia="Times New Roman" w:hAnsi="Times New Roman" w:cs="Times New Roman"/>
      <w:b/>
      <w:bCs/>
      <w:color w:val="000000"/>
      <w:sz w:val="28"/>
      <w:szCs w:val="28"/>
      <w:lang w:val="ru-RU" w:eastAsia="ru-RU"/>
    </w:rPr>
  </w:style>
  <w:style w:type="character" w:customStyle="1" w:styleId="20">
    <w:name w:val="Заголовок 2 Знак"/>
    <w:basedOn w:val="a0"/>
    <w:link w:val="2"/>
    <w:uiPriority w:val="9"/>
    <w:rsid w:val="0018446E"/>
    <w:rPr>
      <w:rFonts w:ascii="Calibri Light" w:eastAsia="Times New Roman" w:hAnsi="Calibri Light" w:cs="Times New Roman"/>
      <w:color w:val="2E74B5"/>
      <w:sz w:val="32"/>
      <w:szCs w:val="32"/>
      <w:lang w:val="en-GB"/>
    </w:rPr>
  </w:style>
  <w:style w:type="character" w:customStyle="1" w:styleId="30">
    <w:name w:val="Заголовок 3 Знак"/>
    <w:basedOn w:val="a0"/>
    <w:link w:val="3"/>
    <w:uiPriority w:val="9"/>
    <w:rsid w:val="0018446E"/>
    <w:rPr>
      <w:rFonts w:ascii="Calibri Light" w:eastAsia="Times New Roman" w:hAnsi="Calibri Light" w:cs="Times New Roman"/>
      <w:color w:val="2E74B5"/>
      <w:sz w:val="32"/>
      <w:szCs w:val="32"/>
      <w:lang w:val="en-GB"/>
    </w:rPr>
  </w:style>
  <w:style w:type="character" w:customStyle="1" w:styleId="40">
    <w:name w:val="Заголовок 4 Знак"/>
    <w:basedOn w:val="a0"/>
    <w:link w:val="4"/>
    <w:uiPriority w:val="9"/>
    <w:rsid w:val="0018446E"/>
    <w:rPr>
      <w:rFonts w:ascii="Times New Roman" w:eastAsia="Times New Roman" w:hAnsi="Times New Roman" w:cs="Times New Roman"/>
      <w:b/>
      <w:bCs/>
      <w:sz w:val="24"/>
      <w:szCs w:val="24"/>
      <w:lang w:val="ro-RO" w:eastAsia="ro-RO"/>
    </w:rPr>
  </w:style>
  <w:style w:type="character" w:customStyle="1" w:styleId="50">
    <w:name w:val="Заголовок 5 Знак"/>
    <w:basedOn w:val="a0"/>
    <w:link w:val="5"/>
    <w:uiPriority w:val="9"/>
    <w:semiHidden/>
    <w:rsid w:val="0018446E"/>
    <w:rPr>
      <w:rFonts w:ascii="Calibri Light" w:eastAsia="Times New Roman" w:hAnsi="Calibri Light" w:cs="Times New Roman"/>
      <w:color w:val="2E74B5"/>
      <w:sz w:val="24"/>
      <w:szCs w:val="24"/>
      <w:lang w:val="en-GB"/>
    </w:rPr>
  </w:style>
  <w:style w:type="character" w:customStyle="1" w:styleId="60">
    <w:name w:val="Заголовок 6 Знак"/>
    <w:basedOn w:val="a0"/>
    <w:link w:val="6"/>
    <w:uiPriority w:val="9"/>
    <w:semiHidden/>
    <w:rsid w:val="0018446E"/>
    <w:rPr>
      <w:rFonts w:ascii="Calibri Light" w:eastAsia="Times New Roman" w:hAnsi="Calibri Light" w:cs="Times New Roman"/>
      <w:color w:val="1F4D78"/>
      <w:sz w:val="24"/>
      <w:szCs w:val="24"/>
      <w:lang w:val="en-GB"/>
    </w:rPr>
  </w:style>
  <w:style w:type="character" w:customStyle="1" w:styleId="70">
    <w:name w:val="Заголовок 7 Знак"/>
    <w:basedOn w:val="a0"/>
    <w:link w:val="7"/>
    <w:uiPriority w:val="9"/>
    <w:semiHidden/>
    <w:rsid w:val="0018446E"/>
    <w:rPr>
      <w:rFonts w:ascii="Calibri Light" w:eastAsia="Times New Roman" w:hAnsi="Calibri Light" w:cs="Times New Roman"/>
      <w:i/>
      <w:iCs/>
      <w:color w:val="1F4D78"/>
      <w:sz w:val="24"/>
      <w:szCs w:val="24"/>
      <w:lang w:val="en-GB"/>
    </w:rPr>
  </w:style>
  <w:style w:type="character" w:customStyle="1" w:styleId="80">
    <w:name w:val="Заголовок 8 Знак"/>
    <w:basedOn w:val="a0"/>
    <w:link w:val="8"/>
    <w:uiPriority w:val="9"/>
    <w:semiHidden/>
    <w:rsid w:val="0018446E"/>
    <w:rPr>
      <w:rFonts w:ascii="Calibri Light" w:eastAsia="Times New Roman" w:hAnsi="Calibri Light" w:cs="Times New Roman"/>
      <w:color w:val="272727"/>
      <w:sz w:val="21"/>
      <w:szCs w:val="21"/>
      <w:lang w:val="en-GB"/>
    </w:rPr>
  </w:style>
  <w:style w:type="character" w:customStyle="1" w:styleId="90">
    <w:name w:val="Заголовок 9 Знак"/>
    <w:basedOn w:val="a0"/>
    <w:link w:val="9"/>
    <w:uiPriority w:val="9"/>
    <w:semiHidden/>
    <w:rsid w:val="0018446E"/>
    <w:rPr>
      <w:rFonts w:ascii="Calibri Light" w:eastAsia="Times New Roman" w:hAnsi="Calibri Light" w:cs="Times New Roman"/>
      <w:i/>
      <w:iCs/>
      <w:color w:val="272727"/>
      <w:sz w:val="21"/>
      <w:szCs w:val="21"/>
      <w:lang w:val="en-GB"/>
    </w:rPr>
  </w:style>
  <w:style w:type="numbering" w:customStyle="1" w:styleId="11">
    <w:name w:val="Нет списка1"/>
    <w:next w:val="a2"/>
    <w:uiPriority w:val="99"/>
    <w:semiHidden/>
    <w:unhideWhenUsed/>
    <w:rsid w:val="0018446E"/>
  </w:style>
  <w:style w:type="paragraph" w:styleId="af5">
    <w:name w:val="No Spacing"/>
    <w:link w:val="af6"/>
    <w:uiPriority w:val="1"/>
    <w:qFormat/>
    <w:rsid w:val="0018446E"/>
    <w:pPr>
      <w:spacing w:after="0" w:line="240" w:lineRule="auto"/>
    </w:pPr>
    <w:rPr>
      <w:rFonts w:ascii="Calibri" w:eastAsia="Calibri" w:hAnsi="Calibri" w:cs="Times New Roman"/>
      <w:lang w:val="en-US"/>
    </w:rPr>
  </w:style>
  <w:style w:type="character" w:customStyle="1" w:styleId="docbody1">
    <w:name w:val="docbody1"/>
    <w:basedOn w:val="a0"/>
    <w:rsid w:val="0018446E"/>
  </w:style>
  <w:style w:type="character" w:customStyle="1" w:styleId="s7d2086b4">
    <w:name w:val="s7d2086b4"/>
    <w:basedOn w:val="a0"/>
    <w:rsid w:val="0018446E"/>
  </w:style>
  <w:style w:type="character" w:customStyle="1" w:styleId="sb8d990e2">
    <w:name w:val="sb8d990e2"/>
    <w:basedOn w:val="a0"/>
    <w:rsid w:val="0018446E"/>
  </w:style>
  <w:style w:type="character" w:customStyle="1" w:styleId="s6b621b36">
    <w:name w:val="s6b621b36"/>
    <w:basedOn w:val="a0"/>
    <w:rsid w:val="0018446E"/>
  </w:style>
  <w:style w:type="character" w:customStyle="1" w:styleId="FontStyle29">
    <w:name w:val="Font Style29"/>
    <w:uiPriority w:val="99"/>
    <w:rsid w:val="0018446E"/>
    <w:rPr>
      <w:rFonts w:ascii="Cambria" w:hAnsi="Cambria" w:cs="Cambria"/>
      <w:sz w:val="24"/>
      <w:szCs w:val="24"/>
    </w:rPr>
  </w:style>
  <w:style w:type="character" w:customStyle="1" w:styleId="docsign1">
    <w:name w:val="doc_sign1"/>
    <w:basedOn w:val="a0"/>
    <w:rsid w:val="0018446E"/>
  </w:style>
  <w:style w:type="character" w:customStyle="1" w:styleId="docheader">
    <w:name w:val="doc_header"/>
    <w:basedOn w:val="a0"/>
    <w:rsid w:val="0018446E"/>
  </w:style>
  <w:style w:type="character" w:styleId="af7">
    <w:name w:val="Strong"/>
    <w:uiPriority w:val="22"/>
    <w:qFormat/>
    <w:rsid w:val="0018446E"/>
    <w:rPr>
      <w:b/>
      <w:bCs/>
    </w:rPr>
  </w:style>
  <w:style w:type="paragraph" w:customStyle="1" w:styleId="Default">
    <w:name w:val="Default"/>
    <w:rsid w:val="0018446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FontStyle28">
    <w:name w:val="Font Style28"/>
    <w:uiPriority w:val="99"/>
    <w:rsid w:val="0018446E"/>
    <w:rPr>
      <w:rFonts w:ascii="Cambria" w:hAnsi="Cambria" w:cs="Cambria"/>
      <w:sz w:val="24"/>
      <w:szCs w:val="24"/>
    </w:rPr>
  </w:style>
  <w:style w:type="character" w:customStyle="1" w:styleId="docsign11">
    <w:name w:val="doc_sign11"/>
    <w:rsid w:val="0018446E"/>
    <w:rPr>
      <w:rFonts w:ascii="Times New Roman" w:hAnsi="Times New Roman" w:cs="Times New Roman" w:hint="default"/>
      <w:b/>
      <w:bCs/>
      <w:color w:val="000000"/>
      <w:sz w:val="22"/>
      <w:szCs w:val="22"/>
    </w:rPr>
  </w:style>
  <w:style w:type="character" w:customStyle="1" w:styleId="docheader1">
    <w:name w:val="doc_header1"/>
    <w:rsid w:val="0018446E"/>
    <w:rPr>
      <w:rFonts w:ascii="Times New Roman" w:hAnsi="Times New Roman" w:cs="Times New Roman" w:hint="default"/>
      <w:b/>
      <w:bCs/>
      <w:color w:val="000000"/>
      <w:sz w:val="24"/>
      <w:szCs w:val="24"/>
    </w:rPr>
  </w:style>
  <w:style w:type="paragraph" w:customStyle="1" w:styleId="Heading11">
    <w:name w:val="Heading 11"/>
    <w:basedOn w:val="a"/>
    <w:next w:val="a"/>
    <w:qFormat/>
    <w:rsid w:val="0018446E"/>
    <w:pPr>
      <w:keepNext/>
      <w:keepLines/>
      <w:widowControl w:val="0"/>
      <w:spacing w:before="480" w:after="0"/>
      <w:ind w:left="0"/>
      <w:jc w:val="center"/>
      <w:outlineLvl w:val="0"/>
    </w:pPr>
    <w:rPr>
      <w:rFonts w:ascii="Times New Roman" w:eastAsia="Times New Roman" w:hAnsi="Times New Roman"/>
      <w:b/>
      <w:bCs/>
      <w:color w:val="000000"/>
      <w:sz w:val="28"/>
      <w:szCs w:val="28"/>
      <w:lang w:val="ru-RU" w:eastAsia="ru-RU"/>
    </w:rPr>
  </w:style>
  <w:style w:type="paragraph" w:customStyle="1" w:styleId="Heading41">
    <w:name w:val="Heading 41"/>
    <w:basedOn w:val="a"/>
    <w:next w:val="a"/>
    <w:uiPriority w:val="9"/>
    <w:unhideWhenUsed/>
    <w:qFormat/>
    <w:rsid w:val="0018446E"/>
    <w:pPr>
      <w:keepNext/>
      <w:keepLines/>
      <w:spacing w:before="40" w:after="0" w:line="240" w:lineRule="auto"/>
      <w:ind w:left="0"/>
      <w:outlineLvl w:val="3"/>
    </w:pPr>
    <w:rPr>
      <w:rFonts w:ascii="Calibri Light" w:eastAsia="Times New Roman" w:hAnsi="Calibri Light"/>
      <w:i/>
      <w:iCs/>
      <w:color w:val="2E74B5"/>
      <w:lang w:val="ru-RU" w:eastAsia="ru-RU"/>
    </w:rPr>
  </w:style>
  <w:style w:type="numbering" w:customStyle="1" w:styleId="NoList1">
    <w:name w:val="No List1"/>
    <w:next w:val="a2"/>
    <w:uiPriority w:val="99"/>
    <w:semiHidden/>
    <w:unhideWhenUsed/>
    <w:rsid w:val="0018446E"/>
  </w:style>
  <w:style w:type="character" w:styleId="af8">
    <w:name w:val="FollowedHyperlink"/>
    <w:uiPriority w:val="99"/>
    <w:semiHidden/>
    <w:unhideWhenUsed/>
    <w:rsid w:val="0018446E"/>
    <w:rPr>
      <w:color w:val="800080"/>
      <w:u w:val="single"/>
    </w:rPr>
  </w:style>
  <w:style w:type="character" w:customStyle="1" w:styleId="af">
    <w:name w:val="Обычный (веб) Знак"/>
    <w:link w:val="ae"/>
    <w:uiPriority w:val="99"/>
    <w:locked/>
    <w:rsid w:val="0018446E"/>
    <w:rPr>
      <w:rFonts w:ascii="Times New Roman" w:eastAsia="Times New Roman" w:hAnsi="Times New Roman" w:cs="Times New Roman"/>
      <w:sz w:val="24"/>
      <w:szCs w:val="24"/>
      <w:lang w:val="en-US"/>
    </w:rPr>
  </w:style>
  <w:style w:type="paragraph" w:customStyle="1" w:styleId="FootnoteText1">
    <w:name w:val="Footnote Text1"/>
    <w:basedOn w:val="a"/>
    <w:next w:val="af9"/>
    <w:link w:val="FootnoteTextChar"/>
    <w:uiPriority w:val="99"/>
    <w:unhideWhenUsed/>
    <w:rsid w:val="0018446E"/>
    <w:pPr>
      <w:spacing w:after="0" w:line="240" w:lineRule="auto"/>
      <w:ind w:left="0"/>
    </w:pPr>
    <w:rPr>
      <w:rFonts w:ascii="Times New Roman" w:eastAsia="Times New Roman" w:hAnsi="Times New Roman"/>
      <w:lang w:val="en-US"/>
    </w:rPr>
  </w:style>
  <w:style w:type="character" w:customStyle="1" w:styleId="FootnoteTextChar">
    <w:name w:val="Footnote Text Char"/>
    <w:aliases w:val="Текст сноски Знак Знак Знак Знак Char,Текст сноски Знак Знак Знак Знак Знак Знак Char,Текст сноски Знак Знак Знак Char Char Char1,Текст сноски Знак Знак Знак Char Char1,Текст сноски Знак Знак Знак Char Char Char Char"/>
    <w:link w:val="FootnoteText1"/>
    <w:uiPriority w:val="99"/>
    <w:locked/>
    <w:rsid w:val="0018446E"/>
    <w:rPr>
      <w:rFonts w:ascii="Times New Roman" w:eastAsia="Times New Roman" w:hAnsi="Times New Roman" w:cs="Times New Roman"/>
      <w:sz w:val="24"/>
      <w:szCs w:val="24"/>
      <w:lang w:val="en-US"/>
    </w:rPr>
  </w:style>
  <w:style w:type="paragraph" w:customStyle="1" w:styleId="pb">
    <w:name w:val="pb"/>
    <w:basedOn w:val="a"/>
    <w:rsid w:val="0018446E"/>
    <w:pPr>
      <w:spacing w:after="0" w:line="240" w:lineRule="auto"/>
      <w:ind w:left="0"/>
      <w:jc w:val="center"/>
    </w:pPr>
    <w:rPr>
      <w:rFonts w:ascii="Times New Roman" w:eastAsia="Times New Roman" w:hAnsi="Times New Roman"/>
      <w:i/>
      <w:iCs/>
      <w:color w:val="663300"/>
      <w:sz w:val="20"/>
      <w:szCs w:val="20"/>
      <w:lang w:val="en-US"/>
    </w:rPr>
  </w:style>
  <w:style w:type="paragraph" w:customStyle="1" w:styleId="cu">
    <w:name w:val="cu"/>
    <w:basedOn w:val="a"/>
    <w:uiPriority w:val="99"/>
    <w:semiHidden/>
    <w:rsid w:val="0018446E"/>
    <w:pPr>
      <w:spacing w:before="45" w:after="0" w:line="240" w:lineRule="auto"/>
      <w:ind w:left="1134" w:right="567" w:hanging="567"/>
      <w:jc w:val="both"/>
    </w:pPr>
    <w:rPr>
      <w:rFonts w:ascii="Times New Roman" w:eastAsia="Times New Roman" w:hAnsi="Times New Roman"/>
      <w:sz w:val="20"/>
      <w:szCs w:val="20"/>
      <w:lang w:val="en-US"/>
    </w:rPr>
  </w:style>
  <w:style w:type="paragraph" w:customStyle="1" w:styleId="cut">
    <w:name w:val="cut"/>
    <w:basedOn w:val="a"/>
    <w:uiPriority w:val="99"/>
    <w:semiHidden/>
    <w:rsid w:val="0018446E"/>
    <w:pPr>
      <w:spacing w:after="0" w:line="240" w:lineRule="auto"/>
      <w:ind w:left="567" w:right="567" w:firstLine="567"/>
      <w:jc w:val="center"/>
    </w:pPr>
    <w:rPr>
      <w:rFonts w:ascii="Times New Roman" w:eastAsia="Times New Roman" w:hAnsi="Times New Roman"/>
      <w:b/>
      <w:bCs/>
      <w:sz w:val="20"/>
      <w:szCs w:val="20"/>
      <w:lang w:val="en-US"/>
    </w:rPr>
  </w:style>
  <w:style w:type="paragraph" w:customStyle="1" w:styleId="cp">
    <w:name w:val="cp"/>
    <w:basedOn w:val="a"/>
    <w:uiPriority w:val="99"/>
    <w:rsid w:val="0018446E"/>
    <w:pPr>
      <w:spacing w:after="0" w:line="240" w:lineRule="auto"/>
      <w:ind w:left="0"/>
      <w:jc w:val="center"/>
    </w:pPr>
    <w:rPr>
      <w:rFonts w:ascii="Times New Roman" w:eastAsia="Times New Roman" w:hAnsi="Times New Roman"/>
      <w:b/>
      <w:bCs/>
      <w:lang w:val="en-US"/>
    </w:rPr>
  </w:style>
  <w:style w:type="paragraph" w:customStyle="1" w:styleId="nt">
    <w:name w:val="nt"/>
    <w:basedOn w:val="a"/>
    <w:uiPriority w:val="99"/>
    <w:semiHidden/>
    <w:rsid w:val="0018446E"/>
    <w:pPr>
      <w:spacing w:after="0" w:line="240" w:lineRule="auto"/>
      <w:ind w:left="567" w:right="567" w:hanging="567"/>
      <w:jc w:val="both"/>
    </w:pPr>
    <w:rPr>
      <w:rFonts w:ascii="Times New Roman" w:eastAsia="Times New Roman" w:hAnsi="Times New Roman"/>
      <w:i/>
      <w:iCs/>
      <w:color w:val="663300"/>
      <w:sz w:val="20"/>
      <w:szCs w:val="20"/>
      <w:lang w:val="en-US"/>
    </w:rPr>
  </w:style>
  <w:style w:type="paragraph" w:customStyle="1" w:styleId="cn">
    <w:name w:val="cn"/>
    <w:basedOn w:val="a"/>
    <w:rsid w:val="0018446E"/>
    <w:pPr>
      <w:spacing w:after="0" w:line="240" w:lineRule="auto"/>
      <w:ind w:left="0"/>
      <w:jc w:val="center"/>
    </w:pPr>
    <w:rPr>
      <w:rFonts w:ascii="Times New Roman" w:eastAsia="Times New Roman" w:hAnsi="Times New Roman"/>
      <w:lang w:val="en-US"/>
    </w:rPr>
  </w:style>
  <w:style w:type="paragraph" w:customStyle="1" w:styleId="cb">
    <w:name w:val="cb"/>
    <w:basedOn w:val="a"/>
    <w:rsid w:val="0018446E"/>
    <w:pPr>
      <w:spacing w:after="0" w:line="240" w:lineRule="auto"/>
      <w:ind w:left="0"/>
      <w:jc w:val="center"/>
    </w:pPr>
    <w:rPr>
      <w:rFonts w:ascii="Times New Roman" w:eastAsia="Times New Roman" w:hAnsi="Times New Roman"/>
      <w:b/>
      <w:bCs/>
      <w:lang w:val="en-US"/>
    </w:rPr>
  </w:style>
  <w:style w:type="paragraph" w:customStyle="1" w:styleId="rg">
    <w:name w:val="rg"/>
    <w:basedOn w:val="a"/>
    <w:uiPriority w:val="99"/>
    <w:rsid w:val="0018446E"/>
    <w:pPr>
      <w:spacing w:after="0" w:line="240" w:lineRule="auto"/>
      <w:ind w:left="0"/>
      <w:jc w:val="right"/>
    </w:pPr>
    <w:rPr>
      <w:rFonts w:ascii="Times New Roman" w:eastAsia="Times New Roman" w:hAnsi="Times New Roman"/>
      <w:lang w:val="en-US"/>
    </w:rPr>
  </w:style>
  <w:style w:type="paragraph" w:customStyle="1" w:styleId="js">
    <w:name w:val="js"/>
    <w:basedOn w:val="a"/>
    <w:uiPriority w:val="99"/>
    <w:semiHidden/>
    <w:rsid w:val="0018446E"/>
    <w:pPr>
      <w:spacing w:after="0" w:line="240" w:lineRule="auto"/>
      <w:ind w:left="0"/>
      <w:jc w:val="both"/>
    </w:pPr>
    <w:rPr>
      <w:rFonts w:ascii="Times New Roman" w:eastAsia="Times New Roman" w:hAnsi="Times New Roman"/>
      <w:lang w:val="en-US"/>
    </w:rPr>
  </w:style>
  <w:style w:type="paragraph" w:customStyle="1" w:styleId="lf">
    <w:name w:val="lf"/>
    <w:basedOn w:val="a"/>
    <w:uiPriority w:val="99"/>
    <w:semiHidden/>
    <w:rsid w:val="0018446E"/>
    <w:pPr>
      <w:spacing w:after="0" w:line="240" w:lineRule="auto"/>
      <w:ind w:left="0"/>
    </w:pPr>
    <w:rPr>
      <w:rFonts w:ascii="Times New Roman" w:eastAsia="Times New Roman" w:hAnsi="Times New Roman"/>
      <w:lang w:val="en-US"/>
    </w:rPr>
  </w:style>
  <w:style w:type="paragraph" w:customStyle="1" w:styleId="forma">
    <w:name w:val="forma"/>
    <w:basedOn w:val="a"/>
    <w:uiPriority w:val="99"/>
    <w:semiHidden/>
    <w:rsid w:val="0018446E"/>
    <w:pPr>
      <w:spacing w:after="0" w:line="240" w:lineRule="auto"/>
      <w:ind w:left="0" w:firstLine="567"/>
      <w:jc w:val="both"/>
    </w:pPr>
    <w:rPr>
      <w:rFonts w:ascii="Arial" w:eastAsia="Times New Roman" w:hAnsi="Arial" w:cs="Arial"/>
      <w:sz w:val="20"/>
      <w:szCs w:val="20"/>
      <w:lang w:val="en-US"/>
    </w:rPr>
  </w:style>
  <w:style w:type="paragraph" w:customStyle="1" w:styleId="sm">
    <w:name w:val="sm"/>
    <w:basedOn w:val="a"/>
    <w:uiPriority w:val="99"/>
    <w:semiHidden/>
    <w:rsid w:val="0018446E"/>
    <w:pPr>
      <w:spacing w:before="240" w:after="0" w:line="240" w:lineRule="auto"/>
      <w:ind w:left="567" w:firstLine="567"/>
    </w:pPr>
    <w:rPr>
      <w:rFonts w:ascii="Times New Roman" w:eastAsia="Times New Roman" w:hAnsi="Times New Roman"/>
      <w:b/>
      <w:bCs/>
      <w:lang w:val="en-US"/>
    </w:rPr>
  </w:style>
  <w:style w:type="paragraph" w:customStyle="1" w:styleId="smfunctia">
    <w:name w:val="sm_functia"/>
    <w:basedOn w:val="a"/>
    <w:uiPriority w:val="99"/>
    <w:semiHidden/>
    <w:rsid w:val="0018446E"/>
    <w:pPr>
      <w:spacing w:after="0" w:line="240" w:lineRule="auto"/>
      <w:ind w:left="0" w:firstLine="567"/>
      <w:jc w:val="both"/>
    </w:pPr>
    <w:rPr>
      <w:rFonts w:ascii="Times New Roman" w:eastAsia="Times New Roman" w:hAnsi="Times New Roman"/>
      <w:lang w:val="en-US"/>
    </w:rPr>
  </w:style>
  <w:style w:type="paragraph" w:customStyle="1" w:styleId="smdata">
    <w:name w:val="sm_data"/>
    <w:basedOn w:val="a"/>
    <w:uiPriority w:val="99"/>
    <w:semiHidden/>
    <w:rsid w:val="0018446E"/>
    <w:pPr>
      <w:spacing w:after="0" w:line="240" w:lineRule="auto"/>
      <w:ind w:left="0" w:firstLine="567"/>
      <w:jc w:val="both"/>
    </w:pPr>
    <w:rPr>
      <w:rFonts w:ascii="Times New Roman" w:eastAsia="Times New Roman" w:hAnsi="Times New Roman"/>
      <w:lang w:val="en-US"/>
    </w:rPr>
  </w:style>
  <w:style w:type="character" w:customStyle="1" w:styleId="Bodytext2">
    <w:name w:val="Body text (2)_"/>
    <w:link w:val="Bodytext20"/>
    <w:locked/>
    <w:rsid w:val="0018446E"/>
    <w:rPr>
      <w:sz w:val="28"/>
      <w:szCs w:val="28"/>
      <w:shd w:val="clear" w:color="auto" w:fill="FFFFFF"/>
    </w:rPr>
  </w:style>
  <w:style w:type="paragraph" w:customStyle="1" w:styleId="Bodytext20">
    <w:name w:val="Body text (2)"/>
    <w:basedOn w:val="a"/>
    <w:link w:val="Bodytext2"/>
    <w:rsid w:val="0018446E"/>
    <w:pPr>
      <w:widowControl w:val="0"/>
      <w:shd w:val="clear" w:color="auto" w:fill="FFFFFF"/>
      <w:spacing w:after="0" w:line="350" w:lineRule="exact"/>
      <w:ind w:left="0"/>
      <w:jc w:val="both"/>
    </w:pPr>
    <w:rPr>
      <w:rFonts w:asciiTheme="minorHAnsi" w:eastAsiaTheme="minorHAnsi" w:hAnsiTheme="minorHAnsi" w:cstheme="minorBidi"/>
      <w:sz w:val="28"/>
      <w:szCs w:val="28"/>
      <w:lang w:val="ro-MD"/>
    </w:rPr>
  </w:style>
  <w:style w:type="character" w:customStyle="1" w:styleId="Heading1">
    <w:name w:val="Heading #1_"/>
    <w:link w:val="Heading10"/>
    <w:locked/>
    <w:rsid w:val="0018446E"/>
    <w:rPr>
      <w:b/>
      <w:bCs/>
      <w:sz w:val="28"/>
      <w:szCs w:val="28"/>
      <w:shd w:val="clear" w:color="auto" w:fill="FFFFFF"/>
    </w:rPr>
  </w:style>
  <w:style w:type="paragraph" w:customStyle="1" w:styleId="Heading10">
    <w:name w:val="Heading #1"/>
    <w:basedOn w:val="a"/>
    <w:link w:val="Heading1"/>
    <w:rsid w:val="0018446E"/>
    <w:pPr>
      <w:widowControl w:val="0"/>
      <w:shd w:val="clear" w:color="auto" w:fill="FFFFFF"/>
      <w:spacing w:before="120" w:after="0" w:line="696" w:lineRule="exact"/>
      <w:ind w:left="0"/>
      <w:jc w:val="center"/>
      <w:outlineLvl w:val="0"/>
    </w:pPr>
    <w:rPr>
      <w:rFonts w:asciiTheme="minorHAnsi" w:eastAsiaTheme="minorHAnsi" w:hAnsiTheme="minorHAnsi" w:cstheme="minorBidi"/>
      <w:b/>
      <w:bCs/>
      <w:sz w:val="28"/>
      <w:szCs w:val="28"/>
      <w:lang w:val="ro-MD"/>
    </w:rPr>
  </w:style>
  <w:style w:type="character" w:styleId="afa">
    <w:name w:val="footnote reference"/>
    <w:aliases w:val="Referencia nota al pie,SUPERS"/>
    <w:uiPriority w:val="99"/>
    <w:unhideWhenUsed/>
    <w:rsid w:val="0018446E"/>
    <w:rPr>
      <w:vertAlign w:val="superscript"/>
    </w:rPr>
  </w:style>
  <w:style w:type="character" w:customStyle="1" w:styleId="FontStyle15">
    <w:name w:val="Font Style15"/>
    <w:rsid w:val="0018446E"/>
    <w:rPr>
      <w:rFonts w:ascii="Times New Roman" w:hAnsi="Times New Roman" w:cs="Times New Roman" w:hint="default"/>
      <w:b/>
      <w:bCs w:val="0"/>
      <w:sz w:val="22"/>
    </w:rPr>
  </w:style>
  <w:style w:type="paragraph" w:customStyle="1" w:styleId="CommentSubject1">
    <w:name w:val="Comment Subject1"/>
    <w:basedOn w:val="aa"/>
    <w:next w:val="aa"/>
    <w:uiPriority w:val="99"/>
    <w:semiHidden/>
    <w:unhideWhenUsed/>
    <w:rsid w:val="0018446E"/>
    <w:pPr>
      <w:spacing w:after="0"/>
      <w:ind w:left="0"/>
    </w:pPr>
    <w:rPr>
      <w:rFonts w:ascii="Times New Roman" w:eastAsia="Times New Roman" w:hAnsi="Times New Roman"/>
      <w:b/>
      <w:bCs/>
      <w:lang w:val="en-US"/>
    </w:rPr>
  </w:style>
  <w:style w:type="paragraph" w:customStyle="1" w:styleId="Style5">
    <w:name w:val="Style5"/>
    <w:basedOn w:val="a"/>
    <w:rsid w:val="0018446E"/>
    <w:pPr>
      <w:widowControl w:val="0"/>
      <w:autoSpaceDE w:val="0"/>
      <w:autoSpaceDN w:val="0"/>
      <w:adjustRightInd w:val="0"/>
      <w:spacing w:after="0" w:line="240" w:lineRule="auto"/>
      <w:ind w:left="0"/>
    </w:pPr>
    <w:rPr>
      <w:rFonts w:ascii="Times New Roman" w:eastAsia="Times New Roman" w:hAnsi="Times New Roman"/>
      <w:lang w:val="ru-RU" w:eastAsia="ru-RU"/>
    </w:rPr>
  </w:style>
  <w:style w:type="table" w:customStyle="1" w:styleId="TableGrid1">
    <w:name w:val="Table Grid1"/>
    <w:basedOn w:val="a1"/>
    <w:next w:val="afb"/>
    <w:uiPriority w:val="39"/>
    <w:rsid w:val="0018446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link w:val="HTML0"/>
    <w:uiPriority w:val="99"/>
    <w:semiHidden/>
    <w:rsid w:val="0018446E"/>
    <w:rPr>
      <w:rFonts w:ascii="Courier New" w:hAnsi="Courier New" w:cs="Courier New"/>
      <w:lang w:val="ru-RU" w:eastAsia="ru-RU"/>
    </w:rPr>
  </w:style>
  <w:style w:type="paragraph" w:styleId="HTML0">
    <w:name w:val="HTML Preformatted"/>
    <w:basedOn w:val="a"/>
    <w:link w:val="HTML"/>
    <w:uiPriority w:val="99"/>
    <w:semiHidden/>
    <w:unhideWhenUsed/>
    <w:rsid w:val="00184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heme="minorHAnsi" w:hAnsi="Courier New" w:cs="Courier New"/>
      <w:sz w:val="22"/>
      <w:szCs w:val="22"/>
      <w:lang w:val="ru-RU" w:eastAsia="ru-RU"/>
    </w:rPr>
  </w:style>
  <w:style w:type="character" w:customStyle="1" w:styleId="HTML1">
    <w:name w:val="Стандартный HTML Знак1"/>
    <w:basedOn w:val="a0"/>
    <w:uiPriority w:val="99"/>
    <w:semiHidden/>
    <w:rsid w:val="0018446E"/>
    <w:rPr>
      <w:rFonts w:ascii="Consolas" w:eastAsia="Calibri" w:hAnsi="Consolas" w:cs="Times New Roman"/>
      <w:sz w:val="20"/>
      <w:szCs w:val="20"/>
      <w:lang w:val="ro-RO"/>
    </w:rPr>
  </w:style>
  <w:style w:type="character" w:customStyle="1" w:styleId="HTMLPreformattedChar1">
    <w:name w:val="HTML Preformatted Char1"/>
    <w:uiPriority w:val="99"/>
    <w:semiHidden/>
    <w:rsid w:val="0018446E"/>
    <w:rPr>
      <w:rFonts w:ascii="Consolas" w:eastAsia="Calibri" w:hAnsi="Consolas" w:cs="Times New Roman"/>
      <w:sz w:val="20"/>
      <w:szCs w:val="20"/>
    </w:rPr>
  </w:style>
  <w:style w:type="character" w:customStyle="1" w:styleId="y2iqfc">
    <w:name w:val="y2iqfc"/>
    <w:basedOn w:val="a0"/>
    <w:rsid w:val="0018446E"/>
  </w:style>
  <w:style w:type="character" w:customStyle="1" w:styleId="apple-converted-space">
    <w:name w:val="apple-converted-space"/>
    <w:basedOn w:val="a0"/>
    <w:rsid w:val="0018446E"/>
  </w:style>
  <w:style w:type="paragraph" w:customStyle="1" w:styleId="headline">
    <w:name w:val="headline"/>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NoSpacing1">
    <w:name w:val="No Spacing1"/>
    <w:next w:val="af5"/>
    <w:uiPriority w:val="1"/>
    <w:qFormat/>
    <w:rsid w:val="0018446E"/>
    <w:pPr>
      <w:spacing w:after="0" w:line="240" w:lineRule="auto"/>
    </w:pPr>
    <w:rPr>
      <w:rFonts w:ascii="Calibri" w:eastAsia="Calibri" w:hAnsi="Calibri" w:cs="Times New Roman"/>
      <w:color w:val="00000A"/>
      <w:lang w:val="ro-RO"/>
    </w:rPr>
  </w:style>
  <w:style w:type="character" w:customStyle="1" w:styleId="StrongEmphasis">
    <w:name w:val="Strong Emphasis"/>
    <w:qFormat/>
    <w:rsid w:val="0018446E"/>
    <w:rPr>
      <w:b/>
      <w:bCs/>
    </w:rPr>
  </w:style>
  <w:style w:type="paragraph" w:customStyle="1" w:styleId="BodyText1">
    <w:name w:val="Body Text1"/>
    <w:basedOn w:val="a"/>
    <w:next w:val="afc"/>
    <w:link w:val="BodyTextChar"/>
    <w:rsid w:val="0018446E"/>
    <w:pPr>
      <w:spacing w:after="140" w:line="288" w:lineRule="auto"/>
      <w:ind w:left="0"/>
    </w:pPr>
    <w:rPr>
      <w:rFonts w:ascii="Times New Roman" w:eastAsia="Times New Roman" w:hAnsi="Times New Roman"/>
      <w:color w:val="00000A"/>
    </w:rPr>
  </w:style>
  <w:style w:type="character" w:customStyle="1" w:styleId="BodyTextChar">
    <w:name w:val="Body Text Char"/>
    <w:link w:val="BodyText1"/>
    <w:rsid w:val="0018446E"/>
    <w:rPr>
      <w:rFonts w:ascii="Times New Roman" w:eastAsia="Times New Roman" w:hAnsi="Times New Roman" w:cs="Times New Roman"/>
      <w:color w:val="00000A"/>
      <w:sz w:val="24"/>
      <w:szCs w:val="24"/>
      <w:lang w:val="ro-RO"/>
    </w:rPr>
  </w:style>
  <w:style w:type="paragraph" w:customStyle="1" w:styleId="Pa3">
    <w:name w:val="Pa3"/>
    <w:basedOn w:val="Default"/>
    <w:next w:val="Default"/>
    <w:uiPriority w:val="99"/>
    <w:rsid w:val="0018446E"/>
    <w:pPr>
      <w:spacing w:line="241" w:lineRule="atLeast"/>
    </w:pPr>
    <w:rPr>
      <w:rFonts w:ascii="Gill Sans MT Pro Book" w:hAnsi="Gill Sans MT Pro Book"/>
      <w:color w:val="auto"/>
      <w:lang w:val="ru-RU" w:eastAsia="ru-RU"/>
    </w:rPr>
  </w:style>
  <w:style w:type="character" w:customStyle="1" w:styleId="slit">
    <w:name w:val="s_lit"/>
    <w:basedOn w:val="a0"/>
    <w:rsid w:val="0018446E"/>
  </w:style>
  <w:style w:type="character" w:customStyle="1" w:styleId="slitbdy">
    <w:name w:val="s_lit_bdy"/>
    <w:basedOn w:val="a0"/>
    <w:rsid w:val="0018446E"/>
  </w:style>
  <w:style w:type="character" w:customStyle="1" w:styleId="spct">
    <w:name w:val="s_pct"/>
    <w:basedOn w:val="a0"/>
    <w:rsid w:val="0018446E"/>
  </w:style>
  <w:style w:type="character" w:customStyle="1" w:styleId="spctttl">
    <w:name w:val="s_pct_ttl"/>
    <w:basedOn w:val="a0"/>
    <w:rsid w:val="0018446E"/>
  </w:style>
  <w:style w:type="character" w:customStyle="1" w:styleId="spctshort">
    <w:name w:val="s_pct_short"/>
    <w:basedOn w:val="a0"/>
    <w:rsid w:val="0018446E"/>
  </w:style>
  <w:style w:type="character" w:customStyle="1" w:styleId="spctbdy">
    <w:name w:val="s_pct_bdy"/>
    <w:basedOn w:val="a0"/>
    <w:rsid w:val="0018446E"/>
  </w:style>
  <w:style w:type="character" w:customStyle="1" w:styleId="slitttl">
    <w:name w:val="s_lit_ttl"/>
    <w:basedOn w:val="a0"/>
    <w:rsid w:val="0018446E"/>
  </w:style>
  <w:style w:type="paragraph" w:customStyle="1" w:styleId="stiltitluri">
    <w:name w:val="stiltitluri"/>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stilsectiune">
    <w:name w:val="stilsectiune"/>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stilparagraf">
    <w:name w:val="stilparagraf"/>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swift-in-viewport">
    <w:name w:val="swift-in-viewport"/>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character" w:customStyle="1" w:styleId="d2edcug0">
    <w:name w:val="d2edcug0"/>
    <w:basedOn w:val="a0"/>
    <w:rsid w:val="0018446E"/>
  </w:style>
  <w:style w:type="paragraph" w:customStyle="1" w:styleId="al">
    <w:name w:val="a_l"/>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ac0">
    <w:name w:val="a_c"/>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notfreenew">
    <w:name w:val="not_freenew"/>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table" w:customStyle="1" w:styleId="TableGridLight1">
    <w:name w:val="Table Grid Light1"/>
    <w:basedOn w:val="a1"/>
    <w:uiPriority w:val="40"/>
    <w:rsid w:val="0018446E"/>
    <w:pPr>
      <w:spacing w:after="0" w:line="240" w:lineRule="auto"/>
    </w:pPr>
    <w:rPr>
      <w:rFonts w:ascii="Calibri" w:eastAsia="Calibri" w:hAnsi="Calibri" w:cs="Times New Roman"/>
      <w:sz w:val="20"/>
      <w:szCs w:val="20"/>
      <w:lang w:val="ru-RU"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rsid w:val="001844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Revision1">
    <w:name w:val="Revision1"/>
    <w:next w:val="af0"/>
    <w:hidden/>
    <w:uiPriority w:val="99"/>
    <w:semiHidden/>
    <w:rsid w:val="0018446E"/>
    <w:pPr>
      <w:spacing w:after="0" w:line="240" w:lineRule="auto"/>
    </w:pPr>
    <w:rPr>
      <w:rFonts w:ascii="Calibri" w:eastAsia="Calibri" w:hAnsi="Calibri" w:cs="Times New Roman"/>
      <w:lang w:val="ru-RU" w:eastAsia="ru-RU"/>
    </w:rPr>
  </w:style>
  <w:style w:type="character" w:customStyle="1" w:styleId="UnresolvedMention1">
    <w:name w:val="Unresolved Mention1"/>
    <w:uiPriority w:val="99"/>
    <w:semiHidden/>
    <w:unhideWhenUsed/>
    <w:rsid w:val="0018446E"/>
    <w:rPr>
      <w:color w:val="605E5C"/>
      <w:shd w:val="clear" w:color="auto" w:fill="E1DFDD"/>
    </w:rPr>
  </w:style>
  <w:style w:type="numbering" w:customStyle="1" w:styleId="NoList11">
    <w:name w:val="No List11"/>
    <w:next w:val="a2"/>
    <w:uiPriority w:val="99"/>
    <w:semiHidden/>
    <w:unhideWhenUsed/>
    <w:rsid w:val="0018446E"/>
  </w:style>
  <w:style w:type="table" w:customStyle="1" w:styleId="TableGrid11">
    <w:name w:val="Table Grid11"/>
    <w:basedOn w:val="a1"/>
    <w:next w:val="afb"/>
    <w:uiPriority w:val="39"/>
    <w:rsid w:val="0018446E"/>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1844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Light11">
    <w:name w:val="Table Grid Light11"/>
    <w:basedOn w:val="a1"/>
    <w:uiPriority w:val="40"/>
    <w:rsid w:val="0018446E"/>
    <w:pPr>
      <w:spacing w:after="0" w:line="240" w:lineRule="auto"/>
    </w:pPr>
    <w:rPr>
      <w:rFonts w:ascii="Calibri" w:eastAsia="Calibri" w:hAnsi="Calibri" w:cs="Times New Roman"/>
      <w:sz w:val="20"/>
      <w:szCs w:val="20"/>
      <w:lang w:val="ru-RU"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1">
    <w:name w:val="Heading 1 Char1"/>
    <w:uiPriority w:val="9"/>
    <w:rsid w:val="0018446E"/>
    <w:rPr>
      <w:rFonts w:ascii="Calibri Light" w:eastAsia="Times New Roman" w:hAnsi="Calibri Light" w:cs="Times New Roman"/>
      <w:color w:val="2E74B5"/>
      <w:sz w:val="32"/>
      <w:szCs w:val="32"/>
    </w:rPr>
  </w:style>
  <w:style w:type="character" w:customStyle="1" w:styleId="Heading4Char1">
    <w:name w:val="Heading 4 Char1"/>
    <w:uiPriority w:val="9"/>
    <w:semiHidden/>
    <w:rsid w:val="0018446E"/>
    <w:rPr>
      <w:rFonts w:ascii="Calibri Light" w:eastAsia="Times New Roman" w:hAnsi="Calibri Light" w:cs="Times New Roman"/>
      <w:i/>
      <w:iCs/>
      <w:color w:val="2E74B5"/>
    </w:rPr>
  </w:style>
  <w:style w:type="paragraph" w:styleId="af9">
    <w:name w:val="footnote text"/>
    <w:aliases w:val="Текст сноски Знак Знак Знак Знак,Текст сноски Знак Знак Знак Знак Знак Знак,Текст сноски Знак Знак Знак Char Char,Текст сноски Знак Знак Знак Char,Текст сноски Знак Знак Знак Char Char Char,single space,footnote text,fn,FOOTNOTES,Geneva 9"/>
    <w:basedOn w:val="a"/>
    <w:link w:val="afd"/>
    <w:uiPriority w:val="99"/>
    <w:unhideWhenUsed/>
    <w:rsid w:val="0018446E"/>
    <w:pPr>
      <w:spacing w:after="0" w:line="240" w:lineRule="auto"/>
      <w:ind w:left="0"/>
    </w:pPr>
    <w:rPr>
      <w:rFonts w:ascii="Times New Roman" w:eastAsia="Times New Roman" w:hAnsi="Times New Roman"/>
      <w:sz w:val="20"/>
      <w:szCs w:val="20"/>
      <w:lang w:val="en-US"/>
    </w:rPr>
  </w:style>
  <w:style w:type="character" w:customStyle="1" w:styleId="afd">
    <w:name w:val="Текст сноски Знак"/>
    <w:aliases w:val="Текст сноски Знак Знак Знак Знак Знак,Текст сноски Знак Знак Знак Знак Знак Знак Знак,Текст сноски Знак Знак Знак Char Char Знак,Текст сноски Знак Знак Знак Char Знак,Текст сноски Знак Знак Знак Char Char Char Знак,single space Знак"/>
    <w:basedOn w:val="a0"/>
    <w:link w:val="af9"/>
    <w:uiPriority w:val="99"/>
    <w:rsid w:val="0018446E"/>
    <w:rPr>
      <w:rFonts w:ascii="Times New Roman" w:eastAsia="Times New Roman" w:hAnsi="Times New Roman" w:cs="Times New Roman"/>
      <w:sz w:val="20"/>
      <w:szCs w:val="20"/>
      <w:lang w:val="en-US"/>
    </w:rPr>
  </w:style>
  <w:style w:type="character" w:customStyle="1" w:styleId="CommentSubjectChar1">
    <w:name w:val="Comment Subject Char1"/>
    <w:uiPriority w:val="99"/>
    <w:semiHidden/>
    <w:rsid w:val="0018446E"/>
    <w:rPr>
      <w:rFonts w:ascii="Times New Roman" w:eastAsia="Times New Roman" w:hAnsi="Times New Roman" w:cs="Times New Roman"/>
      <w:b/>
      <w:bCs/>
      <w:color w:val="000000"/>
      <w:sz w:val="20"/>
      <w:szCs w:val="20"/>
      <w:lang w:val="ru-RU" w:eastAsia="ru-RU"/>
    </w:rPr>
  </w:style>
  <w:style w:type="table" w:styleId="afb">
    <w:name w:val="Table Grid"/>
    <w:basedOn w:val="a1"/>
    <w:uiPriority w:val="39"/>
    <w:rsid w:val="0018446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
    <w:link w:val="afe"/>
    <w:uiPriority w:val="99"/>
    <w:semiHidden/>
    <w:unhideWhenUsed/>
    <w:rsid w:val="0018446E"/>
    <w:pPr>
      <w:spacing w:line="240" w:lineRule="auto"/>
      <w:ind w:left="0"/>
    </w:pPr>
    <w:rPr>
      <w:rFonts w:ascii="Times New Roman" w:eastAsia="Times New Roman" w:hAnsi="Times New Roman"/>
      <w:lang w:val="en-US"/>
    </w:rPr>
  </w:style>
  <w:style w:type="character" w:customStyle="1" w:styleId="afe">
    <w:name w:val="Основной текст Знак"/>
    <w:basedOn w:val="a0"/>
    <w:link w:val="afc"/>
    <w:uiPriority w:val="99"/>
    <w:semiHidden/>
    <w:rsid w:val="0018446E"/>
    <w:rPr>
      <w:rFonts w:ascii="Times New Roman" w:eastAsia="Times New Roman" w:hAnsi="Times New Roman" w:cs="Times New Roman"/>
      <w:sz w:val="24"/>
      <w:szCs w:val="24"/>
      <w:lang w:val="en-US"/>
    </w:rPr>
  </w:style>
  <w:style w:type="character" w:customStyle="1" w:styleId="aff">
    <w:name w:val="Основной текст_"/>
    <w:link w:val="21"/>
    <w:locked/>
    <w:rsid w:val="0018446E"/>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ff"/>
    <w:rsid w:val="0018446E"/>
    <w:pPr>
      <w:shd w:val="clear" w:color="auto" w:fill="FFFFFF"/>
      <w:spacing w:after="0" w:line="321" w:lineRule="exact"/>
      <w:ind w:left="0"/>
      <w:jc w:val="center"/>
    </w:pPr>
    <w:rPr>
      <w:rFonts w:ascii="Times New Roman" w:eastAsia="Times New Roman" w:hAnsi="Times New Roman"/>
      <w:sz w:val="27"/>
      <w:szCs w:val="27"/>
      <w:lang w:val="ro-MD"/>
    </w:rPr>
  </w:style>
  <w:style w:type="character" w:customStyle="1" w:styleId="BalloonTextChar1">
    <w:name w:val="Balloon Text Char1"/>
    <w:uiPriority w:val="99"/>
    <w:semiHidden/>
    <w:rsid w:val="0018446E"/>
    <w:rPr>
      <w:rFonts w:ascii="Segoe UI" w:hAnsi="Segoe UI" w:cs="Segoe UI"/>
      <w:sz w:val="18"/>
      <w:szCs w:val="18"/>
      <w:lang w:val="ru-RU"/>
    </w:rPr>
  </w:style>
  <w:style w:type="paragraph" w:customStyle="1" w:styleId="Normal1">
    <w:name w:val="Normal1"/>
    <w:qFormat/>
    <w:rsid w:val="0018446E"/>
    <w:rPr>
      <w:rFonts w:ascii="Calibri" w:eastAsia="Calibri" w:hAnsi="Calibri" w:cs="Calibri"/>
      <w:lang w:val="en-GB" w:eastAsia="ja-JP"/>
    </w:rPr>
  </w:style>
  <w:style w:type="paragraph" w:styleId="12">
    <w:name w:val="toc 1"/>
    <w:basedOn w:val="a"/>
    <w:next w:val="a"/>
    <w:autoRedefine/>
    <w:uiPriority w:val="39"/>
    <w:unhideWhenUsed/>
    <w:rsid w:val="0018446E"/>
    <w:pPr>
      <w:pBdr>
        <w:top w:val="nil"/>
        <w:left w:val="nil"/>
        <w:bottom w:val="nil"/>
        <w:right w:val="nil"/>
        <w:between w:val="nil"/>
      </w:pBdr>
      <w:spacing w:before="360" w:after="0" w:line="276" w:lineRule="auto"/>
      <w:ind w:left="0"/>
      <w:jc w:val="both"/>
    </w:pPr>
    <w:rPr>
      <w:rFonts w:ascii="Calibri Light" w:eastAsia="Times New Roman" w:hAnsi="Calibri Light" w:cs="Calibri Light"/>
      <w:b/>
      <w:bCs/>
      <w:caps/>
      <w:lang w:val="en-GB"/>
    </w:rPr>
  </w:style>
  <w:style w:type="paragraph" w:styleId="22">
    <w:name w:val="toc 2"/>
    <w:basedOn w:val="a"/>
    <w:next w:val="a"/>
    <w:autoRedefine/>
    <w:uiPriority w:val="39"/>
    <w:unhideWhenUsed/>
    <w:rsid w:val="0018446E"/>
    <w:pPr>
      <w:pBdr>
        <w:top w:val="nil"/>
        <w:left w:val="nil"/>
        <w:bottom w:val="nil"/>
        <w:right w:val="nil"/>
        <w:between w:val="nil"/>
      </w:pBdr>
      <w:tabs>
        <w:tab w:val="left" w:pos="660"/>
        <w:tab w:val="right" w:leader="dot" w:pos="9016"/>
      </w:tabs>
      <w:spacing w:before="120" w:after="0" w:line="276" w:lineRule="auto"/>
      <w:ind w:left="0"/>
      <w:jc w:val="both"/>
    </w:pPr>
    <w:rPr>
      <w:rFonts w:ascii="Times New Roman" w:eastAsia="Times New Roman" w:hAnsi="Times New Roman" w:cs="Calibri"/>
      <w:b/>
      <w:bCs/>
      <w:sz w:val="20"/>
      <w:szCs w:val="20"/>
      <w:lang w:val="en-GB"/>
    </w:rPr>
  </w:style>
  <w:style w:type="paragraph" w:styleId="31">
    <w:name w:val="toc 3"/>
    <w:basedOn w:val="a"/>
    <w:next w:val="a"/>
    <w:autoRedefine/>
    <w:uiPriority w:val="39"/>
    <w:unhideWhenUsed/>
    <w:rsid w:val="0018446E"/>
    <w:pPr>
      <w:pBdr>
        <w:top w:val="nil"/>
        <w:left w:val="nil"/>
        <w:bottom w:val="nil"/>
        <w:right w:val="nil"/>
        <w:between w:val="nil"/>
      </w:pBdr>
      <w:spacing w:after="0" w:line="276" w:lineRule="auto"/>
      <w:ind w:left="220"/>
      <w:jc w:val="both"/>
    </w:pPr>
    <w:rPr>
      <w:rFonts w:ascii="Times New Roman" w:eastAsia="Times New Roman" w:hAnsi="Times New Roman" w:cs="Calibri"/>
      <w:sz w:val="20"/>
      <w:szCs w:val="20"/>
      <w:lang w:val="en-GB"/>
    </w:rPr>
  </w:style>
  <w:style w:type="paragraph" w:styleId="41">
    <w:name w:val="toc 4"/>
    <w:basedOn w:val="a"/>
    <w:next w:val="a"/>
    <w:autoRedefine/>
    <w:uiPriority w:val="39"/>
    <w:unhideWhenUsed/>
    <w:rsid w:val="0018446E"/>
    <w:pPr>
      <w:pBdr>
        <w:top w:val="nil"/>
        <w:left w:val="nil"/>
        <w:bottom w:val="nil"/>
        <w:right w:val="nil"/>
        <w:between w:val="nil"/>
      </w:pBdr>
      <w:spacing w:after="0" w:line="276" w:lineRule="auto"/>
      <w:ind w:left="440"/>
      <w:jc w:val="both"/>
    </w:pPr>
    <w:rPr>
      <w:rFonts w:ascii="Times New Roman" w:eastAsia="Times New Roman" w:hAnsi="Times New Roman" w:cs="Calibri"/>
      <w:sz w:val="20"/>
      <w:szCs w:val="20"/>
      <w:lang w:val="en-GB"/>
    </w:rPr>
  </w:style>
  <w:style w:type="paragraph" w:styleId="51">
    <w:name w:val="toc 5"/>
    <w:basedOn w:val="a"/>
    <w:next w:val="a"/>
    <w:autoRedefine/>
    <w:uiPriority w:val="39"/>
    <w:unhideWhenUsed/>
    <w:rsid w:val="0018446E"/>
    <w:pPr>
      <w:pBdr>
        <w:top w:val="nil"/>
        <w:left w:val="nil"/>
        <w:bottom w:val="nil"/>
        <w:right w:val="nil"/>
        <w:between w:val="nil"/>
      </w:pBdr>
      <w:spacing w:after="0" w:line="276" w:lineRule="auto"/>
      <w:ind w:left="660"/>
      <w:jc w:val="both"/>
    </w:pPr>
    <w:rPr>
      <w:rFonts w:ascii="Times New Roman" w:eastAsia="Times New Roman" w:hAnsi="Times New Roman" w:cs="Calibri"/>
      <w:sz w:val="20"/>
      <w:szCs w:val="20"/>
      <w:lang w:val="en-GB"/>
    </w:rPr>
  </w:style>
  <w:style w:type="paragraph" w:styleId="61">
    <w:name w:val="toc 6"/>
    <w:basedOn w:val="a"/>
    <w:next w:val="a"/>
    <w:autoRedefine/>
    <w:uiPriority w:val="39"/>
    <w:unhideWhenUsed/>
    <w:rsid w:val="0018446E"/>
    <w:pPr>
      <w:pBdr>
        <w:top w:val="nil"/>
        <w:left w:val="nil"/>
        <w:bottom w:val="nil"/>
        <w:right w:val="nil"/>
        <w:between w:val="nil"/>
      </w:pBdr>
      <w:spacing w:after="0" w:line="276" w:lineRule="auto"/>
      <w:ind w:left="880"/>
      <w:jc w:val="both"/>
    </w:pPr>
    <w:rPr>
      <w:rFonts w:ascii="Times New Roman" w:eastAsia="Times New Roman" w:hAnsi="Times New Roman" w:cs="Calibri"/>
      <w:sz w:val="20"/>
      <w:szCs w:val="20"/>
      <w:lang w:val="en-GB"/>
    </w:rPr>
  </w:style>
  <w:style w:type="paragraph" w:styleId="71">
    <w:name w:val="toc 7"/>
    <w:basedOn w:val="a"/>
    <w:next w:val="a"/>
    <w:autoRedefine/>
    <w:uiPriority w:val="39"/>
    <w:unhideWhenUsed/>
    <w:rsid w:val="0018446E"/>
    <w:pPr>
      <w:pBdr>
        <w:top w:val="nil"/>
        <w:left w:val="nil"/>
        <w:bottom w:val="nil"/>
        <w:right w:val="nil"/>
        <w:between w:val="nil"/>
      </w:pBdr>
      <w:spacing w:after="0" w:line="276" w:lineRule="auto"/>
      <w:ind w:left="1100"/>
      <w:jc w:val="both"/>
    </w:pPr>
    <w:rPr>
      <w:rFonts w:ascii="Times New Roman" w:eastAsia="Times New Roman" w:hAnsi="Times New Roman" w:cs="Calibri"/>
      <w:sz w:val="20"/>
      <w:szCs w:val="20"/>
      <w:lang w:val="en-GB"/>
    </w:rPr>
  </w:style>
  <w:style w:type="paragraph" w:styleId="81">
    <w:name w:val="toc 8"/>
    <w:basedOn w:val="a"/>
    <w:next w:val="a"/>
    <w:autoRedefine/>
    <w:uiPriority w:val="39"/>
    <w:unhideWhenUsed/>
    <w:rsid w:val="0018446E"/>
    <w:pPr>
      <w:pBdr>
        <w:top w:val="nil"/>
        <w:left w:val="nil"/>
        <w:bottom w:val="nil"/>
        <w:right w:val="nil"/>
        <w:between w:val="nil"/>
      </w:pBdr>
      <w:spacing w:after="0" w:line="276" w:lineRule="auto"/>
      <w:ind w:left="1320"/>
      <w:jc w:val="both"/>
    </w:pPr>
    <w:rPr>
      <w:rFonts w:ascii="Times New Roman" w:eastAsia="Times New Roman" w:hAnsi="Times New Roman" w:cs="Calibri"/>
      <w:sz w:val="20"/>
      <w:szCs w:val="20"/>
      <w:lang w:val="en-GB"/>
    </w:rPr>
  </w:style>
  <w:style w:type="paragraph" w:styleId="91">
    <w:name w:val="toc 9"/>
    <w:basedOn w:val="a"/>
    <w:next w:val="a"/>
    <w:autoRedefine/>
    <w:uiPriority w:val="39"/>
    <w:unhideWhenUsed/>
    <w:rsid w:val="0018446E"/>
    <w:pPr>
      <w:pBdr>
        <w:top w:val="nil"/>
        <w:left w:val="nil"/>
        <w:bottom w:val="nil"/>
        <w:right w:val="nil"/>
        <w:between w:val="nil"/>
      </w:pBdr>
      <w:spacing w:after="0" w:line="276" w:lineRule="auto"/>
      <w:ind w:left="1540"/>
      <w:jc w:val="both"/>
    </w:pPr>
    <w:rPr>
      <w:rFonts w:ascii="Times New Roman" w:eastAsia="Times New Roman" w:hAnsi="Times New Roman" w:cs="Calibri"/>
      <w:sz w:val="20"/>
      <w:szCs w:val="20"/>
      <w:lang w:val="en-GB"/>
    </w:rPr>
  </w:style>
  <w:style w:type="paragraph" w:styleId="aff0">
    <w:name w:val="TOC Heading"/>
    <w:basedOn w:val="1"/>
    <w:next w:val="a"/>
    <w:uiPriority w:val="39"/>
    <w:unhideWhenUsed/>
    <w:qFormat/>
    <w:rsid w:val="0018446E"/>
    <w:pPr>
      <w:pBdr>
        <w:top w:val="nil"/>
        <w:left w:val="nil"/>
        <w:bottom w:val="nil"/>
        <w:right w:val="nil"/>
        <w:between w:val="nil"/>
      </w:pBdr>
      <w:spacing w:after="240" w:line="276" w:lineRule="auto"/>
      <w:jc w:val="center"/>
      <w:outlineLvl w:val="9"/>
    </w:pPr>
    <w:rPr>
      <w:rFonts w:ascii="Calibri Light" w:hAnsi="Calibri Light"/>
      <w:b w:val="0"/>
      <w:bCs w:val="0"/>
      <w:color w:val="2E74B5"/>
      <w:sz w:val="32"/>
      <w:szCs w:val="32"/>
      <w:lang w:val="en-US" w:eastAsia="en-US"/>
    </w:rPr>
  </w:style>
  <w:style w:type="paragraph" w:styleId="aff1">
    <w:name w:val="caption"/>
    <w:basedOn w:val="a"/>
    <w:next w:val="a"/>
    <w:uiPriority w:val="35"/>
    <w:unhideWhenUsed/>
    <w:qFormat/>
    <w:rsid w:val="0018446E"/>
    <w:pPr>
      <w:pBdr>
        <w:top w:val="nil"/>
        <w:left w:val="nil"/>
        <w:bottom w:val="nil"/>
        <w:right w:val="nil"/>
        <w:between w:val="nil"/>
      </w:pBdr>
      <w:spacing w:after="200" w:line="240" w:lineRule="auto"/>
      <w:ind w:left="0"/>
      <w:jc w:val="both"/>
    </w:pPr>
    <w:rPr>
      <w:rFonts w:ascii="Times New Roman" w:eastAsia="Times New Roman" w:hAnsi="Times New Roman"/>
      <w:i/>
      <w:iCs/>
      <w:color w:val="44546A"/>
      <w:sz w:val="18"/>
      <w:szCs w:val="18"/>
      <w:lang w:val="en-GB"/>
    </w:rPr>
  </w:style>
  <w:style w:type="character" w:customStyle="1" w:styleId="UnresolvedMention2">
    <w:name w:val="Unresolved Mention2"/>
    <w:uiPriority w:val="99"/>
    <w:semiHidden/>
    <w:unhideWhenUsed/>
    <w:rsid w:val="0018446E"/>
    <w:rPr>
      <w:color w:val="605E5C"/>
      <w:shd w:val="clear" w:color="auto" w:fill="E1DFDD"/>
    </w:rPr>
  </w:style>
  <w:style w:type="character" w:customStyle="1" w:styleId="UnresolvedMention3">
    <w:name w:val="Unresolved Mention3"/>
    <w:uiPriority w:val="99"/>
    <w:semiHidden/>
    <w:unhideWhenUsed/>
    <w:rsid w:val="0018446E"/>
    <w:rPr>
      <w:color w:val="605E5C"/>
      <w:shd w:val="clear" w:color="auto" w:fill="E1DFDD"/>
    </w:rPr>
  </w:style>
  <w:style w:type="table" w:customStyle="1" w:styleId="TableGrid2">
    <w:name w:val="Table Grid2"/>
    <w:basedOn w:val="a1"/>
    <w:next w:val="afb"/>
    <w:uiPriority w:val="39"/>
    <w:rsid w:val="0018446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a0"/>
    <w:uiPriority w:val="99"/>
    <w:semiHidden/>
    <w:unhideWhenUsed/>
    <w:rsid w:val="0018446E"/>
    <w:rPr>
      <w:color w:val="605E5C"/>
      <w:shd w:val="clear" w:color="auto" w:fill="E1DFDD"/>
    </w:rPr>
  </w:style>
  <w:style w:type="table" w:customStyle="1" w:styleId="TableGrid3">
    <w:name w:val="Table Grid3"/>
    <w:basedOn w:val="a1"/>
    <w:next w:val="afb"/>
    <w:uiPriority w:val="39"/>
    <w:rsid w:val="0018446E"/>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2"/>
    <w:uiPriority w:val="99"/>
    <w:semiHidden/>
    <w:unhideWhenUsed/>
    <w:rsid w:val="0018446E"/>
  </w:style>
  <w:style w:type="table" w:styleId="aff2">
    <w:name w:val="Grid Table Light"/>
    <w:basedOn w:val="a1"/>
    <w:uiPriority w:val="40"/>
    <w:rsid w:val="0018446E"/>
    <w:pPr>
      <w:spacing w:after="0" w:line="240" w:lineRule="auto"/>
    </w:pPr>
    <w:rPr>
      <w:kern w:val="2"/>
      <w:lang w:val="ro-RO"/>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1">
    <w:name w:val="List Table 4 Accent 1"/>
    <w:basedOn w:val="a1"/>
    <w:uiPriority w:val="49"/>
    <w:rsid w:val="0018446E"/>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5">
    <w:name w:val="Medium Grid 3 Accent 5"/>
    <w:basedOn w:val="a1"/>
    <w:uiPriority w:val="69"/>
    <w:rsid w:val="0018446E"/>
    <w:pPr>
      <w:spacing w:after="0" w:line="240" w:lineRule="auto"/>
    </w:pPr>
    <w:rPr>
      <w:lang w:val="ro-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character" w:customStyle="1" w:styleId="UnresolvedMention5">
    <w:name w:val="Unresolved Mention5"/>
    <w:basedOn w:val="a0"/>
    <w:uiPriority w:val="99"/>
    <w:semiHidden/>
    <w:unhideWhenUsed/>
    <w:rsid w:val="0018446E"/>
    <w:rPr>
      <w:color w:val="605E5C"/>
      <w:shd w:val="clear" w:color="auto" w:fill="E1DFDD"/>
    </w:rPr>
  </w:style>
  <w:style w:type="paragraph" w:customStyle="1" w:styleId="text-md">
    <w:name w:val="text-md"/>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mb-3">
    <w:name w:val="mb-3"/>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character" w:customStyle="1" w:styleId="byline">
    <w:name w:val="byline"/>
    <w:basedOn w:val="a0"/>
    <w:rsid w:val="0018446E"/>
  </w:style>
  <w:style w:type="character" w:customStyle="1" w:styleId="posted-on">
    <w:name w:val="posted-on"/>
    <w:basedOn w:val="a0"/>
    <w:rsid w:val="0018446E"/>
  </w:style>
  <w:style w:type="character" w:customStyle="1" w:styleId="grey">
    <w:name w:val="grey"/>
    <w:basedOn w:val="a0"/>
    <w:rsid w:val="0018446E"/>
  </w:style>
  <w:style w:type="paragraph" w:customStyle="1" w:styleId="simple-share">
    <w:name w:val="simple-share"/>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character" w:customStyle="1" w:styleId="daytxt">
    <w:name w:val="daytxt"/>
    <w:basedOn w:val="a0"/>
    <w:rsid w:val="0018446E"/>
  </w:style>
  <w:style w:type="paragraph" w:customStyle="1" w:styleId="par">
    <w:name w:val="par"/>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stilarticol">
    <w:name w:val="stilarticol"/>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paragraph" w:customStyle="1" w:styleId="accordion">
    <w:name w:val="accordion"/>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character" w:styleId="aff3">
    <w:name w:val="Placeholder Text"/>
    <w:basedOn w:val="a0"/>
    <w:uiPriority w:val="99"/>
    <w:semiHidden/>
    <w:rsid w:val="0018446E"/>
    <w:rPr>
      <w:color w:val="808080"/>
    </w:rPr>
  </w:style>
  <w:style w:type="table" w:styleId="-61">
    <w:name w:val="List Table 6 Colorful Accent 1"/>
    <w:basedOn w:val="a1"/>
    <w:uiPriority w:val="51"/>
    <w:rsid w:val="0018446E"/>
    <w:pPr>
      <w:spacing w:after="0" w:line="240" w:lineRule="auto"/>
    </w:pPr>
    <w:rPr>
      <w:color w:val="2F5496" w:themeColor="accent1" w:themeShade="BF"/>
      <w:lang w:val="ru-RU"/>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1">
    <w:name w:val="Grid Table 1 Light Accent 1"/>
    <w:basedOn w:val="a1"/>
    <w:uiPriority w:val="46"/>
    <w:rsid w:val="0018446E"/>
    <w:pPr>
      <w:spacing w:after="0" w:line="240" w:lineRule="auto"/>
    </w:pPr>
    <w:rPr>
      <w:lang w:val="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18446E"/>
    <w:pPr>
      <w:spacing w:after="0" w:line="240" w:lineRule="auto"/>
    </w:pPr>
    <w:rPr>
      <w:lang w:val="ru-R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f6">
    <w:name w:val="Без интервала Знак"/>
    <w:basedOn w:val="a0"/>
    <w:link w:val="af5"/>
    <w:uiPriority w:val="1"/>
    <w:rsid w:val="0018446E"/>
    <w:rPr>
      <w:rFonts w:ascii="Calibri" w:eastAsia="Calibri" w:hAnsi="Calibri" w:cs="Times New Roman"/>
      <w:lang w:val="en-US"/>
    </w:rPr>
  </w:style>
  <w:style w:type="table" w:styleId="32">
    <w:name w:val="Plain Table 3"/>
    <w:basedOn w:val="a1"/>
    <w:uiPriority w:val="43"/>
    <w:rsid w:val="0018446E"/>
    <w:pPr>
      <w:spacing w:after="0" w:line="240" w:lineRule="auto"/>
    </w:pPr>
    <w:rPr>
      <w:lang w:val="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5">
    <w:name w:val="Grid Table 2 Accent 5"/>
    <w:basedOn w:val="a1"/>
    <w:uiPriority w:val="47"/>
    <w:rsid w:val="0018446E"/>
    <w:pPr>
      <w:spacing w:after="0" w:line="240" w:lineRule="auto"/>
    </w:pPr>
    <w:rPr>
      <w:lang w:val="ru-R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3">
    <w:name w:val="Grid Table 4 Accent 3"/>
    <w:basedOn w:val="a1"/>
    <w:uiPriority w:val="49"/>
    <w:rsid w:val="0018446E"/>
    <w:pPr>
      <w:spacing w:after="0" w:line="240" w:lineRule="auto"/>
    </w:pPr>
    <w:rPr>
      <w:lang w:val="ru-R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Grid Table 5 Dark Accent 3"/>
    <w:basedOn w:val="a1"/>
    <w:uiPriority w:val="50"/>
    <w:rsid w:val="0018446E"/>
    <w:pPr>
      <w:spacing w:after="0" w:line="240" w:lineRule="auto"/>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65">
    <w:name w:val="List Table 6 Colorful Accent 5"/>
    <w:basedOn w:val="a1"/>
    <w:uiPriority w:val="51"/>
    <w:rsid w:val="0018446E"/>
    <w:pPr>
      <w:spacing w:after="0" w:line="240" w:lineRule="auto"/>
    </w:pPr>
    <w:rPr>
      <w:color w:val="2E74B5" w:themeColor="accent5" w:themeShade="BF"/>
      <w:lang w:val="ru-RU"/>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50">
    <w:name w:val="List Table 2 Accent 5"/>
    <w:basedOn w:val="a1"/>
    <w:uiPriority w:val="47"/>
    <w:rsid w:val="0018446E"/>
    <w:pPr>
      <w:spacing w:after="0" w:line="240" w:lineRule="auto"/>
    </w:pPr>
    <w:rPr>
      <w:lang w:val="ru-R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1">
    <w:name w:val="List Table 2 Accent 1"/>
    <w:basedOn w:val="a1"/>
    <w:uiPriority w:val="47"/>
    <w:rsid w:val="0018446E"/>
    <w:pPr>
      <w:spacing w:after="0" w:line="240" w:lineRule="auto"/>
    </w:pPr>
    <w:rPr>
      <w:lang w:val="ru-R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6">
    <w:name w:val="List Table 6 Colorful Accent 6"/>
    <w:basedOn w:val="a1"/>
    <w:uiPriority w:val="51"/>
    <w:rsid w:val="0018446E"/>
    <w:pPr>
      <w:spacing w:after="0" w:line="240" w:lineRule="auto"/>
    </w:pPr>
    <w:rPr>
      <w:color w:val="538135" w:themeColor="accent6" w:themeShade="BF"/>
      <w:lang w:val="ru-RU"/>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10">
    <w:name w:val="Grid Table 2 Accent 1"/>
    <w:basedOn w:val="a1"/>
    <w:uiPriority w:val="47"/>
    <w:rsid w:val="0018446E"/>
    <w:pPr>
      <w:spacing w:after="0" w:line="240" w:lineRule="auto"/>
    </w:pPr>
    <w:rPr>
      <w:lang w:val="ru-R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
    <w:name w:val="Grid Table 2 Accent 2"/>
    <w:basedOn w:val="a1"/>
    <w:uiPriority w:val="47"/>
    <w:rsid w:val="0018446E"/>
    <w:pPr>
      <w:spacing w:after="0" w:line="240" w:lineRule="auto"/>
    </w:pPr>
    <w:rPr>
      <w:lang w:val="ru-RU"/>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exte">
    <w:name w:val="texte"/>
    <w:basedOn w:val="a"/>
    <w:rsid w:val="0018446E"/>
    <w:pPr>
      <w:spacing w:before="100" w:beforeAutospacing="1" w:after="100" w:afterAutospacing="1" w:line="240" w:lineRule="auto"/>
      <w:ind w:left="0"/>
    </w:pPr>
    <w:rPr>
      <w:rFonts w:ascii="Times New Roman" w:eastAsia="Times New Roman" w:hAnsi="Times New Roman"/>
      <w:lang w:val="ru-RU" w:eastAsia="ru-RU"/>
    </w:rPr>
  </w:style>
  <w:style w:type="character" w:customStyle="1" w:styleId="paranumber">
    <w:name w:val="paranumber"/>
    <w:basedOn w:val="a0"/>
    <w:rsid w:val="0018446E"/>
  </w:style>
  <w:style w:type="character" w:customStyle="1" w:styleId="aff4">
    <w:name w:val="a"/>
    <w:basedOn w:val="a0"/>
    <w:rsid w:val="0018446E"/>
  </w:style>
  <w:style w:type="character" w:customStyle="1" w:styleId="l6">
    <w:name w:val="l6"/>
    <w:basedOn w:val="a0"/>
    <w:rsid w:val="0018446E"/>
  </w:style>
  <w:style w:type="table" w:styleId="-660">
    <w:name w:val="Grid Table 6 Colorful Accent 6"/>
    <w:basedOn w:val="a1"/>
    <w:uiPriority w:val="51"/>
    <w:rsid w:val="0018446E"/>
    <w:pPr>
      <w:spacing w:after="0" w:line="240" w:lineRule="auto"/>
    </w:pPr>
    <w:rPr>
      <w:color w:val="538135" w:themeColor="accent6" w:themeShade="BF"/>
      <w:lang w:val="ru-R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f5">
    <w:name w:val="Title"/>
    <w:basedOn w:val="a"/>
    <w:next w:val="a"/>
    <w:link w:val="aff6"/>
    <w:uiPriority w:val="10"/>
    <w:qFormat/>
    <w:rsid w:val="0018446E"/>
    <w:pPr>
      <w:spacing w:after="0" w:line="240" w:lineRule="auto"/>
      <w:ind w:left="0"/>
      <w:contextualSpacing/>
    </w:pPr>
    <w:rPr>
      <w:rFonts w:asciiTheme="majorHAnsi" w:eastAsiaTheme="majorEastAsia" w:hAnsiTheme="majorHAnsi" w:cstheme="majorBidi"/>
      <w:spacing w:val="-10"/>
      <w:kern w:val="28"/>
      <w:sz w:val="56"/>
      <w:szCs w:val="56"/>
      <w:lang w:val="ro-MD"/>
    </w:rPr>
  </w:style>
  <w:style w:type="character" w:customStyle="1" w:styleId="aff6">
    <w:name w:val="Название Знак"/>
    <w:basedOn w:val="a0"/>
    <w:link w:val="aff5"/>
    <w:uiPriority w:val="10"/>
    <w:rsid w:val="0018446E"/>
    <w:rPr>
      <w:rFonts w:asciiTheme="majorHAnsi" w:eastAsiaTheme="majorEastAsia" w:hAnsiTheme="majorHAnsi" w:cstheme="majorBidi"/>
      <w:spacing w:val="-10"/>
      <w:kern w:val="28"/>
      <w:sz w:val="56"/>
      <w:szCs w:val="56"/>
    </w:rPr>
  </w:style>
  <w:style w:type="table" w:customStyle="1" w:styleId="13">
    <w:name w:val="Сетка таблицы1"/>
    <w:basedOn w:val="a1"/>
    <w:next w:val="afb"/>
    <w:uiPriority w:val="39"/>
    <w:rsid w:val="0018446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8202">
      <w:bodyDiv w:val="1"/>
      <w:marLeft w:val="0"/>
      <w:marRight w:val="0"/>
      <w:marTop w:val="0"/>
      <w:marBottom w:val="0"/>
      <w:divBdr>
        <w:top w:val="none" w:sz="0" w:space="0" w:color="auto"/>
        <w:left w:val="none" w:sz="0" w:space="0" w:color="auto"/>
        <w:bottom w:val="none" w:sz="0" w:space="0" w:color="auto"/>
        <w:right w:val="none" w:sz="0" w:space="0" w:color="auto"/>
      </w:divBdr>
      <w:divsChild>
        <w:div w:id="101730586">
          <w:marLeft w:val="0"/>
          <w:marRight w:val="0"/>
          <w:marTop w:val="0"/>
          <w:marBottom w:val="0"/>
          <w:divBdr>
            <w:top w:val="single" w:sz="8" w:space="3" w:color="B5C4DF"/>
            <w:left w:val="none" w:sz="0" w:space="0" w:color="auto"/>
            <w:bottom w:val="none" w:sz="0" w:space="0" w:color="auto"/>
            <w:right w:val="none" w:sz="0" w:space="0" w:color="auto"/>
          </w:divBdr>
        </w:div>
        <w:div w:id="130094845">
          <w:marLeft w:val="0"/>
          <w:marRight w:val="0"/>
          <w:marTop w:val="0"/>
          <w:marBottom w:val="0"/>
          <w:divBdr>
            <w:top w:val="none" w:sz="0" w:space="0" w:color="auto"/>
            <w:left w:val="none" w:sz="0" w:space="0" w:color="auto"/>
            <w:bottom w:val="none" w:sz="0" w:space="0" w:color="auto"/>
            <w:right w:val="none" w:sz="0" w:space="0" w:color="auto"/>
          </w:divBdr>
        </w:div>
      </w:divsChild>
    </w:div>
    <w:div w:id="219286831">
      <w:bodyDiv w:val="1"/>
      <w:marLeft w:val="0"/>
      <w:marRight w:val="0"/>
      <w:marTop w:val="0"/>
      <w:marBottom w:val="0"/>
      <w:divBdr>
        <w:top w:val="none" w:sz="0" w:space="0" w:color="auto"/>
        <w:left w:val="none" w:sz="0" w:space="0" w:color="auto"/>
        <w:bottom w:val="none" w:sz="0" w:space="0" w:color="auto"/>
        <w:right w:val="none" w:sz="0" w:space="0" w:color="auto"/>
      </w:divBdr>
    </w:div>
    <w:div w:id="701630756">
      <w:bodyDiv w:val="1"/>
      <w:marLeft w:val="0"/>
      <w:marRight w:val="0"/>
      <w:marTop w:val="0"/>
      <w:marBottom w:val="0"/>
      <w:divBdr>
        <w:top w:val="none" w:sz="0" w:space="0" w:color="auto"/>
        <w:left w:val="none" w:sz="0" w:space="0" w:color="auto"/>
        <w:bottom w:val="none" w:sz="0" w:space="0" w:color="auto"/>
        <w:right w:val="none" w:sz="0" w:space="0" w:color="auto"/>
      </w:divBdr>
    </w:div>
    <w:div w:id="930240209">
      <w:bodyDiv w:val="1"/>
      <w:marLeft w:val="0"/>
      <w:marRight w:val="0"/>
      <w:marTop w:val="0"/>
      <w:marBottom w:val="0"/>
      <w:divBdr>
        <w:top w:val="none" w:sz="0" w:space="0" w:color="auto"/>
        <w:left w:val="none" w:sz="0" w:space="0" w:color="auto"/>
        <w:bottom w:val="none" w:sz="0" w:space="0" w:color="auto"/>
        <w:right w:val="none" w:sz="0" w:space="0" w:color="auto"/>
      </w:divBdr>
      <w:divsChild>
        <w:div w:id="1468552421">
          <w:marLeft w:val="0"/>
          <w:marRight w:val="0"/>
          <w:marTop w:val="0"/>
          <w:marBottom w:val="0"/>
          <w:divBdr>
            <w:top w:val="none" w:sz="0" w:space="0" w:color="auto"/>
            <w:left w:val="none" w:sz="0" w:space="0" w:color="auto"/>
            <w:bottom w:val="none" w:sz="0" w:space="0" w:color="auto"/>
            <w:right w:val="none" w:sz="0" w:space="0" w:color="auto"/>
          </w:divBdr>
        </w:div>
        <w:div w:id="1907254584">
          <w:marLeft w:val="0"/>
          <w:marRight w:val="0"/>
          <w:marTop w:val="0"/>
          <w:marBottom w:val="0"/>
          <w:divBdr>
            <w:top w:val="none" w:sz="0" w:space="0" w:color="auto"/>
            <w:left w:val="none" w:sz="0" w:space="0" w:color="auto"/>
            <w:bottom w:val="none" w:sz="0" w:space="0" w:color="auto"/>
            <w:right w:val="none" w:sz="0" w:space="0" w:color="auto"/>
          </w:divBdr>
        </w:div>
      </w:divsChild>
    </w:div>
    <w:div w:id="1625845611">
      <w:bodyDiv w:val="1"/>
      <w:marLeft w:val="0"/>
      <w:marRight w:val="0"/>
      <w:marTop w:val="0"/>
      <w:marBottom w:val="0"/>
      <w:divBdr>
        <w:top w:val="none" w:sz="0" w:space="0" w:color="auto"/>
        <w:left w:val="none" w:sz="0" w:space="0" w:color="auto"/>
        <w:bottom w:val="none" w:sz="0" w:space="0" w:color="auto"/>
        <w:right w:val="none" w:sz="0" w:space="0" w:color="auto"/>
      </w:divBdr>
    </w:div>
    <w:div w:id="2064063745">
      <w:bodyDiv w:val="1"/>
      <w:marLeft w:val="0"/>
      <w:marRight w:val="0"/>
      <w:marTop w:val="0"/>
      <w:marBottom w:val="0"/>
      <w:divBdr>
        <w:top w:val="none" w:sz="0" w:space="0" w:color="auto"/>
        <w:left w:val="none" w:sz="0" w:space="0" w:color="auto"/>
        <w:bottom w:val="none" w:sz="0" w:space="0" w:color="auto"/>
        <w:right w:val="none" w:sz="0" w:space="0" w:color="auto"/>
      </w:divBdr>
    </w:div>
    <w:div w:id="209612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s://stat.unido.org" TargetMode="External"/><Relationship Id="rId21" Type="http://schemas.openxmlformats.org/officeDocument/2006/relationships/chart" Target="charts/chart12.xml"/><Relationship Id="rId34" Type="http://schemas.openxmlformats.org/officeDocument/2006/relationships/chart" Target="charts/chart20.xm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diagramData" Target="diagrams/data4.xml"/><Relationship Id="rId55" Type="http://schemas.openxmlformats.org/officeDocument/2006/relationships/diagramData" Target="diagrams/data5.xml"/><Relationship Id="rId63" Type="http://schemas.openxmlformats.org/officeDocument/2006/relationships/chart" Target="charts/chart2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diagramColors" Target="diagrams/colors5.xm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diagramLayout" Target="diagrams/layout1.xml"/><Relationship Id="rId36" Type="http://schemas.openxmlformats.org/officeDocument/2006/relationships/chart" Target="charts/chart22.xml"/><Relationship Id="rId49" Type="http://schemas.microsoft.com/office/2007/relationships/diagramDrawing" Target="diagrams/drawing3.xml"/><Relationship Id="rId57" Type="http://schemas.openxmlformats.org/officeDocument/2006/relationships/diagramQuickStyle" Target="diagrams/quickStyle5.xml"/><Relationship Id="rId61"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chart" Target="charts/chart10.xml"/><Relationship Id="rId31" Type="http://schemas.microsoft.com/office/2007/relationships/diagramDrawing" Target="diagrams/drawing1.xml"/><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footer" Target="footer1.xml"/><Relationship Id="rId65"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intracen.org/" TargetMode="External"/><Relationship Id="rId22" Type="http://schemas.openxmlformats.org/officeDocument/2006/relationships/chart" Target="charts/chart1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chart" Target="charts/chart2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diagramLayout" Target="diagrams/layout5.xml"/><Relationship Id="rId64" Type="http://schemas.openxmlformats.org/officeDocument/2006/relationships/chart" Target="charts/chart28.xml"/><Relationship Id="rId8" Type="http://schemas.openxmlformats.org/officeDocument/2006/relationships/hyperlink" Target="http://eur-lex.europa.eu/legal-content/EN/TXT/?uri=celex:22014A0830%2801%29" TargetMode="External"/><Relationship Id="rId51"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diagramLayout" Target="diagrams/layout3.xml"/><Relationship Id="rId59" Type="http://schemas.microsoft.com/office/2007/relationships/diagramDrawing" Target="diagrams/drawing5.xml"/><Relationship Id="rId67"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chart" Target="charts/chart26.xml"/></Relationships>
</file>

<file path=word/_rels/footnotes.xml.rels><?xml version="1.0" encoding="UTF-8" standalone="yes"?>
<Relationships xmlns="http://schemas.openxmlformats.org/package/2006/relationships"><Relationship Id="rId8" Type="http://schemas.openxmlformats.org/officeDocument/2006/relationships/hyperlink" Target="https://austriaca.at/0xc1aa5576_0x003e2751.pdf" TargetMode="External"/><Relationship Id="rId3" Type="http://schemas.openxmlformats.org/officeDocument/2006/relationships/hyperlink" Target="https://databank.worldbank.org/source/worldwide-governance-indicators" TargetMode="External"/><Relationship Id="rId7" Type="http://schemas.openxmlformats.org/officeDocument/2006/relationships/hyperlink" Target="https://www.bnm.md/files/02_CI_2022_q4.pdf" TargetMode="External"/><Relationship Id="rId2" Type="http://schemas.openxmlformats.org/officeDocument/2006/relationships/hyperlink" Target="https://www.anofm.md/view_document?nid=20224" TargetMode="External"/><Relationship Id="rId1" Type="http://schemas.openxmlformats.org/officeDocument/2006/relationships/hyperlink" Target="https://drodrik.scholar.harvard.edu/files/dani-rodrik/files/premature_deindustrialization.pdf" TargetMode="External"/><Relationship Id="rId6" Type="http://schemas.openxmlformats.org/officeDocument/2006/relationships/hyperlink" Target="https://www.oda.md/files/fgc/2023/Raport%20anual%20FGC%202022.pdf" TargetMode="External"/><Relationship Id="rId5" Type="http://schemas.openxmlformats.org/officeDocument/2006/relationships/hyperlink" Target="https://www.giz.de/en/downloads/giz2021-en-cluster-development-guide.pdf" TargetMode="External"/><Relationship Id="rId10" Type="http://schemas.openxmlformats.org/officeDocument/2006/relationships/hyperlink" Target="https://commission.europa.eu/system/files/2023-02/COM_2023_62_2_EN_ACT_A%20Green%20Deal%20Industrial%20Plan%20for%20the%20Net-Zero%20Age.pdf" TargetMode="External"/><Relationship Id="rId4" Type="http://schemas.openxmlformats.org/officeDocument/2006/relationships/hyperlink" Target="https://hub.unido.org/qi4sd/MDA" TargetMode="External"/><Relationship Id="rId9" Type="http://schemas.openxmlformats.org/officeDocument/2006/relationships/hyperlink" Target="https://www.anofm.md/view_document?nid=2022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Unica%20LAPTOP%201\Desktop\world_investment_report_2022_selected_fdi_flows.csv"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Chart%20in%20Microsoft%20Word"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Sheet1!$A$5</c:f>
              <c:strCache>
                <c:ptCount val="1"/>
                <c:pt idx="0">
                  <c:v>Creșterea reală anuală,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9"/>
            <c:invertIfNegative val="0"/>
            <c:bubble3D val="0"/>
            <c:extLst xmlns:c16r2="http://schemas.microsoft.com/office/drawing/2015/06/chart">
              <c:ext xmlns:c16="http://schemas.microsoft.com/office/drawing/2014/chart" uri="{C3380CC4-5D6E-409C-BE32-E72D297353CC}">
                <c16:uniqueId val="{00000000-6D24-4F6B-94D4-505CE1E5D748}"/>
              </c:ext>
            </c:extLst>
          </c:dPt>
          <c:dPt>
            <c:idx val="11"/>
            <c:invertIfNegative val="0"/>
            <c:bubble3D val="0"/>
            <c:extLst xmlns:c16r2="http://schemas.microsoft.com/office/drawing/2015/06/chart">
              <c:ext xmlns:c16="http://schemas.microsoft.com/office/drawing/2014/chart" uri="{C3380CC4-5D6E-409C-BE32-E72D297353CC}">
                <c16:uniqueId val="{00000001-6D24-4F6B-94D4-505CE1E5D748}"/>
              </c:ext>
            </c:extLst>
          </c:dPt>
          <c:dLbls>
            <c:dLbl>
              <c:idx val="9"/>
              <c:spPr>
                <a:noFill/>
                <a:ln>
                  <a:noFill/>
                </a:ln>
                <a:effectLst/>
              </c:spPr>
              <c:txPr>
                <a:bodyPr rot="0" spcFirstLastPara="1" vertOverflow="ellipsis" vert="horz" wrap="square" anchor="ctr" anchorCtr="1"/>
                <a:lstStyle/>
                <a:p>
                  <a:pPr>
                    <a:defRPr sz="800" b="0"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dLbl>
              <c:idx val="11"/>
              <c:spPr>
                <a:noFill/>
                <a:ln>
                  <a:noFill/>
                </a:ln>
                <a:effectLst/>
              </c:spPr>
              <c:txPr>
                <a:bodyPr rot="0" spcFirstLastPara="1" vertOverflow="ellipsis" vert="horz" wrap="square" anchor="ctr" anchorCtr="1"/>
                <a:lstStyle/>
                <a:p>
                  <a:pPr>
                    <a:defRPr sz="800" b="0"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Sheet1!$B$3:$M$3</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Sheet1!$B$5:$M$5</c:f>
              <c:numCache>
                <c:formatCode>0.0</c:formatCode>
                <c:ptCount val="12"/>
                <c:pt idx="0">
                  <c:v>10.216832518564004</c:v>
                </c:pt>
                <c:pt idx="1">
                  <c:v>0.58125865228177531</c:v>
                </c:pt>
                <c:pt idx="2">
                  <c:v>6.2900287410957105</c:v>
                </c:pt>
                <c:pt idx="3">
                  <c:v>7.978158467454179</c:v>
                </c:pt>
                <c:pt idx="4">
                  <c:v>3.2716574375835137</c:v>
                </c:pt>
                <c:pt idx="5">
                  <c:v>2.6907890584365504</c:v>
                </c:pt>
                <c:pt idx="6">
                  <c:v>5.102560826657168</c:v>
                </c:pt>
                <c:pt idx="7">
                  <c:v>5.729004870191801</c:v>
                </c:pt>
                <c:pt idx="8">
                  <c:v>4.5599885845239072</c:v>
                </c:pt>
                <c:pt idx="9">
                  <c:v>-4.9608730900739886</c:v>
                </c:pt>
                <c:pt idx="10">
                  <c:v>7.1792020281186382</c:v>
                </c:pt>
                <c:pt idx="11">
                  <c:v>-12.189963572161631</c:v>
                </c:pt>
              </c:numCache>
            </c:numRef>
          </c:val>
          <c:extLst xmlns:c16r2="http://schemas.microsoft.com/office/drawing/2015/06/chart">
            <c:ext xmlns:c16="http://schemas.microsoft.com/office/drawing/2014/chart" uri="{C3380CC4-5D6E-409C-BE32-E72D297353CC}">
              <c16:uniqueId val="{00000002-6D24-4F6B-94D4-505CE1E5D748}"/>
            </c:ext>
          </c:extLst>
        </c:ser>
        <c:dLbls>
          <c:showLegendKey val="0"/>
          <c:showVal val="1"/>
          <c:showCatName val="0"/>
          <c:showSerName val="0"/>
          <c:showPercent val="0"/>
          <c:showBubbleSize val="0"/>
        </c:dLbls>
        <c:gapWidth val="219"/>
        <c:axId val="515969632"/>
        <c:axId val="515963360"/>
      </c:barChart>
      <c:lineChart>
        <c:grouping val="standard"/>
        <c:varyColors val="0"/>
        <c:ser>
          <c:idx val="0"/>
          <c:order val="0"/>
          <c:tx>
            <c:strRef>
              <c:f>Sheet1!$A$4</c:f>
              <c:strCache>
                <c:ptCount val="1"/>
                <c:pt idx="0">
                  <c:v>Ponderea industriei in PIB</c:v>
                </c:pt>
              </c:strCache>
            </c:strRef>
          </c:tx>
          <c:spPr>
            <a:ln w="22225" cap="rnd">
              <a:solidFill>
                <a:schemeClr val="accent1"/>
              </a:solidFill>
              <a:round/>
            </a:ln>
            <a:effectLst>
              <a:outerShdw blurRad="57150" dist="19050" dir="5400000" algn="ctr" rotWithShape="0">
                <a:srgbClr val="000000">
                  <a:alpha val="63000"/>
                </a:srgbClr>
              </a:outerShdw>
            </a:effectLst>
          </c:spPr>
          <c:marker>
            <c:symbol val="circ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Sheet1!$B$3:$M$3</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Sheet1!$B$4:$M$4</c:f>
              <c:numCache>
                <c:formatCode>0.0</c:formatCode>
                <c:ptCount val="12"/>
                <c:pt idx="0">
                  <c:v>14.373511723580133</c:v>
                </c:pt>
                <c:pt idx="1">
                  <c:v>14.465222207045068</c:v>
                </c:pt>
                <c:pt idx="2">
                  <c:v>14.899142680175398</c:v>
                </c:pt>
                <c:pt idx="3">
                  <c:v>13.280273966303815</c:v>
                </c:pt>
                <c:pt idx="4">
                  <c:v>13.647313631598102</c:v>
                </c:pt>
                <c:pt idx="5">
                  <c:v>13.620323206619561</c:v>
                </c:pt>
                <c:pt idx="6">
                  <c:v>13.552432739250186</c:v>
                </c:pt>
                <c:pt idx="7">
                  <c:v>13.551783557942416</c:v>
                </c:pt>
                <c:pt idx="8">
                  <c:v>13.153689377609567</c:v>
                </c:pt>
                <c:pt idx="9">
                  <c:v>13.137831073100319</c:v>
                </c:pt>
                <c:pt idx="10">
                  <c:v>12.655804903786034</c:v>
                </c:pt>
                <c:pt idx="11">
                  <c:v>12.325819889545363</c:v>
                </c:pt>
              </c:numCache>
            </c:numRef>
          </c:val>
          <c:smooth val="1"/>
          <c:extLst xmlns:c16r2="http://schemas.microsoft.com/office/drawing/2015/06/chart">
            <c:ext xmlns:c16="http://schemas.microsoft.com/office/drawing/2014/chart" uri="{C3380CC4-5D6E-409C-BE32-E72D297353CC}">
              <c16:uniqueId val="{00000003-6D24-4F6B-94D4-505CE1E5D748}"/>
            </c:ext>
          </c:extLst>
        </c:ser>
        <c:dLbls>
          <c:showLegendKey val="0"/>
          <c:showVal val="1"/>
          <c:showCatName val="0"/>
          <c:showSerName val="0"/>
          <c:showPercent val="0"/>
          <c:showBubbleSize val="0"/>
        </c:dLbls>
        <c:marker val="1"/>
        <c:smooth val="0"/>
        <c:axId val="515966104"/>
        <c:axId val="515965712"/>
      </c:lineChart>
      <c:catAx>
        <c:axId val="51596963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963360"/>
        <c:crosses val="autoZero"/>
        <c:auto val="1"/>
        <c:lblAlgn val="ctr"/>
        <c:lblOffset val="100"/>
        <c:tickLblSkip val="2"/>
        <c:noMultiLvlLbl val="0"/>
      </c:catAx>
      <c:valAx>
        <c:axId val="515963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969632"/>
        <c:crosses val="autoZero"/>
        <c:crossBetween val="between"/>
      </c:valAx>
      <c:valAx>
        <c:axId val="515965712"/>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966104"/>
        <c:crosses val="max"/>
        <c:crossBetween val="between"/>
      </c:valAx>
      <c:catAx>
        <c:axId val="515966104"/>
        <c:scaling>
          <c:orientation val="minMax"/>
        </c:scaling>
        <c:delete val="1"/>
        <c:axPos val="b"/>
        <c:numFmt formatCode="General" sourceLinked="1"/>
        <c:majorTickMark val="out"/>
        <c:minorTickMark val="none"/>
        <c:tickLblPos val="nextTo"/>
        <c:crossAx val="515965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Salariu, lei</c:v>
                </c:pt>
              </c:strCache>
            </c:strRef>
          </c:tx>
          <c:spPr>
            <a:solidFill>
              <a:schemeClr val="accent1"/>
            </a:solidFill>
            <a:ln>
              <a:noFill/>
            </a:ln>
            <a:effectLst>
              <a:glow rad="63500">
                <a:schemeClr val="accent3">
                  <a:satMod val="175000"/>
                  <a:alpha val="40000"/>
                </a:schemeClr>
              </a:glow>
            </a:effectLst>
          </c:spPr>
          <c:invertIfNegative val="0"/>
          <c:cat>
            <c:numRef>
              <c:f>Sheet1!$A$2:$A$11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Sheet1!$B$2:$B$11</c:f>
              <c:numCache>
                <c:formatCode>0.0</c:formatCode>
                <c:ptCount val="9"/>
                <c:pt idx="0">
                  <c:v>4.0390999999999995</c:v>
                </c:pt>
                <c:pt idx="1">
                  <c:v>4.4851999999999999</c:v>
                </c:pt>
                <c:pt idx="2">
                  <c:v>4.8778000000000006</c:v>
                </c:pt>
                <c:pt idx="3">
                  <c:v>5.2925000000000004</c:v>
                </c:pt>
                <c:pt idx="4">
                  <c:v>5.9741</c:v>
                </c:pt>
                <c:pt idx="5">
                  <c:v>6.5937999999999999</c:v>
                </c:pt>
                <c:pt idx="6">
                  <c:v>6.9275000000000002</c:v>
                </c:pt>
                <c:pt idx="7">
                  <c:v>7.6296999999999997</c:v>
                </c:pt>
                <c:pt idx="8">
                  <c:v>8.9432999999999989</c:v>
                </c:pt>
              </c:numCache>
            </c:numRef>
          </c:val>
          <c:extLst xmlns:c16r2="http://schemas.microsoft.com/office/drawing/2015/06/chart">
            <c:ext xmlns:c16="http://schemas.microsoft.com/office/drawing/2014/chart" uri="{C3380CC4-5D6E-409C-BE32-E72D297353CC}">
              <c16:uniqueId val="{00000000-162A-46C9-A68C-CDF3FEF20DEF}"/>
            </c:ext>
          </c:extLst>
        </c:ser>
        <c:dLbls>
          <c:showLegendKey val="0"/>
          <c:showVal val="0"/>
          <c:showCatName val="0"/>
          <c:showSerName val="0"/>
          <c:showPercent val="0"/>
          <c:showBubbleSize val="0"/>
        </c:dLbls>
        <c:gapWidth val="219"/>
        <c:axId val="789396984"/>
        <c:axId val="789398160"/>
      </c:barChart>
      <c:lineChart>
        <c:grouping val="standard"/>
        <c:varyColors val="0"/>
        <c:ser>
          <c:idx val="1"/>
          <c:order val="1"/>
          <c:tx>
            <c:strRef>
              <c:f>Sheet1!$C$1</c:f>
              <c:strCache>
                <c:ptCount val="1"/>
                <c:pt idx="0">
                  <c:v>Creștere nominală,%</c:v>
                </c:pt>
              </c:strCache>
            </c:strRef>
          </c:tx>
          <c:spPr>
            <a:ln w="22225" cap="rnd">
              <a:solidFill>
                <a:schemeClr val="bg2">
                  <a:lumMod val="75000"/>
                </a:schemeClr>
              </a:solidFill>
              <a:round/>
            </a:ln>
            <a:effectLst>
              <a:glow rad="63500">
                <a:schemeClr val="accent3">
                  <a:satMod val="175000"/>
                  <a:alpha val="40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Sheet1!$C$2:$C$11</c:f>
              <c:numCache>
                <c:formatCode>0.0</c:formatCode>
                <c:ptCount val="9"/>
                <c:pt idx="0">
                  <c:v>12.18787323278616</c:v>
                </c:pt>
                <c:pt idx="1">
                  <c:v>11.04453962516402</c:v>
                </c:pt>
                <c:pt idx="2">
                  <c:v>8.7532328547222136</c:v>
                </c:pt>
                <c:pt idx="3">
                  <c:v>8.501783590963143</c:v>
                </c:pt>
                <c:pt idx="4">
                  <c:v>12.878601794992932</c:v>
                </c:pt>
                <c:pt idx="5">
                  <c:v>10.373110594064372</c:v>
                </c:pt>
                <c:pt idx="6">
                  <c:v>5.0608147047226169</c:v>
                </c:pt>
                <c:pt idx="7">
                  <c:v>10.136412847347515</c:v>
                </c:pt>
                <c:pt idx="8">
                  <c:v>17.216928581726663</c:v>
                </c:pt>
              </c:numCache>
            </c:numRef>
          </c:val>
          <c:smooth val="1"/>
          <c:extLst xmlns:c16r2="http://schemas.microsoft.com/office/drawing/2015/06/chart">
            <c:ext xmlns:c16="http://schemas.microsoft.com/office/drawing/2014/chart" uri="{C3380CC4-5D6E-409C-BE32-E72D297353CC}">
              <c16:uniqueId val="{00000001-162A-46C9-A68C-CDF3FEF20DEF}"/>
            </c:ext>
          </c:extLst>
        </c:ser>
        <c:ser>
          <c:idx val="2"/>
          <c:order val="2"/>
          <c:tx>
            <c:strRef>
              <c:f>Sheet1!$D$1</c:f>
              <c:strCache>
                <c:ptCount val="1"/>
                <c:pt idx="0">
                  <c:v>Creștere reală,%</c:v>
                </c:pt>
              </c:strCache>
            </c:strRef>
          </c:tx>
          <c:spPr>
            <a:ln w="22225" cap="rnd">
              <a:solidFill>
                <a:schemeClr val="accent5"/>
              </a:solidFill>
              <a:round/>
            </a:ln>
            <a:effectLst>
              <a:glow rad="63500">
                <a:schemeClr val="accent3">
                  <a:satMod val="175000"/>
                  <a:alpha val="40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Sheet1!$D$2:$D$11</c:f>
              <c:numCache>
                <c:formatCode>0.0</c:formatCode>
                <c:ptCount val="9"/>
                <c:pt idx="0">
                  <c:v>6.743932666780367</c:v>
                </c:pt>
                <c:pt idx="1">
                  <c:v>1.2256514358833357</c:v>
                </c:pt>
                <c:pt idx="2">
                  <c:v>2.2116850138366573</c:v>
                </c:pt>
                <c:pt idx="3">
                  <c:v>1.8126898667196798</c:v>
                </c:pt>
                <c:pt idx="4">
                  <c:v>9.5377018874264223</c:v>
                </c:pt>
                <c:pt idx="5">
                  <c:v>5.2776713029992095</c:v>
                </c:pt>
                <c:pt idx="6">
                  <c:v>1.2439189599331257</c:v>
                </c:pt>
                <c:pt idx="7">
                  <c:v>4.7820500878579821</c:v>
                </c:pt>
                <c:pt idx="8">
                  <c:v>-8.9506535795194537</c:v>
                </c:pt>
              </c:numCache>
            </c:numRef>
          </c:val>
          <c:smooth val="1"/>
          <c:extLst xmlns:c16r2="http://schemas.microsoft.com/office/drawing/2015/06/chart">
            <c:ext xmlns:c16="http://schemas.microsoft.com/office/drawing/2014/chart" uri="{C3380CC4-5D6E-409C-BE32-E72D297353CC}">
              <c16:uniqueId val="{00000002-162A-46C9-A68C-CDF3FEF20DEF}"/>
            </c:ext>
          </c:extLst>
        </c:ser>
        <c:dLbls>
          <c:showLegendKey val="0"/>
          <c:showVal val="0"/>
          <c:showCatName val="0"/>
          <c:showSerName val="0"/>
          <c:showPercent val="0"/>
          <c:showBubbleSize val="0"/>
        </c:dLbls>
        <c:marker val="1"/>
        <c:smooth val="0"/>
        <c:axId val="789397376"/>
        <c:axId val="789393848"/>
      </c:lineChart>
      <c:catAx>
        <c:axId val="78939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9398160"/>
        <c:crosses val="autoZero"/>
        <c:auto val="1"/>
        <c:lblAlgn val="ctr"/>
        <c:lblOffset val="100"/>
        <c:noMultiLvlLbl val="0"/>
      </c:catAx>
      <c:valAx>
        <c:axId val="789398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396984"/>
        <c:crosses val="autoZero"/>
        <c:crossBetween val="between"/>
        <c:majorUnit val="2"/>
      </c:valAx>
      <c:valAx>
        <c:axId val="78939384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9397376"/>
        <c:crosses val="max"/>
        <c:crossBetween val="between"/>
        <c:majorUnit val="5"/>
      </c:valAx>
      <c:catAx>
        <c:axId val="789397376"/>
        <c:scaling>
          <c:orientation val="minMax"/>
        </c:scaling>
        <c:delete val="1"/>
        <c:axPos val="b"/>
        <c:numFmt formatCode="General" sourceLinked="1"/>
        <c:majorTickMark val="out"/>
        <c:minorTickMark val="none"/>
        <c:tickLblPos val="nextTo"/>
        <c:crossAx val="789393848"/>
        <c:crosses val="autoZero"/>
        <c:auto val="1"/>
        <c:lblAlgn val="ctr"/>
        <c:lblOffset val="100"/>
        <c:noMultiLvlLbl val="0"/>
      </c:catAx>
      <c:spPr>
        <a:noFill/>
        <a:ln>
          <a:noFill/>
        </a:ln>
        <a:effectLst/>
      </c:spPr>
    </c:plotArea>
    <c:legend>
      <c:legendPos val="b"/>
      <c:layout>
        <c:manualLayout>
          <c:xMode val="edge"/>
          <c:yMode val="edge"/>
          <c:x val="5.3550742710377811E-2"/>
          <c:y val="0.80510384079104369"/>
          <c:w val="0.88896352051999794"/>
          <c:h val="0.181088772256936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803598823559"/>
          <c:y val="6.6565809379727683E-2"/>
          <c:w val="0.775852453319546"/>
          <c:h val="0.66291398144067093"/>
        </c:manualLayout>
      </c:layout>
      <c:barChart>
        <c:barDir val="col"/>
        <c:grouping val="clustered"/>
        <c:varyColors val="0"/>
        <c:ser>
          <c:idx val="0"/>
          <c:order val="0"/>
          <c:tx>
            <c:strRef>
              <c:f>Lapte!$A$4</c:f>
              <c:strCache>
                <c:ptCount val="1"/>
                <c:pt idx="0">
                  <c:v>Efectivul de vaci, la 1 ianuarie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Lapte!$B$3:$M$3</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Lapte!$B$4:$M$4</c:f>
              <c:numCache>
                <c:formatCode>0.0</c:formatCode>
                <c:ptCount val="12"/>
                <c:pt idx="0">
                  <c:v>154.4</c:v>
                </c:pt>
                <c:pt idx="1">
                  <c:v>144.30000000000001</c:v>
                </c:pt>
                <c:pt idx="2">
                  <c:v>134.4</c:v>
                </c:pt>
                <c:pt idx="3">
                  <c:v>130.69999999999999</c:v>
                </c:pt>
                <c:pt idx="4">
                  <c:v>130.30000000000001</c:v>
                </c:pt>
                <c:pt idx="5">
                  <c:v>127.7</c:v>
                </c:pt>
                <c:pt idx="6">
                  <c:v>122.9</c:v>
                </c:pt>
                <c:pt idx="7">
                  <c:v>112.8</c:v>
                </c:pt>
                <c:pt idx="8">
                  <c:v>97.2</c:v>
                </c:pt>
                <c:pt idx="9">
                  <c:v>81</c:v>
                </c:pt>
                <c:pt idx="10">
                  <c:v>71.2</c:v>
                </c:pt>
                <c:pt idx="11">
                  <c:v>68.400000000000006</c:v>
                </c:pt>
              </c:numCache>
            </c:numRef>
          </c:val>
          <c:extLst xmlns:c16r2="http://schemas.microsoft.com/office/drawing/2015/06/chart">
            <c:ext xmlns:c16="http://schemas.microsoft.com/office/drawing/2014/chart" uri="{C3380CC4-5D6E-409C-BE32-E72D297353CC}">
              <c16:uniqueId val="{00000000-B44C-4F48-A645-708734AE1DD0}"/>
            </c:ext>
          </c:extLst>
        </c:ser>
        <c:dLbls>
          <c:showLegendKey val="0"/>
          <c:showVal val="0"/>
          <c:showCatName val="0"/>
          <c:showSerName val="0"/>
          <c:showPercent val="0"/>
          <c:showBubbleSize val="0"/>
        </c:dLbls>
        <c:gapWidth val="150"/>
        <c:axId val="789394632"/>
        <c:axId val="789397768"/>
      </c:barChart>
      <c:lineChart>
        <c:grouping val="standard"/>
        <c:varyColors val="0"/>
        <c:ser>
          <c:idx val="1"/>
          <c:order val="1"/>
          <c:tx>
            <c:strRef>
              <c:f>Lapte!$A$5</c:f>
              <c:strCache>
                <c:ptCount val="1"/>
                <c:pt idx="0">
                  <c:v>Producția de lapte, mii tone</c:v>
                </c:pt>
              </c:strCache>
            </c:strRef>
          </c:tx>
          <c:spPr>
            <a:ln w="25400" cap="rnd">
              <a:solidFill>
                <a:schemeClr val="accent1">
                  <a:tint val="77000"/>
                </a:schemeClr>
              </a:solidFill>
              <a:round/>
            </a:ln>
            <a:effectLst>
              <a:outerShdw blurRad="57150" dist="19050" dir="5400000" algn="ctr" rotWithShape="0">
                <a:srgbClr val="000000">
                  <a:alpha val="63000"/>
                </a:srgbClr>
              </a:outerShdw>
            </a:effectLst>
          </c:spPr>
          <c:marker>
            <c:symbol val="none"/>
          </c:marker>
          <c:cat>
            <c:strRef>
              <c:f>Lapte!$B$3:$M$3</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Lapte!$B$5:$M$5</c:f>
              <c:numCache>
                <c:formatCode>General</c:formatCode>
                <c:ptCount val="12"/>
                <c:pt idx="0">
                  <c:v>525.79999999999995</c:v>
                </c:pt>
                <c:pt idx="1">
                  <c:v>489.6</c:v>
                </c:pt>
                <c:pt idx="2">
                  <c:v>485.9</c:v>
                </c:pt>
                <c:pt idx="3">
                  <c:v>485.3</c:v>
                </c:pt>
                <c:pt idx="4">
                  <c:v>479.5</c:v>
                </c:pt>
                <c:pt idx="5">
                  <c:v>462.1</c:v>
                </c:pt>
                <c:pt idx="6">
                  <c:v>442.6</c:v>
                </c:pt>
                <c:pt idx="7">
                  <c:v>373.1</c:v>
                </c:pt>
                <c:pt idx="8">
                  <c:v>331.7</c:v>
                </c:pt>
                <c:pt idx="9">
                  <c:v>290.5</c:v>
                </c:pt>
                <c:pt idx="10">
                  <c:v>264.89999999999998</c:v>
                </c:pt>
                <c:pt idx="11">
                  <c:v>240.4</c:v>
                </c:pt>
              </c:numCache>
            </c:numRef>
          </c:val>
          <c:smooth val="1"/>
          <c:extLst xmlns:c16r2="http://schemas.microsoft.com/office/drawing/2015/06/chart">
            <c:ext xmlns:c16="http://schemas.microsoft.com/office/drawing/2014/chart" uri="{C3380CC4-5D6E-409C-BE32-E72D297353CC}">
              <c16:uniqueId val="{00000001-B44C-4F48-A645-708734AE1DD0}"/>
            </c:ext>
          </c:extLst>
        </c:ser>
        <c:dLbls>
          <c:showLegendKey val="0"/>
          <c:showVal val="0"/>
          <c:showCatName val="0"/>
          <c:showSerName val="0"/>
          <c:showPercent val="0"/>
          <c:showBubbleSize val="0"/>
        </c:dLbls>
        <c:marker val="1"/>
        <c:smooth val="0"/>
        <c:axId val="789398552"/>
        <c:axId val="789401296"/>
      </c:lineChart>
      <c:catAx>
        <c:axId val="789394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9397768"/>
        <c:crosses val="autoZero"/>
        <c:auto val="1"/>
        <c:lblAlgn val="ctr"/>
        <c:lblOffset val="100"/>
        <c:tickLblSkip val="2"/>
        <c:noMultiLvlLbl val="0"/>
      </c:catAx>
      <c:valAx>
        <c:axId val="789397768"/>
        <c:scaling>
          <c:orientation val="minMax"/>
          <c:max val="16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9394632"/>
        <c:crosses val="autoZero"/>
        <c:crossBetween val="between"/>
      </c:valAx>
      <c:valAx>
        <c:axId val="7894012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9398552"/>
        <c:crosses val="max"/>
        <c:crossBetween val="between"/>
      </c:valAx>
      <c:catAx>
        <c:axId val="789398552"/>
        <c:scaling>
          <c:orientation val="minMax"/>
        </c:scaling>
        <c:delete val="1"/>
        <c:axPos val="b"/>
        <c:numFmt formatCode="General" sourceLinked="1"/>
        <c:majorTickMark val="none"/>
        <c:minorTickMark val="none"/>
        <c:tickLblPos val="nextTo"/>
        <c:crossAx val="789401296"/>
        <c:crosses val="autoZero"/>
        <c:auto val="1"/>
        <c:lblAlgn val="ctr"/>
        <c:lblOffset val="100"/>
        <c:noMultiLvlLbl val="0"/>
      </c:catAx>
      <c:spPr>
        <a:noFill/>
        <a:ln>
          <a:noFill/>
        </a:ln>
        <a:effectLst/>
      </c:spPr>
    </c:plotArea>
    <c:legend>
      <c:legendPos val="b"/>
      <c:layout>
        <c:manualLayout>
          <c:xMode val="edge"/>
          <c:yMode val="edge"/>
          <c:x val="3.9277184001084889E-2"/>
          <c:y val="0.82299403194872955"/>
          <c:w val="0.90852851682021984"/>
          <c:h val="0.140697344753237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259945566850327E-2"/>
          <c:y val="6.6808381415122992E-2"/>
          <c:w val="0.81548010886629929"/>
          <c:h val="0.69554411529108517"/>
        </c:manualLayout>
      </c:layout>
      <c:barChart>
        <c:barDir val="col"/>
        <c:grouping val="clustered"/>
        <c:varyColors val="0"/>
        <c:ser>
          <c:idx val="1"/>
          <c:order val="1"/>
          <c:tx>
            <c:strRef>
              <c:f>Zahar!$A$5</c:f>
              <c:strCache>
                <c:ptCount val="1"/>
                <c:pt idx="0">
                  <c:v>Suprafața însămânțată, mii hectare</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Zahar!$B$3:$M$3</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Zahar!$B$5:$M$5</c:f>
              <c:numCache>
                <c:formatCode>0</c:formatCode>
                <c:ptCount val="12"/>
                <c:pt idx="0">
                  <c:v>24.277999999999999</c:v>
                </c:pt>
                <c:pt idx="1">
                  <c:v>29.959</c:v>
                </c:pt>
                <c:pt idx="2">
                  <c:v>28.03</c:v>
                </c:pt>
                <c:pt idx="3">
                  <c:v>27.571000000000002</c:v>
                </c:pt>
                <c:pt idx="4">
                  <c:v>21.356999999999999</c:v>
                </c:pt>
                <c:pt idx="5">
                  <c:v>20.452000000000002</c:v>
                </c:pt>
                <c:pt idx="6">
                  <c:v>22.390999999999998</c:v>
                </c:pt>
                <c:pt idx="7">
                  <c:v>18.445</c:v>
                </c:pt>
                <c:pt idx="8">
                  <c:v>14.327</c:v>
                </c:pt>
                <c:pt idx="9">
                  <c:v>12.494</c:v>
                </c:pt>
                <c:pt idx="10">
                  <c:v>14.930999999999999</c:v>
                </c:pt>
                <c:pt idx="11">
                  <c:v>11.374000000000001</c:v>
                </c:pt>
              </c:numCache>
            </c:numRef>
          </c:val>
          <c:extLst xmlns:c16r2="http://schemas.microsoft.com/office/drawing/2015/06/chart">
            <c:ext xmlns:c16="http://schemas.microsoft.com/office/drawing/2014/chart" uri="{C3380CC4-5D6E-409C-BE32-E72D297353CC}">
              <c16:uniqueId val="{00000000-E148-4494-BAC2-1289F5E31409}"/>
            </c:ext>
          </c:extLst>
        </c:ser>
        <c:dLbls>
          <c:showLegendKey val="0"/>
          <c:showVal val="0"/>
          <c:showCatName val="0"/>
          <c:showSerName val="0"/>
          <c:showPercent val="0"/>
          <c:showBubbleSize val="0"/>
        </c:dLbls>
        <c:gapWidth val="150"/>
        <c:axId val="694022656"/>
        <c:axId val="694024616"/>
      </c:barChart>
      <c:lineChart>
        <c:grouping val="standard"/>
        <c:varyColors val="0"/>
        <c:ser>
          <c:idx val="0"/>
          <c:order val="0"/>
          <c:tx>
            <c:strRef>
              <c:f>Zahar!$A$4</c:f>
              <c:strCache>
                <c:ptCount val="1"/>
                <c:pt idx="0">
                  <c:v>Producția de sfeclă de zahăr, mil. chintale</c:v>
                </c:pt>
              </c:strCache>
            </c:strRef>
          </c:tx>
          <c:spPr>
            <a:ln w="22225" cap="rnd">
              <a:solidFill>
                <a:schemeClr val="accent1">
                  <a:shade val="76000"/>
                </a:schemeClr>
              </a:solidFill>
              <a:round/>
            </a:ln>
            <a:effectLst>
              <a:outerShdw blurRad="57150" dist="19050" dir="5400000" algn="ctr" rotWithShape="0">
                <a:srgbClr val="000000">
                  <a:alpha val="63000"/>
                </a:srgbClr>
              </a:outerShdw>
            </a:effectLst>
          </c:spPr>
          <c:marker>
            <c:symbol val="none"/>
          </c:marker>
          <c:trendline>
            <c:spPr>
              <a:ln w="22225" cap="rnd">
                <a:solidFill>
                  <a:schemeClr val="accent1">
                    <a:shade val="76000"/>
                  </a:schemeClr>
                </a:solidFill>
                <a:prstDash val="sysDot"/>
              </a:ln>
              <a:effectLst/>
            </c:spPr>
            <c:trendlineType val="linear"/>
            <c:dispRSqr val="0"/>
            <c:dispEq val="0"/>
          </c:trendline>
          <c:cat>
            <c:strRef>
              <c:f>Zahar!$B$3:$M$3</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Zahar!$B$4:$M$4</c:f>
              <c:numCache>
                <c:formatCode>0</c:formatCode>
                <c:ptCount val="12"/>
                <c:pt idx="0">
                  <c:v>5.6891419999999995</c:v>
                </c:pt>
                <c:pt idx="1">
                  <c:v>5.6256679999999992</c:v>
                </c:pt>
                <c:pt idx="2">
                  <c:v>9.9538970000000013</c:v>
                </c:pt>
                <c:pt idx="3">
                  <c:v>13.448821000000001</c:v>
                </c:pt>
                <c:pt idx="4">
                  <c:v>5.3133909999999993</c:v>
                </c:pt>
                <c:pt idx="5">
                  <c:v>6.5558290000000001</c:v>
                </c:pt>
                <c:pt idx="6">
                  <c:v>8.5487469999999988</c:v>
                </c:pt>
                <c:pt idx="7">
                  <c:v>6.7996650000000001</c:v>
                </c:pt>
                <c:pt idx="8">
                  <c:v>5.880763</c:v>
                </c:pt>
                <c:pt idx="9">
                  <c:v>4.0954759999999997</c:v>
                </c:pt>
                <c:pt idx="10">
                  <c:v>7.3712910000000003</c:v>
                </c:pt>
                <c:pt idx="11">
                  <c:v>4.7231860000000001</c:v>
                </c:pt>
              </c:numCache>
            </c:numRef>
          </c:val>
          <c:smooth val="1"/>
          <c:extLst xmlns:c16r2="http://schemas.microsoft.com/office/drawing/2015/06/chart">
            <c:ext xmlns:c16="http://schemas.microsoft.com/office/drawing/2014/chart" uri="{C3380CC4-5D6E-409C-BE32-E72D297353CC}">
              <c16:uniqueId val="{00000002-E148-4494-BAC2-1289F5E31409}"/>
            </c:ext>
          </c:extLst>
        </c:ser>
        <c:dLbls>
          <c:showLegendKey val="0"/>
          <c:showVal val="0"/>
          <c:showCatName val="0"/>
          <c:showSerName val="0"/>
          <c:showPercent val="0"/>
          <c:showBubbleSize val="0"/>
        </c:dLbls>
        <c:marker val="1"/>
        <c:smooth val="0"/>
        <c:axId val="694027360"/>
        <c:axId val="694026968"/>
      </c:lineChart>
      <c:catAx>
        <c:axId val="694022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4024616"/>
        <c:crosses val="autoZero"/>
        <c:auto val="1"/>
        <c:lblAlgn val="ctr"/>
        <c:lblOffset val="100"/>
        <c:tickLblSkip val="2"/>
        <c:noMultiLvlLbl val="0"/>
      </c:catAx>
      <c:valAx>
        <c:axId val="694024616"/>
        <c:scaling>
          <c:orientation val="minMax"/>
          <c:max val="3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022656"/>
        <c:crosses val="autoZero"/>
        <c:crossBetween val="between"/>
      </c:valAx>
      <c:valAx>
        <c:axId val="694026968"/>
        <c:scaling>
          <c:orientation val="minMax"/>
          <c:max val="14"/>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027360"/>
        <c:crosses val="max"/>
        <c:crossBetween val="between"/>
      </c:valAx>
      <c:catAx>
        <c:axId val="694027360"/>
        <c:scaling>
          <c:orientation val="minMax"/>
        </c:scaling>
        <c:delete val="1"/>
        <c:axPos val="b"/>
        <c:numFmt formatCode="General" sourceLinked="1"/>
        <c:majorTickMark val="none"/>
        <c:minorTickMark val="none"/>
        <c:tickLblPos val="nextTo"/>
        <c:crossAx val="694026968"/>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2.3046498517939291E-2"/>
          <c:y val="0.8344959840845888"/>
          <c:w val="0.94235965885326689"/>
          <c:h val="0.12906308059807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6640787232059"/>
          <c:y val="6.3897763578274758E-2"/>
          <c:w val="0.83757083647644148"/>
          <c:h val="0.63067318916198856"/>
        </c:manualLayout>
      </c:layout>
      <c:lineChart>
        <c:grouping val="standard"/>
        <c:varyColors val="0"/>
        <c:ser>
          <c:idx val="0"/>
          <c:order val="0"/>
          <c:tx>
            <c:strRef>
              <c:f>Sheet3!$B$10:$D$10</c:f>
              <c:strCache>
                <c:ptCount val="3"/>
                <c:pt idx="0">
                  <c:v>Produse textile</c:v>
                </c:pt>
              </c:strCache>
            </c:strRef>
          </c:tx>
          <c:spPr>
            <a:ln w="22225" cap="rnd">
              <a:solidFill>
                <a:schemeClr val="accent1"/>
              </a:solidFill>
              <a:round/>
            </a:ln>
            <a:effectLst>
              <a:outerShdw blurRad="57150" dist="19050" dir="5400000" algn="ctr" rotWithShape="0">
                <a:srgbClr val="000000">
                  <a:alpha val="63000"/>
                </a:srgbClr>
              </a:outerShdw>
            </a:effectLst>
          </c:spPr>
          <c:marker>
            <c:symbol val="none"/>
          </c:marker>
          <c:cat>
            <c:strRef>
              <c:f>Sheet3!$E$9:$N$9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Sheet3!$E$10:$N$10</c:f>
              <c:numCache>
                <c:formatCode>General</c:formatCode>
                <c:ptCount val="10"/>
                <c:pt idx="0">
                  <c:v>6.5</c:v>
                </c:pt>
                <c:pt idx="1">
                  <c:v>20.400000000000006</c:v>
                </c:pt>
                <c:pt idx="2">
                  <c:v>-3.0999999999999943</c:v>
                </c:pt>
                <c:pt idx="3">
                  <c:v>31.800000000000011</c:v>
                </c:pt>
                <c:pt idx="4">
                  <c:v>-6.5</c:v>
                </c:pt>
                <c:pt idx="5">
                  <c:v>5.2999999999999972</c:v>
                </c:pt>
                <c:pt idx="6">
                  <c:v>-11.700000000000003</c:v>
                </c:pt>
                <c:pt idx="7">
                  <c:v>-2.7000000000000028</c:v>
                </c:pt>
                <c:pt idx="8">
                  <c:v>11</c:v>
                </c:pt>
                <c:pt idx="9">
                  <c:v>-3.5999999999999943</c:v>
                </c:pt>
              </c:numCache>
            </c:numRef>
          </c:val>
          <c:smooth val="1"/>
          <c:extLst xmlns:c16r2="http://schemas.microsoft.com/office/drawing/2015/06/chart">
            <c:ext xmlns:c16="http://schemas.microsoft.com/office/drawing/2014/chart" uri="{C3380CC4-5D6E-409C-BE32-E72D297353CC}">
              <c16:uniqueId val="{00000000-AA24-4F59-9F44-540ABD708E79}"/>
            </c:ext>
          </c:extLst>
        </c:ser>
        <c:ser>
          <c:idx val="1"/>
          <c:order val="1"/>
          <c:tx>
            <c:strRef>
              <c:f>Sheet3!$B$11:$D$11</c:f>
              <c:strCache>
                <c:ptCount val="3"/>
                <c:pt idx="0">
                  <c:v>Îmbrăcăminte</c:v>
                </c:pt>
              </c:strCache>
            </c:strRef>
          </c:tx>
          <c:spPr>
            <a:ln w="22225" cap="rnd">
              <a:solidFill>
                <a:schemeClr val="accent3"/>
              </a:solidFill>
              <a:round/>
            </a:ln>
            <a:effectLst>
              <a:outerShdw blurRad="57150" dist="19050" dir="5400000" algn="ctr" rotWithShape="0">
                <a:srgbClr val="000000">
                  <a:alpha val="63000"/>
                </a:srgbClr>
              </a:outerShdw>
            </a:effectLst>
          </c:spPr>
          <c:marker>
            <c:symbol val="none"/>
          </c:marker>
          <c:cat>
            <c:strRef>
              <c:f>Sheet3!$E$9:$N$9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Sheet3!$E$11:$N$11</c:f>
              <c:numCache>
                <c:formatCode>General</c:formatCode>
                <c:ptCount val="10"/>
                <c:pt idx="0">
                  <c:v>-4.2000000000000028</c:v>
                </c:pt>
                <c:pt idx="1">
                  <c:v>10.299999999999997</c:v>
                </c:pt>
                <c:pt idx="2">
                  <c:v>19.900000000000006</c:v>
                </c:pt>
                <c:pt idx="3">
                  <c:v>15.099999999999994</c:v>
                </c:pt>
                <c:pt idx="4">
                  <c:v>2.2999999999999972</c:v>
                </c:pt>
                <c:pt idx="5">
                  <c:v>2.0999999999999943</c:v>
                </c:pt>
                <c:pt idx="6">
                  <c:v>-6.5</c:v>
                </c:pt>
                <c:pt idx="7">
                  <c:v>-7.4000000000000057</c:v>
                </c:pt>
                <c:pt idx="8">
                  <c:v>12.200000000000003</c:v>
                </c:pt>
                <c:pt idx="9">
                  <c:v>4</c:v>
                </c:pt>
              </c:numCache>
            </c:numRef>
          </c:val>
          <c:smooth val="1"/>
          <c:extLst xmlns:c16r2="http://schemas.microsoft.com/office/drawing/2015/06/chart">
            <c:ext xmlns:c16="http://schemas.microsoft.com/office/drawing/2014/chart" uri="{C3380CC4-5D6E-409C-BE32-E72D297353CC}">
              <c16:uniqueId val="{00000001-AA24-4F59-9F44-540ABD708E79}"/>
            </c:ext>
          </c:extLst>
        </c:ser>
        <c:ser>
          <c:idx val="2"/>
          <c:order val="2"/>
          <c:tx>
            <c:strRef>
              <c:f>Sheet3!$B$12:$D$12</c:f>
              <c:strCache>
                <c:ptCount val="3"/>
                <c:pt idx="0">
                  <c:v>Încălțăminte, articole de voiaj și marochinărie</c:v>
                </c:pt>
              </c:strCache>
            </c:strRef>
          </c:tx>
          <c:spPr>
            <a:ln w="22225" cap="rnd">
              <a:solidFill>
                <a:schemeClr val="accent5"/>
              </a:solidFill>
              <a:round/>
            </a:ln>
            <a:effectLst>
              <a:outerShdw blurRad="57150" dist="19050" dir="5400000" algn="ctr" rotWithShape="0">
                <a:srgbClr val="000000">
                  <a:alpha val="63000"/>
                </a:srgbClr>
              </a:outerShdw>
            </a:effectLst>
          </c:spPr>
          <c:marker>
            <c:symbol val="none"/>
          </c:marker>
          <c:cat>
            <c:strRef>
              <c:f>Sheet3!$E$9:$N$9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Sheet3!$E$12:$N$12</c:f>
              <c:numCache>
                <c:formatCode>General</c:formatCode>
                <c:ptCount val="10"/>
                <c:pt idx="0">
                  <c:v>-2.4000000000000057</c:v>
                </c:pt>
                <c:pt idx="1">
                  <c:v>4</c:v>
                </c:pt>
                <c:pt idx="2">
                  <c:v>4</c:v>
                </c:pt>
                <c:pt idx="3">
                  <c:v>10.099999999999994</c:v>
                </c:pt>
                <c:pt idx="4">
                  <c:v>-1.5999999999999943</c:v>
                </c:pt>
                <c:pt idx="5">
                  <c:v>16.5</c:v>
                </c:pt>
                <c:pt idx="6">
                  <c:v>-13.900000000000006</c:v>
                </c:pt>
                <c:pt idx="7">
                  <c:v>9.9999999999994316E-2</c:v>
                </c:pt>
                <c:pt idx="8">
                  <c:v>16.799999999999997</c:v>
                </c:pt>
                <c:pt idx="9">
                  <c:v>14.400000000000006</c:v>
                </c:pt>
              </c:numCache>
            </c:numRef>
          </c:val>
          <c:smooth val="1"/>
          <c:extLst xmlns:c16r2="http://schemas.microsoft.com/office/drawing/2015/06/chart">
            <c:ext xmlns:c16="http://schemas.microsoft.com/office/drawing/2014/chart" uri="{C3380CC4-5D6E-409C-BE32-E72D297353CC}">
              <c16:uniqueId val="{00000002-AA24-4F59-9F44-540ABD708E79}"/>
            </c:ext>
          </c:extLst>
        </c:ser>
        <c:dLbls>
          <c:showLegendKey val="0"/>
          <c:showVal val="0"/>
          <c:showCatName val="0"/>
          <c:showSerName val="0"/>
          <c:showPercent val="0"/>
          <c:showBubbleSize val="0"/>
        </c:dLbls>
        <c:smooth val="0"/>
        <c:axId val="694021872"/>
        <c:axId val="885351760"/>
      </c:lineChart>
      <c:catAx>
        <c:axId val="69402187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5351760"/>
        <c:crosses val="autoZero"/>
        <c:auto val="1"/>
        <c:lblAlgn val="ctr"/>
        <c:lblOffset val="100"/>
        <c:tickLblSkip val="2"/>
        <c:noMultiLvlLbl val="0"/>
      </c:catAx>
      <c:valAx>
        <c:axId val="885351760"/>
        <c:scaling>
          <c:orientation val="minMax"/>
          <c:max val="35"/>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021872"/>
        <c:crosses val="autoZero"/>
        <c:crossBetween val="between"/>
      </c:valAx>
      <c:spPr>
        <a:noFill/>
        <a:ln>
          <a:noFill/>
        </a:ln>
        <a:effectLst/>
      </c:spPr>
    </c:plotArea>
    <c:legend>
      <c:legendPos val="b"/>
      <c:layout>
        <c:manualLayout>
          <c:xMode val="edge"/>
          <c:yMode val="edge"/>
          <c:x val="2.9967707212055973E-2"/>
          <c:y val="0.78806771076087978"/>
          <c:w val="0.94006458557588801"/>
          <c:h val="0.188800281753918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10404044468889E-2"/>
          <c:y val="4.8943270300333706E-2"/>
          <c:w val="0.82414066367871253"/>
          <c:h val="0.61324473986070316"/>
        </c:manualLayout>
      </c:layout>
      <c:barChart>
        <c:barDir val="col"/>
        <c:grouping val="clustered"/>
        <c:varyColors val="0"/>
        <c:ser>
          <c:idx val="2"/>
          <c:order val="2"/>
          <c:tx>
            <c:strRef>
              <c:f>Sheet1!$A$24</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Sheet1!$B$21:$K$21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Sheet1!$B$24:$K$24</c:f>
            </c:numRef>
          </c:val>
          <c:extLst xmlns:c16r2="http://schemas.microsoft.com/office/drawing/2015/06/chart">
            <c:ext xmlns:c16="http://schemas.microsoft.com/office/drawing/2014/chart" uri="{C3380CC4-5D6E-409C-BE32-E72D297353CC}">
              <c16:uniqueId val="{00000000-A79F-4025-8841-99EE78F48A61}"/>
            </c:ext>
          </c:extLst>
        </c:ser>
        <c:dLbls>
          <c:showLegendKey val="0"/>
          <c:showVal val="0"/>
          <c:showCatName val="0"/>
          <c:showSerName val="0"/>
          <c:showPercent val="0"/>
          <c:showBubbleSize val="0"/>
        </c:dLbls>
        <c:gapWidth val="150"/>
        <c:axId val="884010184"/>
        <c:axId val="884010576"/>
      </c:barChart>
      <c:barChart>
        <c:barDir val="col"/>
        <c:grouping val="stacked"/>
        <c:varyColors val="0"/>
        <c:ser>
          <c:idx val="0"/>
          <c:order val="0"/>
          <c:tx>
            <c:strRef>
              <c:f>Sheet1!$A$23</c:f>
              <c:strCache>
                <c:ptCount val="1"/>
                <c:pt idx="0">
                  <c:v>Salariați în industria ușoară, mii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4472C4"/>
              </a:solidFill>
            </a:ln>
            <a:effectLst>
              <a:outerShdw blurRad="57150" dist="19050" dir="5400000" algn="ctr" rotWithShape="0">
                <a:srgbClr val="000000">
                  <a:alpha val="63000"/>
                </a:srgbClr>
              </a:outerShdw>
            </a:effectLst>
          </c:spPr>
          <c:invertIfNegative val="0"/>
          <c:dLbls>
            <c:numFmt formatCode="#,##0.0" sourceLinked="0"/>
            <c:spPr>
              <a:solidFill>
                <a:srgbClr val="E7E6E6"/>
              </a:solidFill>
              <a:ln>
                <a:solidFill>
                  <a:srgbClr val="E7E6E6"/>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Sheet1!$B$21:$K$21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Sheet1!$B$23:$K$23</c:f>
              <c:numCache>
                <c:formatCode>General</c:formatCode>
                <c:ptCount val="10"/>
                <c:pt idx="0">
                  <c:v>19.469000000000001</c:v>
                </c:pt>
                <c:pt idx="1">
                  <c:v>20.048999999999999</c:v>
                </c:pt>
                <c:pt idx="2">
                  <c:v>20.251999999999999</c:v>
                </c:pt>
                <c:pt idx="3">
                  <c:v>21.289000000000001</c:v>
                </c:pt>
                <c:pt idx="4">
                  <c:v>23.155000000000001</c:v>
                </c:pt>
                <c:pt idx="5">
                  <c:v>23.335000000000001</c:v>
                </c:pt>
                <c:pt idx="6">
                  <c:v>23.846</c:v>
                </c:pt>
                <c:pt idx="7">
                  <c:v>20.443000000000001</c:v>
                </c:pt>
                <c:pt idx="8">
                  <c:v>21.164999999999999</c:v>
                </c:pt>
                <c:pt idx="9">
                  <c:v>20.56</c:v>
                </c:pt>
              </c:numCache>
            </c:numRef>
          </c:val>
          <c:extLst xmlns:c16r2="http://schemas.microsoft.com/office/drawing/2015/06/chart">
            <c:ext xmlns:c16="http://schemas.microsoft.com/office/drawing/2014/chart" uri="{C3380CC4-5D6E-409C-BE32-E72D297353CC}">
              <c16:uniqueId val="{00000001-A79F-4025-8841-99EE78F48A61}"/>
            </c:ext>
          </c:extLst>
        </c:ser>
        <c:ser>
          <c:idx val="1"/>
          <c:order val="1"/>
          <c:tx>
            <c:strRef>
              <c:f>Sheet1!$A$22</c:f>
              <c:strCache>
                <c:ptCount val="1"/>
                <c:pt idx="0">
                  <c:v>Salariați în alte ramuri productive, mii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Sheet1!$B$21:$K$21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Sheet1!$B$22:$K$22</c:f>
              <c:numCache>
                <c:formatCode>General</c:formatCode>
                <c:ptCount val="10"/>
                <c:pt idx="0">
                  <c:v>60.677999999999997</c:v>
                </c:pt>
                <c:pt idx="1">
                  <c:v>57.826999999999998</c:v>
                </c:pt>
                <c:pt idx="2">
                  <c:v>57.326000000000001</c:v>
                </c:pt>
                <c:pt idx="3">
                  <c:v>56.917000000000002</c:v>
                </c:pt>
                <c:pt idx="4">
                  <c:v>60.863999999999997</c:v>
                </c:pt>
                <c:pt idx="5">
                  <c:v>65.319999999999993</c:v>
                </c:pt>
                <c:pt idx="6">
                  <c:v>67.043000000000006</c:v>
                </c:pt>
                <c:pt idx="7">
                  <c:v>65.379000000000005</c:v>
                </c:pt>
                <c:pt idx="8">
                  <c:v>64.974000000000004</c:v>
                </c:pt>
                <c:pt idx="9">
                  <c:v>64.131</c:v>
                </c:pt>
              </c:numCache>
            </c:numRef>
          </c:val>
          <c:extLst xmlns:c16r2="http://schemas.microsoft.com/office/drawing/2015/06/chart">
            <c:ext xmlns:c16="http://schemas.microsoft.com/office/drawing/2014/chart" uri="{C3380CC4-5D6E-409C-BE32-E72D297353CC}">
              <c16:uniqueId val="{00000002-A79F-4025-8841-99EE78F48A61}"/>
            </c:ext>
          </c:extLst>
        </c:ser>
        <c:dLbls>
          <c:showLegendKey val="0"/>
          <c:showVal val="0"/>
          <c:showCatName val="0"/>
          <c:showSerName val="0"/>
          <c:showPercent val="0"/>
          <c:showBubbleSize val="0"/>
        </c:dLbls>
        <c:gapWidth val="150"/>
        <c:overlap val="100"/>
        <c:axId val="884010184"/>
        <c:axId val="884010576"/>
      </c:barChart>
      <c:lineChart>
        <c:grouping val="standard"/>
        <c:varyColors val="0"/>
        <c:ser>
          <c:idx val="3"/>
          <c:order val="3"/>
          <c:tx>
            <c:strRef>
              <c:f>Sheet1!$A$25</c:f>
              <c:strCache>
                <c:ptCount val="1"/>
                <c:pt idx="0">
                  <c:v>Salariul mediu în industria ușoară, mii lei</c:v>
                </c:pt>
              </c:strCache>
            </c:strRef>
          </c:tx>
          <c:spPr>
            <a:ln w="19050" cap="rnd">
              <a:solidFill>
                <a:schemeClr val="accent1">
                  <a:lumMod val="60000"/>
                </a:schemeClr>
              </a:solidFill>
              <a:prstDash val="solid"/>
              <a:round/>
            </a:ln>
            <a:effectLst>
              <a:outerShdw blurRad="57150" dist="19050" dir="5400000" algn="ctr" rotWithShape="0">
                <a:srgbClr val="000000">
                  <a:alpha val="63000"/>
                </a:srgbClr>
              </a:outerShdw>
            </a:effectLst>
          </c:spPr>
          <c:marker>
            <c:symbol val="none"/>
          </c:marker>
          <c:dLbls>
            <c:dLbl>
              <c:idx val="9"/>
              <c:layout>
                <c:manualLayout>
                  <c:x val="-2.7132440223842633E-2"/>
                  <c:y val="-2.33190827827438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9F-4025-8841-99EE78F48A6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Sheet1!$B$21:$K$21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Sheet1!$B$25:$K$25</c:f>
              <c:numCache>
                <c:formatCode>0.0</c:formatCode>
                <c:ptCount val="10"/>
                <c:pt idx="0">
                  <c:v>3.1720000000000002</c:v>
                </c:pt>
                <c:pt idx="1">
                  <c:v>3.5390000000000001</c:v>
                </c:pt>
                <c:pt idx="2">
                  <c:v>3.9590000000000001</c:v>
                </c:pt>
                <c:pt idx="3">
                  <c:v>4.3319999999999999</c:v>
                </c:pt>
                <c:pt idx="4">
                  <c:v>4.6479999999999997</c:v>
                </c:pt>
                <c:pt idx="5">
                  <c:v>5.1619999999999999</c:v>
                </c:pt>
                <c:pt idx="6">
                  <c:v>5.524</c:v>
                </c:pt>
                <c:pt idx="7">
                  <c:v>5.8689999999999998</c:v>
                </c:pt>
                <c:pt idx="8">
                  <c:v>6.5149999999999997</c:v>
                </c:pt>
                <c:pt idx="9">
                  <c:v>7.8529999999999998</c:v>
                </c:pt>
              </c:numCache>
            </c:numRef>
          </c:val>
          <c:smooth val="0"/>
          <c:extLst xmlns:c16r2="http://schemas.microsoft.com/office/drawing/2015/06/chart">
            <c:ext xmlns:c16="http://schemas.microsoft.com/office/drawing/2014/chart" uri="{C3380CC4-5D6E-409C-BE32-E72D297353CC}">
              <c16:uniqueId val="{00000004-A79F-4025-8841-99EE78F48A61}"/>
            </c:ext>
          </c:extLst>
        </c:ser>
        <c:ser>
          <c:idx val="4"/>
          <c:order val="4"/>
          <c:tx>
            <c:strRef>
              <c:f>Sheet1!$A$26</c:f>
              <c:strCache>
                <c:ptCount val="1"/>
                <c:pt idx="0">
                  <c:v>Salariul mediu în industria prelucrătoare, mii lei</c:v>
                </c:pt>
              </c:strCache>
            </c:strRef>
          </c:tx>
          <c:spPr>
            <a:ln w="19050" cap="rnd">
              <a:solidFill>
                <a:schemeClr val="accent3">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Sheet1!$B$21:$K$21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Sheet1!$B$26:$K$26</c:f>
              <c:numCache>
                <c:formatCode>0.0</c:formatCode>
                <c:ptCount val="10"/>
                <c:pt idx="0">
                  <c:v>3.6</c:v>
                </c:pt>
                <c:pt idx="1">
                  <c:v>4.0389999999999997</c:v>
                </c:pt>
                <c:pt idx="2">
                  <c:v>4.4850000000000003</c:v>
                </c:pt>
                <c:pt idx="3">
                  <c:v>4.8780000000000001</c:v>
                </c:pt>
                <c:pt idx="4">
                  <c:v>5.2930000000000001</c:v>
                </c:pt>
                <c:pt idx="5">
                  <c:v>5.9740000000000002</c:v>
                </c:pt>
                <c:pt idx="6">
                  <c:v>6.5940000000000003</c:v>
                </c:pt>
                <c:pt idx="7">
                  <c:v>6.9279999999999999</c:v>
                </c:pt>
                <c:pt idx="8">
                  <c:v>7.63</c:v>
                </c:pt>
                <c:pt idx="9">
                  <c:v>8.9429999999999996</c:v>
                </c:pt>
              </c:numCache>
            </c:numRef>
          </c:val>
          <c:smooth val="1"/>
          <c:extLst xmlns:c16r2="http://schemas.microsoft.com/office/drawing/2015/06/chart">
            <c:ext xmlns:c16="http://schemas.microsoft.com/office/drawing/2014/chart" uri="{C3380CC4-5D6E-409C-BE32-E72D297353CC}">
              <c16:uniqueId val="{00000005-A79F-4025-8841-99EE78F48A61}"/>
            </c:ext>
          </c:extLst>
        </c:ser>
        <c:dLbls>
          <c:showLegendKey val="0"/>
          <c:showVal val="0"/>
          <c:showCatName val="0"/>
          <c:showSerName val="0"/>
          <c:showPercent val="0"/>
          <c:showBubbleSize val="0"/>
        </c:dLbls>
        <c:marker val="1"/>
        <c:smooth val="0"/>
        <c:axId val="884011360"/>
        <c:axId val="884009400"/>
      </c:lineChart>
      <c:catAx>
        <c:axId val="884010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4010576"/>
        <c:crosses val="autoZero"/>
        <c:auto val="1"/>
        <c:lblAlgn val="ctr"/>
        <c:lblOffset val="100"/>
        <c:tickLblSkip val="2"/>
        <c:noMultiLvlLbl val="0"/>
      </c:catAx>
      <c:valAx>
        <c:axId val="884010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4010184"/>
        <c:crosses val="autoZero"/>
        <c:crossBetween val="between"/>
      </c:valAx>
      <c:valAx>
        <c:axId val="884009400"/>
        <c:scaling>
          <c:orientation val="minMax"/>
          <c:max val="1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4011360"/>
        <c:crosses val="max"/>
        <c:crossBetween val="between"/>
        <c:majorUnit val="1"/>
      </c:valAx>
      <c:catAx>
        <c:axId val="884011360"/>
        <c:scaling>
          <c:orientation val="minMax"/>
        </c:scaling>
        <c:delete val="1"/>
        <c:axPos val="b"/>
        <c:numFmt formatCode="General" sourceLinked="1"/>
        <c:majorTickMark val="none"/>
        <c:minorTickMark val="none"/>
        <c:tickLblPos val="nextTo"/>
        <c:crossAx val="884009400"/>
        <c:crosses val="autoZero"/>
        <c:auto val="1"/>
        <c:lblAlgn val="ctr"/>
        <c:lblOffset val="100"/>
        <c:noMultiLvlLbl val="0"/>
      </c:catAx>
      <c:spPr>
        <a:noFill/>
        <a:ln>
          <a:noFill/>
        </a:ln>
        <a:effectLst/>
      </c:spPr>
    </c:plotArea>
    <c:legend>
      <c:legendPos val="b"/>
      <c:layout>
        <c:manualLayout>
          <c:xMode val="edge"/>
          <c:yMode val="edge"/>
          <c:x val="5.0418442158103323E-2"/>
          <c:y val="0.74294388792187682"/>
          <c:w val="0.87644858789802371"/>
          <c:h val="0.229287664199019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multiLvlStrRef>
              <c:f>L_coresp!$O$4:$AG$5</c:f>
              <c:multiLvlStrCache>
                <c:ptCount val="1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lvl>
                <c:lvl>
                  <c:pt idx="0">
                    <c:v>2022</c:v>
                  </c:pt>
                  <c:pt idx="12">
                    <c:v>2023</c:v>
                  </c:pt>
                </c:lvl>
              </c:multiLvlStrCache>
            </c:multiLvlStrRef>
          </c:cat>
          <c:val>
            <c:numRef>
              <c:f>L_coresp!$C$6:$U$6</c:f>
            </c:numRef>
          </c:val>
          <c:smooth val="0"/>
          <c:extLst xmlns:c16r2="http://schemas.microsoft.com/office/drawing/2015/06/chart">
            <c:ext xmlns:c16="http://schemas.microsoft.com/office/drawing/2014/chart" uri="{C3380CC4-5D6E-409C-BE32-E72D297353CC}">
              <c16:uniqueId val="{00000000-C7B7-4417-AF97-438524861E95}"/>
            </c:ext>
          </c:extLst>
        </c:ser>
        <c:ser>
          <c:idx val="1"/>
          <c:order val="1"/>
          <c:spPr>
            <a:ln w="22225" cap="rnd">
              <a:gradFill flip="none" rotWithShape="1">
                <a:gsLst>
                  <a:gs pos="94000">
                    <a:srgbClr val="C00000"/>
                  </a:gs>
                  <a:gs pos="30000">
                    <a:schemeClr val="accent1">
                      <a:lumMod val="89000"/>
                    </a:schemeClr>
                  </a:gs>
                  <a:gs pos="65000">
                    <a:schemeClr val="accent1">
                      <a:lumMod val="75000"/>
                    </a:schemeClr>
                  </a:gs>
                  <a:gs pos="28000">
                    <a:schemeClr val="accent1">
                      <a:lumMod val="70000"/>
                    </a:schemeClr>
                  </a:gs>
                </a:gsLst>
                <a:lin ang="2700000" scaled="1"/>
                <a:tileRect/>
              </a:gradFill>
              <a:round/>
            </a:ln>
            <a:effectLst>
              <a:outerShdw blurRad="40000" dist="23000" dir="5400000" rotWithShape="0">
                <a:srgbClr val="000000">
                  <a:alpha val="35000"/>
                </a:srgbClr>
              </a:outerShdw>
            </a:effectLst>
          </c:spPr>
          <c:marker>
            <c:symbol val="none"/>
          </c:marker>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j-lt"/>
                      <a:ea typeface="+mn-ea"/>
                      <a:cs typeface="+mn-cs"/>
                    </a:defRPr>
                  </a:pPr>
                  <a:endParaRPr lang="en-US"/>
                </a:p>
              </c:txPr>
              <c:dLblPos val="t"/>
              <c:showLegendKey val="0"/>
              <c:showVal val="1"/>
              <c:showCatName val="0"/>
              <c:showSerName val="0"/>
              <c:showPercent val="0"/>
              <c:showBubbleSize val="0"/>
            </c:dLbl>
            <c:dLbl>
              <c:idx val="1"/>
              <c:layout>
                <c:manualLayout>
                  <c:x val="-7.502059866067233E-2"/>
                  <c:y val="-3.679237933325692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B7-4417-AF97-438524861E95}"/>
                </c:ext>
                <c:ext xmlns:c15="http://schemas.microsoft.com/office/drawing/2012/chart" uri="{CE6537A1-D6FC-4f65-9D91-7224C49458BB}"/>
              </c:extLst>
            </c:dLbl>
            <c:dLbl>
              <c:idx val="3"/>
              <c:layout>
                <c:manualLayout>
                  <c:x val="-5.1823142756552427E-2"/>
                  <c:y val="3.573023707716715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B7-4417-AF97-438524861E95}"/>
                </c:ex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t"/>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t"/>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t"/>
              <c:showLegendKey val="0"/>
              <c:showVal val="1"/>
              <c:showCatName val="0"/>
              <c:showSerName val="0"/>
              <c:showPercent val="0"/>
              <c:showBubbleSize val="0"/>
            </c:dLbl>
            <c:dLbl>
              <c:idx val="9"/>
              <c:layout>
                <c:manualLayout>
                  <c:x val="-5.7675558652266957E-2"/>
                  <c:y val="-4.715275310617465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7B7-4417-AF97-438524861E95}"/>
                </c:ext>
                <c:ext xmlns:c15="http://schemas.microsoft.com/office/drawing/2012/chart" uri="{CE6537A1-D6FC-4f65-9D91-7224C49458BB}"/>
              </c:extLst>
            </c:dLbl>
            <c:dLbl>
              <c:idx val="1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t"/>
              <c:showLegendKey val="0"/>
              <c:showVal val="1"/>
              <c:showCatName val="0"/>
              <c:showSerName val="0"/>
              <c:showPercent val="0"/>
              <c:showBubbleSize val="0"/>
            </c:dLbl>
            <c:dLbl>
              <c:idx val="11"/>
              <c:layout>
                <c:manualLayout>
                  <c:x val="-4.5970726860837953E-2"/>
                  <c:y val="3.573023707716724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7B7-4417-AF97-438524861E95}"/>
                </c:ext>
                <c:ext xmlns:c15="http://schemas.microsoft.com/office/drawing/2012/chart" uri="{CE6537A1-D6FC-4f65-9D91-7224C49458BB}"/>
              </c:extLst>
            </c:dLbl>
            <c:dLbl>
              <c:idx val="12"/>
              <c:layout>
                <c:manualLayout>
                  <c:x val="-3.7244406104208025E-2"/>
                  <c:y val="-5.233293999263353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7B7-4417-AF97-438524861E95}"/>
                </c:ext>
                <c:ext xmlns:c15="http://schemas.microsoft.com/office/drawing/2012/chart" uri="{CE6537A1-D6FC-4f65-9D91-7224C49458BB}"/>
              </c:extLst>
            </c:dLbl>
            <c:dLbl>
              <c:idx val="13"/>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t"/>
              <c:showLegendKey val="0"/>
              <c:showVal val="1"/>
              <c:showCatName val="0"/>
              <c:showSerName val="0"/>
              <c:showPercent val="0"/>
              <c:showBubbleSize val="0"/>
            </c:dLbl>
            <c:dLbl>
              <c:idx val="14"/>
              <c:layout>
                <c:manualLayout>
                  <c:x val="-1.5057759197509252E-2"/>
                  <c:y val="-4.197256621971588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7B7-4417-AF97-438524861E95}"/>
                </c:ext>
                <c:ext xmlns:c15="http://schemas.microsoft.com/office/drawing/2012/chart" uri="{CE6537A1-D6FC-4f65-9D91-7224C49458BB}"/>
              </c:extLst>
            </c:dLbl>
            <c:dLbl>
              <c:idx val="15"/>
              <c:layout>
                <c:manualLayout>
                  <c:x val="-4.4226933680934652E-2"/>
                  <c:y val="2.897576598160790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7B7-4417-AF97-438524861E95}"/>
                </c:ext>
                <c:ext xmlns:c15="http://schemas.microsoft.com/office/drawing/2012/chart" uri="{CE6537A1-D6FC-4f65-9D91-7224C49458BB}"/>
              </c:extLst>
            </c:dLbl>
            <c:dLbl>
              <c:idx val="16"/>
              <c:layout>
                <c:manualLayout>
                  <c:x val="-3.2001194445827011E-2"/>
                  <c:y val="3.573023707716724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7B7-4417-AF97-438524861E95}"/>
                </c:ext>
                <c:ext xmlns:c15="http://schemas.microsoft.com/office/drawing/2012/chart" uri="{CE6537A1-D6FC-4f65-9D91-7224C49458BB}"/>
              </c:extLst>
            </c:dLbl>
            <c:dLbl>
              <c:idx val="17"/>
              <c:layout>
                <c:manualLayout>
                  <c:x val="-7.7737955169396925E-2"/>
                  <c:y val="-5.867202415862835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7B7-4417-AF97-438524861E95}"/>
                </c:ext>
                <c:ext xmlns:c15="http://schemas.microsoft.com/office/drawing/2012/chart" uri="{CE6537A1-D6FC-4f65-9D91-7224C49458BB}"/>
              </c:extLst>
            </c:dLbl>
            <c:dLbl>
              <c:idx val="18"/>
              <c:layout>
                <c:manualLayout>
                  <c:x val="-3.5019336013463319E-2"/>
                  <c:y val="-2.800645606283770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7B7-4417-AF97-438524861E95}"/>
                </c:ext>
                <c:ext xmlns:c15="http://schemas.microsoft.com/office/drawing/2012/chart" uri="{CE6537A1-D6FC-4f65-9D91-7224C49458BB}"/>
              </c:extLst>
            </c:dLbl>
            <c:dLbl>
              <c:idx val="20"/>
              <c:layout>
                <c:manualLayout>
                  <c:x val="-2.1042091852535857E-2"/>
                  <c:y val="3.73776068447879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7B7-4417-AF97-438524861E95}"/>
                </c:ext>
                <c:ext xmlns:c15="http://schemas.microsoft.com/office/drawing/2012/chart" uri="{CE6537A1-D6FC-4f65-9D91-7224C49458BB}"/>
              </c:extLst>
            </c:dLbl>
            <c:dLbl>
              <c:idx val="2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t"/>
              <c:showLegendKey val="0"/>
              <c:showVal val="1"/>
              <c:showCatName val="0"/>
              <c:showSerName val="0"/>
              <c:showPercent val="0"/>
              <c:showBubbleSize val="0"/>
            </c:dLbl>
            <c:dLbl>
              <c:idx val="22"/>
              <c:layout>
                <c:manualLayout>
                  <c:x val="-3.9051259448147004E-2"/>
                  <c:y val="-3.403804049224202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7B7-4417-AF97-438524861E95}"/>
                </c:ext>
                <c:ext xmlns:c15="http://schemas.microsoft.com/office/drawing/2012/chart" uri="{CE6537A1-D6FC-4f65-9D91-7224C49458BB}"/>
              </c:extLst>
            </c:dLbl>
            <c:dLbl>
              <c:idx val="23"/>
              <c:layout>
                <c:manualLayout>
                  <c:x val="-6.0931810133121071E-3"/>
                  <c:y val="2.057392511842791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7B7-4417-AF97-438524861E95}"/>
                </c:ext>
                <c:ext xmlns:c15="http://schemas.microsoft.com/office/drawing/2012/chart" uri="{CE6537A1-D6FC-4f65-9D91-7224C49458BB}"/>
              </c:extLst>
            </c:dLbl>
            <c:dLbl>
              <c:idx val="24"/>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j-lt"/>
                      <a:ea typeface="+mn-ea"/>
                      <a:cs typeface="+mn-cs"/>
                    </a:defRPr>
                  </a:pPr>
                  <a:endParaRPr lang="en-US"/>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prstDash val="sysDot"/>
              </a:ln>
              <a:effectLst/>
            </c:spPr>
            <c:trendlineType val="linear"/>
            <c:dispRSqr val="0"/>
            <c:dispEq val="0"/>
          </c:trendline>
          <c:cat>
            <c:multiLvlStrRef>
              <c:f>L_coresp!$O$4:$AG$5</c:f>
              <c:multiLvlStrCache>
                <c:ptCount val="1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lvl>
                <c:lvl>
                  <c:pt idx="0">
                    <c:v>2022</c:v>
                  </c:pt>
                  <c:pt idx="12">
                    <c:v>2023</c:v>
                  </c:pt>
                </c:lvl>
              </c:multiLvlStrCache>
            </c:multiLvlStrRef>
          </c:cat>
          <c:val>
            <c:numRef>
              <c:f>L_coresp!$O$7:$AG$7</c:f>
              <c:numCache>
                <c:formatCode>0.0</c:formatCode>
                <c:ptCount val="19"/>
                <c:pt idx="0">
                  <c:v>14.151135496017829</c:v>
                </c:pt>
                <c:pt idx="1">
                  <c:v>-3.5813404167772944</c:v>
                </c:pt>
                <c:pt idx="2">
                  <c:v>2.8862583238626627</c:v>
                </c:pt>
                <c:pt idx="3">
                  <c:v>-10.38564395680234</c:v>
                </c:pt>
                <c:pt idx="4">
                  <c:v>12.973115434896968</c:v>
                </c:pt>
                <c:pt idx="5">
                  <c:v>-6.5831072792844338</c:v>
                </c:pt>
                <c:pt idx="6">
                  <c:v>-14.32245567499929</c:v>
                </c:pt>
                <c:pt idx="7">
                  <c:v>4.0994930668298792</c:v>
                </c:pt>
                <c:pt idx="8">
                  <c:v>-13.396546505419948</c:v>
                </c:pt>
                <c:pt idx="9">
                  <c:v>-13.835750069389491</c:v>
                </c:pt>
                <c:pt idx="10">
                  <c:v>-6.7585396689416086</c:v>
                </c:pt>
                <c:pt idx="11">
                  <c:v>-7.5577323399835308</c:v>
                </c:pt>
                <c:pt idx="12">
                  <c:v>-7.5577323399835308</c:v>
                </c:pt>
                <c:pt idx="13">
                  <c:v>-3.1700889536044201</c:v>
                </c:pt>
                <c:pt idx="14">
                  <c:v>-4.5881642266198241</c:v>
                </c:pt>
                <c:pt idx="15">
                  <c:v>-10.416771203689606</c:v>
                </c:pt>
                <c:pt idx="16">
                  <c:v>-10.923550091101504</c:v>
                </c:pt>
                <c:pt idx="17">
                  <c:v>-10.505667945780417</c:v>
                </c:pt>
                <c:pt idx="18">
                  <c:v>-4</c:v>
                </c:pt>
              </c:numCache>
            </c:numRef>
          </c:val>
          <c:smooth val="1"/>
          <c:extLst xmlns:c16r2="http://schemas.microsoft.com/office/drawing/2015/06/chart">
            <c:ext xmlns:c16="http://schemas.microsoft.com/office/drawing/2014/chart" uri="{C3380CC4-5D6E-409C-BE32-E72D297353CC}">
              <c16:uniqueId val="{00000017-C7B7-4417-AF97-438524861E95}"/>
            </c:ext>
          </c:extLst>
        </c:ser>
        <c:dLbls>
          <c:showLegendKey val="0"/>
          <c:showVal val="0"/>
          <c:showCatName val="0"/>
          <c:showSerName val="0"/>
          <c:showPercent val="0"/>
          <c:showBubbleSize val="0"/>
        </c:dLbls>
        <c:smooth val="0"/>
        <c:axId val="884005872"/>
        <c:axId val="884007440"/>
      </c:lineChart>
      <c:catAx>
        <c:axId val="88400587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84007440"/>
        <c:crosses val="autoZero"/>
        <c:auto val="1"/>
        <c:lblAlgn val="ctr"/>
        <c:lblOffset val="100"/>
        <c:noMultiLvlLbl val="0"/>
      </c:catAx>
      <c:valAx>
        <c:axId val="8840074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4005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989169457266124E-2"/>
          <c:y val="5.7053941908713691E-2"/>
          <c:w val="0.88086523667300209"/>
          <c:h val="0.63264449308981607"/>
        </c:manualLayout>
      </c:layout>
      <c:barChart>
        <c:barDir val="col"/>
        <c:grouping val="stacked"/>
        <c:varyColors val="0"/>
        <c:ser>
          <c:idx val="0"/>
          <c:order val="0"/>
          <c:tx>
            <c:strRef>
              <c:f>Graf06!$A$17</c:f>
              <c:strCache>
                <c:ptCount val="1"/>
                <c:pt idx="0">
                  <c:v>TOTAL PE ACTIVITATI                                                                                                                                             </c:v>
                </c:pt>
              </c:strCache>
            </c:strRef>
          </c:tx>
          <c:spPr>
            <a:solidFill>
              <a:schemeClr val="accent1">
                <a:shade val="53000"/>
              </a:schemeClr>
            </a:solidFill>
            <a:ln>
              <a:noFill/>
            </a:ln>
            <a:effectLst/>
          </c:spPr>
          <c:invertIfNegative val="0"/>
          <c:cat>
            <c:strRef>
              <c:f>Graf07!$E$5:$K$6</c:f>
              <c:strCache>
                <c:ptCount val="7"/>
                <c:pt idx="0">
                  <c:v>2017</c:v>
                </c:pt>
                <c:pt idx="1">
                  <c:v>2018</c:v>
                </c:pt>
                <c:pt idx="2">
                  <c:v>2019</c:v>
                </c:pt>
                <c:pt idx="3">
                  <c:v>2020</c:v>
                </c:pt>
                <c:pt idx="4">
                  <c:v>2021</c:v>
                </c:pt>
                <c:pt idx="5">
                  <c:v>2022</c:v>
                </c:pt>
                <c:pt idx="6">
                  <c:v>2023</c:v>
                </c:pt>
              </c:strCache>
              <c:extLst xmlns:c16r2="http://schemas.microsoft.com/office/drawing/2015/06/chart"/>
            </c:strRef>
          </c:cat>
          <c:val>
            <c:numRef>
              <c:f>Graf06!$E$17:$F$17</c:f>
              <c:extLst xmlns:c16r2="http://schemas.microsoft.com/office/drawing/2015/06/chart"/>
            </c:numRef>
          </c:val>
          <c:extLst xmlns:c16r2="http://schemas.microsoft.com/office/drawing/2015/06/chart">
            <c:ext xmlns:c16="http://schemas.microsoft.com/office/drawing/2014/chart" uri="{C3380CC4-5D6E-409C-BE32-E72D297353CC}">
              <c16:uniqueId val="{00000000-BEB6-4D29-B7CC-73BD3803A985}"/>
            </c:ext>
          </c:extLst>
        </c:ser>
        <c:ser>
          <c:idx val="1"/>
          <c:order val="1"/>
          <c:tx>
            <c:strRef>
              <c:f>Graf07!$A$8</c:f>
              <c:strCache>
                <c:ptCount val="1"/>
                <c:pt idx="0">
                  <c:v>Industria extractivă</c:v>
                </c:pt>
              </c:strCache>
            </c:strRef>
          </c:tx>
          <c:spPr>
            <a:solidFill>
              <a:schemeClr val="accent1">
                <a:shade val="76000"/>
              </a:schemeClr>
            </a:solidFill>
            <a:ln>
              <a:noFill/>
            </a:ln>
            <a:effectLst/>
          </c:spPr>
          <c:invertIfNegative val="0"/>
          <c:cat>
            <c:strRef>
              <c:f>Graf07!$E$5:$K$6</c:f>
              <c:strCache>
                <c:ptCount val="7"/>
                <c:pt idx="0">
                  <c:v>2017</c:v>
                </c:pt>
                <c:pt idx="1">
                  <c:v>2018</c:v>
                </c:pt>
                <c:pt idx="2">
                  <c:v>2019</c:v>
                </c:pt>
                <c:pt idx="3">
                  <c:v>2020</c:v>
                </c:pt>
                <c:pt idx="4">
                  <c:v>2021</c:v>
                </c:pt>
                <c:pt idx="5">
                  <c:v>2022</c:v>
                </c:pt>
                <c:pt idx="6">
                  <c:v>2023</c:v>
                </c:pt>
              </c:strCache>
              <c:extLst xmlns:c16r2="http://schemas.microsoft.com/office/drawing/2015/06/chart"/>
            </c:strRef>
          </c:cat>
          <c:val>
            <c:numRef>
              <c:f>Graf07!$E$8:$K$8</c:f>
              <c:numCache>
                <c:formatCode>0.0</c:formatCode>
                <c:ptCount val="7"/>
                <c:pt idx="0" formatCode="General">
                  <c:v>-0.1</c:v>
                </c:pt>
                <c:pt idx="1">
                  <c:v>0.19985096646678246</c:v>
                </c:pt>
                <c:pt idx="2">
                  <c:v>0.19224329760876852</c:v>
                </c:pt>
                <c:pt idx="3">
                  <c:v>-7.4159528473027925E-2</c:v>
                </c:pt>
                <c:pt idx="4">
                  <c:v>0.23869768604085081</c:v>
                </c:pt>
                <c:pt idx="5">
                  <c:v>6.5023999345874148E-2</c:v>
                </c:pt>
                <c:pt idx="6">
                  <c:v>-0.21315393632202578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BEB6-4D29-B7CC-73BD3803A985}"/>
            </c:ext>
          </c:extLst>
        </c:ser>
        <c:ser>
          <c:idx val="2"/>
          <c:order val="2"/>
          <c:tx>
            <c:strRef>
              <c:f>Graf07!$A$9</c:f>
              <c:strCache>
                <c:ptCount val="1"/>
                <c:pt idx="0">
                  <c:v>Industria prelucrătoare</c:v>
                </c:pt>
              </c:strCache>
            </c:strRef>
          </c:tx>
          <c:spPr>
            <a:solidFill>
              <a:schemeClr val="accent1"/>
            </a:solidFill>
            <a:ln>
              <a:noFill/>
            </a:ln>
            <a:effectLst/>
          </c:spPr>
          <c:invertIfNegative val="0"/>
          <c:cat>
            <c:strRef>
              <c:f>Graf07!$E$5:$K$6</c:f>
              <c:strCache>
                <c:ptCount val="7"/>
                <c:pt idx="0">
                  <c:v>2017</c:v>
                </c:pt>
                <c:pt idx="1">
                  <c:v>2018</c:v>
                </c:pt>
                <c:pt idx="2">
                  <c:v>2019</c:v>
                </c:pt>
                <c:pt idx="3">
                  <c:v>2020</c:v>
                </c:pt>
                <c:pt idx="4">
                  <c:v>2021</c:v>
                </c:pt>
                <c:pt idx="5">
                  <c:v>2022</c:v>
                </c:pt>
                <c:pt idx="6">
                  <c:v>2023</c:v>
                </c:pt>
              </c:strCache>
              <c:extLst xmlns:c16r2="http://schemas.microsoft.com/office/drawing/2015/06/chart"/>
            </c:strRef>
          </c:cat>
          <c:val>
            <c:numRef>
              <c:f>Graf07!$E$9:$K$9</c:f>
              <c:numCache>
                <c:formatCode>0.0</c:formatCode>
                <c:ptCount val="7"/>
                <c:pt idx="0" formatCode="General">
                  <c:v>0.7</c:v>
                </c:pt>
                <c:pt idx="1">
                  <c:v>6.2001960460926373</c:v>
                </c:pt>
                <c:pt idx="2">
                  <c:v>1.6403010747772384</c:v>
                </c:pt>
                <c:pt idx="3">
                  <c:v>-5.2189438890659492</c:v>
                </c:pt>
                <c:pt idx="4">
                  <c:v>9.8549347310551081</c:v>
                </c:pt>
                <c:pt idx="5">
                  <c:v>-0.35807552092946715</c:v>
                </c:pt>
                <c:pt idx="6">
                  <c:v>-7.3003313638639158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BEB6-4D29-B7CC-73BD3803A985}"/>
            </c:ext>
          </c:extLst>
        </c:ser>
        <c:ser>
          <c:idx val="3"/>
          <c:order val="3"/>
          <c:tx>
            <c:strRef>
              <c:f>Graf07!$A$10</c:f>
              <c:strCache>
                <c:ptCount val="1"/>
                <c:pt idx="0">
                  <c:v>Producția și furnizarea de energie</c:v>
                </c:pt>
              </c:strCache>
            </c:strRef>
          </c:tx>
          <c:spPr>
            <a:solidFill>
              <a:schemeClr val="accent1">
                <a:tint val="77000"/>
              </a:schemeClr>
            </a:solidFill>
            <a:ln>
              <a:noFill/>
            </a:ln>
            <a:effectLst/>
          </c:spPr>
          <c:invertIfNegative val="0"/>
          <c:cat>
            <c:strRef>
              <c:f>Graf07!$E$5:$K$6</c:f>
              <c:strCache>
                <c:ptCount val="7"/>
                <c:pt idx="0">
                  <c:v>2017</c:v>
                </c:pt>
                <c:pt idx="1">
                  <c:v>2018</c:v>
                </c:pt>
                <c:pt idx="2">
                  <c:v>2019</c:v>
                </c:pt>
                <c:pt idx="3">
                  <c:v>2020</c:v>
                </c:pt>
                <c:pt idx="4">
                  <c:v>2021</c:v>
                </c:pt>
                <c:pt idx="5">
                  <c:v>2022</c:v>
                </c:pt>
                <c:pt idx="6">
                  <c:v>2023</c:v>
                </c:pt>
              </c:strCache>
              <c:extLst xmlns:c16r2="http://schemas.microsoft.com/office/drawing/2015/06/chart"/>
            </c:strRef>
          </c:cat>
          <c:val>
            <c:numRef>
              <c:f>Graf07!$E$10:$K$10</c:f>
              <c:numCache>
                <c:formatCode>0.0</c:formatCode>
                <c:ptCount val="7"/>
                <c:pt idx="0" formatCode="General">
                  <c:v>-0.1</c:v>
                </c:pt>
                <c:pt idx="1">
                  <c:v>1.0653901581256253</c:v>
                </c:pt>
                <c:pt idx="2">
                  <c:v>0.11606526630972341</c:v>
                </c:pt>
                <c:pt idx="3">
                  <c:v>-0.98539510946147346</c:v>
                </c:pt>
                <c:pt idx="4">
                  <c:v>3.5213286534014108</c:v>
                </c:pt>
                <c:pt idx="5">
                  <c:v>-1.0937219890449799</c:v>
                </c:pt>
                <c:pt idx="6">
                  <c:v>0.40127662086821286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BEB6-4D29-B7CC-73BD3803A985}"/>
            </c:ext>
          </c:extLst>
        </c:ser>
        <c:dLbls>
          <c:showLegendKey val="0"/>
          <c:showVal val="0"/>
          <c:showCatName val="0"/>
          <c:showSerName val="0"/>
          <c:showPercent val="0"/>
          <c:showBubbleSize val="0"/>
        </c:dLbls>
        <c:gapWidth val="150"/>
        <c:overlap val="100"/>
        <c:axId val="884006264"/>
        <c:axId val="883997248"/>
      </c:barChart>
      <c:lineChart>
        <c:grouping val="standard"/>
        <c:varyColors val="0"/>
        <c:ser>
          <c:idx val="4"/>
          <c:order val="4"/>
          <c:tx>
            <c:strRef>
              <c:f>Graf07!$A$11</c:f>
              <c:strCache>
                <c:ptCount val="1"/>
                <c:pt idx="0">
                  <c:v>TOTAL industie</c:v>
                </c:pt>
              </c:strCache>
            </c:strRef>
          </c:tx>
          <c:spPr>
            <a:ln w="22225" cap="rnd" cmpd="sng" algn="ctr">
              <a:solidFill>
                <a:schemeClr val="accent1">
                  <a:tint val="54000"/>
                  <a:shade val="95000"/>
                  <a:satMod val="105000"/>
                </a:schemeClr>
              </a:solidFill>
              <a:prstDash val="solid"/>
              <a:round/>
            </a:ln>
            <a:effectLst/>
          </c:spPr>
          <c:marker>
            <c:symbol val="none"/>
          </c:marker>
          <c:dLbls>
            <c:dLbl>
              <c:idx val="6"/>
              <c:layout>
                <c:manualLayout>
                  <c:x val="-5.3659154674631192E-2"/>
                  <c:y val="3.4893570098343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EB6-4D29-B7CC-73BD3803A985}"/>
                </c:ext>
                <c:ext xmlns:c15="http://schemas.microsoft.com/office/drawing/2012/chart" uri="{CE6537A1-D6FC-4f65-9D91-7224C49458BB}"/>
              </c:extLst>
            </c:dLbl>
            <c:spPr>
              <a:noFill/>
              <a:ln w="25400">
                <a:noFill/>
              </a:ln>
              <a:effectLst/>
            </c:spPr>
            <c:txPr>
              <a:bodyPr rot="0" spcFirstLastPara="1" vertOverflow="ellipsis" vert="horz" wrap="square" anchor="ctr" anchorCtr="1"/>
              <a:lstStyle/>
              <a:p>
                <a:pPr>
                  <a:defRPr sz="700" b="1" i="0" u="none" strike="noStrike" kern="1200" baseline="0">
                    <a:solidFill>
                      <a:schemeClr val="accent1">
                        <a:lumMod val="75000"/>
                      </a:schemeClr>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Graf07!$E$5:$J$6</c:f>
              <c:strCache>
                <c:ptCount val="6"/>
                <c:pt idx="0">
                  <c:v>2017</c:v>
                </c:pt>
                <c:pt idx="1">
                  <c:v>2018</c:v>
                </c:pt>
                <c:pt idx="2">
                  <c:v>2019</c:v>
                </c:pt>
                <c:pt idx="3">
                  <c:v>2020</c:v>
                </c:pt>
                <c:pt idx="4">
                  <c:v>2021</c:v>
                </c:pt>
                <c:pt idx="5">
                  <c:v>2022</c:v>
                </c:pt>
              </c:strCache>
              <c:extLst xmlns:c16r2="http://schemas.microsoft.com/office/drawing/2015/06/chart"/>
            </c:strRef>
          </c:cat>
          <c:val>
            <c:numRef>
              <c:f>Graf07!$E$11:$K$11</c:f>
              <c:numCache>
                <c:formatCode>0.0</c:formatCode>
                <c:ptCount val="7"/>
                <c:pt idx="0">
                  <c:v>0.94134376628977634</c:v>
                </c:pt>
                <c:pt idx="1">
                  <c:v>7.4747682496885091</c:v>
                </c:pt>
                <c:pt idx="2">
                  <c:v>1.948609638695757</c:v>
                </c:pt>
                <c:pt idx="3">
                  <c:v>-6.2784985214462665</c:v>
                </c:pt>
                <c:pt idx="4">
                  <c:v>13.614961070497628</c:v>
                </c:pt>
                <c:pt idx="5">
                  <c:v>-1.4</c:v>
                </c:pt>
                <c:pt idx="6">
                  <c:v>-7.1122086793177459</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5-BEB6-4D29-B7CC-73BD3803A985}"/>
            </c:ext>
          </c:extLst>
        </c:ser>
        <c:dLbls>
          <c:showLegendKey val="0"/>
          <c:showVal val="0"/>
          <c:showCatName val="0"/>
          <c:showSerName val="0"/>
          <c:showPercent val="0"/>
          <c:showBubbleSize val="0"/>
        </c:dLbls>
        <c:marker val="1"/>
        <c:smooth val="0"/>
        <c:axId val="884006264"/>
        <c:axId val="883997248"/>
      </c:lineChart>
      <c:catAx>
        <c:axId val="884006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700" b="0" i="0" u="none" strike="noStrike" kern="1200" baseline="0">
                <a:solidFill>
                  <a:srgbClr val="000000"/>
                </a:solidFill>
                <a:latin typeface="Calibri"/>
                <a:ea typeface="Calibri"/>
                <a:cs typeface="Calibri"/>
              </a:defRPr>
            </a:pPr>
            <a:endParaRPr lang="en-US"/>
          </a:p>
        </c:txPr>
        <c:crossAx val="883997248"/>
        <c:crosses val="autoZero"/>
        <c:auto val="1"/>
        <c:lblAlgn val="ctr"/>
        <c:lblOffset val="100"/>
        <c:noMultiLvlLbl val="0"/>
      </c:catAx>
      <c:valAx>
        <c:axId val="883997248"/>
        <c:scaling>
          <c:orientation val="minMax"/>
          <c:max val="14"/>
          <c:min val="-8"/>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700" b="0" i="0" u="none" strike="noStrike" kern="1200" baseline="0">
                <a:solidFill>
                  <a:srgbClr val="000000"/>
                </a:solidFill>
                <a:latin typeface="Calibri"/>
                <a:ea typeface="Calibri"/>
                <a:cs typeface="Calibri"/>
              </a:defRPr>
            </a:pPr>
            <a:endParaRPr lang="en-US"/>
          </a:p>
        </c:txPr>
        <c:crossAx val="884006264"/>
        <c:crosses val="autoZero"/>
        <c:crossBetween val="between"/>
        <c:majorUnit val="4"/>
      </c:valAx>
      <c:spPr>
        <a:noFill/>
        <a:ln w="25400">
          <a:noFill/>
        </a:ln>
        <a:effectLst/>
      </c:spPr>
    </c:plotArea>
    <c:legend>
      <c:legendPos val="b"/>
      <c:layout>
        <c:manualLayout>
          <c:xMode val="edge"/>
          <c:yMode val="edge"/>
          <c:x val="4.4760310133647084E-2"/>
          <c:y val="0.77521890417224826"/>
          <c:w val="0.9028162427972366"/>
          <c:h val="0.19366076387754433"/>
        </c:manualLayout>
      </c:layout>
      <c:overlay val="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0" i="0" u="none" strike="noStrike" baseline="0">
          <a:solidFill>
            <a:srgbClr val="000000"/>
          </a:solidFill>
          <a:latin typeface="Calibri"/>
          <a:ea typeface="Calibri"/>
          <a:cs typeface="Calibri"/>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440673364105347"/>
          <c:y val="3.6723586746181404E-2"/>
          <c:w val="0.47431381422149815"/>
          <c:h val="0.90908398338654972"/>
        </c:manualLayout>
      </c:layout>
      <c:barChart>
        <c:barDir val="bar"/>
        <c:grouping val="clustered"/>
        <c:varyColors val="0"/>
        <c:ser>
          <c:idx val="0"/>
          <c:order val="0"/>
          <c:spPr>
            <a:solidFill>
              <a:srgbClr val="A80000"/>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invertIfNegative val="0"/>
          <c:dPt>
            <c:idx val="0"/>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1-A50F-457A-9AE0-A14BF8738144}"/>
              </c:ext>
            </c:extLst>
          </c:dPt>
          <c:dPt>
            <c:idx val="1"/>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3-A50F-457A-9AE0-A14BF8738144}"/>
              </c:ext>
            </c:extLst>
          </c:dPt>
          <c:dPt>
            <c:idx val="2"/>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5-A50F-457A-9AE0-A14BF8738144}"/>
              </c:ext>
            </c:extLst>
          </c:dPt>
          <c:dPt>
            <c:idx val="3"/>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7-A50F-457A-9AE0-A14BF8738144}"/>
              </c:ext>
            </c:extLst>
          </c:dPt>
          <c:dPt>
            <c:idx val="4"/>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9-A50F-457A-9AE0-A14BF8738144}"/>
              </c:ext>
            </c:extLst>
          </c:dPt>
          <c:dPt>
            <c:idx val="5"/>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B-A50F-457A-9AE0-A14BF8738144}"/>
              </c:ext>
            </c:extLst>
          </c:dPt>
          <c:dPt>
            <c:idx val="6"/>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D-A50F-457A-9AE0-A14BF8738144}"/>
              </c:ext>
            </c:extLst>
          </c:dPt>
          <c:dPt>
            <c:idx val="7"/>
            <c:invertIfNegative val="0"/>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57150"/>
              </a:sp3d>
            </c:spPr>
            <c:extLst xmlns:c16r2="http://schemas.microsoft.com/office/drawing/2015/06/chart">
              <c:ext xmlns:c16="http://schemas.microsoft.com/office/drawing/2014/chart" uri="{C3380CC4-5D6E-409C-BE32-E72D297353CC}">
                <c16:uniqueId val="{0000000F-A50F-457A-9AE0-A14BF8738144}"/>
              </c:ext>
            </c:extLst>
          </c:dPt>
          <c:dPt>
            <c:idx val="16"/>
            <c:invertIfNegative val="0"/>
            <c:bubble3D val="0"/>
            <c:extLst xmlns:c16r2="http://schemas.microsoft.com/office/drawing/2015/06/chart">
              <c:ext xmlns:c16="http://schemas.microsoft.com/office/drawing/2014/chart" uri="{C3380CC4-5D6E-409C-BE32-E72D297353CC}">
                <c16:uniqueId val="{00000010-A50F-457A-9AE0-A14BF8738144}"/>
              </c:ext>
            </c:extLst>
          </c:dPt>
          <c:dLbls>
            <c:dLbl>
              <c:idx val="7"/>
              <c:layout>
                <c:manualLayout>
                  <c:x val="-2.104377104377104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50F-457A-9AE0-A14BF8738144}"/>
                </c:ext>
                <c:ext xmlns:c15="http://schemas.microsoft.com/office/drawing/2012/chart" uri="{CE6537A1-D6FC-4f65-9D91-7224C49458BB}"/>
              </c:extLst>
            </c:dLbl>
            <c:dLbl>
              <c:idx val="14"/>
              <c:layout>
                <c:manualLayout>
                  <c:x val="-2.6989050611097853E-3"/>
                  <c:y val="3.10752019888126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50F-457A-9AE0-A14BF8738144}"/>
                </c:ext>
                <c:ext xmlns:c15="http://schemas.microsoft.com/office/drawing/2012/chart" uri="{CE6537A1-D6FC-4f65-9D91-7224C49458BB}"/>
              </c:extLst>
            </c:dLbl>
            <c:dLbl>
              <c:idx val="18"/>
              <c:layout>
                <c:manualLayout>
                  <c:x val="-3.9384266155919698E-3"/>
                  <c:y val="0"/>
                </c:manualLayout>
              </c:layout>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50F-457A-9AE0-A14BF8738144}"/>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 contr'!$D$3:$D$26</c:f>
              <c:strCache>
                <c:ptCount val="19"/>
                <c:pt idx="0">
                  <c:v>Alte mașini și utilaje cu destinație specifică</c:v>
                </c:pt>
                <c:pt idx="1">
                  <c:v>Industria farmaceutică</c:v>
                </c:pt>
                <c:pt idx="2">
                  <c:v>Echipamente electrice</c:v>
                </c:pt>
                <c:pt idx="3">
                  <c:v>Băuturi</c:v>
                </c:pt>
                <c:pt idx="4">
                  <c:v>Industria metalurgică</c:v>
                </c:pt>
                <c:pt idx="5">
                  <c:v>Calculatoare si produse electronice </c:v>
                </c:pt>
                <c:pt idx="6">
                  <c:v>Încălțăminte</c:v>
                </c:pt>
                <c:pt idx="7">
                  <c:v>Tipărire și activități de servicii conexe tipăririi</c:v>
                </c:pt>
                <c:pt idx="8">
                  <c:v>Mobilă</c:v>
                </c:pt>
                <c:pt idx="9">
                  <c:v>Articole din hârtie și carton</c:v>
                </c:pt>
                <c:pt idx="10">
                  <c:v>Produse textile</c:v>
                </c:pt>
                <c:pt idx="11">
                  <c:v>Industria construcțiilor metalice și a produselor din metal</c:v>
                </c:pt>
                <c:pt idx="12">
                  <c:v>Articole din material plastic</c:v>
                </c:pt>
                <c:pt idx="13">
                  <c:v>Ciment, var, ipsos, articole din beton, ciment și ipsos</c:v>
                </c:pt>
                <c:pt idx="14">
                  <c:v>Piese și accesorii pentru autovehicule și pentru motoare de autovehicule</c:v>
                </c:pt>
                <c:pt idx="15">
                  <c:v>Substanțe și produse chimice</c:v>
                </c:pt>
                <c:pt idx="16">
                  <c:v>Articole de îmbrăcăminte</c:v>
                </c:pt>
                <c:pt idx="17">
                  <c:v>Industria alimentară</c:v>
                </c:pt>
                <c:pt idx="18">
                  <c:v>INDUSTRIA PRELUCRĂTOARE</c:v>
                </c:pt>
              </c:strCache>
            </c:strRef>
          </c:cat>
          <c:val>
            <c:numRef>
              <c:f>'grafic contr'!$E$3:$E$26</c:f>
              <c:numCache>
                <c:formatCode>0.0</c:formatCode>
                <c:ptCount val="19"/>
                <c:pt idx="0">
                  <c:v>2.5</c:v>
                </c:pt>
                <c:pt idx="1">
                  <c:v>0.4</c:v>
                </c:pt>
                <c:pt idx="2">
                  <c:v>0.35955625675854896</c:v>
                </c:pt>
                <c:pt idx="3">
                  <c:v>0.2</c:v>
                </c:pt>
                <c:pt idx="4">
                  <c:v>0.12916001232530089</c:v>
                </c:pt>
                <c:pt idx="5">
                  <c:v>0.11486137857801572</c:v>
                </c:pt>
                <c:pt idx="6">
                  <c:v>-5.2052382566438037E-2</c:v>
                </c:pt>
                <c:pt idx="7">
                  <c:v>-0.1274702754096399</c:v>
                </c:pt>
                <c:pt idx="8">
                  <c:v>-0.29809850651565073</c:v>
                </c:pt>
                <c:pt idx="9">
                  <c:v>-0.30113329705580483</c:v>
                </c:pt>
                <c:pt idx="10">
                  <c:v>-0.4</c:v>
                </c:pt>
                <c:pt idx="11">
                  <c:v>-0.36428422045490172</c:v>
                </c:pt>
                <c:pt idx="12">
                  <c:v>-0.50871209929085526</c:v>
                </c:pt>
                <c:pt idx="13">
                  <c:v>-0.8</c:v>
                </c:pt>
                <c:pt idx="14">
                  <c:v>-0.87407381886165725</c:v>
                </c:pt>
                <c:pt idx="15">
                  <c:v>-1.1000000000000001</c:v>
                </c:pt>
                <c:pt idx="16">
                  <c:v>-1.4</c:v>
                </c:pt>
                <c:pt idx="17">
                  <c:v>-4.5</c:v>
                </c:pt>
                <c:pt idx="18">
                  <c:v>-7.3003313638639158</c:v>
                </c:pt>
              </c:numCache>
            </c:numRef>
          </c:val>
          <c:extLst xmlns:c16r2="http://schemas.microsoft.com/office/drawing/2015/06/chart">
            <c:ext xmlns:c16="http://schemas.microsoft.com/office/drawing/2014/chart" uri="{C3380CC4-5D6E-409C-BE32-E72D297353CC}">
              <c16:uniqueId val="{00000013-A50F-457A-9AE0-A14BF8738144}"/>
            </c:ext>
          </c:extLst>
        </c:ser>
        <c:dLbls>
          <c:showLegendKey val="0"/>
          <c:showVal val="0"/>
          <c:showCatName val="0"/>
          <c:showSerName val="0"/>
          <c:showPercent val="0"/>
          <c:showBubbleSize val="0"/>
        </c:dLbls>
        <c:gapWidth val="115"/>
        <c:overlap val="-20"/>
        <c:axId val="884005088"/>
        <c:axId val="883995680"/>
      </c:barChart>
      <c:catAx>
        <c:axId val="884005088"/>
        <c:scaling>
          <c:orientation val="minMax"/>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883995680"/>
        <c:crosses val="autoZero"/>
        <c:auto val="1"/>
        <c:lblAlgn val="ctr"/>
        <c:lblOffset val="100"/>
        <c:noMultiLvlLbl val="0"/>
      </c:catAx>
      <c:valAx>
        <c:axId val="883995680"/>
        <c:scaling>
          <c:orientation val="minMax"/>
          <c:min val="-8"/>
        </c:scaling>
        <c:delete val="1"/>
        <c:axPos val="b"/>
        <c:numFmt formatCode="0" sourceLinked="0"/>
        <c:majorTickMark val="none"/>
        <c:minorTickMark val="none"/>
        <c:tickLblPos val="nextTo"/>
        <c:crossAx val="8840050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07267164852799"/>
          <c:y val="4.6034735300272023E-2"/>
          <c:w val="0.44088183244610346"/>
          <c:h val="0.94141033689056286"/>
        </c:manualLayout>
      </c:layout>
      <c:barChart>
        <c:barDir val="bar"/>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774-459E-B77B-BE5E86874E1F}"/>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Total</c:v>
                </c:pt>
                <c:pt idx="1">
                  <c:v>Industria prelucrătoare</c:v>
                </c:pt>
                <c:pt idx="2">
                  <c:v>Construcții</c:v>
                </c:pt>
                <c:pt idx="3">
                  <c:v>Sector imobiliar</c:v>
                </c:pt>
                <c:pt idx="4">
                  <c:v>Transport și depozitare</c:v>
                </c:pt>
                <c:pt idx="5">
                  <c:v>Producția și furnizarea de energie electrică și termică, gaze, apă caldă</c:v>
                </c:pt>
                <c:pt idx="6">
                  <c:v>Administrație publică și apărare</c:v>
                </c:pt>
                <c:pt idx="7">
                  <c:v>Învățământ</c:v>
                </c:pt>
                <c:pt idx="8">
                  <c:v>Sănătate și asistența socială</c:v>
                </c:pt>
                <c:pt idx="9">
                  <c:v>TIC</c:v>
                </c:pt>
                <c:pt idx="10">
                  <c:v>Comerț intern</c:v>
                </c:pt>
                <c:pt idx="11">
                  <c:v>Industria extractivă</c:v>
                </c:pt>
                <c:pt idx="12">
                  <c:v>HoReCa</c:v>
                </c:pt>
                <c:pt idx="13">
                  <c:v>Activități profesionale, științifice și tehnice</c:v>
                </c:pt>
                <c:pt idx="14">
                  <c:v>Artă, activități de recreere și de agrement</c:v>
                </c:pt>
                <c:pt idx="15">
                  <c:v>Distribuția apei; salubritate, gestionarea deșeurilor</c:v>
                </c:pt>
                <c:pt idx="16">
                  <c:v>Alte servicii</c:v>
                </c:pt>
                <c:pt idx="17">
                  <c:v>Activități financiare și asigurări</c:v>
                </c:pt>
                <c:pt idx="18">
                  <c:v>Agricultură</c:v>
                </c:pt>
              </c:strCache>
            </c:strRef>
          </c:cat>
          <c:val>
            <c:numRef>
              <c:f>Sheet1!$B$2:$B$20</c:f>
              <c:numCache>
                <c:formatCode>0.0</c:formatCode>
                <c:ptCount val="19"/>
                <c:pt idx="0">
                  <c:v>-11.866869355014497</c:v>
                </c:pt>
                <c:pt idx="1">
                  <c:v>-3.8539355084418183</c:v>
                </c:pt>
                <c:pt idx="2">
                  <c:v>-3.2417508957266423</c:v>
                </c:pt>
                <c:pt idx="3">
                  <c:v>-2.6405388963717504</c:v>
                </c:pt>
                <c:pt idx="4">
                  <c:v>-1.776264910346774</c:v>
                </c:pt>
                <c:pt idx="5">
                  <c:v>-1.4551045284224011</c:v>
                </c:pt>
                <c:pt idx="6">
                  <c:v>-0.76381611128397575</c:v>
                </c:pt>
                <c:pt idx="7">
                  <c:v>-0.43580316024185178</c:v>
                </c:pt>
                <c:pt idx="8">
                  <c:v>-0.29007135032149817</c:v>
                </c:pt>
                <c:pt idx="9">
                  <c:v>-0.15792188721026551</c:v>
                </c:pt>
                <c:pt idx="10">
                  <c:v>-0.15531096622345741</c:v>
                </c:pt>
                <c:pt idx="11">
                  <c:v>-7.3369183553013279E-2</c:v>
                </c:pt>
                <c:pt idx="12">
                  <c:v>2.2155658449334564E-2</c:v>
                </c:pt>
                <c:pt idx="13">
                  <c:v>9.5407988265832785E-2</c:v>
                </c:pt>
                <c:pt idx="14">
                  <c:v>0.10154542201641441</c:v>
                </c:pt>
                <c:pt idx="15">
                  <c:v>0.23559732095993507</c:v>
                </c:pt>
                <c:pt idx="16">
                  <c:v>0.3</c:v>
                </c:pt>
                <c:pt idx="17">
                  <c:v>0.50606954457975728</c:v>
                </c:pt>
                <c:pt idx="18">
                  <c:v>1.7701709404859927</c:v>
                </c:pt>
              </c:numCache>
            </c:numRef>
          </c:val>
          <c:extLst xmlns:c16r2="http://schemas.microsoft.com/office/drawing/2015/06/chart">
            <c:ext xmlns:c16="http://schemas.microsoft.com/office/drawing/2014/chart" uri="{C3380CC4-5D6E-409C-BE32-E72D297353CC}">
              <c16:uniqueId val="{00000002-8774-459E-B77B-BE5E86874E1F}"/>
            </c:ext>
          </c:extLst>
        </c:ser>
        <c:dLbls>
          <c:dLblPos val="outEnd"/>
          <c:showLegendKey val="0"/>
          <c:showVal val="1"/>
          <c:showCatName val="0"/>
          <c:showSerName val="0"/>
          <c:showPercent val="0"/>
          <c:showBubbleSize val="0"/>
        </c:dLbls>
        <c:gapWidth val="115"/>
        <c:overlap val="-20"/>
        <c:axId val="694021480"/>
        <c:axId val="842904664"/>
      </c:barChart>
      <c:catAx>
        <c:axId val="694021480"/>
        <c:scaling>
          <c:orientation val="maxMin"/>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904664"/>
        <c:crosses val="autoZero"/>
        <c:auto val="1"/>
        <c:lblAlgn val="ctr"/>
        <c:lblOffset val="100"/>
        <c:noMultiLvlLbl val="0"/>
      </c:catAx>
      <c:valAx>
        <c:axId val="842904664"/>
        <c:scaling>
          <c:orientation val="minMax"/>
          <c:max val="5"/>
          <c:min val="-15"/>
        </c:scaling>
        <c:delete val="1"/>
        <c:axPos val="t"/>
        <c:numFmt formatCode="0" sourceLinked="0"/>
        <c:majorTickMark val="none"/>
        <c:minorTickMark val="none"/>
        <c:tickLblPos val="nextTo"/>
        <c:crossAx val="694021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52058295344659"/>
          <c:y val="0.24773087127695995"/>
          <c:w val="0.44935315651333058"/>
          <c:h val="0.46400597683441741"/>
        </c:manualLayout>
      </c:layout>
      <c:pieChart>
        <c:varyColors val="1"/>
        <c:ser>
          <c:idx val="0"/>
          <c:order val="0"/>
          <c:tx>
            <c:strRef>
              <c:f>Sheet1!$B$1</c:f>
              <c:strCache>
                <c:ptCount val="1"/>
                <c:pt idx="0">
                  <c:v>Investiții în active imobilizate în anul 2022, mil. lei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92A-47CF-A280-E2A304738F77}"/>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92A-47CF-A280-E2A304738F77}"/>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92A-47CF-A280-E2A304738F77}"/>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92A-47CF-A280-E2A304738F77}"/>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92A-47CF-A280-E2A304738F77}"/>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92A-47CF-A280-E2A304738F77}"/>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92A-47CF-A280-E2A304738F77}"/>
              </c:ext>
            </c:extLst>
          </c:dPt>
          <c:dPt>
            <c:idx val="7"/>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92A-47CF-A280-E2A304738F77}"/>
              </c:ext>
            </c:extLst>
          </c:dPt>
          <c:dPt>
            <c:idx val="8"/>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92A-47CF-A280-E2A304738F77}"/>
              </c:ext>
            </c:extLst>
          </c:dPt>
          <c:dPt>
            <c:idx val="9"/>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92A-47CF-A280-E2A304738F77}"/>
              </c:ext>
            </c:extLst>
          </c:dPt>
          <c:dLbls>
            <c:dLbl>
              <c:idx val="0"/>
              <c:layout>
                <c:manualLayout>
                  <c:x val="-0.13780692717148674"/>
                  <c:y val="-4.761904761904765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92A-47CF-A280-E2A304738F77}"/>
                </c:ext>
                <c:ext xmlns:c15="http://schemas.microsoft.com/office/drawing/2012/chart" uri="{CE6537A1-D6FC-4f65-9D91-7224C49458BB}">
                  <c15:layout>
                    <c:manualLayout>
                      <c:w val="0.10602294748203203"/>
                      <c:h val="0.10338051493563305"/>
                    </c:manualLayout>
                  </c15:layout>
                </c:ext>
              </c:extLst>
            </c:dLbl>
            <c:dLbl>
              <c:idx val="1"/>
              <c:layout>
                <c:manualLayout>
                  <c:x val="-8.681407368963287E-2"/>
                  <c:y val="-6.804251031121107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92A-47CF-A280-E2A304738F77}"/>
                </c:ext>
                <c:ext xmlns:c15="http://schemas.microsoft.com/office/drawing/2012/chart" uri="{CE6537A1-D6FC-4f65-9D91-7224C49458BB}">
                  <c15:spPr xmlns:c15="http://schemas.microsoft.com/office/drawing/2012/chart">
                    <a:prstGeom prst="wedgeRoundRectCallout">
                      <a:avLst/>
                    </a:prstGeom>
                    <a:noFill/>
                    <a:ln>
                      <a:noFill/>
                    </a:ln>
                  </c15:spPr>
                  <c15:layout>
                    <c:manualLayout>
                      <c:w val="0.18024416355850253"/>
                      <c:h val="0.19791666666666666"/>
                    </c:manualLayout>
                  </c15:layout>
                </c:ext>
              </c:extLst>
            </c:dLbl>
            <c:dLbl>
              <c:idx val="2"/>
              <c:layout>
                <c:manualLayout>
                  <c:x val="8.2424971565619523E-2"/>
                  <c:y val="-0.1161132333705811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92A-47CF-A280-E2A304738F77}"/>
                </c:ext>
                <c:ext xmlns:c15="http://schemas.microsoft.com/office/drawing/2012/chart" uri="{CE6537A1-D6FC-4f65-9D91-7224C49458BB}">
                  <c15:layout>
                    <c:manualLayout>
                      <c:w val="0.14430334594823765"/>
                      <c:h val="0.11832679330925217"/>
                    </c:manualLayout>
                  </c15:layout>
                </c:ext>
              </c:extLst>
            </c:dLbl>
            <c:dLbl>
              <c:idx val="3"/>
              <c:layout>
                <c:manualLayout>
                  <c:x val="7.1450647945779974E-2"/>
                  <c:y val="-1.98412698412698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92A-47CF-A280-E2A304738F77}"/>
                </c:ext>
                <c:ext xmlns:c15="http://schemas.microsoft.com/office/drawing/2012/chart" uri="{CE6537A1-D6FC-4f65-9D91-7224C49458BB}">
                  <c15:layout>
                    <c:manualLayout>
                      <c:w val="0.16898047688406123"/>
                      <c:h val="0.1407731954297792"/>
                    </c:manualLayout>
                  </c15:layout>
                </c:ext>
              </c:extLst>
            </c:dLbl>
            <c:dLbl>
              <c:idx val="4"/>
              <c:layout>
                <c:manualLayout>
                  <c:x val="3.5343239900535436E-2"/>
                  <c:y val="7.252833543582019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92A-47CF-A280-E2A304738F77}"/>
                </c:ext>
                <c:ext xmlns:c15="http://schemas.microsoft.com/office/drawing/2012/chart" uri="{CE6537A1-D6FC-4f65-9D91-7224C49458BB}">
                  <c15:layout>
                    <c:manualLayout>
                      <c:w val="0.19843927714877083"/>
                      <c:h val="0.15711268764671743"/>
                    </c:manualLayout>
                  </c15:layout>
                </c:ext>
              </c:extLst>
            </c:dLbl>
            <c:dLbl>
              <c:idx val="5"/>
              <c:layout>
                <c:manualLayout>
                  <c:x val="-5.161399331342275E-2"/>
                  <c:y val="0.12297289571476841"/>
                </c:manualLayout>
              </c:layout>
              <c:spPr>
                <a:solidFill>
                  <a:sysClr val="window" lastClr="FFFFFF"/>
                </a:solidFill>
                <a:ln w="1587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92A-47CF-A280-E2A304738F77}"/>
                </c:ext>
                <c:ext xmlns:c15="http://schemas.microsoft.com/office/drawing/2012/chart" uri="{CE6537A1-D6FC-4f65-9D91-7224C49458BB}">
                  <c15:spPr xmlns:c15="http://schemas.microsoft.com/office/drawing/2012/chart">
                    <a:prstGeom prst="wedgeRoundRectCallout">
                      <a:avLst/>
                    </a:prstGeom>
                    <a:noFill/>
                    <a:ln>
                      <a:noFill/>
                    </a:ln>
                  </c15:spPr>
                  <c15:layout>
                    <c:manualLayout>
                      <c:w val="0.23397810471059535"/>
                      <c:h val="0.15939889307314845"/>
                    </c:manualLayout>
                  </c15:layout>
                </c:ext>
              </c:extLst>
            </c:dLbl>
            <c:dLbl>
              <c:idx val="6"/>
              <c:layout>
                <c:manualLayout>
                  <c:x val="-0.13564373532255836"/>
                  <c:y val="2.156652972726226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92A-47CF-A280-E2A304738F77}"/>
                </c:ext>
                <c:ext xmlns:c15="http://schemas.microsoft.com/office/drawing/2012/chart" uri="{CE6537A1-D6FC-4f65-9D91-7224C49458BB}"/>
              </c:extLst>
            </c:dLbl>
            <c:dLbl>
              <c:idx val="7"/>
              <c:layout>
                <c:manualLayout>
                  <c:x val="-1.9470921397983147E-3"/>
                  <c:y val="1.136561394499592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192A-47CF-A280-E2A304738F77}"/>
                </c:ext>
                <c:ext xmlns:c15="http://schemas.microsoft.com/office/drawing/2012/chart" uri="{CE6537A1-D6FC-4f65-9D91-7224C49458BB}">
                  <c15:layout>
                    <c:manualLayout>
                      <c:w val="0.18002348390661693"/>
                      <c:h val="0.11170974552094032"/>
                    </c:manualLayout>
                  </c15:layout>
                </c:ext>
              </c:extLst>
            </c:dLbl>
            <c:dLbl>
              <c:idx val="9"/>
              <c:layout>
                <c:manualLayout>
                  <c:x val="3.3975290640825648E-2"/>
                  <c:y val="-1.068302105801129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192A-47CF-A280-E2A304738F77}"/>
                </c:ext>
                <c:ext xmlns:c15="http://schemas.microsoft.com/office/drawing/2012/chart" uri="{CE6537A1-D6FC-4f65-9D91-7224C49458BB}">
                  <c15:layout>
                    <c:manualLayout>
                      <c:w val="0.24729071592059335"/>
                      <c:h val="0.1756018121497189"/>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oundRectCallout">
                    <a:avLst/>
                  </a:prstGeom>
                  <a:noFill/>
                  <a:ln>
                    <a:noFill/>
                  </a:ln>
                </c15:spPr>
              </c:ext>
            </c:extLst>
          </c:dLbls>
          <c:cat>
            <c:strRef>
              <c:f>Sheet1!$A$2:$A$11</c:f>
              <c:strCache>
                <c:ptCount val="10"/>
                <c:pt idx="0">
                  <c:v>Alte</c:v>
                </c:pt>
                <c:pt idx="1">
                  <c:v>Sănătate și asistență socială</c:v>
                </c:pt>
                <c:pt idx="2">
                  <c:v>TIC</c:v>
                </c:pt>
                <c:pt idx="3">
                  <c:v>Sector imobiliar</c:v>
                </c:pt>
                <c:pt idx="4">
                  <c:v>Transport și depozitare</c:v>
                </c:pt>
                <c:pt idx="5">
                  <c:v>Industria prelucrătoare</c:v>
                </c:pt>
                <c:pt idx="6">
                  <c:v>Agricultură</c:v>
                </c:pt>
                <c:pt idx="7">
                  <c:v>Construcții</c:v>
                </c:pt>
                <c:pt idx="8">
                  <c:v>Comerț intern</c:v>
                </c:pt>
                <c:pt idx="9">
                  <c:v>Administrație publică și apărare</c:v>
                </c:pt>
              </c:strCache>
            </c:strRef>
          </c:cat>
          <c:val>
            <c:numRef>
              <c:f>Sheet1!$B$2:$B$11</c:f>
              <c:numCache>
                <c:formatCode>0.0</c:formatCode>
                <c:ptCount val="10"/>
                <c:pt idx="0">
                  <c:v>11.599541871589302</c:v>
                </c:pt>
                <c:pt idx="1">
                  <c:v>3.7164993599676612</c:v>
                </c:pt>
                <c:pt idx="2">
                  <c:v>4.0878528599339763</c:v>
                </c:pt>
                <c:pt idx="3">
                  <c:v>4.1899885467897322</c:v>
                </c:pt>
                <c:pt idx="4">
                  <c:v>4.5977228323115273</c:v>
                </c:pt>
                <c:pt idx="5">
                  <c:v>9.6621976689348514</c:v>
                </c:pt>
                <c:pt idx="6">
                  <c:v>12.544903321430979</c:v>
                </c:pt>
                <c:pt idx="7">
                  <c:v>15.569089806642863</c:v>
                </c:pt>
                <c:pt idx="8">
                  <c:v>15.614094185811494</c:v>
                </c:pt>
                <c:pt idx="9">
                  <c:v>18.417840059287204</c:v>
                </c:pt>
              </c:numCache>
            </c:numRef>
          </c:val>
          <c:extLst xmlns:c16r2="http://schemas.microsoft.com/office/drawing/2015/06/chart">
            <c:ext xmlns:c16="http://schemas.microsoft.com/office/drawing/2014/chart" uri="{C3380CC4-5D6E-409C-BE32-E72D297353CC}">
              <c16:uniqueId val="{00000014-192A-47CF-A280-E2A304738F7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93823290375009E-2"/>
          <c:y val="5.1053158745128994E-2"/>
          <c:w val="0.89680020137361804"/>
          <c:h val="0.65964987315304247"/>
        </c:manualLayout>
      </c:layout>
      <c:barChart>
        <c:barDir val="col"/>
        <c:grouping val="stacked"/>
        <c:varyColors val="0"/>
        <c:ser>
          <c:idx val="0"/>
          <c:order val="0"/>
          <c:tx>
            <c:strRef>
              <c:f>Graf06!$A$17</c:f>
              <c:strCache>
                <c:ptCount val="1"/>
                <c:pt idx="0">
                  <c:v>TOTAL PE ACTIVITATI                                                                                                                                             </c:v>
                </c:pt>
              </c:strCache>
            </c:strRef>
          </c:tx>
          <c:spPr>
            <a:solidFill>
              <a:schemeClr val="accent1">
                <a:shade val="53000"/>
              </a:schemeClr>
            </a:solidFill>
            <a:ln>
              <a:noFill/>
            </a:ln>
            <a:effectLst/>
          </c:spPr>
          <c:invertIfNegative val="0"/>
          <c:cat>
            <c:numRef>
              <c:f>Graf12!$B$6:$J$6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Graf06!$B$17:$F$17</c:f>
            </c:numRef>
          </c:val>
          <c:extLst xmlns:c16r2="http://schemas.microsoft.com/office/drawing/2015/06/chart">
            <c:ext xmlns:c16="http://schemas.microsoft.com/office/drawing/2014/chart" uri="{C3380CC4-5D6E-409C-BE32-E72D297353CC}">
              <c16:uniqueId val="{00000000-2C27-471E-B2A3-E65864B31FDA}"/>
            </c:ext>
          </c:extLst>
        </c:ser>
        <c:ser>
          <c:idx val="1"/>
          <c:order val="1"/>
          <c:tx>
            <c:strRef>
              <c:f>Graf12!$A$8</c:f>
              <c:strCache>
                <c:ptCount val="1"/>
                <c:pt idx="0">
                  <c:v>Industria extractivă</c:v>
                </c:pt>
              </c:strCache>
            </c:strRef>
          </c:tx>
          <c:spPr>
            <a:solidFill>
              <a:schemeClr val="accent1">
                <a:shade val="76000"/>
              </a:schemeClr>
            </a:solidFill>
            <a:ln>
              <a:noFill/>
            </a:ln>
            <a:effectLst/>
          </c:spPr>
          <c:invertIfNegative val="0"/>
          <c:cat>
            <c:numRef>
              <c:f>Graf12!$B$6:$J$6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Graf12!$B$8:$J$8</c:f>
              <c:numCache>
                <c:formatCode>0.0</c:formatCode>
                <c:ptCount val="9"/>
                <c:pt idx="0">
                  <c:v>7.2246192978371385E-3</c:v>
                </c:pt>
                <c:pt idx="1">
                  <c:v>-0.24918974095710025</c:v>
                </c:pt>
                <c:pt idx="2">
                  <c:v>-0.6</c:v>
                </c:pt>
                <c:pt idx="3">
                  <c:v>-0.11250879044369068</c:v>
                </c:pt>
                <c:pt idx="4">
                  <c:v>0.24808924440599556</c:v>
                </c:pt>
                <c:pt idx="5">
                  <c:v>-4.3268873500749108E-2</c:v>
                </c:pt>
                <c:pt idx="6">
                  <c:v>0.21182661019870658</c:v>
                </c:pt>
                <c:pt idx="7">
                  <c:v>0.33557406544785967</c:v>
                </c:pt>
                <c:pt idx="8">
                  <c:v>-0.1250813523522521</c:v>
                </c:pt>
              </c:numCache>
            </c:numRef>
          </c:val>
          <c:extLst xmlns:c16r2="http://schemas.microsoft.com/office/drawing/2015/06/chart">
            <c:ext xmlns:c16="http://schemas.microsoft.com/office/drawing/2014/chart" uri="{C3380CC4-5D6E-409C-BE32-E72D297353CC}">
              <c16:uniqueId val="{00000001-2C27-471E-B2A3-E65864B31FDA}"/>
            </c:ext>
          </c:extLst>
        </c:ser>
        <c:ser>
          <c:idx val="2"/>
          <c:order val="2"/>
          <c:tx>
            <c:strRef>
              <c:f>Graf12!$A$9</c:f>
              <c:strCache>
                <c:ptCount val="1"/>
                <c:pt idx="0">
                  <c:v>Industria prelucrătoare</c:v>
                </c:pt>
              </c:strCache>
            </c:strRef>
          </c:tx>
          <c:spPr>
            <a:solidFill>
              <a:schemeClr val="accent1"/>
            </a:solidFill>
            <a:ln>
              <a:noFill/>
            </a:ln>
            <a:effectLst/>
          </c:spPr>
          <c:invertIfNegative val="0"/>
          <c:cat>
            <c:numRef>
              <c:f>Graf12!$B$6:$J$6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Graf12!$B$9:$J$9</c:f>
              <c:numCache>
                <c:formatCode>0.0</c:formatCode>
                <c:ptCount val="9"/>
                <c:pt idx="0">
                  <c:v>6.8568204866467219</c:v>
                </c:pt>
                <c:pt idx="1">
                  <c:v>1.8232757114813964</c:v>
                </c:pt>
                <c:pt idx="2">
                  <c:v>0.6</c:v>
                </c:pt>
                <c:pt idx="3">
                  <c:v>3.7452613905996341</c:v>
                </c:pt>
                <c:pt idx="4">
                  <c:v>2.2689038790398057</c:v>
                </c:pt>
                <c:pt idx="5">
                  <c:v>2.6205697483359485</c:v>
                </c:pt>
                <c:pt idx="6">
                  <c:v>-5.9816318225484997</c:v>
                </c:pt>
                <c:pt idx="7">
                  <c:v>9.5432014647019425</c:v>
                </c:pt>
                <c:pt idx="8">
                  <c:v>-3.7783622877617513</c:v>
                </c:pt>
              </c:numCache>
            </c:numRef>
          </c:val>
          <c:extLst xmlns:c16r2="http://schemas.microsoft.com/office/drawing/2015/06/chart">
            <c:ext xmlns:c16="http://schemas.microsoft.com/office/drawing/2014/chart" uri="{C3380CC4-5D6E-409C-BE32-E72D297353CC}">
              <c16:uniqueId val="{00000002-2C27-471E-B2A3-E65864B31FDA}"/>
            </c:ext>
          </c:extLst>
        </c:ser>
        <c:ser>
          <c:idx val="3"/>
          <c:order val="3"/>
          <c:tx>
            <c:strRef>
              <c:f>Graf12!$A$10</c:f>
              <c:strCache>
                <c:ptCount val="1"/>
                <c:pt idx="0">
                  <c:v>Producția și furnizarea de energie</c:v>
                </c:pt>
              </c:strCache>
            </c:strRef>
          </c:tx>
          <c:spPr>
            <a:solidFill>
              <a:schemeClr val="accent1">
                <a:tint val="77000"/>
              </a:schemeClr>
            </a:solidFill>
            <a:ln>
              <a:noFill/>
            </a:ln>
            <a:effectLst/>
          </c:spPr>
          <c:invertIfNegative val="0"/>
          <c:cat>
            <c:numRef>
              <c:f>Graf12!$B$6:$J$6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Graf12!$B$10:$J$10</c:f>
              <c:numCache>
                <c:formatCode>0.0</c:formatCode>
                <c:ptCount val="9"/>
                <c:pt idx="0">
                  <c:v>0.47047988032335042</c:v>
                </c:pt>
                <c:pt idx="1">
                  <c:v>-0.94286900806752105</c:v>
                </c:pt>
                <c:pt idx="2">
                  <c:v>-0.6</c:v>
                </c:pt>
                <c:pt idx="3">
                  <c:v>-0.22372570450303228</c:v>
                </c:pt>
                <c:pt idx="4">
                  <c:v>1.1948378321234523</c:v>
                </c:pt>
                <c:pt idx="5">
                  <c:v>-0.54955339978523521</c:v>
                </c:pt>
                <c:pt idx="6">
                  <c:v>0.30335895846907407</c:v>
                </c:pt>
                <c:pt idx="7">
                  <c:v>2.2282496900885471</c:v>
                </c:pt>
                <c:pt idx="8">
                  <c:v>-1.1627226694676327</c:v>
                </c:pt>
              </c:numCache>
            </c:numRef>
          </c:val>
          <c:extLst xmlns:c16r2="http://schemas.microsoft.com/office/drawing/2015/06/chart">
            <c:ext xmlns:c16="http://schemas.microsoft.com/office/drawing/2014/chart" uri="{C3380CC4-5D6E-409C-BE32-E72D297353CC}">
              <c16:uniqueId val="{00000003-2C27-471E-B2A3-E65864B31FDA}"/>
            </c:ext>
          </c:extLst>
        </c:ser>
        <c:dLbls>
          <c:showLegendKey val="0"/>
          <c:showVal val="0"/>
          <c:showCatName val="0"/>
          <c:showSerName val="0"/>
          <c:showPercent val="0"/>
          <c:showBubbleSize val="0"/>
        </c:dLbls>
        <c:gapWidth val="150"/>
        <c:overlap val="100"/>
        <c:axId val="515968064"/>
        <c:axId val="515968456"/>
      </c:barChart>
      <c:lineChart>
        <c:grouping val="standard"/>
        <c:varyColors val="0"/>
        <c:ser>
          <c:idx val="4"/>
          <c:order val="4"/>
          <c:tx>
            <c:strRef>
              <c:f>Graf12!$A$11</c:f>
              <c:strCache>
                <c:ptCount val="1"/>
                <c:pt idx="0">
                  <c:v>TOTAL industie</c:v>
                </c:pt>
              </c:strCache>
            </c:strRef>
          </c:tx>
          <c:spPr>
            <a:ln w="19050" cap="rnd" cmpd="sng" algn="ctr">
              <a:solidFill>
                <a:schemeClr val="accent1">
                  <a:tint val="54000"/>
                </a:schemeClr>
              </a:solidFill>
              <a:prstDash val="solid"/>
              <a:round/>
            </a:ln>
            <a:effectLst/>
          </c:spPr>
          <c:marker>
            <c:symbol val="none"/>
          </c:marker>
          <c:dLbls>
            <c:dLbl>
              <c:idx val="0"/>
              <c:layout>
                <c:manualLayout>
                  <c:x val="-6.0306730191417982E-2"/>
                  <c:y val="-4.3278333784149338E-2"/>
                </c:manualLayout>
              </c:layout>
              <c:dLblPos val="r"/>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4-2C27-471E-B2A3-E65864B31FDA}"/>
                </c:ext>
                <c:ext xmlns:c15="http://schemas.microsoft.com/office/drawing/2012/chart" uri="{CE6537A1-D6FC-4f65-9D91-7224C49458BB}"/>
              </c:extLst>
            </c:dLbl>
            <c:dLbl>
              <c:idx val="1"/>
              <c:layout>
                <c:manualLayout>
                  <c:x val="-3.6708152888396232E-2"/>
                  <c:y val="-0.10176895683501448"/>
                </c:manualLayout>
              </c:layout>
              <c:dLblPos val="r"/>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5-2C27-471E-B2A3-E65864B31FDA}"/>
                </c:ext>
                <c:ext xmlns:c15="http://schemas.microsoft.com/office/drawing/2012/chart" uri="{CE6537A1-D6FC-4f65-9D91-7224C49458BB}"/>
              </c:extLst>
            </c:dLbl>
            <c:dLbl>
              <c:idx val="2"/>
              <c:layout>
                <c:manualLayout>
                  <c:x val="-4.0812641083521443E-2"/>
                  <c:y val="-0.10523816101934627"/>
                </c:manualLayout>
              </c:layout>
              <c:dLblPos val="r"/>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6-2C27-471E-B2A3-E65864B31FDA}"/>
                </c:ext>
                <c:ext xmlns:c15="http://schemas.microsoft.com/office/drawing/2012/chart" uri="{CE6537A1-D6FC-4f65-9D91-7224C49458BB}"/>
              </c:extLst>
            </c:dLbl>
            <c:dLbl>
              <c:idx val="6"/>
              <c:layout>
                <c:manualLayout>
                  <c:x val="-7.0227335731295124E-2"/>
                  <c:y val="5.26236424937008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27-471E-B2A3-E65864B31FDA}"/>
                </c:ext>
                <c:ext xmlns:c15="http://schemas.microsoft.com/office/drawing/2012/chart" uri="{CE6537A1-D6FC-4f65-9D91-7224C49458BB}"/>
              </c:extLst>
            </c:dLbl>
            <c:dLbl>
              <c:idx val="8"/>
              <c:layout>
                <c:manualLayout>
                  <c:x val="-4.6702056404331484E-2"/>
                  <c:y val="4.18040590476636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27-471E-B2A3-E65864B31FDA}"/>
                </c:ext>
                <c:ext xmlns:c15="http://schemas.microsoft.com/office/drawing/2012/chart" uri="{CE6537A1-D6FC-4f65-9D91-7224C49458BB}"/>
              </c:extLst>
            </c:dLbl>
            <c:spPr>
              <a:noFill/>
              <a:ln w="25400">
                <a:noFill/>
              </a:ln>
              <a:effectLst/>
            </c:spPr>
            <c:txPr>
              <a:bodyPr rot="0" spcFirstLastPara="1" vertOverflow="ellipsis" vert="horz" wrap="square" anchor="ctr" anchorCtr="1"/>
              <a:lstStyle/>
              <a:p>
                <a:pPr>
                  <a:defRPr sz="800" b="1" i="0" u="none" strike="noStrike" kern="1200" baseline="0">
                    <a:solidFill>
                      <a:schemeClr val="bg2">
                        <a:lumMod val="25000"/>
                      </a:schemeClr>
                    </a:solidFill>
                    <a:latin typeface="Times New Roman" panose="02020603050405020304" pitchFamily="18" charset="0"/>
                    <a:ea typeface="Calibri"/>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Graf12!$B$6:$I$6</c:f>
              <c:numCache>
                <c:formatCode>General</c:formatCode>
                <c:ptCount val="8"/>
                <c:pt idx="0">
                  <c:v>2014</c:v>
                </c:pt>
                <c:pt idx="1">
                  <c:v>2015</c:v>
                </c:pt>
                <c:pt idx="2">
                  <c:v>2016</c:v>
                </c:pt>
                <c:pt idx="3">
                  <c:v>2017</c:v>
                </c:pt>
                <c:pt idx="4">
                  <c:v>2018</c:v>
                </c:pt>
                <c:pt idx="5">
                  <c:v>2019</c:v>
                </c:pt>
                <c:pt idx="6">
                  <c:v>2020</c:v>
                </c:pt>
                <c:pt idx="7">
                  <c:v>2021</c:v>
                </c:pt>
              </c:numCache>
            </c:numRef>
          </c:cat>
          <c:val>
            <c:numRef>
              <c:f>Graf12!$B$11:$J$11</c:f>
              <c:numCache>
                <c:formatCode>0.0</c:formatCode>
                <c:ptCount val="9"/>
                <c:pt idx="0">
                  <c:v>7.2999999999999972</c:v>
                </c:pt>
                <c:pt idx="1">
                  <c:v>0.59999999999999432</c:v>
                </c:pt>
                <c:pt idx="2">
                  <c:v>0.90000000000000568</c:v>
                </c:pt>
                <c:pt idx="3">
                  <c:v>3.3623768690873135</c:v>
                </c:pt>
                <c:pt idx="4">
                  <c:v>3.7138805954350005</c:v>
                </c:pt>
                <c:pt idx="5">
                  <c:v>2.0264134525622239</c:v>
                </c:pt>
                <c:pt idx="6">
                  <c:v>-5.4664462538807186</c:v>
                </c:pt>
                <c:pt idx="7">
                  <c:v>12.107025220238349</c:v>
                </c:pt>
                <c:pt idx="8">
                  <c:v>-5.0661663095816181</c:v>
                </c:pt>
              </c:numCache>
            </c:numRef>
          </c:val>
          <c:smooth val="1"/>
          <c:extLst xmlns:c16r2="http://schemas.microsoft.com/office/drawing/2015/06/chart">
            <c:ext xmlns:c16="http://schemas.microsoft.com/office/drawing/2014/chart" uri="{C3380CC4-5D6E-409C-BE32-E72D297353CC}">
              <c16:uniqueId val="{00000009-2C27-471E-B2A3-E65864B31FDA}"/>
            </c:ext>
          </c:extLst>
        </c:ser>
        <c:dLbls>
          <c:showLegendKey val="0"/>
          <c:showVal val="0"/>
          <c:showCatName val="0"/>
          <c:showSerName val="0"/>
          <c:showPercent val="0"/>
          <c:showBubbleSize val="0"/>
        </c:dLbls>
        <c:marker val="1"/>
        <c:smooth val="0"/>
        <c:axId val="515968064"/>
        <c:axId val="515968456"/>
      </c:lineChart>
      <c:catAx>
        <c:axId val="515968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7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515968456"/>
        <c:crosses val="autoZero"/>
        <c:auto val="1"/>
        <c:lblAlgn val="ctr"/>
        <c:lblOffset val="100"/>
        <c:noMultiLvlLbl val="0"/>
      </c:catAx>
      <c:valAx>
        <c:axId val="515968456"/>
        <c:scaling>
          <c:orientation val="minMax"/>
          <c:max val="14"/>
          <c:min val="-7"/>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7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515968064"/>
        <c:crosses val="autoZero"/>
        <c:crossBetween val="between"/>
      </c:valAx>
      <c:spPr>
        <a:noFill/>
        <a:ln w="25400">
          <a:noFill/>
        </a:ln>
        <a:effectLst/>
      </c:spPr>
    </c:plotArea>
    <c:legend>
      <c:legendPos val="b"/>
      <c:layout>
        <c:manualLayout>
          <c:xMode val="edge"/>
          <c:yMode val="edge"/>
          <c:x val="0"/>
          <c:y val="0.78870733080370525"/>
          <c:w val="1"/>
          <c:h val="0.19373770827393089"/>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chemeClr val="bg2">
                  <a:lumMod val="25000"/>
                </a:schemeClr>
              </a:solidFill>
              <a:latin typeface="Times New Roman" panose="02020603050405020304" pitchFamily="18" charset="0"/>
              <a:ea typeface="Calibri"/>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Industria alimentară</c:v>
                </c:pt>
              </c:strCache>
            </c:strRef>
          </c:tx>
          <c:spPr>
            <a:solidFill>
              <a:schemeClr val="accent1"/>
            </a:solidFill>
            <a:ln>
              <a:noFill/>
            </a:ln>
            <a:effectLst/>
          </c:spPr>
          <c:invertIfNegative val="0"/>
          <c:cat>
            <c:strRef>
              <c:f>Sheet1!$A$2:$A$7</c:f>
              <c:strCache>
                <c:ptCount val="6"/>
                <c:pt idx="0">
                  <c:v>2017</c:v>
                </c:pt>
                <c:pt idx="1">
                  <c:v>2018</c:v>
                </c:pt>
                <c:pt idx="2">
                  <c:v>2019</c:v>
                </c:pt>
                <c:pt idx="3">
                  <c:v>2020</c:v>
                </c:pt>
                <c:pt idx="4">
                  <c:v>2021</c:v>
                </c:pt>
                <c:pt idx="5">
                  <c:v>2022</c:v>
                </c:pt>
              </c:strCache>
            </c:strRef>
          </c:cat>
          <c:val>
            <c:numRef>
              <c:f>Sheet1!$B$2:$B$7</c:f>
              <c:numCache>
                <c:formatCode>General</c:formatCode>
                <c:ptCount val="6"/>
                <c:pt idx="0">
                  <c:v>981.1</c:v>
                </c:pt>
                <c:pt idx="1">
                  <c:v>1037</c:v>
                </c:pt>
                <c:pt idx="2">
                  <c:v>992.5</c:v>
                </c:pt>
                <c:pt idx="3">
                  <c:v>951.9</c:v>
                </c:pt>
                <c:pt idx="4">
                  <c:v>1406.9</c:v>
                </c:pt>
                <c:pt idx="5">
                  <c:v>1107.4000000000001</c:v>
                </c:pt>
              </c:numCache>
            </c:numRef>
          </c:val>
          <c:extLst xmlns:c16r2="http://schemas.microsoft.com/office/drawing/2015/06/chart">
            <c:ext xmlns:c16="http://schemas.microsoft.com/office/drawing/2014/chart" uri="{C3380CC4-5D6E-409C-BE32-E72D297353CC}">
              <c16:uniqueId val="{00000000-7B8D-435F-9904-E1663C308E02}"/>
            </c:ext>
          </c:extLst>
        </c:ser>
        <c:ser>
          <c:idx val="1"/>
          <c:order val="1"/>
          <c:tx>
            <c:strRef>
              <c:f>Sheet1!$C$1</c:f>
              <c:strCache>
                <c:ptCount val="1"/>
                <c:pt idx="0">
                  <c:v>Fabricarea băuturilor</c:v>
                </c:pt>
              </c:strCache>
            </c:strRef>
          </c:tx>
          <c:spPr>
            <a:solidFill>
              <a:schemeClr val="accent3"/>
            </a:solidFill>
            <a:ln>
              <a:noFill/>
            </a:ln>
            <a:effectLst/>
          </c:spPr>
          <c:invertIfNegative val="0"/>
          <c:cat>
            <c:strRef>
              <c:f>Sheet1!$A$2:$A$7</c:f>
              <c:strCache>
                <c:ptCount val="6"/>
                <c:pt idx="0">
                  <c:v>2017</c:v>
                </c:pt>
                <c:pt idx="1">
                  <c:v>2018</c:v>
                </c:pt>
                <c:pt idx="2">
                  <c:v>2019</c:v>
                </c:pt>
                <c:pt idx="3">
                  <c:v>2020</c:v>
                </c:pt>
                <c:pt idx="4">
                  <c:v>2021</c:v>
                </c:pt>
                <c:pt idx="5">
                  <c:v>2022</c:v>
                </c:pt>
              </c:strCache>
            </c:strRef>
          </c:cat>
          <c:val>
            <c:numRef>
              <c:f>Sheet1!$C$2:$C$7</c:f>
              <c:numCache>
                <c:formatCode>General</c:formatCode>
                <c:ptCount val="6"/>
                <c:pt idx="0">
                  <c:v>348.3</c:v>
                </c:pt>
                <c:pt idx="1">
                  <c:v>474.3</c:v>
                </c:pt>
                <c:pt idx="2">
                  <c:v>433.3</c:v>
                </c:pt>
                <c:pt idx="3">
                  <c:v>432.6</c:v>
                </c:pt>
                <c:pt idx="4">
                  <c:v>597.5</c:v>
                </c:pt>
                <c:pt idx="5">
                  <c:v>473.3</c:v>
                </c:pt>
              </c:numCache>
            </c:numRef>
          </c:val>
          <c:extLst xmlns:c16r2="http://schemas.microsoft.com/office/drawing/2015/06/chart">
            <c:ext xmlns:c16="http://schemas.microsoft.com/office/drawing/2014/chart" uri="{C3380CC4-5D6E-409C-BE32-E72D297353CC}">
              <c16:uniqueId val="{00000001-7B8D-435F-9904-E1663C308E02}"/>
            </c:ext>
          </c:extLst>
        </c:ser>
        <c:ser>
          <c:idx val="2"/>
          <c:order val="2"/>
          <c:tx>
            <c:strRef>
              <c:f>Sheet1!$D$1</c:f>
              <c:strCache>
                <c:ptCount val="1"/>
                <c:pt idx="0">
                  <c:v>Fabricarea altor produse din minerale nemetalice</c:v>
                </c:pt>
              </c:strCache>
            </c:strRef>
          </c:tx>
          <c:spPr>
            <a:solidFill>
              <a:schemeClr val="accent5"/>
            </a:solidFill>
            <a:ln>
              <a:noFill/>
            </a:ln>
            <a:effectLst/>
          </c:spPr>
          <c:invertIfNegative val="0"/>
          <c:cat>
            <c:strRef>
              <c:f>Sheet1!$A$2:$A$7</c:f>
              <c:strCache>
                <c:ptCount val="6"/>
                <c:pt idx="0">
                  <c:v>2017</c:v>
                </c:pt>
                <c:pt idx="1">
                  <c:v>2018</c:v>
                </c:pt>
                <c:pt idx="2">
                  <c:v>2019</c:v>
                </c:pt>
                <c:pt idx="3">
                  <c:v>2020</c:v>
                </c:pt>
                <c:pt idx="4">
                  <c:v>2021</c:v>
                </c:pt>
                <c:pt idx="5">
                  <c:v>2022</c:v>
                </c:pt>
              </c:strCache>
            </c:strRef>
          </c:cat>
          <c:val>
            <c:numRef>
              <c:f>Sheet1!$D$2:$D$7</c:f>
              <c:numCache>
                <c:formatCode>General</c:formatCode>
                <c:ptCount val="6"/>
                <c:pt idx="0">
                  <c:v>366.8</c:v>
                </c:pt>
                <c:pt idx="1">
                  <c:v>413.7</c:v>
                </c:pt>
                <c:pt idx="2">
                  <c:v>868.3</c:v>
                </c:pt>
                <c:pt idx="3">
                  <c:v>297.8</c:v>
                </c:pt>
                <c:pt idx="4">
                  <c:v>548.70000000000005</c:v>
                </c:pt>
                <c:pt idx="5">
                  <c:v>513.79999999999995</c:v>
                </c:pt>
              </c:numCache>
            </c:numRef>
          </c:val>
          <c:extLst xmlns:c16r2="http://schemas.microsoft.com/office/drawing/2015/06/chart">
            <c:ext xmlns:c16="http://schemas.microsoft.com/office/drawing/2014/chart" uri="{C3380CC4-5D6E-409C-BE32-E72D297353CC}">
              <c16:uniqueId val="{00000002-7B8D-435F-9904-E1663C308E02}"/>
            </c:ext>
          </c:extLst>
        </c:ser>
        <c:ser>
          <c:idx val="3"/>
          <c:order val="3"/>
          <c:tx>
            <c:strRef>
              <c:f>Sheet1!$E$1</c:f>
              <c:strCache>
                <c:ptCount val="1"/>
                <c:pt idx="0">
                  <c:v>Fabricarea autovehiculelor, a remorcilor si semiremorcilor</c:v>
                </c:pt>
              </c:strCache>
            </c:strRef>
          </c:tx>
          <c:spPr>
            <a:solidFill>
              <a:schemeClr val="accent1">
                <a:lumMod val="60000"/>
              </a:schemeClr>
            </a:solidFill>
            <a:ln>
              <a:noFill/>
            </a:ln>
            <a:effectLst/>
          </c:spPr>
          <c:invertIfNegative val="0"/>
          <c:cat>
            <c:strRef>
              <c:f>Sheet1!$A$2:$A$7</c:f>
              <c:strCache>
                <c:ptCount val="6"/>
                <c:pt idx="0">
                  <c:v>2017</c:v>
                </c:pt>
                <c:pt idx="1">
                  <c:v>2018</c:v>
                </c:pt>
                <c:pt idx="2">
                  <c:v>2019</c:v>
                </c:pt>
                <c:pt idx="3">
                  <c:v>2020</c:v>
                </c:pt>
                <c:pt idx="4">
                  <c:v>2021</c:v>
                </c:pt>
                <c:pt idx="5">
                  <c:v>2022</c:v>
                </c:pt>
              </c:strCache>
            </c:strRef>
          </c:cat>
          <c:val>
            <c:numRef>
              <c:f>Sheet1!$E$2:$E$7</c:f>
              <c:numCache>
                <c:formatCode>General</c:formatCode>
                <c:ptCount val="6"/>
                <c:pt idx="0">
                  <c:v>337.9</c:v>
                </c:pt>
                <c:pt idx="1">
                  <c:v>468.8</c:v>
                </c:pt>
                <c:pt idx="2">
                  <c:v>336.9</c:v>
                </c:pt>
                <c:pt idx="3">
                  <c:v>103.6</c:v>
                </c:pt>
                <c:pt idx="4">
                  <c:v>405.5</c:v>
                </c:pt>
                <c:pt idx="5">
                  <c:v>238.4</c:v>
                </c:pt>
              </c:numCache>
            </c:numRef>
          </c:val>
          <c:extLst xmlns:c16r2="http://schemas.microsoft.com/office/drawing/2015/06/chart">
            <c:ext xmlns:c16="http://schemas.microsoft.com/office/drawing/2014/chart" uri="{C3380CC4-5D6E-409C-BE32-E72D297353CC}">
              <c16:uniqueId val="{00000003-7B8D-435F-9904-E1663C308E02}"/>
            </c:ext>
          </c:extLst>
        </c:ser>
        <c:ser>
          <c:idx val="4"/>
          <c:order val="4"/>
          <c:tx>
            <c:strRef>
              <c:f>Sheet1!$F$1</c:f>
              <c:strCache>
                <c:ptCount val="1"/>
                <c:pt idx="0">
                  <c:v>Alte activități </c:v>
                </c:pt>
              </c:strCache>
            </c:strRef>
          </c:tx>
          <c:spPr>
            <a:solidFill>
              <a:schemeClr val="accent3">
                <a:lumMod val="60000"/>
              </a:schemeClr>
            </a:solidFill>
            <a:ln>
              <a:noFill/>
            </a:ln>
            <a:effectLst/>
          </c:spPr>
          <c:invertIfNegative val="0"/>
          <c:cat>
            <c:strRef>
              <c:f>Sheet1!$A$2:$A$7</c:f>
              <c:strCache>
                <c:ptCount val="6"/>
                <c:pt idx="0">
                  <c:v>2017</c:v>
                </c:pt>
                <c:pt idx="1">
                  <c:v>2018</c:v>
                </c:pt>
                <c:pt idx="2">
                  <c:v>2019</c:v>
                </c:pt>
                <c:pt idx="3">
                  <c:v>2020</c:v>
                </c:pt>
                <c:pt idx="4">
                  <c:v>2021</c:v>
                </c:pt>
                <c:pt idx="5">
                  <c:v>2022</c:v>
                </c:pt>
              </c:strCache>
            </c:strRef>
          </c:cat>
          <c:val>
            <c:numRef>
              <c:f>Sheet1!$F$2:$F$7</c:f>
              <c:numCache>
                <c:formatCode>General</c:formatCode>
                <c:ptCount val="6"/>
                <c:pt idx="0">
                  <c:v>1101.3000000000002</c:v>
                </c:pt>
                <c:pt idx="1">
                  <c:v>1183</c:v>
                </c:pt>
                <c:pt idx="2">
                  <c:v>1254.3000000000002</c:v>
                </c:pt>
                <c:pt idx="3">
                  <c:v>1061.8</c:v>
                </c:pt>
                <c:pt idx="4">
                  <c:v>1421.5999999999995</c:v>
                </c:pt>
                <c:pt idx="5">
                  <c:v>1252.5</c:v>
                </c:pt>
              </c:numCache>
            </c:numRef>
          </c:val>
          <c:extLst xmlns:c16r2="http://schemas.microsoft.com/office/drawing/2015/06/chart">
            <c:ext xmlns:c16="http://schemas.microsoft.com/office/drawing/2014/chart" uri="{C3380CC4-5D6E-409C-BE32-E72D297353CC}">
              <c16:uniqueId val="{00000004-7B8D-435F-9904-E1663C308E02}"/>
            </c:ext>
          </c:extLst>
        </c:ser>
        <c:dLbls>
          <c:showLegendKey val="0"/>
          <c:showVal val="0"/>
          <c:showCatName val="0"/>
          <c:showSerName val="0"/>
          <c:showPercent val="0"/>
          <c:showBubbleSize val="0"/>
        </c:dLbls>
        <c:gapWidth val="219"/>
        <c:overlap val="100"/>
        <c:axId val="842907800"/>
        <c:axId val="842910544"/>
      </c:barChart>
      <c:lineChart>
        <c:grouping val="standard"/>
        <c:varyColors val="0"/>
        <c:ser>
          <c:idx val="5"/>
          <c:order val="5"/>
          <c:tx>
            <c:strRef>
              <c:f>Sheet1!$G$1</c:f>
              <c:strCache>
                <c:ptCount val="1"/>
                <c:pt idx="0">
                  <c:v>Industria prelucrătoare</c:v>
                </c:pt>
              </c:strCache>
            </c:strRef>
          </c:tx>
          <c:spPr>
            <a:ln w="22225" cap="rnd">
              <a:solidFill>
                <a:schemeClr val="tx2">
                  <a:lumMod val="60000"/>
                  <a:lumOff val="40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2017</c:v>
                </c:pt>
                <c:pt idx="1">
                  <c:v>2018</c:v>
                </c:pt>
                <c:pt idx="2">
                  <c:v>2019</c:v>
                </c:pt>
                <c:pt idx="3">
                  <c:v>2020</c:v>
                </c:pt>
                <c:pt idx="4">
                  <c:v>2021</c:v>
                </c:pt>
                <c:pt idx="5">
                  <c:v>2022</c:v>
                </c:pt>
              </c:strCache>
            </c:strRef>
          </c:cat>
          <c:val>
            <c:numRef>
              <c:f>Sheet1!$G$2:$G$7</c:f>
              <c:numCache>
                <c:formatCode>General</c:formatCode>
                <c:ptCount val="6"/>
                <c:pt idx="0">
                  <c:v>3135.4</c:v>
                </c:pt>
                <c:pt idx="1">
                  <c:v>3576.8</c:v>
                </c:pt>
                <c:pt idx="2">
                  <c:v>3885.3</c:v>
                </c:pt>
                <c:pt idx="3">
                  <c:v>2847.7</c:v>
                </c:pt>
                <c:pt idx="4">
                  <c:v>4380.2</c:v>
                </c:pt>
                <c:pt idx="5">
                  <c:v>3585.4</c:v>
                </c:pt>
              </c:numCache>
            </c:numRef>
          </c:val>
          <c:smooth val="1"/>
          <c:extLst xmlns:c16r2="http://schemas.microsoft.com/office/drawing/2015/06/chart">
            <c:ext xmlns:c16="http://schemas.microsoft.com/office/drawing/2014/chart" uri="{C3380CC4-5D6E-409C-BE32-E72D297353CC}">
              <c16:uniqueId val="{00000005-7B8D-435F-9904-E1663C308E02}"/>
            </c:ext>
          </c:extLst>
        </c:ser>
        <c:dLbls>
          <c:showLegendKey val="0"/>
          <c:showVal val="0"/>
          <c:showCatName val="0"/>
          <c:showSerName val="0"/>
          <c:showPercent val="0"/>
          <c:showBubbleSize val="0"/>
        </c:dLbls>
        <c:marker val="1"/>
        <c:smooth val="0"/>
        <c:axId val="842907800"/>
        <c:axId val="842910544"/>
      </c:lineChart>
      <c:catAx>
        <c:axId val="84290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2910544"/>
        <c:crosses val="autoZero"/>
        <c:auto val="1"/>
        <c:lblAlgn val="ctr"/>
        <c:lblOffset val="100"/>
        <c:noMultiLvlLbl val="0"/>
      </c:catAx>
      <c:valAx>
        <c:axId val="842910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2907800"/>
        <c:crosses val="autoZero"/>
        <c:crossBetween val="between"/>
      </c:valAx>
      <c:spPr>
        <a:noFill/>
        <a:ln>
          <a:noFill/>
        </a:ln>
        <a:effectLst/>
      </c:spPr>
    </c:plotArea>
    <c:legend>
      <c:legendPos val="b"/>
      <c:layout>
        <c:manualLayout>
          <c:xMode val="edge"/>
          <c:yMode val="edge"/>
          <c:x val="4.800430653004991E-2"/>
          <c:y val="0.63473769674619607"/>
          <c:w val="0.91789636955867193"/>
          <c:h val="0.339854723325792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a:outerShdw blurRad="57150" dist="19050" dir="5400000" algn="ctr" rotWithShape="0">
                <a:srgbClr val="000000">
                  <a:alpha val="63000"/>
                </a:srgbClr>
              </a:outerShdw>
            </a:effectLst>
          </c:spPr>
          <c:invertIfNegative val="0"/>
          <c:dPt>
            <c:idx val="11"/>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D22-4263-9FAA-AE2DCD4D5FE2}"/>
              </c:ext>
            </c:extLst>
          </c:dPt>
          <c:dLbls>
            <c:dLbl>
              <c:idx val="11"/>
              <c:numFmt formatCode="#,##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Sheet1!$A$2:$A$24</c:f>
              <c:strCache>
                <c:ptCount val="23"/>
                <c:pt idx="0">
                  <c:v>Calculatoare și produse electronice </c:v>
                </c:pt>
                <c:pt idx="1">
                  <c:v>Echipamente electrice</c:v>
                </c:pt>
                <c:pt idx="2">
                  <c:v>Produse din tutun</c:v>
                </c:pt>
                <c:pt idx="3">
                  <c:v>Articole din piele</c:v>
                </c:pt>
                <c:pt idx="4">
                  <c:v>Industria construcțiilor metalice și a produselor din metal</c:v>
                </c:pt>
                <c:pt idx="5">
                  <c:v>Alte produse din minerale nemetalice</c:v>
                </c:pt>
                <c:pt idx="6">
                  <c:v>Substanțe și produse chimice</c:v>
                </c:pt>
                <c:pt idx="7">
                  <c:v>Mașini, utilaje și echipamente </c:v>
                </c:pt>
                <c:pt idx="8">
                  <c:v>Autovehicule, remorci și semiremorci</c:v>
                </c:pt>
                <c:pt idx="9">
                  <c:v>Industria metalurgică</c:v>
                </c:pt>
                <c:pt idx="10">
                  <c:v>Alte activități industriale </c:v>
                </c:pt>
                <c:pt idx="11">
                  <c:v>Industria prelucrătoare</c:v>
                </c:pt>
                <c:pt idx="12">
                  <c:v>Tipărire și activități de servicii conexe tipăririi</c:v>
                </c:pt>
                <c:pt idx="13">
                  <c:v>Băuturi</c:v>
                </c:pt>
                <c:pt idx="14">
                  <c:v>Industria alimentară</c:v>
                </c:pt>
                <c:pt idx="15">
                  <c:v>Produse din lemn </c:v>
                </c:pt>
                <c:pt idx="16">
                  <c:v>Produse textile</c:v>
                </c:pt>
                <c:pt idx="17">
                  <c:v>Mobilă</c:v>
                </c:pt>
                <c:pt idx="18">
                  <c:v>Încălțăminte</c:v>
                </c:pt>
                <c:pt idx="19">
                  <c:v>Articole din hârtie și carton</c:v>
                </c:pt>
                <c:pt idx="20">
                  <c:v>Articole din material plastic</c:v>
                </c:pt>
                <c:pt idx="21">
                  <c:v>Repararea, întreținerea și instalarea mașinilor și echipamentelor</c:v>
                </c:pt>
                <c:pt idx="22">
                  <c:v>Industria farmaceutică</c:v>
                </c:pt>
              </c:strCache>
            </c:strRef>
          </c:cat>
          <c:val>
            <c:numRef>
              <c:f>Sheet1!$B$2:$B$24</c:f>
              <c:numCache>
                <c:formatCode>0.0</c:formatCode>
                <c:ptCount val="23"/>
                <c:pt idx="0">
                  <c:v>-93.7</c:v>
                </c:pt>
                <c:pt idx="1">
                  <c:v>-88.930679463044129</c:v>
                </c:pt>
                <c:pt idx="2">
                  <c:v>-69.72297649312047</c:v>
                </c:pt>
                <c:pt idx="3">
                  <c:v>-57.200434862008969</c:v>
                </c:pt>
                <c:pt idx="4">
                  <c:v>-54.049215754639327</c:v>
                </c:pt>
                <c:pt idx="5">
                  <c:v>-53.295226040407805</c:v>
                </c:pt>
                <c:pt idx="6">
                  <c:v>-53.089806872530481</c:v>
                </c:pt>
                <c:pt idx="7">
                  <c:v>-50.372358470928688</c:v>
                </c:pt>
                <c:pt idx="8">
                  <c:v>-44.147551637605567</c:v>
                </c:pt>
                <c:pt idx="9">
                  <c:v>-43.751698540845929</c:v>
                </c:pt>
                <c:pt idx="10">
                  <c:v>-28.730714811043271</c:v>
                </c:pt>
                <c:pt idx="11">
                  <c:v>-27.163338470589167</c:v>
                </c:pt>
                <c:pt idx="12">
                  <c:v>-16.222047089049269</c:v>
                </c:pt>
                <c:pt idx="13">
                  <c:v>-13.78461119786887</c:v>
                </c:pt>
                <c:pt idx="14">
                  <c:v>-11.933450782149237</c:v>
                </c:pt>
                <c:pt idx="15">
                  <c:v>-0.90657134038363552</c:v>
                </c:pt>
                <c:pt idx="16">
                  <c:v>15.423153462488855</c:v>
                </c:pt>
                <c:pt idx="17">
                  <c:v>21.472395704343342</c:v>
                </c:pt>
                <c:pt idx="18">
                  <c:v>21.706169374832811</c:v>
                </c:pt>
                <c:pt idx="19">
                  <c:v>27.367729194495439</c:v>
                </c:pt>
                <c:pt idx="20">
                  <c:v>51.98151766987462</c:v>
                </c:pt>
                <c:pt idx="21">
                  <c:v>76.23887825723898</c:v>
                </c:pt>
                <c:pt idx="22">
                  <c:v>96.411950423965465</c:v>
                </c:pt>
              </c:numCache>
            </c:numRef>
          </c:val>
          <c:extLst xmlns:c16r2="http://schemas.microsoft.com/office/drawing/2015/06/chart">
            <c:ext xmlns:c16="http://schemas.microsoft.com/office/drawing/2014/chart" uri="{C3380CC4-5D6E-409C-BE32-E72D297353CC}">
              <c16:uniqueId val="{00000002-FD22-4263-9FAA-AE2DCD4D5FE2}"/>
            </c:ext>
          </c:extLst>
        </c:ser>
        <c:dLbls>
          <c:dLblPos val="outEnd"/>
          <c:showLegendKey val="0"/>
          <c:showVal val="1"/>
          <c:showCatName val="0"/>
          <c:showSerName val="0"/>
          <c:showPercent val="0"/>
          <c:showBubbleSize val="0"/>
        </c:dLbls>
        <c:gapWidth val="115"/>
        <c:overlap val="-20"/>
        <c:axId val="842908192"/>
        <c:axId val="842915640"/>
      </c:barChart>
      <c:catAx>
        <c:axId val="842908192"/>
        <c:scaling>
          <c:orientation val="minMax"/>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915640"/>
        <c:crosses val="autoZero"/>
        <c:auto val="1"/>
        <c:lblAlgn val="ctr"/>
        <c:lblOffset val="100"/>
        <c:noMultiLvlLbl val="0"/>
      </c:catAx>
      <c:valAx>
        <c:axId val="842915640"/>
        <c:scaling>
          <c:orientation val="minMax"/>
          <c:max val="100"/>
        </c:scaling>
        <c:delete val="1"/>
        <c:axPos val="b"/>
        <c:numFmt formatCode="0" sourceLinked="0"/>
        <c:majorTickMark val="none"/>
        <c:minorTickMark val="none"/>
        <c:tickLblPos val="nextTo"/>
        <c:crossAx val="842908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6706765820939E-2"/>
          <c:y val="4.3650793650793648E-2"/>
          <c:w val="0.88693478419364247"/>
          <c:h val="0.50032882963493186"/>
        </c:manualLayout>
      </c:layout>
      <c:areaChart>
        <c:grouping val="stacked"/>
        <c:varyColors val="0"/>
        <c:ser>
          <c:idx val="0"/>
          <c:order val="0"/>
          <c:tx>
            <c:strRef>
              <c:f>Sheet1!$B$1</c:f>
              <c:strCache>
                <c:ptCount val="1"/>
                <c:pt idx="0">
                  <c:v>Agricultura</c:v>
                </c:pt>
              </c:strCache>
            </c:strRef>
          </c:tx>
          <c:spPr>
            <a:solidFill>
              <a:schemeClr val="accent6">
                <a:lumMod val="60000"/>
                <a:lumOff val="40000"/>
              </a:schemeClr>
            </a:solidFill>
            <a:ln>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0.0</c:formatCode>
                <c:ptCount val="6"/>
                <c:pt idx="0">
                  <c:v>2486.9499271240002</c:v>
                </c:pt>
                <c:pt idx="1">
                  <c:v>2689.6886410000002</c:v>
                </c:pt>
                <c:pt idx="2">
                  <c:v>3040.3535131660001</c:v>
                </c:pt>
                <c:pt idx="3">
                  <c:v>3918.3636759999999</c:v>
                </c:pt>
                <c:pt idx="4">
                  <c:v>4152.2371341400003</c:v>
                </c:pt>
                <c:pt idx="5">
                  <c:v>4465.6294014579998</c:v>
                </c:pt>
              </c:numCache>
            </c:numRef>
          </c:val>
          <c:extLst xmlns:c16r2="http://schemas.microsoft.com/office/drawing/2015/06/chart">
            <c:ext xmlns:c16="http://schemas.microsoft.com/office/drawing/2014/chart" uri="{C3380CC4-5D6E-409C-BE32-E72D297353CC}">
              <c16:uniqueId val="{00000000-9383-42BD-997D-113843E3C203}"/>
            </c:ext>
          </c:extLst>
        </c:ser>
        <c:ser>
          <c:idx val="1"/>
          <c:order val="1"/>
          <c:tx>
            <c:strRef>
              <c:f>Sheet1!$C$1</c:f>
              <c:strCache>
                <c:ptCount val="1"/>
                <c:pt idx="0">
                  <c:v>Industria alimentară</c:v>
                </c:pt>
              </c:strCache>
            </c:strRef>
          </c:tx>
          <c:spPr>
            <a:solidFill>
              <a:srgbClr val="00B0F0"/>
            </a:solidFill>
            <a:ln>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0.0</c:formatCode>
                <c:ptCount val="6"/>
                <c:pt idx="0">
                  <c:v>3514.4233039800001</c:v>
                </c:pt>
                <c:pt idx="1">
                  <c:v>3360.6900310000001</c:v>
                </c:pt>
                <c:pt idx="2">
                  <c:v>3566.4778598829998</c:v>
                </c:pt>
                <c:pt idx="3">
                  <c:v>3596.9620909999999</c:v>
                </c:pt>
                <c:pt idx="4">
                  <c:v>3420.9099698340001</c:v>
                </c:pt>
                <c:pt idx="5">
                  <c:v>4399.7762148299998</c:v>
                </c:pt>
              </c:numCache>
            </c:numRef>
          </c:val>
          <c:extLst xmlns:c16r2="http://schemas.microsoft.com/office/drawing/2015/06/chart">
            <c:ext xmlns:c16="http://schemas.microsoft.com/office/drawing/2014/chart" uri="{C3380CC4-5D6E-409C-BE32-E72D297353CC}">
              <c16:uniqueId val="{00000001-9383-42BD-997D-113843E3C203}"/>
            </c:ext>
          </c:extLst>
        </c:ser>
        <c:ser>
          <c:idx val="2"/>
          <c:order val="2"/>
          <c:tx>
            <c:strRef>
              <c:f>Sheet1!$D$1</c:f>
              <c:strCache>
                <c:ptCount val="1"/>
                <c:pt idx="0">
                  <c:v>Industria productivă</c:v>
                </c:pt>
              </c:strCache>
            </c:strRef>
          </c:tx>
          <c:spPr>
            <a:solidFill>
              <a:srgbClr val="FF0000"/>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0.0</c:formatCode>
                <c:ptCount val="6"/>
                <c:pt idx="0">
                  <c:v>2297.054328013</c:v>
                </c:pt>
                <c:pt idx="1">
                  <c:v>2199.2069489999999</c:v>
                </c:pt>
                <c:pt idx="2">
                  <c:v>2214.7406145359996</c:v>
                </c:pt>
                <c:pt idx="3">
                  <c:v>2447.6743980000001</c:v>
                </c:pt>
                <c:pt idx="4">
                  <c:v>2821.140106246</c:v>
                </c:pt>
                <c:pt idx="5">
                  <c:v>2659.5250935449999</c:v>
                </c:pt>
              </c:numCache>
            </c:numRef>
          </c:val>
          <c:extLst xmlns:c16r2="http://schemas.microsoft.com/office/drawing/2015/06/chart">
            <c:ext xmlns:c16="http://schemas.microsoft.com/office/drawing/2014/chart" uri="{C3380CC4-5D6E-409C-BE32-E72D297353CC}">
              <c16:uniqueId val="{00000002-9383-42BD-997D-113843E3C203}"/>
            </c:ext>
          </c:extLst>
        </c:ser>
        <c:ser>
          <c:idx val="3"/>
          <c:order val="3"/>
          <c:tx>
            <c:strRef>
              <c:f>Sheet1!$E$1</c:f>
              <c:strCache>
                <c:ptCount val="1"/>
                <c:pt idx="0">
                  <c:v>Industria energetică</c:v>
                </c:pt>
              </c:strCache>
            </c:strRef>
          </c:tx>
          <c:spPr>
            <a:solidFill>
              <a:srgbClr val="A568D2"/>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Sheet1!$E$2:$E$7</c:f>
              <c:numCache>
                <c:formatCode>0.0</c:formatCode>
                <c:ptCount val="6"/>
                <c:pt idx="0">
                  <c:v>759.93174224799998</c:v>
                </c:pt>
                <c:pt idx="1">
                  <c:v>755.36533899999995</c:v>
                </c:pt>
                <c:pt idx="2">
                  <c:v>543.99130055299997</c:v>
                </c:pt>
                <c:pt idx="3">
                  <c:v>755.77102500000001</c:v>
                </c:pt>
                <c:pt idx="4">
                  <c:v>999.15852203600002</c:v>
                </c:pt>
                <c:pt idx="5">
                  <c:v>927.25689157500005</c:v>
                </c:pt>
              </c:numCache>
            </c:numRef>
          </c:val>
          <c:extLst xmlns:c16r2="http://schemas.microsoft.com/office/drawing/2015/06/chart">
            <c:ext xmlns:c16="http://schemas.microsoft.com/office/drawing/2014/chart" uri="{C3380CC4-5D6E-409C-BE32-E72D297353CC}">
              <c16:uniqueId val="{00000003-9383-42BD-997D-113843E3C203}"/>
            </c:ext>
          </c:extLst>
        </c:ser>
        <c:ser>
          <c:idx val="4"/>
          <c:order val="4"/>
          <c:tx>
            <c:strRef>
              <c:f>Sheet1!$F$1</c:f>
              <c:strCache>
                <c:ptCount val="1"/>
                <c:pt idx="0">
                  <c:v>Construcţii</c:v>
                </c:pt>
              </c:strCache>
            </c:strRef>
          </c:tx>
          <c:spPr>
            <a:solidFill>
              <a:schemeClr val="accent2">
                <a:lumMod val="60000"/>
                <a:lumOff val="40000"/>
              </a:schemeClr>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Sheet1!$F$2:$F$7</c:f>
              <c:numCache>
                <c:formatCode>0.0</c:formatCode>
                <c:ptCount val="6"/>
                <c:pt idx="0">
                  <c:v>611.31163667499993</c:v>
                </c:pt>
                <c:pt idx="1">
                  <c:v>717.82060999999999</c:v>
                </c:pt>
                <c:pt idx="2">
                  <c:v>843.54968997399999</c:v>
                </c:pt>
                <c:pt idx="3">
                  <c:v>689.04176500000005</c:v>
                </c:pt>
                <c:pt idx="4">
                  <c:v>1086.596725656</c:v>
                </c:pt>
                <c:pt idx="5">
                  <c:v>1417.3167359049999</c:v>
                </c:pt>
              </c:numCache>
            </c:numRef>
          </c:val>
          <c:extLst xmlns:c16r2="http://schemas.microsoft.com/office/drawing/2015/06/chart">
            <c:ext xmlns:c16="http://schemas.microsoft.com/office/drawing/2014/chart" uri="{C3380CC4-5D6E-409C-BE32-E72D297353CC}">
              <c16:uniqueId val="{00000004-9383-42BD-997D-113843E3C203}"/>
            </c:ext>
          </c:extLst>
        </c:ser>
        <c:ser>
          <c:idx val="5"/>
          <c:order val="5"/>
          <c:tx>
            <c:strRef>
              <c:f>Sheet1!$G$1</c:f>
              <c:strCache>
                <c:ptCount val="1"/>
                <c:pt idx="0">
                  <c:v>Comerţul</c:v>
                </c:pt>
              </c:strCache>
            </c:strRef>
          </c:tx>
          <c:spPr>
            <a:solidFill>
              <a:schemeClr val="accent1">
                <a:lumMod val="40000"/>
                <a:lumOff val="60000"/>
              </a:schemeClr>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Sheet1!$G$2:$G$7</c:f>
              <c:numCache>
                <c:formatCode>0.0</c:formatCode>
                <c:ptCount val="6"/>
                <c:pt idx="0">
                  <c:v>9737.1021777850001</c:v>
                </c:pt>
                <c:pt idx="1">
                  <c:v>9059.9480129999993</c:v>
                </c:pt>
                <c:pt idx="2">
                  <c:v>9624.763171781</c:v>
                </c:pt>
                <c:pt idx="3">
                  <c:v>10750.967097000001</c:v>
                </c:pt>
                <c:pt idx="4">
                  <c:v>12136.615886386999</c:v>
                </c:pt>
                <c:pt idx="5">
                  <c:v>13880.271457969999</c:v>
                </c:pt>
              </c:numCache>
            </c:numRef>
          </c:val>
          <c:extLst xmlns:c16r2="http://schemas.microsoft.com/office/drawing/2015/06/chart">
            <c:ext xmlns:c16="http://schemas.microsoft.com/office/drawing/2014/chart" uri="{C3380CC4-5D6E-409C-BE32-E72D297353CC}">
              <c16:uniqueId val="{00000005-9383-42BD-997D-113843E3C203}"/>
            </c:ext>
          </c:extLst>
        </c:ser>
        <c:ser>
          <c:idx val="6"/>
          <c:order val="6"/>
          <c:tx>
            <c:strRef>
              <c:f>Sheet1!$H$1</c:f>
              <c:strCache>
                <c:ptCount val="1"/>
                <c:pt idx="0">
                  <c:v>Mediul financiar nebancar</c:v>
                </c:pt>
              </c:strCache>
            </c:strRef>
          </c:tx>
          <c:spPr>
            <a:solidFill>
              <a:schemeClr val="accent6"/>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Sheet1!$H$2:$H$7</c:f>
              <c:numCache>
                <c:formatCode>0.0</c:formatCode>
                <c:ptCount val="6"/>
                <c:pt idx="0">
                  <c:v>1298.282404798</c:v>
                </c:pt>
                <c:pt idx="1">
                  <c:v>1364.333578</c:v>
                </c:pt>
                <c:pt idx="2">
                  <c:v>1533.7410087780002</c:v>
                </c:pt>
                <c:pt idx="3">
                  <c:v>1260.1051190000001</c:v>
                </c:pt>
                <c:pt idx="4">
                  <c:v>1804.3099163060001</c:v>
                </c:pt>
                <c:pt idx="5">
                  <c:v>2469.2766913709997</c:v>
                </c:pt>
              </c:numCache>
            </c:numRef>
          </c:val>
          <c:extLst xmlns:c16r2="http://schemas.microsoft.com/office/drawing/2015/06/chart">
            <c:ext xmlns:c16="http://schemas.microsoft.com/office/drawing/2014/chart" uri="{C3380CC4-5D6E-409C-BE32-E72D297353CC}">
              <c16:uniqueId val="{00000006-9383-42BD-997D-113843E3C203}"/>
            </c:ext>
          </c:extLst>
        </c:ser>
        <c:ser>
          <c:idx val="7"/>
          <c:order val="7"/>
          <c:tx>
            <c:strRef>
              <c:f>Sheet1!$I$1</c:f>
              <c:strCache>
                <c:ptCount val="1"/>
                <c:pt idx="0">
                  <c:v>Transport, telecomunicaţii şi dezvoltarea reţelei</c:v>
                </c:pt>
              </c:strCache>
            </c:strRef>
          </c:tx>
          <c:spPr>
            <a:solidFill>
              <a:schemeClr val="accent2"/>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Sheet1!$I$2:$I$7</c:f>
              <c:numCache>
                <c:formatCode>0.0</c:formatCode>
                <c:ptCount val="6"/>
                <c:pt idx="0">
                  <c:v>1569.7998764920001</c:v>
                </c:pt>
                <c:pt idx="1">
                  <c:v>1722.5936569999999</c:v>
                </c:pt>
                <c:pt idx="2">
                  <c:v>1642.046808671</c:v>
                </c:pt>
                <c:pt idx="3">
                  <c:v>1720.6367290000001</c:v>
                </c:pt>
                <c:pt idx="4">
                  <c:v>1875.448661917</c:v>
                </c:pt>
                <c:pt idx="5">
                  <c:v>2001.2852486639999</c:v>
                </c:pt>
              </c:numCache>
            </c:numRef>
          </c:val>
          <c:extLst xmlns:c16r2="http://schemas.microsoft.com/office/drawing/2015/06/chart">
            <c:ext xmlns:c16="http://schemas.microsoft.com/office/drawing/2014/chart" uri="{C3380CC4-5D6E-409C-BE32-E72D297353CC}">
              <c16:uniqueId val="{00000007-9383-42BD-997D-113843E3C203}"/>
            </c:ext>
          </c:extLst>
        </c:ser>
        <c:ser>
          <c:idx val="8"/>
          <c:order val="8"/>
          <c:tx>
            <c:strRef>
              <c:f>Sheet1!$J$1</c:f>
              <c:strCache>
                <c:ptCount val="1"/>
                <c:pt idx="0">
                  <c:v>Prestarea serviciilor</c:v>
                </c:pt>
              </c:strCache>
            </c:strRef>
          </c:tx>
          <c:spPr>
            <a:solidFill>
              <a:schemeClr val="bg2">
                <a:lumMod val="75000"/>
              </a:schemeClr>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Sheet1!$J$2:$J$7</c:f>
              <c:numCache>
                <c:formatCode>0.0</c:formatCode>
                <c:ptCount val="6"/>
                <c:pt idx="0">
                  <c:v>1958.2231195309998</c:v>
                </c:pt>
                <c:pt idx="1">
                  <c:v>2017.005971</c:v>
                </c:pt>
                <c:pt idx="2">
                  <c:v>1692.3758772179999</c:v>
                </c:pt>
                <c:pt idx="3">
                  <c:v>1961.8413069999999</c:v>
                </c:pt>
                <c:pt idx="4">
                  <c:v>1978.0856758510001</c:v>
                </c:pt>
                <c:pt idx="5">
                  <c:v>2287.1774672080001</c:v>
                </c:pt>
              </c:numCache>
            </c:numRef>
          </c:val>
          <c:extLst xmlns:c16r2="http://schemas.microsoft.com/office/drawing/2015/06/chart">
            <c:ext xmlns:c16="http://schemas.microsoft.com/office/drawing/2014/chart" uri="{C3380CC4-5D6E-409C-BE32-E72D297353CC}">
              <c16:uniqueId val="{00000008-9383-42BD-997D-113843E3C203}"/>
            </c:ext>
          </c:extLst>
        </c:ser>
        <c:ser>
          <c:idx val="9"/>
          <c:order val="9"/>
          <c:tx>
            <c:strRef>
              <c:f>Sheet1!$K$1</c:f>
              <c:strCache>
                <c:ptCount val="1"/>
                <c:pt idx="0">
                  <c:v>Alte credite </c:v>
                </c:pt>
              </c:strCache>
            </c:strRef>
          </c:tx>
          <c:spPr>
            <a:solidFill>
              <a:schemeClr val="accent4">
                <a:lumMod val="60000"/>
                <a:lumOff val="40000"/>
              </a:schemeClr>
            </a:solidFill>
            <a:ln w="25400">
              <a:noFill/>
            </a:ln>
            <a:effectLst/>
          </c:spPr>
          <c:cat>
            <c:numRef>
              <c:f>Sheet1!$A$2:$A$7</c:f>
              <c:numCache>
                <c:formatCode>General</c:formatCode>
                <c:ptCount val="6"/>
                <c:pt idx="0">
                  <c:v>2017</c:v>
                </c:pt>
                <c:pt idx="1">
                  <c:v>2018</c:v>
                </c:pt>
                <c:pt idx="2">
                  <c:v>2019</c:v>
                </c:pt>
                <c:pt idx="3">
                  <c:v>2020</c:v>
                </c:pt>
                <c:pt idx="4">
                  <c:v>2021</c:v>
                </c:pt>
                <c:pt idx="5">
                  <c:v>2022</c:v>
                </c:pt>
              </c:numCache>
            </c:numRef>
          </c:cat>
          <c:val>
            <c:numRef>
              <c:f>Sheet1!$K$2:$K$7</c:f>
              <c:numCache>
                <c:formatCode>0.0</c:formatCode>
                <c:ptCount val="6"/>
                <c:pt idx="0">
                  <c:v>1617.7371713539942</c:v>
                </c:pt>
                <c:pt idx="1">
                  <c:v>1579.9027040000001</c:v>
                </c:pt>
                <c:pt idx="2">
                  <c:v>1668.9052594399982</c:v>
                </c:pt>
                <c:pt idx="3">
                  <c:v>2289.5756149999979</c:v>
                </c:pt>
                <c:pt idx="4">
                  <c:v>3234.4174036269978</c:v>
                </c:pt>
                <c:pt idx="5">
                  <c:v>3868.3456994739972</c:v>
                </c:pt>
              </c:numCache>
            </c:numRef>
          </c:val>
          <c:extLst xmlns:c16r2="http://schemas.microsoft.com/office/drawing/2015/06/chart">
            <c:ext xmlns:c16="http://schemas.microsoft.com/office/drawing/2014/chart" uri="{C3380CC4-5D6E-409C-BE32-E72D297353CC}">
              <c16:uniqueId val="{00000009-9383-42BD-997D-113843E3C203}"/>
            </c:ext>
          </c:extLst>
        </c:ser>
        <c:dLbls>
          <c:showLegendKey val="0"/>
          <c:showVal val="0"/>
          <c:showCatName val="0"/>
          <c:showSerName val="0"/>
          <c:showPercent val="0"/>
          <c:showBubbleSize val="0"/>
        </c:dLbls>
        <c:axId val="842905056"/>
        <c:axId val="842908976"/>
      </c:areaChart>
      <c:catAx>
        <c:axId val="842905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2908976"/>
        <c:crosses val="autoZero"/>
        <c:auto val="1"/>
        <c:lblAlgn val="ctr"/>
        <c:lblOffset val="100"/>
        <c:noMultiLvlLbl val="0"/>
      </c:catAx>
      <c:valAx>
        <c:axId val="842908976"/>
        <c:scaling>
          <c:orientation val="minMax"/>
          <c:max val="4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2905056"/>
        <c:crosses val="autoZero"/>
        <c:crossBetween val="midCat"/>
        <c:majorUnit val="10000"/>
      </c:valAx>
      <c:spPr>
        <a:noFill/>
        <a:ln>
          <a:noFill/>
        </a:ln>
        <a:effectLst/>
      </c:spPr>
    </c:plotArea>
    <c:legend>
      <c:legendPos val="b"/>
      <c:layout>
        <c:manualLayout>
          <c:xMode val="edge"/>
          <c:yMode val="edge"/>
          <c:x val="8.8931496978930345E-3"/>
          <c:y val="0.60245429193509903"/>
          <c:w val="0.98010856921287337"/>
          <c:h val="0.3975457080649009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Dinamica portofoliului de credite acordate persoanelor juridice, situația la sfărșitul anului 2022 față de sfărșitul anului 2018</c:v>
                </c:pt>
              </c:strCache>
            </c:strRef>
          </c:tx>
          <c:spPr>
            <a:solidFill>
              <a:schemeClr val="accent1"/>
            </a:solidFill>
            <a:ln>
              <a:noFill/>
            </a:ln>
            <a:effectLst/>
          </c:spPr>
          <c:invertIfNegative val="0"/>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2ACE-4127-80BF-9D7CD05364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Industria productivă</c:v>
                </c:pt>
                <c:pt idx="1">
                  <c:v>Prestarea serviciilor</c:v>
                </c:pt>
                <c:pt idx="2">
                  <c:v>Industria energetică</c:v>
                </c:pt>
                <c:pt idx="3">
                  <c:v>Industria alimentară</c:v>
                </c:pt>
                <c:pt idx="4">
                  <c:v>Transport, telecomunicaţii şi dezvoltarea reţelei</c:v>
                </c:pt>
                <c:pt idx="5">
                  <c:v>Comerţ</c:v>
                </c:pt>
                <c:pt idx="6">
                  <c:v>Portofoliul de credite total</c:v>
                </c:pt>
                <c:pt idx="7">
                  <c:v>Agricultura</c:v>
                </c:pt>
                <c:pt idx="8">
                  <c:v>Mediul financiar nebancar</c:v>
                </c:pt>
                <c:pt idx="9">
                  <c:v>Construcţii</c:v>
                </c:pt>
                <c:pt idx="10">
                  <c:v>Alte credite</c:v>
                </c:pt>
              </c:strCache>
            </c:strRef>
          </c:cat>
          <c:val>
            <c:numRef>
              <c:f>Sheet1!$B$2:$B$12</c:f>
              <c:numCache>
                <c:formatCode>0.0</c:formatCode>
                <c:ptCount val="11"/>
                <c:pt idx="0">
                  <c:v>15.779808126939017</c:v>
                </c:pt>
                <c:pt idx="1">
                  <c:v>16.798614233284397</c:v>
                </c:pt>
                <c:pt idx="2">
                  <c:v>22.018444555563036</c:v>
                </c:pt>
                <c:pt idx="3">
                  <c:v>25.19198270303292</c:v>
                </c:pt>
                <c:pt idx="4">
                  <c:v>27.486648370506401</c:v>
                </c:pt>
                <c:pt idx="5">
                  <c:v>42.550331757199331</c:v>
                </c:pt>
                <c:pt idx="6">
                  <c:v>48.451257264636922</c:v>
                </c:pt>
                <c:pt idx="7">
                  <c:v>79.562497529743865</c:v>
                </c:pt>
                <c:pt idx="8">
                  <c:v>90.195652521008725</c:v>
                </c:pt>
                <c:pt idx="9">
                  <c:v>131.84847970733259</c:v>
                </c:pt>
                <c:pt idx="10">
                  <c:v>139.12077734087768</c:v>
                </c:pt>
              </c:numCache>
            </c:numRef>
          </c:val>
          <c:extLst xmlns:c16r2="http://schemas.microsoft.com/office/drawing/2015/06/chart">
            <c:ext xmlns:c16="http://schemas.microsoft.com/office/drawing/2014/chart" uri="{C3380CC4-5D6E-409C-BE32-E72D297353CC}">
              <c16:uniqueId val="{00000002-2ACE-4127-80BF-9D7CD0536457}"/>
            </c:ext>
          </c:extLst>
        </c:ser>
        <c:dLbls>
          <c:dLblPos val="outEnd"/>
          <c:showLegendKey val="0"/>
          <c:showVal val="1"/>
          <c:showCatName val="0"/>
          <c:showSerName val="0"/>
          <c:showPercent val="0"/>
          <c:showBubbleSize val="0"/>
        </c:dLbls>
        <c:gapWidth val="182"/>
        <c:axId val="842914072"/>
        <c:axId val="842910152"/>
      </c:barChart>
      <c:catAx>
        <c:axId val="842914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910152"/>
        <c:crosses val="autoZero"/>
        <c:auto val="1"/>
        <c:lblAlgn val="ctr"/>
        <c:lblOffset val="100"/>
        <c:noMultiLvlLbl val="0"/>
      </c:catAx>
      <c:valAx>
        <c:axId val="842910152"/>
        <c:scaling>
          <c:orientation val="minMax"/>
        </c:scaling>
        <c:delete val="1"/>
        <c:axPos val="b"/>
        <c:numFmt formatCode="0.0" sourceLinked="1"/>
        <c:majorTickMark val="none"/>
        <c:minorTickMark val="none"/>
        <c:tickLblPos val="nextTo"/>
        <c:crossAx val="842914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trendline>
            <c:spPr>
              <a:ln w="19050" cap="rnd">
                <a:solidFill>
                  <a:schemeClr val="accent1"/>
                </a:solidFill>
                <a:prstDash val="sysDot"/>
              </a:ln>
              <a:effectLst/>
            </c:spPr>
            <c:trendlineType val="linear"/>
            <c:dispRSqr val="0"/>
            <c:dispEq val="0"/>
          </c:trendline>
          <c:cat>
            <c:numRef>
              <c:f>Sheet1!$A$2:$A$33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Sheet1!$B$2:$B$33</c:f>
              <c:numCache>
                <c:formatCode>0.000</c:formatCode>
                <c:ptCount val="32"/>
                <c:pt idx="0">
                  <c:v>1.77394559203683E-2</c:v>
                </c:pt>
                <c:pt idx="1">
                  <c:v>1.52168115731368E-2</c:v>
                </c:pt>
                <c:pt idx="2">
                  <c:v>1.46994453960223E-2</c:v>
                </c:pt>
                <c:pt idx="3">
                  <c:v>1.69557054244957E-2</c:v>
                </c:pt>
                <c:pt idx="4">
                  <c:v>1.29720819381878E-2</c:v>
                </c:pt>
                <c:pt idx="5">
                  <c:v>1.36136723552379E-2</c:v>
                </c:pt>
                <c:pt idx="6">
                  <c:v>1.31041950970776E-2</c:v>
                </c:pt>
                <c:pt idx="7">
                  <c:v>1.12157315096892E-2</c:v>
                </c:pt>
                <c:pt idx="8">
                  <c:v>1.07126785011842E-2</c:v>
                </c:pt>
                <c:pt idx="9">
                  <c:v>8.5423029511446699E-3</c:v>
                </c:pt>
                <c:pt idx="10">
                  <c:v>9.2118074441946297E-3</c:v>
                </c:pt>
                <c:pt idx="11">
                  <c:v>1.0240221971934201E-2</c:v>
                </c:pt>
                <c:pt idx="12">
                  <c:v>1.0499693159168299E-2</c:v>
                </c:pt>
                <c:pt idx="13">
                  <c:v>1.18865986702507E-2</c:v>
                </c:pt>
                <c:pt idx="14">
                  <c:v>1.219058320076E-2</c:v>
                </c:pt>
                <c:pt idx="15">
                  <c:v>1.14672577524278E-2</c:v>
                </c:pt>
                <c:pt idx="16">
                  <c:v>1.00655462057084E-2</c:v>
                </c:pt>
                <c:pt idx="17">
                  <c:v>9.8860729764798094E-3</c:v>
                </c:pt>
                <c:pt idx="18">
                  <c:v>1.00091167178283E-2</c:v>
                </c:pt>
                <c:pt idx="19">
                  <c:v>8.9392554429014292E-3</c:v>
                </c:pt>
                <c:pt idx="20">
                  <c:v>9.0297228209675808E-3</c:v>
                </c:pt>
                <c:pt idx="21">
                  <c:v>9.3422805864462402E-3</c:v>
                </c:pt>
                <c:pt idx="22">
                  <c:v>1.11712287962237E-2</c:v>
                </c:pt>
                <c:pt idx="23">
                  <c:v>1.1786577473355099E-2</c:v>
                </c:pt>
                <c:pt idx="24">
                  <c:v>1.14431820698199E-2</c:v>
                </c:pt>
                <c:pt idx="25">
                  <c:v>1.0628337337272401E-2</c:v>
                </c:pt>
                <c:pt idx="26">
                  <c:v>1.09005902006221E-2</c:v>
                </c:pt>
                <c:pt idx="27">
                  <c:v>1.1294255564255401E-2</c:v>
                </c:pt>
                <c:pt idx="28">
                  <c:v>1.17118007315434E-2</c:v>
                </c:pt>
                <c:pt idx="29">
                  <c:v>1.2472125140582199E-2</c:v>
                </c:pt>
                <c:pt idx="30">
                  <c:v>1.17111413857478E-2</c:v>
                </c:pt>
                <c:pt idx="31">
                  <c:v>1.09114235430939E-2</c:v>
                </c:pt>
              </c:numCache>
            </c:numRef>
          </c:val>
          <c:smooth val="1"/>
          <c:extLst xmlns:c16r2="http://schemas.microsoft.com/office/drawing/2015/06/chart">
            <c:ext xmlns:c16="http://schemas.microsoft.com/office/drawing/2014/chart" uri="{C3380CC4-5D6E-409C-BE32-E72D297353CC}">
              <c16:uniqueId val="{00000001-CC57-4D24-B8F3-65E598396769}"/>
            </c:ext>
          </c:extLst>
        </c:ser>
        <c:dLbls>
          <c:showLegendKey val="0"/>
          <c:showVal val="0"/>
          <c:showCatName val="0"/>
          <c:showSerName val="0"/>
          <c:showPercent val="0"/>
          <c:showBubbleSize val="0"/>
        </c:dLbls>
        <c:smooth val="0"/>
        <c:axId val="842904272"/>
        <c:axId val="842906232"/>
      </c:lineChart>
      <c:catAx>
        <c:axId val="842904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06232"/>
        <c:crosses val="autoZero"/>
        <c:auto val="1"/>
        <c:lblAlgn val="ctr"/>
        <c:lblOffset val="100"/>
        <c:tickLblSkip val="5"/>
        <c:noMultiLvlLbl val="0"/>
      </c:catAx>
      <c:valAx>
        <c:axId val="842906232"/>
        <c:scaling>
          <c:orientation val="minMax"/>
          <c:min val="6.0000000000000019E-3"/>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04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Sheet1!$C$1</c:f>
              <c:strCache>
                <c:ptCount val="1"/>
                <c:pt idx="0">
                  <c:v>Investiții în industria prelucrătoare, mil. lei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Sheet1!$A$2:$A$7</c:f>
              <c:strCache>
                <c:ptCount val="6"/>
                <c:pt idx="0">
                  <c:v>2017</c:v>
                </c:pt>
                <c:pt idx="1">
                  <c:v>2018</c:v>
                </c:pt>
                <c:pt idx="2">
                  <c:v>2019</c:v>
                </c:pt>
                <c:pt idx="3">
                  <c:v>2020</c:v>
                </c:pt>
                <c:pt idx="4">
                  <c:v>2021</c:v>
                </c:pt>
                <c:pt idx="5">
                  <c:v>2022</c:v>
                </c:pt>
              </c:strCache>
            </c:strRef>
          </c:cat>
          <c:val>
            <c:numRef>
              <c:f>Sheet1!$C$2:$C$7</c:f>
              <c:numCache>
                <c:formatCode>0.0</c:formatCode>
                <c:ptCount val="6"/>
                <c:pt idx="0">
                  <c:v>3135.4</c:v>
                </c:pt>
                <c:pt idx="1">
                  <c:v>3455.8454106280196</c:v>
                </c:pt>
                <c:pt idx="2">
                  <c:v>3633.9913296014142</c:v>
                </c:pt>
                <c:pt idx="3">
                  <c:v>2311.9383378747762</c:v>
                </c:pt>
                <c:pt idx="4">
                  <c:v>3317.2726417205158</c:v>
                </c:pt>
                <c:pt idx="5">
                  <c:v>2283.7206855931472</c:v>
                </c:pt>
              </c:numCache>
            </c:numRef>
          </c:val>
          <c:extLst xmlns:c16r2="http://schemas.microsoft.com/office/drawing/2015/06/chart">
            <c:ext xmlns:c16="http://schemas.microsoft.com/office/drawing/2014/chart" uri="{C3380CC4-5D6E-409C-BE32-E72D297353CC}">
              <c16:uniqueId val="{00000000-C4FF-48E0-BE51-C0F9D08A23BB}"/>
            </c:ext>
          </c:extLst>
        </c:ser>
        <c:dLbls>
          <c:showLegendKey val="0"/>
          <c:showVal val="0"/>
          <c:showCatName val="0"/>
          <c:showSerName val="0"/>
          <c:showPercent val="0"/>
          <c:showBubbleSize val="0"/>
        </c:dLbls>
        <c:gapWidth val="219"/>
        <c:axId val="998291864"/>
        <c:axId val="998283632"/>
      </c:barChart>
      <c:lineChart>
        <c:grouping val="standard"/>
        <c:varyColors val="0"/>
        <c:ser>
          <c:idx val="0"/>
          <c:order val="0"/>
          <c:tx>
            <c:strRef>
              <c:f>Sheet1!$B$1</c:f>
              <c:strCache>
                <c:ptCount val="1"/>
                <c:pt idx="0">
                  <c:v>în % față de anul 2017</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2017</c:v>
                </c:pt>
                <c:pt idx="1">
                  <c:v>2018</c:v>
                </c:pt>
                <c:pt idx="2">
                  <c:v>2019</c:v>
                </c:pt>
                <c:pt idx="3">
                  <c:v>2020</c:v>
                </c:pt>
                <c:pt idx="4">
                  <c:v>2021</c:v>
                </c:pt>
                <c:pt idx="5">
                  <c:v>2022</c:v>
                </c:pt>
              </c:strCache>
            </c:strRef>
          </c:cat>
          <c:val>
            <c:numRef>
              <c:f>Sheet1!$B$2:$B$7</c:f>
              <c:numCache>
                <c:formatCode>0.0</c:formatCode>
                <c:ptCount val="6"/>
                <c:pt idx="0">
                  <c:v>100</c:v>
                </c:pt>
                <c:pt idx="1">
                  <c:v>110.22024018077501</c:v>
                </c:pt>
                <c:pt idx="2">
                  <c:v>115.90200068895243</c:v>
                </c:pt>
                <c:pt idx="3">
                  <c:v>73.736631303016395</c:v>
                </c:pt>
                <c:pt idx="4">
                  <c:v>105.8006200714587</c:v>
                </c:pt>
                <c:pt idx="5">
                  <c:v>72.836661529410833</c:v>
                </c:pt>
              </c:numCache>
            </c:numRef>
          </c:val>
          <c:smooth val="1"/>
          <c:extLst xmlns:c16r2="http://schemas.microsoft.com/office/drawing/2015/06/chart">
            <c:ext xmlns:c16="http://schemas.microsoft.com/office/drawing/2014/chart" uri="{C3380CC4-5D6E-409C-BE32-E72D297353CC}">
              <c16:uniqueId val="{00000001-C4FF-48E0-BE51-C0F9D08A23BB}"/>
            </c:ext>
          </c:extLst>
        </c:ser>
        <c:dLbls>
          <c:showLegendKey val="0"/>
          <c:showVal val="0"/>
          <c:showCatName val="0"/>
          <c:showSerName val="0"/>
          <c:showPercent val="0"/>
          <c:showBubbleSize val="0"/>
        </c:dLbls>
        <c:marker val="1"/>
        <c:smooth val="0"/>
        <c:axId val="998281280"/>
        <c:axId val="998284024"/>
      </c:lineChart>
      <c:catAx>
        <c:axId val="998291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3632"/>
        <c:crosses val="autoZero"/>
        <c:auto val="1"/>
        <c:lblAlgn val="ctr"/>
        <c:lblOffset val="100"/>
        <c:noMultiLvlLbl val="0"/>
      </c:catAx>
      <c:valAx>
        <c:axId val="99828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91864"/>
        <c:crosses val="autoZero"/>
        <c:crossBetween val="between"/>
      </c:valAx>
      <c:valAx>
        <c:axId val="998284024"/>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1280"/>
        <c:crosses val="max"/>
        <c:crossBetween val="between"/>
      </c:valAx>
      <c:catAx>
        <c:axId val="998281280"/>
        <c:scaling>
          <c:orientation val="minMax"/>
        </c:scaling>
        <c:delete val="1"/>
        <c:axPos val="b"/>
        <c:numFmt formatCode="General" sourceLinked="1"/>
        <c:majorTickMark val="none"/>
        <c:minorTickMark val="none"/>
        <c:tickLblPos val="nextTo"/>
        <c:crossAx val="998284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xVal>
            <c:numRef>
              <c:f>world_investment_report_2022_se!$A$24:$A$34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world_investment_report_2022_se!$B$24:$B$34</c:f>
              <c:numCache>
                <c:formatCode>General</c:formatCode>
                <c:ptCount val="11"/>
                <c:pt idx="0">
                  <c:v>241.44</c:v>
                </c:pt>
                <c:pt idx="1">
                  <c:v>233.21</c:v>
                </c:pt>
                <c:pt idx="2">
                  <c:v>341.69</c:v>
                </c:pt>
                <c:pt idx="3">
                  <c:v>237.3</c:v>
                </c:pt>
                <c:pt idx="4">
                  <c:v>83.23</c:v>
                </c:pt>
                <c:pt idx="5">
                  <c:v>151.59</c:v>
                </c:pt>
                <c:pt idx="6">
                  <c:v>296.99</c:v>
                </c:pt>
                <c:pt idx="7">
                  <c:v>508.62</c:v>
                </c:pt>
                <c:pt idx="8">
                  <c:v>150.12</c:v>
                </c:pt>
                <c:pt idx="9">
                  <c:v>410.05</c:v>
                </c:pt>
                <c:pt idx="10">
                  <c:v>587.29999999999995</c:v>
                </c:pt>
              </c:numCache>
            </c:numRef>
          </c:yVal>
          <c:smooth val="1"/>
          <c:extLst xmlns:c16r2="http://schemas.microsoft.com/office/drawing/2015/06/chart">
            <c:ext xmlns:c16="http://schemas.microsoft.com/office/drawing/2014/chart" uri="{C3380CC4-5D6E-409C-BE32-E72D297353CC}">
              <c16:uniqueId val="{00000001-CD3C-421B-99BF-EBB7FFB86E95}"/>
            </c:ext>
          </c:extLst>
        </c:ser>
        <c:dLbls>
          <c:showLegendKey val="0"/>
          <c:showVal val="0"/>
          <c:showCatName val="0"/>
          <c:showSerName val="0"/>
          <c:showPercent val="0"/>
          <c:showBubbleSize val="0"/>
        </c:dLbls>
        <c:axId val="998282064"/>
        <c:axId val="998287552"/>
      </c:scatterChart>
      <c:valAx>
        <c:axId val="9982820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7552"/>
        <c:crosses val="autoZero"/>
        <c:crossBetween val="midCat"/>
      </c:valAx>
      <c:valAx>
        <c:axId val="9982875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2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F62-48E7-A720-EE8B6C8C75B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9F62-48E7-A720-EE8B6C8C75B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F62-48E7-A720-EE8B6C8C75B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9F62-48E7-A720-EE8B6C8C75B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9F62-48E7-A720-EE8B6C8C75B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9F62-48E7-A720-EE8B6C8C75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Activități financiare și asigurări</c:v>
                </c:pt>
                <c:pt idx="1">
                  <c:v>Comerț</c:v>
                </c:pt>
                <c:pt idx="2">
                  <c:v>Industria prelucrătoare</c:v>
                </c:pt>
                <c:pt idx="3">
                  <c:v>Informații și comunicații</c:v>
                </c:pt>
                <c:pt idx="4">
                  <c:v>Transport și depozitare</c:v>
                </c:pt>
                <c:pt idx="5">
                  <c:v>Altele</c:v>
                </c:pt>
              </c:strCache>
            </c:strRef>
          </c:cat>
          <c:val>
            <c:numRef>
              <c:f>Sheet1!$B$2:$B$7</c:f>
              <c:numCache>
                <c:formatCode>General</c:formatCode>
                <c:ptCount val="6"/>
                <c:pt idx="0">
                  <c:v>34.4</c:v>
                </c:pt>
                <c:pt idx="1">
                  <c:v>24.3</c:v>
                </c:pt>
                <c:pt idx="2">
                  <c:v>20.6</c:v>
                </c:pt>
                <c:pt idx="3">
                  <c:v>4.9000000000000004</c:v>
                </c:pt>
                <c:pt idx="4">
                  <c:v>4.3</c:v>
                </c:pt>
                <c:pt idx="5">
                  <c:v>11.5</c:v>
                </c:pt>
              </c:numCache>
            </c:numRef>
          </c:val>
          <c:extLst xmlns:c16r2="http://schemas.microsoft.com/office/drawing/2015/06/chart">
            <c:ext xmlns:c16="http://schemas.microsoft.com/office/drawing/2014/chart" uri="{C3380CC4-5D6E-409C-BE32-E72D297353CC}">
              <c16:uniqueId val="{0000000C-9F62-48E7-A720-EE8B6C8C75B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2"/>
            <c:dispRSqr val="0"/>
            <c:dispEq val="0"/>
          </c:trendline>
          <c:xVal>
            <c:numRef>
              <c:f>'[Chart in Microsoft Word]Sheet1'!$A$2:$A$12</c:f>
              <c:numCache>
                <c:formatCode>General</c:formatCode>
                <c:ptCount val="11"/>
                <c:pt idx="0">
                  <c:v>2000</c:v>
                </c:pt>
                <c:pt idx="1">
                  <c:v>2002</c:v>
                </c:pt>
                <c:pt idx="2">
                  <c:v>2004</c:v>
                </c:pt>
                <c:pt idx="3">
                  <c:v>2006</c:v>
                </c:pt>
                <c:pt idx="4">
                  <c:v>2008</c:v>
                </c:pt>
                <c:pt idx="5">
                  <c:v>2010</c:v>
                </c:pt>
                <c:pt idx="6">
                  <c:v>2012</c:v>
                </c:pt>
                <c:pt idx="7">
                  <c:v>2014</c:v>
                </c:pt>
                <c:pt idx="8">
                  <c:v>2016</c:v>
                </c:pt>
                <c:pt idx="9">
                  <c:v>2018</c:v>
                </c:pt>
                <c:pt idx="10">
                  <c:v>2020</c:v>
                </c:pt>
              </c:numCache>
            </c:numRef>
          </c:xVal>
          <c:yVal>
            <c:numRef>
              <c:f>'[Chart in Microsoft Word]Sheet1'!$B$2:$B$12</c:f>
              <c:numCache>
                <c:formatCode>General</c:formatCode>
                <c:ptCount val="11"/>
                <c:pt idx="0">
                  <c:v>6.9</c:v>
                </c:pt>
                <c:pt idx="1">
                  <c:v>7.2</c:v>
                </c:pt>
                <c:pt idx="2">
                  <c:v>6.9</c:v>
                </c:pt>
                <c:pt idx="3">
                  <c:v>7.7</c:v>
                </c:pt>
                <c:pt idx="4">
                  <c:v>9.8000000000000007</c:v>
                </c:pt>
                <c:pt idx="5">
                  <c:v>8.9</c:v>
                </c:pt>
                <c:pt idx="6">
                  <c:v>12.3</c:v>
                </c:pt>
                <c:pt idx="7">
                  <c:v>18.8</c:v>
                </c:pt>
                <c:pt idx="8">
                  <c:v>19.5</c:v>
                </c:pt>
                <c:pt idx="9">
                  <c:v>17.600000000000001</c:v>
                </c:pt>
                <c:pt idx="10">
                  <c:v>23</c:v>
                </c:pt>
              </c:numCache>
            </c:numRef>
          </c:yVal>
          <c:smooth val="1"/>
          <c:extLst xmlns:c16r2="http://schemas.microsoft.com/office/drawing/2015/06/chart">
            <c:ext xmlns:c16="http://schemas.microsoft.com/office/drawing/2014/chart" uri="{C3380CC4-5D6E-409C-BE32-E72D297353CC}">
              <c16:uniqueId val="{00000001-F167-4B99-A626-BB456BA5D960}"/>
            </c:ext>
          </c:extLst>
        </c:ser>
        <c:dLbls>
          <c:dLblPos val="b"/>
          <c:showLegendKey val="0"/>
          <c:showVal val="1"/>
          <c:showCatName val="0"/>
          <c:showSerName val="0"/>
          <c:showPercent val="0"/>
          <c:showBubbleSize val="0"/>
        </c:dLbls>
        <c:axId val="998285200"/>
        <c:axId val="998286768"/>
      </c:scatterChart>
      <c:valAx>
        <c:axId val="9982852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6768"/>
        <c:crosses val="autoZero"/>
        <c:crossBetween val="midCat"/>
      </c:valAx>
      <c:valAx>
        <c:axId val="99828676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520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'[Chart in Microsoft Word]Sheet1'!$A$2:$A$12</c:f>
              <c:numCache>
                <c:formatCode>General</c:formatCode>
                <c:ptCount val="11"/>
                <c:pt idx="0">
                  <c:v>2000</c:v>
                </c:pt>
                <c:pt idx="1">
                  <c:v>2002</c:v>
                </c:pt>
                <c:pt idx="2">
                  <c:v>2004</c:v>
                </c:pt>
                <c:pt idx="3">
                  <c:v>2006</c:v>
                </c:pt>
                <c:pt idx="4">
                  <c:v>2008</c:v>
                </c:pt>
                <c:pt idx="5">
                  <c:v>2010</c:v>
                </c:pt>
                <c:pt idx="6">
                  <c:v>2012</c:v>
                </c:pt>
                <c:pt idx="7">
                  <c:v>2014</c:v>
                </c:pt>
                <c:pt idx="8">
                  <c:v>2016</c:v>
                </c:pt>
                <c:pt idx="9">
                  <c:v>2018</c:v>
                </c:pt>
                <c:pt idx="10">
                  <c:v>2020</c:v>
                </c:pt>
              </c:numCache>
            </c:numRef>
          </c:xVal>
          <c:yVal>
            <c:numRef>
              <c:f>'[Chart in Microsoft Word]Sheet1'!$B$2:$B$12</c:f>
              <c:numCache>
                <c:formatCode>General</c:formatCode>
                <c:ptCount val="11"/>
                <c:pt idx="0">
                  <c:v>0.72299999999999998</c:v>
                </c:pt>
                <c:pt idx="1">
                  <c:v>0.69499999999999995</c:v>
                </c:pt>
                <c:pt idx="2">
                  <c:v>0.624</c:v>
                </c:pt>
                <c:pt idx="3">
                  <c:v>0.95299999999999996</c:v>
                </c:pt>
                <c:pt idx="4">
                  <c:v>0.89400000000000002</c:v>
                </c:pt>
                <c:pt idx="5">
                  <c:v>1.4259999999999999</c:v>
                </c:pt>
                <c:pt idx="6">
                  <c:v>1.393</c:v>
                </c:pt>
                <c:pt idx="7">
                  <c:v>0.99199999999999999</c:v>
                </c:pt>
                <c:pt idx="8">
                  <c:v>0.79700000000000004</c:v>
                </c:pt>
                <c:pt idx="9">
                  <c:v>1.012</c:v>
                </c:pt>
                <c:pt idx="10">
                  <c:v>0.78</c:v>
                </c:pt>
              </c:numCache>
            </c:numRef>
          </c:yVal>
          <c:smooth val="1"/>
          <c:extLst xmlns:c16r2="http://schemas.microsoft.com/office/drawing/2015/06/chart">
            <c:ext xmlns:c16="http://schemas.microsoft.com/office/drawing/2014/chart" uri="{C3380CC4-5D6E-409C-BE32-E72D297353CC}">
              <c16:uniqueId val="{00000001-6CAA-4F8A-8957-4D191A009E78}"/>
            </c:ext>
          </c:extLst>
        </c:ser>
        <c:dLbls>
          <c:dLblPos val="b"/>
          <c:showLegendKey val="0"/>
          <c:showVal val="1"/>
          <c:showCatName val="0"/>
          <c:showSerName val="0"/>
          <c:showPercent val="0"/>
          <c:showBubbleSize val="0"/>
        </c:dLbls>
        <c:axId val="998300488"/>
        <c:axId val="998304800"/>
      </c:scatterChart>
      <c:valAx>
        <c:axId val="998300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04800"/>
        <c:crosses val="autoZero"/>
        <c:crossBetween val="midCat"/>
      </c:valAx>
      <c:valAx>
        <c:axId val="998304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0048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Sheet1!$A$11</c:f>
              <c:strCache>
                <c:ptCount val="1"/>
                <c:pt idx="0">
                  <c:v>Bunuri de uz curent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Sheet1!$B$10:$J$10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Sheet1!$B$11:$J$11</c:f>
              <c:numCache>
                <c:formatCode>0</c:formatCode>
                <c:ptCount val="9"/>
                <c:pt idx="0">
                  <c:v>51</c:v>
                </c:pt>
                <c:pt idx="1">
                  <c:v>51</c:v>
                </c:pt>
                <c:pt idx="2">
                  <c:v>52.6</c:v>
                </c:pt>
                <c:pt idx="3">
                  <c:v>51.9</c:v>
                </c:pt>
                <c:pt idx="4">
                  <c:v>48.3</c:v>
                </c:pt>
                <c:pt idx="5">
                  <c:v>47.5</c:v>
                </c:pt>
                <c:pt idx="6">
                  <c:v>46.7</c:v>
                </c:pt>
                <c:pt idx="7">
                  <c:v>47.1</c:v>
                </c:pt>
                <c:pt idx="8">
                  <c:v>51.4</c:v>
                </c:pt>
              </c:numCache>
            </c:numRef>
          </c:val>
          <c:extLst xmlns:c16r2="http://schemas.microsoft.com/office/drawing/2015/06/chart">
            <c:ext xmlns:c16="http://schemas.microsoft.com/office/drawing/2014/chart" uri="{C3380CC4-5D6E-409C-BE32-E72D297353CC}">
              <c16:uniqueId val="{00000000-9CDA-4B44-B4E5-C36161C709D4}"/>
            </c:ext>
          </c:extLst>
        </c:ser>
        <c:ser>
          <c:idx val="1"/>
          <c:order val="1"/>
          <c:tx>
            <c:strRef>
              <c:f>Sheet1!$A$12</c:f>
              <c:strCache>
                <c:ptCount val="1"/>
                <c:pt idx="0">
                  <c:v>Bunuri intermediare (excepție energie)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Sheet1!$B$10:$J$10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Sheet1!$B$12:$J$12</c:f>
              <c:numCache>
                <c:formatCode>0</c:formatCode>
                <c:ptCount val="9"/>
                <c:pt idx="0">
                  <c:v>22.2</c:v>
                </c:pt>
                <c:pt idx="1">
                  <c:v>23.5</c:v>
                </c:pt>
                <c:pt idx="2">
                  <c:v>21.4</c:v>
                </c:pt>
                <c:pt idx="3">
                  <c:v>21.6</c:v>
                </c:pt>
                <c:pt idx="4">
                  <c:v>23.2</c:v>
                </c:pt>
                <c:pt idx="5">
                  <c:v>24</c:v>
                </c:pt>
                <c:pt idx="6">
                  <c:v>25.6</c:v>
                </c:pt>
                <c:pt idx="7">
                  <c:v>22.4</c:v>
                </c:pt>
                <c:pt idx="8">
                  <c:v>22.6</c:v>
                </c:pt>
              </c:numCache>
            </c:numRef>
          </c:val>
          <c:extLst xmlns:c16r2="http://schemas.microsoft.com/office/drawing/2015/06/chart">
            <c:ext xmlns:c16="http://schemas.microsoft.com/office/drawing/2014/chart" uri="{C3380CC4-5D6E-409C-BE32-E72D297353CC}">
              <c16:uniqueId val="{00000001-9CDA-4B44-B4E5-C36161C709D4}"/>
            </c:ext>
          </c:extLst>
        </c:ser>
        <c:ser>
          <c:idx val="2"/>
          <c:order val="2"/>
          <c:tx>
            <c:strRef>
              <c:f>Sheet1!$A$13</c:f>
              <c:strCache>
                <c:ptCount val="1"/>
                <c:pt idx="0">
                  <c:v>Bunuri de capital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Sheet1!$B$10:$J$10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Sheet1!$B$13:$J$13</c:f>
              <c:numCache>
                <c:formatCode>0</c:formatCode>
                <c:ptCount val="9"/>
                <c:pt idx="0">
                  <c:v>5.3</c:v>
                </c:pt>
                <c:pt idx="1">
                  <c:v>5.4</c:v>
                </c:pt>
                <c:pt idx="2">
                  <c:v>6.5</c:v>
                </c:pt>
                <c:pt idx="3">
                  <c:v>6.9</c:v>
                </c:pt>
                <c:pt idx="4">
                  <c:v>8.3000000000000007</c:v>
                </c:pt>
                <c:pt idx="5">
                  <c:v>9.5</c:v>
                </c:pt>
                <c:pt idx="6">
                  <c:v>8.5</c:v>
                </c:pt>
                <c:pt idx="7">
                  <c:v>10.9</c:v>
                </c:pt>
                <c:pt idx="8">
                  <c:v>9</c:v>
                </c:pt>
              </c:numCache>
            </c:numRef>
          </c:val>
          <c:extLst xmlns:c16r2="http://schemas.microsoft.com/office/drawing/2015/06/chart">
            <c:ext xmlns:c16="http://schemas.microsoft.com/office/drawing/2014/chart" uri="{C3380CC4-5D6E-409C-BE32-E72D297353CC}">
              <c16:uniqueId val="{00000002-9CDA-4B44-B4E5-C36161C709D4}"/>
            </c:ext>
          </c:extLst>
        </c:ser>
        <c:ser>
          <c:idx val="3"/>
          <c:order val="3"/>
          <c:tx>
            <c:strRef>
              <c:f>Sheet1!$A$14</c:f>
              <c:strCache>
                <c:ptCount val="1"/>
                <c:pt idx="0">
                  <c:v>Bunuri durabile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Sheet1!$B$10:$J$10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Sheet1!$B$14:$J$14</c:f>
              <c:numCache>
                <c:formatCode>0</c:formatCode>
                <c:ptCount val="9"/>
                <c:pt idx="0">
                  <c:v>2.5</c:v>
                </c:pt>
                <c:pt idx="1">
                  <c:v>2.5</c:v>
                </c:pt>
                <c:pt idx="2">
                  <c:v>2.7</c:v>
                </c:pt>
                <c:pt idx="3">
                  <c:v>2.7</c:v>
                </c:pt>
                <c:pt idx="4">
                  <c:v>2.8</c:v>
                </c:pt>
                <c:pt idx="5">
                  <c:v>2.9</c:v>
                </c:pt>
                <c:pt idx="6">
                  <c:v>3.1</c:v>
                </c:pt>
                <c:pt idx="7">
                  <c:v>3.5</c:v>
                </c:pt>
                <c:pt idx="8">
                  <c:v>3.2</c:v>
                </c:pt>
              </c:numCache>
            </c:numRef>
          </c:val>
          <c:extLst xmlns:c16r2="http://schemas.microsoft.com/office/drawing/2015/06/chart">
            <c:ext xmlns:c16="http://schemas.microsoft.com/office/drawing/2014/chart" uri="{C3380CC4-5D6E-409C-BE32-E72D297353CC}">
              <c16:uniqueId val="{00000003-9CDA-4B44-B4E5-C36161C709D4}"/>
            </c:ext>
          </c:extLst>
        </c:ser>
        <c:ser>
          <c:idx val="4"/>
          <c:order val="4"/>
          <c:tx>
            <c:strRef>
              <c:f>Sheet1!$A$15</c:f>
              <c:strCache>
                <c:ptCount val="1"/>
                <c:pt idx="0">
                  <c:v>Industria extractivă</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Sheet1!$B$10:$J$10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Sheet1!$B$15:$J$15</c:f>
              <c:numCache>
                <c:formatCode>0</c:formatCode>
                <c:ptCount val="9"/>
                <c:pt idx="0">
                  <c:v>1.8</c:v>
                </c:pt>
                <c:pt idx="1">
                  <c:v>1.7</c:v>
                </c:pt>
                <c:pt idx="2">
                  <c:v>1.4</c:v>
                </c:pt>
                <c:pt idx="3">
                  <c:v>1.4</c:v>
                </c:pt>
                <c:pt idx="4">
                  <c:v>1.5</c:v>
                </c:pt>
                <c:pt idx="5">
                  <c:v>1.6</c:v>
                </c:pt>
                <c:pt idx="6">
                  <c:v>1.7</c:v>
                </c:pt>
                <c:pt idx="7">
                  <c:v>1.6</c:v>
                </c:pt>
                <c:pt idx="8">
                  <c:v>1.4</c:v>
                </c:pt>
              </c:numCache>
            </c:numRef>
          </c:val>
          <c:extLst xmlns:c16r2="http://schemas.microsoft.com/office/drawing/2015/06/chart">
            <c:ext xmlns:c16="http://schemas.microsoft.com/office/drawing/2014/chart" uri="{C3380CC4-5D6E-409C-BE32-E72D297353CC}">
              <c16:uniqueId val="{00000004-9CDA-4B44-B4E5-C36161C709D4}"/>
            </c:ext>
          </c:extLst>
        </c:ser>
        <c:ser>
          <c:idx val="5"/>
          <c:order val="5"/>
          <c:tx>
            <c:strRef>
              <c:f>Sheet1!$A$16</c:f>
              <c:strCache>
                <c:ptCount val="1"/>
                <c:pt idx="0">
                  <c:v>Sector energetic, distribuția apei; salubritate</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Sheet1!$B$10:$J$10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Sheet1!$B$16:$J$16</c:f>
              <c:numCache>
                <c:formatCode>0</c:formatCode>
                <c:ptCount val="9"/>
                <c:pt idx="0">
                  <c:v>16.8</c:v>
                </c:pt>
                <c:pt idx="1">
                  <c:v>15.7</c:v>
                </c:pt>
                <c:pt idx="2">
                  <c:v>15.3</c:v>
                </c:pt>
                <c:pt idx="3">
                  <c:v>15.3</c:v>
                </c:pt>
                <c:pt idx="4">
                  <c:v>15.8</c:v>
                </c:pt>
                <c:pt idx="5">
                  <c:v>14.3</c:v>
                </c:pt>
                <c:pt idx="6">
                  <c:v>14.4</c:v>
                </c:pt>
                <c:pt idx="7">
                  <c:v>14.4</c:v>
                </c:pt>
                <c:pt idx="8">
                  <c:v>12.3</c:v>
                </c:pt>
              </c:numCache>
            </c:numRef>
          </c:val>
          <c:extLst xmlns:c16r2="http://schemas.microsoft.com/office/drawing/2015/06/chart">
            <c:ext xmlns:c16="http://schemas.microsoft.com/office/drawing/2014/chart" uri="{C3380CC4-5D6E-409C-BE32-E72D297353CC}">
              <c16:uniqueId val="{00000005-9CDA-4B44-B4E5-C36161C709D4}"/>
            </c:ext>
          </c:extLst>
        </c:ser>
        <c:dLbls>
          <c:showLegendKey val="0"/>
          <c:showVal val="0"/>
          <c:showCatName val="0"/>
          <c:showSerName val="0"/>
          <c:showPercent val="0"/>
          <c:showBubbleSize val="0"/>
        </c:dLbls>
        <c:gapWidth val="150"/>
        <c:overlap val="100"/>
        <c:axId val="515960224"/>
        <c:axId val="515960616"/>
      </c:barChart>
      <c:catAx>
        <c:axId val="515960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960616"/>
        <c:crosses val="autoZero"/>
        <c:auto val="1"/>
        <c:lblAlgn val="ctr"/>
        <c:lblOffset val="100"/>
        <c:noMultiLvlLbl val="0"/>
      </c:catAx>
      <c:valAx>
        <c:axId val="5159606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9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14892848356824E-2"/>
          <c:y val="5.4536440257808627E-2"/>
          <c:w val="0.90301868809986274"/>
          <c:h val="0.61002658505069129"/>
        </c:manualLayout>
      </c:layout>
      <c:barChart>
        <c:barDir val="col"/>
        <c:grouping val="stacked"/>
        <c:varyColors val="0"/>
        <c:ser>
          <c:idx val="0"/>
          <c:order val="0"/>
          <c:tx>
            <c:strRef>
              <c:f>Sheet4!$A$38</c:f>
              <c:strCache>
                <c:ptCount val="1"/>
                <c:pt idx="0">
                  <c:v>Produse agricole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Sheet4!$C$2:$K$2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Sheet4!$C$38:$K$38</c:f>
              <c:numCache>
                <c:formatCode>0</c:formatCode>
                <c:ptCount val="9"/>
                <c:pt idx="0">
                  <c:v>499.68099999999998</c:v>
                </c:pt>
                <c:pt idx="1">
                  <c:v>445.32100000000003</c:v>
                </c:pt>
                <c:pt idx="2">
                  <c:v>516.86599999999999</c:v>
                </c:pt>
                <c:pt idx="3">
                  <c:v>646.68700000000001</c:v>
                </c:pt>
                <c:pt idx="4">
                  <c:v>663.04399999999998</c:v>
                </c:pt>
                <c:pt idx="5">
                  <c:v>702.22199999999998</c:v>
                </c:pt>
                <c:pt idx="6">
                  <c:v>557.98199999999997</c:v>
                </c:pt>
                <c:pt idx="7">
                  <c:v>854.36300000000006</c:v>
                </c:pt>
                <c:pt idx="8">
                  <c:v>1018.509</c:v>
                </c:pt>
              </c:numCache>
            </c:numRef>
          </c:val>
          <c:extLst xmlns:c16r2="http://schemas.microsoft.com/office/drawing/2015/06/chart">
            <c:ext xmlns:c16="http://schemas.microsoft.com/office/drawing/2014/chart" uri="{C3380CC4-5D6E-409C-BE32-E72D297353CC}">
              <c16:uniqueId val="{00000000-2752-4948-9559-C9F39BCD0A1C}"/>
            </c:ext>
          </c:extLst>
        </c:ser>
        <c:ser>
          <c:idx val="1"/>
          <c:order val="1"/>
          <c:tx>
            <c:strRef>
              <c:f>Sheet4!$A$39</c:f>
              <c:strCache>
                <c:ptCount val="1"/>
                <c:pt idx="0">
                  <c:v>Produse ale industriei alimentare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Sheet4!$C$2:$K$2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Sheet4!$C$39:$K$39</c:f>
              <c:numCache>
                <c:formatCode>0</c:formatCode>
                <c:ptCount val="9"/>
                <c:pt idx="0">
                  <c:v>484.536</c:v>
                </c:pt>
                <c:pt idx="1">
                  <c:v>380.31900000000002</c:v>
                </c:pt>
                <c:pt idx="2">
                  <c:v>378.66300000000001</c:v>
                </c:pt>
                <c:pt idx="3">
                  <c:v>425.91899999999998</c:v>
                </c:pt>
                <c:pt idx="4">
                  <c:v>429.99900000000002</c:v>
                </c:pt>
                <c:pt idx="5">
                  <c:v>443.24099999999999</c:v>
                </c:pt>
                <c:pt idx="6">
                  <c:v>490.01499999999999</c:v>
                </c:pt>
                <c:pt idx="7">
                  <c:v>534.62699999999995</c:v>
                </c:pt>
                <c:pt idx="8">
                  <c:v>824.68200000000002</c:v>
                </c:pt>
              </c:numCache>
            </c:numRef>
          </c:val>
          <c:extLst xmlns:c16r2="http://schemas.microsoft.com/office/drawing/2015/06/chart">
            <c:ext xmlns:c16="http://schemas.microsoft.com/office/drawing/2014/chart" uri="{C3380CC4-5D6E-409C-BE32-E72D297353CC}">
              <c16:uniqueId val="{00000001-2752-4948-9559-C9F39BCD0A1C}"/>
            </c:ext>
          </c:extLst>
        </c:ser>
        <c:ser>
          <c:idx val="2"/>
          <c:order val="2"/>
          <c:tx>
            <c:strRef>
              <c:f>Sheet4!$A$40</c:f>
              <c:strCache>
                <c:ptCount val="1"/>
                <c:pt idx="0">
                  <c:v>Produse industriale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Sheet4!$C$2:$K$2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Sheet4!$C$40:$K$40</c:f>
              <c:numCache>
                <c:formatCode>0</c:formatCode>
                <c:ptCount val="9"/>
                <c:pt idx="0">
                  <c:v>545.36699999999996</c:v>
                </c:pt>
                <c:pt idx="1">
                  <c:v>478.30399999999997</c:v>
                </c:pt>
                <c:pt idx="2">
                  <c:v>455.26799999999997</c:v>
                </c:pt>
                <c:pt idx="3">
                  <c:v>568.07799999999997</c:v>
                </c:pt>
                <c:pt idx="4">
                  <c:v>758.94</c:v>
                </c:pt>
                <c:pt idx="5">
                  <c:v>851.83900000000006</c:v>
                </c:pt>
                <c:pt idx="6">
                  <c:v>838.96199999999999</c:v>
                </c:pt>
                <c:pt idx="7">
                  <c:v>1043.6089999999999</c:v>
                </c:pt>
                <c:pt idx="8">
                  <c:v>1122.164</c:v>
                </c:pt>
              </c:numCache>
            </c:numRef>
          </c:val>
          <c:extLst xmlns:c16r2="http://schemas.microsoft.com/office/drawing/2015/06/chart">
            <c:ext xmlns:c16="http://schemas.microsoft.com/office/drawing/2014/chart" uri="{C3380CC4-5D6E-409C-BE32-E72D297353CC}">
              <c16:uniqueId val="{00000002-2752-4948-9559-C9F39BCD0A1C}"/>
            </c:ext>
          </c:extLst>
        </c:ser>
        <c:dLbls>
          <c:showLegendKey val="0"/>
          <c:showVal val="0"/>
          <c:showCatName val="0"/>
          <c:showSerName val="0"/>
          <c:showPercent val="0"/>
          <c:showBubbleSize val="0"/>
        </c:dLbls>
        <c:gapWidth val="150"/>
        <c:overlap val="100"/>
        <c:axId val="515961400"/>
        <c:axId val="515972768"/>
      </c:barChart>
      <c:lineChart>
        <c:grouping val="standard"/>
        <c:varyColors val="0"/>
        <c:ser>
          <c:idx val="3"/>
          <c:order val="3"/>
          <c:tx>
            <c:strRef>
              <c:f>Sheet4!$A$41</c:f>
              <c:strCache>
                <c:ptCount val="1"/>
                <c:pt idx="0">
                  <c:v>Total</c:v>
                </c:pt>
              </c:strCache>
            </c:strRef>
          </c:tx>
          <c:spPr>
            <a:ln w="22225" cap="rnd">
              <a:solidFill>
                <a:schemeClr val="accent5">
                  <a:lumMod val="75000"/>
                </a:schemeClr>
              </a:solidFill>
              <a:prstDash val="sysDash"/>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Sheet4!$C$2:$K$2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Sheet4!$C$41:$K$41</c:f>
              <c:numCache>
                <c:formatCode>0</c:formatCode>
                <c:ptCount val="9"/>
                <c:pt idx="0">
                  <c:v>1529.633</c:v>
                </c:pt>
                <c:pt idx="1">
                  <c:v>1303.9949999999999</c:v>
                </c:pt>
                <c:pt idx="2">
                  <c:v>1350.866</c:v>
                </c:pt>
                <c:pt idx="3">
                  <c:v>1640.7560000000001</c:v>
                </c:pt>
                <c:pt idx="4">
                  <c:v>1852.384</c:v>
                </c:pt>
                <c:pt idx="5">
                  <c:v>1997.6120000000001</c:v>
                </c:pt>
                <c:pt idx="6">
                  <c:v>1887.2860000000001</c:v>
                </c:pt>
                <c:pt idx="7">
                  <c:v>2433.2130000000002</c:v>
                </c:pt>
                <c:pt idx="8">
                  <c:v>2966.3069999999998</c:v>
                </c:pt>
              </c:numCache>
            </c:numRef>
          </c:val>
          <c:smooth val="1"/>
          <c:extLst xmlns:c16r2="http://schemas.microsoft.com/office/drawing/2015/06/chart">
            <c:ext xmlns:c16="http://schemas.microsoft.com/office/drawing/2014/chart" uri="{C3380CC4-5D6E-409C-BE32-E72D297353CC}">
              <c16:uniqueId val="{00000003-2752-4948-9559-C9F39BCD0A1C}"/>
            </c:ext>
          </c:extLst>
        </c:ser>
        <c:dLbls>
          <c:showLegendKey val="0"/>
          <c:showVal val="0"/>
          <c:showCatName val="0"/>
          <c:showSerName val="0"/>
          <c:showPercent val="0"/>
          <c:showBubbleSize val="0"/>
        </c:dLbls>
        <c:marker val="1"/>
        <c:smooth val="0"/>
        <c:axId val="515961400"/>
        <c:axId val="515972768"/>
      </c:lineChart>
      <c:catAx>
        <c:axId val="515961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5972768"/>
        <c:crosses val="autoZero"/>
        <c:auto val="1"/>
        <c:lblAlgn val="ctr"/>
        <c:lblOffset val="100"/>
        <c:noMultiLvlLbl val="0"/>
      </c:catAx>
      <c:valAx>
        <c:axId val="515972768"/>
        <c:scaling>
          <c:orientation val="minMax"/>
          <c:max val="3000"/>
        </c:scaling>
        <c:delete val="1"/>
        <c:axPos val="l"/>
        <c:numFmt formatCode="0" sourceLinked="1"/>
        <c:majorTickMark val="none"/>
        <c:minorTickMark val="none"/>
        <c:tickLblPos val="nextTo"/>
        <c:crossAx val="515961400"/>
        <c:crosses val="autoZero"/>
        <c:crossBetween val="between"/>
      </c:valAx>
      <c:spPr>
        <a:noFill/>
        <a:ln>
          <a:noFill/>
        </a:ln>
        <a:effectLst/>
      </c:spPr>
    </c:plotArea>
    <c:legend>
      <c:legendPos val="b"/>
      <c:layout>
        <c:manualLayout>
          <c:xMode val="edge"/>
          <c:yMode val="edge"/>
          <c:x val="2.5244675964554032E-2"/>
          <c:y val="0.77605705831143945"/>
          <c:w val="0.9582499969893975"/>
          <c:h val="0.194195792457028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38984771255055E-2"/>
          <c:y val="5.4890219560878244E-2"/>
          <c:w val="0.91992758227397309"/>
          <c:h val="0.67070701117450149"/>
        </c:manualLayout>
      </c:layout>
      <c:lineChart>
        <c:grouping val="standard"/>
        <c:varyColors val="0"/>
        <c:ser>
          <c:idx val="0"/>
          <c:order val="0"/>
          <c:tx>
            <c:strRef>
              <c:f>Sheet4!$A$10</c:f>
              <c:strCache>
                <c:ptCount val="1"/>
                <c:pt idx="0">
                  <c:v>Produse industriale</c:v>
                </c:pt>
              </c:strCache>
            </c:strRef>
          </c:tx>
          <c:spPr>
            <a:ln w="22225" cap="rnd">
              <a:solidFill>
                <a:schemeClr val="accent1"/>
              </a:solidFill>
              <a:prstDash val="sysDash"/>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Sheet4!$C$9:$K$9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Sheet4!$C$10:$K$10</c:f>
              <c:numCache>
                <c:formatCode>0.0</c:formatCode>
                <c:ptCount val="9"/>
                <c:pt idx="0">
                  <c:v>35.653454129193079</c:v>
                </c:pt>
                <c:pt idx="1">
                  <c:v>36.679895244997105</c:v>
                </c:pt>
                <c:pt idx="2">
                  <c:v>33.701936387472927</c:v>
                </c:pt>
                <c:pt idx="3">
                  <c:v>34.622942107174985</c:v>
                </c:pt>
                <c:pt idx="4">
                  <c:v>40.970986577297147</c:v>
                </c:pt>
                <c:pt idx="5">
                  <c:v>42.642865581504317</c:v>
                </c:pt>
                <c:pt idx="6">
                  <c:v>44.453357890642963</c:v>
                </c:pt>
                <c:pt idx="7">
                  <c:v>42.890162102536848</c:v>
                </c:pt>
                <c:pt idx="8">
                  <c:v>37.830339206292535</c:v>
                </c:pt>
              </c:numCache>
            </c:numRef>
          </c:val>
          <c:smooth val="1"/>
          <c:extLst xmlns:c16r2="http://schemas.microsoft.com/office/drawing/2015/06/chart">
            <c:ext xmlns:c16="http://schemas.microsoft.com/office/drawing/2014/chart" uri="{C3380CC4-5D6E-409C-BE32-E72D297353CC}">
              <c16:uniqueId val="{00000000-9B27-488F-96C1-46342E825005}"/>
            </c:ext>
          </c:extLst>
        </c:ser>
        <c:ser>
          <c:idx val="2"/>
          <c:order val="1"/>
          <c:tx>
            <c:strRef>
              <c:f>Sheet4!$A$11</c:f>
              <c:strCache>
                <c:ptCount val="1"/>
                <c:pt idx="0">
                  <c:v>Produse ale industriei alimentare</c:v>
                </c:pt>
              </c:strCache>
            </c:strRef>
          </c:tx>
          <c:spPr>
            <a:ln w="222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Sheet4!$C$9:$K$9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Sheet4!$C$11:$K$11</c:f>
              <c:numCache>
                <c:formatCode>0.0</c:formatCode>
                <c:ptCount val="9"/>
                <c:pt idx="0">
                  <c:v>31.67661785539407</c:v>
                </c:pt>
                <c:pt idx="1">
                  <c:v>29.165679316255044</c:v>
                </c:pt>
                <c:pt idx="2">
                  <c:v>28.031129660528876</c:v>
                </c:pt>
                <c:pt idx="3">
                  <c:v>25.958704402117071</c:v>
                </c:pt>
                <c:pt idx="4">
                  <c:v>23.213275433171525</c:v>
                </c:pt>
                <c:pt idx="5">
                  <c:v>22.188543120485861</c:v>
                </c:pt>
                <c:pt idx="6">
                  <c:v>25.964003336007366</c:v>
                </c:pt>
                <c:pt idx="7">
                  <c:v>21.972059166213562</c:v>
                </c:pt>
                <c:pt idx="8">
                  <c:v>27.801640221325709</c:v>
                </c:pt>
              </c:numCache>
            </c:numRef>
          </c:val>
          <c:smooth val="1"/>
          <c:extLst xmlns:c16r2="http://schemas.microsoft.com/office/drawing/2015/06/chart">
            <c:ext xmlns:c16="http://schemas.microsoft.com/office/drawing/2014/chart" uri="{C3380CC4-5D6E-409C-BE32-E72D297353CC}">
              <c16:uniqueId val="{00000001-9B27-488F-96C1-46342E825005}"/>
            </c:ext>
          </c:extLst>
        </c:ser>
        <c:ser>
          <c:idx val="1"/>
          <c:order val="2"/>
          <c:tx>
            <c:strRef>
              <c:f>Sheet4!$A$12</c:f>
              <c:strCache>
                <c:ptCount val="1"/>
                <c:pt idx="0">
                  <c:v>Produse agricole</c:v>
                </c:pt>
              </c:strCache>
            </c:strRef>
          </c:tx>
          <c:spPr>
            <a:ln w="222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Sheet4!$C$9:$K$9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Sheet4!$C$12:$K$12</c:f>
              <c:numCache>
                <c:formatCode>0.0</c:formatCode>
                <c:ptCount val="9"/>
                <c:pt idx="0">
                  <c:v>32.666724632640637</c:v>
                </c:pt>
                <c:pt idx="1">
                  <c:v>34.150514380806676</c:v>
                </c:pt>
                <c:pt idx="2">
                  <c:v>38.261826117468352</c:v>
                </c:pt>
                <c:pt idx="3">
                  <c:v>39.413965269668367</c:v>
                </c:pt>
                <c:pt idx="4">
                  <c:v>35.794090210237187</c:v>
                </c:pt>
                <c:pt idx="5">
                  <c:v>35.153072768886055</c:v>
                </c:pt>
                <c:pt idx="6">
                  <c:v>29.565312305607097</c:v>
                </c:pt>
                <c:pt idx="7">
                  <c:v>35.112544606657941</c:v>
                </c:pt>
                <c:pt idx="8">
                  <c:v>34.335926793821407</c:v>
                </c:pt>
              </c:numCache>
            </c:numRef>
          </c:val>
          <c:smooth val="1"/>
          <c:extLst xmlns:c16r2="http://schemas.microsoft.com/office/drawing/2015/06/chart">
            <c:ext xmlns:c16="http://schemas.microsoft.com/office/drawing/2014/chart" uri="{C3380CC4-5D6E-409C-BE32-E72D297353CC}">
              <c16:uniqueId val="{00000002-9B27-488F-96C1-46342E825005}"/>
            </c:ext>
          </c:extLst>
        </c:ser>
        <c:dLbls>
          <c:showLegendKey val="0"/>
          <c:showVal val="0"/>
          <c:showCatName val="0"/>
          <c:showSerName val="0"/>
          <c:showPercent val="0"/>
          <c:showBubbleSize val="0"/>
        </c:dLbls>
        <c:smooth val="0"/>
        <c:axId val="515970808"/>
        <c:axId val="515971200"/>
      </c:lineChart>
      <c:catAx>
        <c:axId val="515970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5971200"/>
        <c:crosses val="autoZero"/>
        <c:auto val="1"/>
        <c:lblAlgn val="ctr"/>
        <c:lblOffset val="100"/>
        <c:noMultiLvlLbl val="0"/>
      </c:catAx>
      <c:valAx>
        <c:axId val="515971200"/>
        <c:scaling>
          <c:orientation val="minMax"/>
          <c:max val="45"/>
          <c:min val="20"/>
        </c:scaling>
        <c:delete val="1"/>
        <c:axPos val="l"/>
        <c:numFmt formatCode="0" sourceLinked="0"/>
        <c:majorTickMark val="none"/>
        <c:minorTickMark val="none"/>
        <c:tickLblPos val="nextTo"/>
        <c:crossAx val="515970808"/>
        <c:crosses val="autoZero"/>
        <c:crossBetween val="between"/>
      </c:valAx>
      <c:spPr>
        <a:noFill/>
        <a:ln>
          <a:noFill/>
        </a:ln>
        <a:effectLst/>
      </c:spPr>
    </c:plotArea>
    <c:legend>
      <c:legendPos val="b"/>
      <c:layout>
        <c:manualLayout>
          <c:xMode val="edge"/>
          <c:yMode val="edge"/>
          <c:x val="8.1907021036596361E-2"/>
          <c:y val="0.81098629512628295"/>
          <c:w val="0.85610993186521145"/>
          <c:h val="0.1590735851132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114090736902066E-2"/>
          <c:y val="5.5239779615361709E-2"/>
          <c:w val="0.91813383153864514"/>
          <c:h val="0.66179702911868343"/>
        </c:manualLayout>
      </c:layout>
      <c:lineChart>
        <c:grouping val="standard"/>
        <c:varyColors val="0"/>
        <c:ser>
          <c:idx val="0"/>
          <c:order val="0"/>
          <c:tx>
            <c:strRef>
              <c:f>Sheet1!$B$1</c:f>
              <c:strCache>
                <c:ptCount val="1"/>
                <c:pt idx="0">
                  <c:v>Venit redus</c:v>
                </c:pt>
              </c:strCache>
            </c:strRef>
          </c:tx>
          <c:spPr>
            <a:ln w="22225" cap="rnd">
              <a:solidFill>
                <a:schemeClr val="accent1"/>
              </a:solidFill>
              <a:round/>
            </a:ln>
            <a:effectLst>
              <a:outerShdw blurRad="57150" dist="19050" dir="5400000" algn="ctr" rotWithShape="0">
                <a:srgbClr val="000000">
                  <a:alpha val="63000"/>
                </a:srgbClr>
              </a:outerShdw>
            </a:effectLst>
          </c:spPr>
          <c:marker>
            <c:symbol val="none"/>
          </c:marker>
          <c:cat>
            <c:strRef>
              <c:f>Sheet1!$A$2:$A$20</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strCache>
            </c:strRef>
          </c:cat>
          <c:val>
            <c:numRef>
              <c:f>Sheet1!$B$2:$B$20</c:f>
              <c:numCache>
                <c:formatCode>0.0</c:formatCode>
                <c:ptCount val="19"/>
                <c:pt idx="0">
                  <c:v>4.7339071953576601</c:v>
                </c:pt>
                <c:pt idx="1">
                  <c:v>4.3079394880976185</c:v>
                </c:pt>
                <c:pt idx="2">
                  <c:v>4.2490454800104791</c:v>
                </c:pt>
                <c:pt idx="3">
                  <c:v>4.382944454714238</c:v>
                </c:pt>
                <c:pt idx="4">
                  <c:v>4.1133586232070058</c:v>
                </c:pt>
                <c:pt idx="5">
                  <c:v>5.0400332969637391</c:v>
                </c:pt>
                <c:pt idx="6">
                  <c:v>4.5786176060679393</c:v>
                </c:pt>
                <c:pt idx="7">
                  <c:v>7.0410510469640712</c:v>
                </c:pt>
                <c:pt idx="8">
                  <c:v>7.705309871732509</c:v>
                </c:pt>
                <c:pt idx="9">
                  <c:v>7.8275577465910864</c:v>
                </c:pt>
                <c:pt idx="10">
                  <c:v>7.8465264139024455</c:v>
                </c:pt>
                <c:pt idx="11">
                  <c:v>8.2278688585172848</c:v>
                </c:pt>
                <c:pt idx="12">
                  <c:v>8.2224336967936136</c:v>
                </c:pt>
                <c:pt idx="13">
                  <c:v>8.0301382379765371</c:v>
                </c:pt>
                <c:pt idx="14">
                  <c:v>10.562431282670063</c:v>
                </c:pt>
                <c:pt idx="15">
                  <c:v>10.857650448152798</c:v>
                </c:pt>
                <c:pt idx="16">
                  <c:v>11.042684728159925</c:v>
                </c:pt>
                <c:pt idx="17">
                  <c:v>10.73761342606821</c:v>
                </c:pt>
                <c:pt idx="18">
                  <c:v>10.029391449572959</c:v>
                </c:pt>
              </c:numCache>
            </c:numRef>
          </c:val>
          <c:smooth val="1"/>
          <c:extLst xmlns:c16r2="http://schemas.microsoft.com/office/drawing/2015/06/chart">
            <c:ext xmlns:c16="http://schemas.microsoft.com/office/drawing/2014/chart" uri="{C3380CC4-5D6E-409C-BE32-E72D297353CC}">
              <c16:uniqueId val="{00000000-A1EC-43BD-A8ED-9C7B484E7ABC}"/>
            </c:ext>
          </c:extLst>
        </c:ser>
        <c:ser>
          <c:idx val="1"/>
          <c:order val="1"/>
          <c:tx>
            <c:strRef>
              <c:f>Sheet1!$C$1</c:f>
              <c:strCache>
                <c:ptCount val="1"/>
                <c:pt idx="0">
                  <c:v>Venit mediu redus</c:v>
                </c:pt>
              </c:strCache>
            </c:strRef>
          </c:tx>
          <c:spPr>
            <a:ln w="22225" cap="rnd">
              <a:solidFill>
                <a:schemeClr val="accent3"/>
              </a:solidFill>
              <a:round/>
            </a:ln>
            <a:effectLst>
              <a:outerShdw blurRad="57150" dist="19050" dir="5400000" algn="ctr" rotWithShape="0">
                <a:srgbClr val="000000">
                  <a:alpha val="63000"/>
                </a:srgbClr>
              </a:outerShdw>
            </a:effectLst>
          </c:spPr>
          <c:marker>
            <c:symbol val="none"/>
          </c:marker>
          <c:cat>
            <c:strRef>
              <c:f>Sheet1!$A$2:$A$20</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strCache>
            </c:strRef>
          </c:cat>
          <c:val>
            <c:numRef>
              <c:f>Sheet1!$C$2:$C$20</c:f>
              <c:numCache>
                <c:formatCode>0.0</c:formatCode>
                <c:ptCount val="19"/>
                <c:pt idx="0">
                  <c:v>16.452761725267511</c:v>
                </c:pt>
                <c:pt idx="1">
                  <c:v>16.683672406760085</c:v>
                </c:pt>
                <c:pt idx="2">
                  <c:v>16.925658374319401</c:v>
                </c:pt>
                <c:pt idx="3">
                  <c:v>16.325582674294967</c:v>
                </c:pt>
                <c:pt idx="4">
                  <c:v>16.363561072716955</c:v>
                </c:pt>
                <c:pt idx="5">
                  <c:v>15.58196338405115</c:v>
                </c:pt>
                <c:pt idx="6">
                  <c:v>15.406628043997125</c:v>
                </c:pt>
                <c:pt idx="7">
                  <c:v>15.288976138561273</c:v>
                </c:pt>
                <c:pt idx="8">
                  <c:v>15.473681382730126</c:v>
                </c:pt>
                <c:pt idx="9">
                  <c:v>15.059527339829332</c:v>
                </c:pt>
                <c:pt idx="10">
                  <c:v>14.994073102340291</c:v>
                </c:pt>
                <c:pt idx="11">
                  <c:v>14.823273246961687</c:v>
                </c:pt>
                <c:pt idx="12">
                  <c:v>14.808547023441795</c:v>
                </c:pt>
                <c:pt idx="13">
                  <c:v>14.868660727803887</c:v>
                </c:pt>
                <c:pt idx="14">
                  <c:v>15.07172295728142</c:v>
                </c:pt>
                <c:pt idx="15">
                  <c:v>14.756628319334222</c:v>
                </c:pt>
                <c:pt idx="16">
                  <c:v>15.058378782673953</c:v>
                </c:pt>
                <c:pt idx="17">
                  <c:v>15.651857096346431</c:v>
                </c:pt>
                <c:pt idx="18">
                  <c:v>15.174500628561935</c:v>
                </c:pt>
              </c:numCache>
            </c:numRef>
          </c:val>
          <c:smooth val="1"/>
          <c:extLst xmlns:c16r2="http://schemas.microsoft.com/office/drawing/2015/06/chart">
            <c:ext xmlns:c16="http://schemas.microsoft.com/office/drawing/2014/chart" uri="{C3380CC4-5D6E-409C-BE32-E72D297353CC}">
              <c16:uniqueId val="{00000001-A1EC-43BD-A8ED-9C7B484E7ABC}"/>
            </c:ext>
          </c:extLst>
        </c:ser>
        <c:ser>
          <c:idx val="2"/>
          <c:order val="2"/>
          <c:tx>
            <c:strRef>
              <c:f>Sheet1!$D$1</c:f>
              <c:strCache>
                <c:ptCount val="1"/>
                <c:pt idx="0">
                  <c:v>Venit mediu ridicat</c:v>
                </c:pt>
              </c:strCache>
            </c:strRef>
          </c:tx>
          <c:spPr>
            <a:ln w="22225" cap="rnd">
              <a:solidFill>
                <a:schemeClr val="accent5"/>
              </a:solidFill>
              <a:round/>
            </a:ln>
            <a:effectLst>
              <a:outerShdw blurRad="57150" dist="19050" dir="5400000" algn="ctr" rotWithShape="0">
                <a:srgbClr val="000000">
                  <a:alpha val="63000"/>
                </a:srgbClr>
              </a:outerShdw>
            </a:effectLst>
          </c:spPr>
          <c:marker>
            <c:symbol val="none"/>
          </c:marker>
          <c:cat>
            <c:strRef>
              <c:f>Sheet1!$A$2:$A$20</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strCache>
            </c:strRef>
          </c:cat>
          <c:val>
            <c:numRef>
              <c:f>Sheet1!$D$2:$D$20</c:f>
              <c:numCache>
                <c:formatCode>0.0</c:formatCode>
                <c:ptCount val="19"/>
                <c:pt idx="0">
                  <c:v>22.313056011875119</c:v>
                </c:pt>
                <c:pt idx="1">
                  <c:v>21.856361291594766</c:v>
                </c:pt>
                <c:pt idx="2">
                  <c:v>21.916202689470168</c:v>
                </c:pt>
                <c:pt idx="3">
                  <c:v>21.887050530681027</c:v>
                </c:pt>
                <c:pt idx="4">
                  <c:v>21.951201016640006</c:v>
                </c:pt>
                <c:pt idx="5">
                  <c:v>22.060437445715227</c:v>
                </c:pt>
                <c:pt idx="6">
                  <c:v>21.696889150681862</c:v>
                </c:pt>
                <c:pt idx="7">
                  <c:v>21.696855937972355</c:v>
                </c:pt>
                <c:pt idx="8">
                  <c:v>21.670328928198387</c:v>
                </c:pt>
                <c:pt idx="9">
                  <c:v>21.512488202308571</c:v>
                </c:pt>
                <c:pt idx="10">
                  <c:v>21.916230484652566</c:v>
                </c:pt>
                <c:pt idx="11">
                  <c:v>22.44978646329384</c:v>
                </c:pt>
                <c:pt idx="12">
                  <c:v>22.062547107729685</c:v>
                </c:pt>
                <c:pt idx="13">
                  <c:v>21.990206008935942</c:v>
                </c:pt>
                <c:pt idx="14">
                  <c:v>22.301552016058785</c:v>
                </c:pt>
                <c:pt idx="15">
                  <c:v>21.699630226746383</c:v>
                </c:pt>
                <c:pt idx="16">
                  <c:v>22.058024064321081</c:v>
                </c:pt>
                <c:pt idx="17">
                  <c:v>23.068276464019672</c:v>
                </c:pt>
                <c:pt idx="18">
                  <c:v>22.776512884938136</c:v>
                </c:pt>
              </c:numCache>
            </c:numRef>
          </c:val>
          <c:smooth val="1"/>
          <c:extLst xmlns:c16r2="http://schemas.microsoft.com/office/drawing/2015/06/chart">
            <c:ext xmlns:c16="http://schemas.microsoft.com/office/drawing/2014/chart" uri="{C3380CC4-5D6E-409C-BE32-E72D297353CC}">
              <c16:uniqueId val="{00000002-A1EC-43BD-A8ED-9C7B484E7ABC}"/>
            </c:ext>
          </c:extLst>
        </c:ser>
        <c:ser>
          <c:idx val="3"/>
          <c:order val="3"/>
          <c:tx>
            <c:strRef>
              <c:f>Sheet1!$E$1</c:f>
              <c:strCache>
                <c:ptCount val="1"/>
                <c:pt idx="0">
                  <c:v>Venit ridicat</c:v>
                </c:pt>
              </c:strCache>
            </c:strRef>
          </c:tx>
          <c:spPr>
            <a:ln w="222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strRef>
              <c:f>Sheet1!$A$2:$A$20</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strCache>
            </c:strRef>
          </c:cat>
          <c:val>
            <c:numRef>
              <c:f>Sheet1!$E$2:$E$20</c:f>
              <c:numCache>
                <c:formatCode>0.0</c:formatCode>
                <c:ptCount val="19"/>
                <c:pt idx="0">
                  <c:v>15.521690497817744</c:v>
                </c:pt>
                <c:pt idx="1">
                  <c:v>15.244941687164578</c:v>
                </c:pt>
                <c:pt idx="2">
                  <c:v>15.049043414542151</c:v>
                </c:pt>
                <c:pt idx="3">
                  <c:v>14.911008707171003</c:v>
                </c:pt>
                <c:pt idx="4">
                  <c:v>14.39756123959064</c:v>
                </c:pt>
                <c:pt idx="5">
                  <c:v>13.543679246379201</c:v>
                </c:pt>
                <c:pt idx="6">
                  <c:v>14.139867953890755</c:v>
                </c:pt>
                <c:pt idx="7">
                  <c:v>14.030271592740689</c:v>
                </c:pt>
                <c:pt idx="8">
                  <c:v>13.844406761869546</c:v>
                </c:pt>
                <c:pt idx="9">
                  <c:v>13.594031214050517</c:v>
                </c:pt>
                <c:pt idx="10">
                  <c:v>13.611895858453979</c:v>
                </c:pt>
                <c:pt idx="11">
                  <c:v>13.851510437362988</c:v>
                </c:pt>
                <c:pt idx="12">
                  <c:v>13.785101402837247</c:v>
                </c:pt>
                <c:pt idx="13">
                  <c:v>13.770306615661015</c:v>
                </c:pt>
                <c:pt idx="14">
                  <c:v>13.74091628626511</c:v>
                </c:pt>
                <c:pt idx="15">
                  <c:v>13.398960005468567</c:v>
                </c:pt>
                <c:pt idx="16">
                  <c:v>13.222065177422818</c:v>
                </c:pt>
                <c:pt idx="17">
                  <c:v>13.240667611054761</c:v>
                </c:pt>
              </c:numCache>
            </c:numRef>
          </c:val>
          <c:smooth val="1"/>
          <c:extLst xmlns:c16r2="http://schemas.microsoft.com/office/drawing/2015/06/chart">
            <c:ext xmlns:c16="http://schemas.microsoft.com/office/drawing/2014/chart" uri="{C3380CC4-5D6E-409C-BE32-E72D297353CC}">
              <c16:uniqueId val="{00000003-A1EC-43BD-A8ED-9C7B484E7ABC}"/>
            </c:ext>
          </c:extLst>
        </c:ser>
        <c:ser>
          <c:idx val="4"/>
          <c:order val="4"/>
          <c:tx>
            <c:strRef>
              <c:f>Sheet1!$F$1</c:f>
              <c:strCache>
                <c:ptCount val="1"/>
                <c:pt idx="0">
                  <c:v>Moldova (venit mediu ridicat)</c:v>
                </c:pt>
              </c:strCache>
            </c:strRef>
          </c:tx>
          <c:spPr>
            <a:ln w="22225" cap="rnd">
              <a:solidFill>
                <a:schemeClr val="accent3">
                  <a:lumMod val="60000"/>
                </a:schemeClr>
              </a:solidFill>
              <a:prstDash val="sysDash"/>
              <a:round/>
            </a:ln>
            <a:effectLst>
              <a:outerShdw blurRad="57150" dist="19050" dir="5400000" algn="ctr" rotWithShape="0">
                <a:srgbClr val="000000">
                  <a:alpha val="63000"/>
                </a:srgbClr>
              </a:outerShdw>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strCache>
            </c:strRef>
          </c:cat>
          <c:val>
            <c:numRef>
              <c:f>Sheet1!$F$2:$F$20</c:f>
              <c:numCache>
                <c:formatCode>0.0</c:formatCode>
                <c:ptCount val="19"/>
                <c:pt idx="0">
                  <c:v>14.230413336663336</c:v>
                </c:pt>
                <c:pt idx="1">
                  <c:v>13.072527355784553</c:v>
                </c:pt>
                <c:pt idx="2">
                  <c:v>12.245557938955178</c:v>
                </c:pt>
                <c:pt idx="3">
                  <c:v>11.544710836608647</c:v>
                </c:pt>
                <c:pt idx="4">
                  <c:v>11.040003496392359</c:v>
                </c:pt>
                <c:pt idx="5">
                  <c:v>10.374625910992959</c:v>
                </c:pt>
                <c:pt idx="6">
                  <c:v>9.9537723957843838</c:v>
                </c:pt>
                <c:pt idx="7">
                  <c:v>10.564741875491132</c:v>
                </c:pt>
                <c:pt idx="8">
                  <c:v>10.654437529853416</c:v>
                </c:pt>
                <c:pt idx="9">
                  <c:v>11.193852554233018</c:v>
                </c:pt>
                <c:pt idx="10">
                  <c:v>10.069132476555486</c:v>
                </c:pt>
                <c:pt idx="11">
                  <c:v>10.015822166779961</c:v>
                </c:pt>
                <c:pt idx="12">
                  <c:v>10.03363118612144</c:v>
                </c:pt>
                <c:pt idx="13">
                  <c:v>9.9700732343915277</c:v>
                </c:pt>
                <c:pt idx="14">
                  <c:v>10.069197848283578</c:v>
                </c:pt>
                <c:pt idx="15">
                  <c:v>9.8943305080877284</c:v>
                </c:pt>
                <c:pt idx="16">
                  <c:v>10.106664347271536</c:v>
                </c:pt>
                <c:pt idx="17">
                  <c:v>9.6399599569774495</c:v>
                </c:pt>
                <c:pt idx="18">
                  <c:v>9.0043863843497949</c:v>
                </c:pt>
              </c:numCache>
            </c:numRef>
          </c:val>
          <c:smooth val="1"/>
          <c:extLst xmlns:c16r2="http://schemas.microsoft.com/office/drawing/2015/06/chart">
            <c:ext xmlns:c16="http://schemas.microsoft.com/office/drawing/2014/chart" uri="{C3380CC4-5D6E-409C-BE32-E72D297353CC}">
              <c16:uniqueId val="{00000004-A1EC-43BD-A8ED-9C7B484E7ABC}"/>
            </c:ext>
          </c:extLst>
        </c:ser>
        <c:dLbls>
          <c:showLegendKey val="0"/>
          <c:showVal val="0"/>
          <c:showCatName val="0"/>
          <c:showSerName val="0"/>
          <c:showPercent val="0"/>
          <c:showBubbleSize val="0"/>
        </c:dLbls>
        <c:smooth val="0"/>
        <c:axId val="695735784"/>
        <c:axId val="695742056"/>
      </c:lineChart>
      <c:catAx>
        <c:axId val="695735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5742056"/>
        <c:crosses val="autoZero"/>
        <c:auto val="1"/>
        <c:lblAlgn val="ctr"/>
        <c:lblOffset val="100"/>
        <c:tickLblSkip val="4"/>
        <c:noMultiLvlLbl val="0"/>
      </c:catAx>
      <c:valAx>
        <c:axId val="69574205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735784"/>
        <c:crosses val="autoZero"/>
        <c:crossBetween val="between"/>
      </c:valAx>
      <c:spPr>
        <a:noFill/>
        <a:ln>
          <a:noFill/>
        </a:ln>
        <a:effectLst/>
      </c:spPr>
    </c:plotArea>
    <c:legend>
      <c:legendPos val="b"/>
      <c:layout>
        <c:manualLayout>
          <c:xMode val="edge"/>
          <c:yMode val="edge"/>
          <c:x val="0"/>
          <c:y val="0.81709251546982753"/>
          <c:w val="1"/>
          <c:h val="0.156025898261646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95501603966171"/>
          <c:y val="7.1203876836677268E-2"/>
          <c:w val="0.72702646544181981"/>
          <c:h val="0.78912065942455634"/>
        </c:manualLayout>
      </c:layout>
      <c:barChart>
        <c:barDir val="bar"/>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67AC-4644-B45B-40522FD554B6}"/>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Azerbaidjan</c:v>
                </c:pt>
                <c:pt idx="1">
                  <c:v>Albania</c:v>
                </c:pt>
                <c:pt idx="2">
                  <c:v>Moldova</c:v>
                </c:pt>
                <c:pt idx="3">
                  <c:v>Georgia</c:v>
                </c:pt>
                <c:pt idx="4">
                  <c:v>Armenia</c:v>
                </c:pt>
                <c:pt idx="5">
                  <c:v>Federația Rusă</c:v>
                </c:pt>
                <c:pt idx="6">
                  <c:v>Kazahstan</c:v>
                </c:pt>
                <c:pt idx="7">
                  <c:v>Kosovo</c:v>
                </c:pt>
                <c:pt idx="8">
                  <c:v>Bosnia și Herțegovina</c:v>
                </c:pt>
                <c:pt idx="9">
                  <c:v>România</c:v>
                </c:pt>
                <c:pt idx="10">
                  <c:v>Turcia</c:v>
                </c:pt>
                <c:pt idx="11">
                  <c:v>Belarus</c:v>
                </c:pt>
              </c:strCache>
            </c:strRef>
          </c:cat>
          <c:val>
            <c:numRef>
              <c:f>Sheet1!$B$2:$B$13</c:f>
              <c:numCache>
                <c:formatCode>0.0</c:formatCode>
                <c:ptCount val="12"/>
                <c:pt idx="0">
                  <c:v>5.0058359449373739</c:v>
                </c:pt>
                <c:pt idx="1">
                  <c:v>6.5485211946445769</c:v>
                </c:pt>
                <c:pt idx="2">
                  <c:v>9.0043863843497949</c:v>
                </c:pt>
                <c:pt idx="3">
                  <c:v>9.678412701268126</c:v>
                </c:pt>
                <c:pt idx="4">
                  <c:v>11.705646678136663</c:v>
                </c:pt>
                <c:pt idx="5">
                  <c:v>12.8419006055325</c:v>
                </c:pt>
                <c:pt idx="6">
                  <c:v>13.192609212095094</c:v>
                </c:pt>
                <c:pt idx="7">
                  <c:v>13.557451455229977</c:v>
                </c:pt>
                <c:pt idx="8">
                  <c:v>14.898465679876487</c:v>
                </c:pt>
                <c:pt idx="9">
                  <c:v>19.167707288021571</c:v>
                </c:pt>
                <c:pt idx="10">
                  <c:v>22.063346472125524</c:v>
                </c:pt>
                <c:pt idx="11">
                  <c:v>24.015278982515913</c:v>
                </c:pt>
              </c:numCache>
            </c:numRef>
          </c:val>
          <c:extLst xmlns:c16r2="http://schemas.microsoft.com/office/drawing/2015/06/chart">
            <c:ext xmlns:c16="http://schemas.microsoft.com/office/drawing/2014/chart" uri="{C3380CC4-5D6E-409C-BE32-E72D297353CC}">
              <c16:uniqueId val="{00000002-67AC-4644-B45B-40522FD554B6}"/>
            </c:ext>
          </c:extLst>
        </c:ser>
        <c:dLbls>
          <c:dLblPos val="outEnd"/>
          <c:showLegendKey val="0"/>
          <c:showVal val="1"/>
          <c:showCatName val="0"/>
          <c:showSerName val="0"/>
          <c:showPercent val="0"/>
          <c:showBubbleSize val="0"/>
        </c:dLbls>
        <c:gapWidth val="115"/>
        <c:overlap val="-20"/>
        <c:axId val="695738136"/>
        <c:axId val="695735000"/>
      </c:barChart>
      <c:catAx>
        <c:axId val="6957381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5735000"/>
        <c:crosses val="autoZero"/>
        <c:auto val="1"/>
        <c:lblAlgn val="ctr"/>
        <c:lblOffset val="100"/>
        <c:noMultiLvlLbl val="0"/>
      </c:catAx>
      <c:valAx>
        <c:axId val="695735000"/>
        <c:scaling>
          <c:orientation val="minMax"/>
          <c:max val="25"/>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738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520432130844452"/>
          <c:y val="7.2033898305084748E-2"/>
          <c:w val="0.41184443749348348"/>
          <c:h val="0.8368644067796610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D943-41C7-B113-305F78FC4CE6}"/>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D943-41C7-B113-305F78FC4CE6}"/>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D943-41C7-B113-305F78FC4CE6}"/>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D943-41C7-B113-305F78FC4CE6}"/>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D943-41C7-B113-305F78FC4CE6}"/>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D943-41C7-B113-305F78FC4CE6}"/>
              </c:ext>
            </c:extLst>
          </c:dPt>
          <c:dPt>
            <c:idx val="6"/>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D943-41C7-B113-305F78FC4CE6}"/>
              </c:ext>
            </c:extLst>
          </c:dPt>
          <c:dPt>
            <c:idx val="7"/>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D943-41C7-B113-305F78FC4CE6}"/>
              </c:ext>
            </c:extLst>
          </c:dPt>
          <c:dPt>
            <c:idx val="8"/>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D943-41C7-B113-305F78FC4CE6}"/>
              </c:ext>
            </c:extLst>
          </c:dPt>
          <c:dPt>
            <c:idx val="9"/>
            <c:bubble3D val="0"/>
            <c:spPr>
              <a:gradFill>
                <a:gsLst>
                  <a:gs pos="100000">
                    <a:schemeClr val="accent1">
                      <a:lumMod val="80000"/>
                      <a:lumMod val="60000"/>
                      <a:lumOff val="40000"/>
                    </a:schemeClr>
                  </a:gs>
                  <a:gs pos="0">
                    <a:schemeClr val="accent1">
                      <a:lumMod val="8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3-D943-41C7-B113-305F78FC4CE6}"/>
              </c:ext>
            </c:extLst>
          </c:dPt>
          <c:dPt>
            <c:idx val="10"/>
            <c:bubble3D val="0"/>
            <c:spPr>
              <a:gradFill>
                <a:gsLst>
                  <a:gs pos="100000">
                    <a:schemeClr val="accent3">
                      <a:lumMod val="80000"/>
                      <a:lumMod val="60000"/>
                      <a:lumOff val="40000"/>
                    </a:schemeClr>
                  </a:gs>
                  <a:gs pos="0">
                    <a:schemeClr val="accent3">
                      <a:lumMod val="8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5-D943-41C7-B113-305F78FC4CE6}"/>
              </c:ext>
            </c:extLst>
          </c:dPt>
          <c:dLbls>
            <c:dLbl>
              <c:idx val="0"/>
              <c:layout>
                <c:manualLayout>
                  <c:x val="-0.12506452380845443"/>
                  <c:y val="6.457493660750036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43-41C7-B113-305F78FC4CE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Sheet3!$B$31:$B$41</c:f>
              <c:strCache>
                <c:ptCount val="11"/>
                <c:pt idx="0">
                  <c:v>Industria alimentară</c:v>
                </c:pt>
                <c:pt idx="1">
                  <c:v>Băuturi</c:v>
                </c:pt>
                <c:pt idx="2">
                  <c:v>Industria ușoară</c:v>
                </c:pt>
                <c:pt idx="3">
                  <c:v>Alte produse din minerale nemetalice</c:v>
                </c:pt>
                <c:pt idx="4">
                  <c:v>Alte activități</c:v>
                </c:pt>
                <c:pt idx="5">
                  <c:v>Autovehicule, remorci și semiremorci</c:v>
                </c:pt>
                <c:pt idx="6">
                  <c:v>Produse din cauciuc și mase plastice</c:v>
                </c:pt>
                <c:pt idx="7">
                  <c:v>Substanțe și produse chimice</c:v>
                </c:pt>
                <c:pt idx="8">
                  <c:v>Echipamente electrice</c:v>
                </c:pt>
                <c:pt idx="9">
                  <c:v>Mobilă</c:v>
                </c:pt>
                <c:pt idx="10">
                  <c:v>Construcții metalice și produse din metal</c:v>
                </c:pt>
              </c:strCache>
            </c:strRef>
          </c:cat>
          <c:val>
            <c:numRef>
              <c:f>Sheet3!$C$31:$C$41</c:f>
              <c:numCache>
                <c:formatCode>0</c:formatCode>
                <c:ptCount val="11"/>
                <c:pt idx="0">
                  <c:v>36</c:v>
                </c:pt>
                <c:pt idx="1">
                  <c:v>10.972607991873202</c:v>
                </c:pt>
                <c:pt idx="2">
                  <c:v>11.462614485189722</c:v>
                </c:pt>
                <c:pt idx="3">
                  <c:v>9.7589626786223018</c:v>
                </c:pt>
                <c:pt idx="4">
                  <c:v>9.2227678237103135</c:v>
                </c:pt>
                <c:pt idx="5">
                  <c:v>4.5440825054557727</c:v>
                </c:pt>
                <c:pt idx="6">
                  <c:v>4.6316590039120618</c:v>
                </c:pt>
                <c:pt idx="7">
                  <c:v>3.6637735828789761</c:v>
                </c:pt>
                <c:pt idx="8">
                  <c:v>3.3363203570668087</c:v>
                </c:pt>
                <c:pt idx="9">
                  <c:v>3.3484065174571449</c:v>
                </c:pt>
                <c:pt idx="10">
                  <c:v>3.3915779159765083</c:v>
                </c:pt>
              </c:numCache>
            </c:numRef>
          </c:val>
          <c:extLst xmlns:c16r2="http://schemas.microsoft.com/office/drawing/2015/06/chart">
            <c:ext xmlns:c16="http://schemas.microsoft.com/office/drawing/2014/chart" uri="{C3380CC4-5D6E-409C-BE32-E72D297353CC}">
              <c16:uniqueId val="{00000016-D943-41C7-B113-305F78FC4CE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4477017734346724E-2"/>
          <c:y val="8.8449886560790072E-2"/>
          <c:w val="0.40571842200506697"/>
          <c:h val="0.8569985319631656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51403852974113E-2"/>
          <c:y val="6.2305295950155763E-2"/>
          <c:w val="0.81141216899695834"/>
          <c:h val="0.66953306707519677"/>
        </c:manualLayout>
      </c:layout>
      <c:barChart>
        <c:barDir val="col"/>
        <c:grouping val="clustered"/>
        <c:varyColors val="0"/>
        <c:ser>
          <c:idx val="0"/>
          <c:order val="0"/>
          <c:tx>
            <c:strRef>
              <c:f>Sheet1!$B$1</c:f>
              <c:strCache>
                <c:ptCount val="1"/>
                <c:pt idx="0">
                  <c:v>Salariați, mii persoane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8750832039050463E-3"/>
                  <c:y val="-1.699235344095157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33-48B7-AFD3-AB060AD40D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2014</c:v>
                </c:pt>
                <c:pt idx="1">
                  <c:v>2015</c:v>
                </c:pt>
                <c:pt idx="2">
                  <c:v>2016</c:v>
                </c:pt>
                <c:pt idx="3">
                  <c:v>2017</c:v>
                </c:pt>
                <c:pt idx="4">
                  <c:v>2018</c:v>
                </c:pt>
                <c:pt idx="5">
                  <c:v>2019</c:v>
                </c:pt>
                <c:pt idx="6">
                  <c:v>2020</c:v>
                </c:pt>
                <c:pt idx="7">
                  <c:v>2021</c:v>
                </c:pt>
                <c:pt idx="8">
                  <c:v>2022</c:v>
                </c:pt>
              </c:strCache>
            </c:strRef>
          </c:cat>
          <c:val>
            <c:numRef>
              <c:f>Sheet1!$B$2:$B$10</c:f>
              <c:numCache>
                <c:formatCode>0.0</c:formatCode>
                <c:ptCount val="9"/>
                <c:pt idx="0">
                  <c:v>77.876000000000005</c:v>
                </c:pt>
                <c:pt idx="1">
                  <c:v>77.578000000000003</c:v>
                </c:pt>
                <c:pt idx="2">
                  <c:v>78.206000000000003</c:v>
                </c:pt>
                <c:pt idx="3">
                  <c:v>84.019000000000005</c:v>
                </c:pt>
                <c:pt idx="4">
                  <c:v>88.655000000000001</c:v>
                </c:pt>
                <c:pt idx="5">
                  <c:v>90.888999999999996</c:v>
                </c:pt>
                <c:pt idx="6">
                  <c:v>85.822000000000003</c:v>
                </c:pt>
                <c:pt idx="7">
                  <c:v>86.138999999999996</c:v>
                </c:pt>
                <c:pt idx="8">
                  <c:v>84.691000000000003</c:v>
                </c:pt>
              </c:numCache>
            </c:numRef>
          </c:val>
          <c:extLst xmlns:c16r2="http://schemas.microsoft.com/office/drawing/2015/06/chart">
            <c:ext xmlns:c16="http://schemas.microsoft.com/office/drawing/2014/chart" uri="{C3380CC4-5D6E-409C-BE32-E72D297353CC}">
              <c16:uniqueId val="{00000001-DB33-48B7-AFD3-AB060AD40D1A}"/>
            </c:ext>
          </c:extLst>
        </c:ser>
        <c:dLbls>
          <c:showLegendKey val="0"/>
          <c:showVal val="0"/>
          <c:showCatName val="0"/>
          <c:showSerName val="0"/>
          <c:showPercent val="0"/>
          <c:showBubbleSize val="0"/>
        </c:dLbls>
        <c:gapWidth val="219"/>
        <c:axId val="695740488"/>
        <c:axId val="695736960"/>
      </c:barChart>
      <c:lineChart>
        <c:grouping val="standard"/>
        <c:varyColors val="0"/>
        <c:ser>
          <c:idx val="1"/>
          <c:order val="1"/>
          <c:tx>
            <c:strRef>
              <c:f>Sheet1!$C$1</c:f>
              <c:strCache>
                <c:ptCount val="1"/>
                <c:pt idx="0">
                  <c:v>Ritm, % față de anul precedent</c:v>
                </c:pt>
              </c:strCache>
            </c:strRef>
          </c:tx>
          <c:spPr>
            <a:ln w="25400" cap="rnd">
              <a:solidFill>
                <a:schemeClr val="accent3"/>
              </a:solidFill>
              <a:round/>
            </a:ln>
            <a:effectLst>
              <a:outerShdw blurRad="57150" dist="19050" dir="5400000" algn="ctr" rotWithShape="0">
                <a:srgbClr val="000000">
                  <a:alpha val="63000"/>
                </a:srgbClr>
              </a:outerShdw>
            </a:effectLst>
          </c:spPr>
          <c:marker>
            <c:symbol val="none"/>
          </c:marker>
          <c:dLbls>
            <c:dLbl>
              <c:idx val="0"/>
              <c:layout>
                <c:manualLayout>
                  <c:x val="-8.4568361726028982E-2"/>
                  <c:y val="2.11128876520001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33-48B7-AFD3-AB060AD40D1A}"/>
                </c:ext>
                <c:ext xmlns:c15="http://schemas.microsoft.com/office/drawing/2012/chart" uri="{CE6537A1-D6FC-4f65-9D91-7224C49458BB}"/>
              </c:extLst>
            </c:dLbl>
            <c:dLbl>
              <c:idx val="5"/>
              <c:layout>
                <c:manualLayout>
                  <c:x val="-9.7559526825288401E-2"/>
                  <c:y val="-7.207701416252450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33-48B7-AFD3-AB060AD40D1A}"/>
                </c:ext>
                <c:ext xmlns:c15="http://schemas.microsoft.com/office/drawing/2012/chart" uri="{CE6537A1-D6FC-4f65-9D91-7224C49458BB}"/>
              </c:extLst>
            </c:dLbl>
            <c:dLbl>
              <c:idx val="6"/>
              <c:layout>
                <c:manualLayout>
                  <c:x val="-2.9764722941915376E-2"/>
                  <c:y val="2.67770054656505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B33-48B7-AFD3-AB060AD40D1A}"/>
                </c:ext>
                <c:ext xmlns:c15="http://schemas.microsoft.com/office/drawing/2012/chart" uri="{CE6537A1-D6FC-4f65-9D91-7224C49458BB}"/>
              </c:extLst>
            </c:dLbl>
            <c:dLbl>
              <c:idx val="7"/>
              <c:layout>
                <c:manualLayout>
                  <c:x val="-9.0892033215173598E-2"/>
                  <c:y val="-2.42000548572040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B33-48B7-AFD3-AB060AD40D1A}"/>
                </c:ext>
                <c:ext xmlns:c15="http://schemas.microsoft.com/office/drawing/2012/chart" uri="{CE6537A1-D6FC-4f65-9D91-7224C49458BB}"/>
              </c:extLst>
            </c:dLbl>
            <c:dLbl>
              <c:idx val="8"/>
              <c:layout>
                <c:manualLayout>
                  <c:x val="-3.4202264543867891E-2"/>
                  <c:y val="2.11128876520001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B33-48B7-AFD3-AB060AD40D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2014</c:v>
                </c:pt>
                <c:pt idx="1">
                  <c:v>2015</c:v>
                </c:pt>
                <c:pt idx="2">
                  <c:v>2016</c:v>
                </c:pt>
                <c:pt idx="3">
                  <c:v>2017</c:v>
                </c:pt>
                <c:pt idx="4">
                  <c:v>2018</c:v>
                </c:pt>
                <c:pt idx="5">
                  <c:v>2019</c:v>
                </c:pt>
                <c:pt idx="6">
                  <c:v>2020</c:v>
                </c:pt>
                <c:pt idx="7">
                  <c:v>2021</c:v>
                </c:pt>
                <c:pt idx="8">
                  <c:v>2022</c:v>
                </c:pt>
              </c:strCache>
            </c:strRef>
          </c:cat>
          <c:val>
            <c:numRef>
              <c:f>Sheet1!$C$2:$C$10</c:f>
              <c:numCache>
                <c:formatCode>0.0</c:formatCode>
                <c:ptCount val="9"/>
                <c:pt idx="0">
                  <c:v>-2.8335433640685324</c:v>
                </c:pt>
                <c:pt idx="1">
                  <c:v>-0.38265961271764581</c:v>
                </c:pt>
                <c:pt idx="2">
                  <c:v>0.80950785016371185</c:v>
                </c:pt>
                <c:pt idx="3">
                  <c:v>7.4329335345114202</c:v>
                </c:pt>
                <c:pt idx="4">
                  <c:v>5.517799545340921</c:v>
                </c:pt>
                <c:pt idx="5">
                  <c:v>2.5198804353956348</c:v>
                </c:pt>
                <c:pt idx="6">
                  <c:v>-5.5749320599852581</c:v>
                </c:pt>
                <c:pt idx="7">
                  <c:v>0.36936915942298754</c:v>
                </c:pt>
                <c:pt idx="8">
                  <c:v>-1.6810039587178807</c:v>
                </c:pt>
              </c:numCache>
            </c:numRef>
          </c:val>
          <c:smooth val="1"/>
          <c:extLst xmlns:c16r2="http://schemas.microsoft.com/office/drawing/2015/06/chart">
            <c:ext xmlns:c16="http://schemas.microsoft.com/office/drawing/2014/chart" uri="{C3380CC4-5D6E-409C-BE32-E72D297353CC}">
              <c16:uniqueId val="{00000007-DB33-48B7-AFD3-AB060AD40D1A}"/>
            </c:ext>
          </c:extLst>
        </c:ser>
        <c:dLbls>
          <c:showLegendKey val="0"/>
          <c:showVal val="0"/>
          <c:showCatName val="0"/>
          <c:showSerName val="0"/>
          <c:showPercent val="0"/>
          <c:showBubbleSize val="0"/>
        </c:dLbls>
        <c:marker val="1"/>
        <c:smooth val="0"/>
        <c:axId val="695740096"/>
        <c:axId val="695739704"/>
      </c:lineChart>
      <c:catAx>
        <c:axId val="695740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5736960"/>
        <c:crosses val="autoZero"/>
        <c:auto val="1"/>
        <c:lblAlgn val="ctr"/>
        <c:lblOffset val="100"/>
        <c:tickLblSkip val="2"/>
        <c:noMultiLvlLbl val="0"/>
      </c:catAx>
      <c:valAx>
        <c:axId val="6957369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740488"/>
        <c:crosses val="autoZero"/>
        <c:crossBetween val="between"/>
      </c:valAx>
      <c:valAx>
        <c:axId val="695739704"/>
        <c:scaling>
          <c:orientation val="minMax"/>
          <c:max val="8"/>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740096"/>
        <c:crosses val="max"/>
        <c:crossBetween val="between"/>
      </c:valAx>
      <c:catAx>
        <c:axId val="695740096"/>
        <c:scaling>
          <c:orientation val="minMax"/>
        </c:scaling>
        <c:delete val="1"/>
        <c:axPos val="b"/>
        <c:numFmt formatCode="General" sourceLinked="1"/>
        <c:majorTickMark val="none"/>
        <c:minorTickMark val="none"/>
        <c:tickLblPos val="nextTo"/>
        <c:crossAx val="695739704"/>
        <c:crosses val="autoZero"/>
        <c:auto val="1"/>
        <c:lblAlgn val="ctr"/>
        <c:lblOffset val="100"/>
        <c:noMultiLvlLbl val="0"/>
      </c:catAx>
      <c:spPr>
        <a:noFill/>
        <a:ln>
          <a:noFill/>
        </a:ln>
        <a:effectLst/>
      </c:spPr>
    </c:plotArea>
    <c:legend>
      <c:legendPos val="b"/>
      <c:layout>
        <c:manualLayout>
          <c:xMode val="edge"/>
          <c:yMode val="edge"/>
          <c:x val="3.9715997337475037E-2"/>
          <c:y val="0.81744146892428582"/>
          <c:w val="0.88950521411138228"/>
          <c:h val="0.165566177634762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C01BA1-0EA7-4D73-A1EE-2655EB2236EC}" type="doc">
      <dgm:prSet loTypeId="urn:microsoft.com/office/officeart/2005/8/layout/process1" loCatId="process" qsTypeId="urn:microsoft.com/office/officeart/2005/8/quickstyle/3d3" qsCatId="3D" csTypeId="urn:microsoft.com/office/officeart/2005/8/colors/accent1_2" csCatId="accent1" phldr="1"/>
      <dgm:spPr/>
      <dgm:t>
        <a:bodyPr/>
        <a:lstStyle/>
        <a:p>
          <a:endParaRPr lang="en-US"/>
        </a:p>
      </dgm:t>
    </dgm:pt>
    <dgm:pt modelId="{4CCC83CB-0F10-4890-8050-D0971331A5F7}">
      <dgm:prSet phldrT="[Text]"/>
      <dgm:spPr>
        <a:xfrm>
          <a:off x="2699" y="155459"/>
          <a:ext cx="1180427" cy="708256"/>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a:solidFill>
                <a:sysClr val="window" lastClr="FFFFFF"/>
              </a:solidFill>
              <a:latin typeface="Calibri" panose="020F0502020204030204"/>
              <a:ea typeface="+mn-ea"/>
              <a:cs typeface="+mn-cs"/>
            </a:rPr>
            <a:t>Instituțiile</a:t>
          </a:r>
          <a:endParaRPr lang="en-US">
            <a:solidFill>
              <a:sysClr val="window" lastClr="FFFFFF"/>
            </a:solidFill>
            <a:latin typeface="Calibri" panose="020F0502020204030204"/>
            <a:ea typeface="+mn-ea"/>
            <a:cs typeface="+mn-cs"/>
          </a:endParaRPr>
        </a:p>
      </dgm:t>
    </dgm:pt>
    <dgm:pt modelId="{F3DAF61F-6BB0-4C3E-B607-ADB03F4C0345}" type="parTrans" cxnId="{2BF46FFA-A055-437D-9172-EA5CE81ECB5A}">
      <dgm:prSet/>
      <dgm:spPr/>
      <dgm:t>
        <a:bodyPr/>
        <a:lstStyle/>
        <a:p>
          <a:endParaRPr lang="en-US"/>
        </a:p>
      </dgm:t>
    </dgm:pt>
    <dgm:pt modelId="{638791A0-8E88-4A92-9F3A-809B544EBDB8}" type="sibTrans" cxnId="{2BF46FFA-A055-437D-9172-EA5CE81ECB5A}">
      <dgm:prSet/>
      <dgm:spPr>
        <a:xfrm>
          <a:off x="1301170" y="363214"/>
          <a:ext cx="250250" cy="292746"/>
        </a:xfrm>
        <a:solidFill>
          <a:srgbClr val="4472C4">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US">
            <a:solidFill>
              <a:sysClr val="window" lastClr="FFFFFF"/>
            </a:solidFill>
            <a:latin typeface="Calibri" panose="020F0502020204030204"/>
            <a:ea typeface="+mn-ea"/>
            <a:cs typeface="+mn-cs"/>
          </a:endParaRPr>
        </a:p>
      </dgm:t>
    </dgm:pt>
    <dgm:pt modelId="{ACB66A30-7A42-488A-8438-CCB7DE1B8D70}">
      <dgm:prSet phldrT="[Text]"/>
      <dgm:spPr>
        <a:xfrm>
          <a:off x="1655298" y="155459"/>
          <a:ext cx="1180427" cy="708256"/>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a:solidFill>
                <a:sysClr val="window" lastClr="FFFFFF"/>
              </a:solidFill>
              <a:latin typeface="Calibri" panose="020F0502020204030204"/>
              <a:ea typeface="+mn-ea"/>
              <a:cs typeface="+mn-cs"/>
            </a:rPr>
            <a:t>Investițiile</a:t>
          </a:r>
          <a:endParaRPr lang="en-US">
            <a:solidFill>
              <a:sysClr val="window" lastClr="FFFFFF"/>
            </a:solidFill>
            <a:latin typeface="Calibri" panose="020F0502020204030204"/>
            <a:ea typeface="+mn-ea"/>
            <a:cs typeface="+mn-cs"/>
          </a:endParaRPr>
        </a:p>
      </dgm:t>
    </dgm:pt>
    <dgm:pt modelId="{CBC6A585-617A-446A-BE92-C10D87B476DB}" type="parTrans" cxnId="{2A6EA666-7A6E-4DEB-A3F7-AF9638EBF3D3}">
      <dgm:prSet/>
      <dgm:spPr/>
      <dgm:t>
        <a:bodyPr/>
        <a:lstStyle/>
        <a:p>
          <a:endParaRPr lang="en-US"/>
        </a:p>
      </dgm:t>
    </dgm:pt>
    <dgm:pt modelId="{4DBD3F50-F7C4-4D69-83CA-4867C2CEA91F}" type="sibTrans" cxnId="{2A6EA666-7A6E-4DEB-A3F7-AF9638EBF3D3}">
      <dgm:prSet/>
      <dgm:spPr>
        <a:xfrm>
          <a:off x="2953769" y="363214"/>
          <a:ext cx="250250" cy="292746"/>
        </a:xfrm>
        <a:solidFill>
          <a:srgbClr val="4472C4">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US">
            <a:solidFill>
              <a:sysClr val="window" lastClr="FFFFFF"/>
            </a:solidFill>
            <a:latin typeface="Calibri" panose="020F0502020204030204"/>
            <a:ea typeface="+mn-ea"/>
            <a:cs typeface="+mn-cs"/>
          </a:endParaRPr>
        </a:p>
      </dgm:t>
    </dgm:pt>
    <dgm:pt modelId="{AC0A1530-706C-42DB-88A4-DE17D97A9B83}">
      <dgm:prSet phldrT="[Text]"/>
      <dgm:spPr>
        <a:xfrm>
          <a:off x="3307898" y="155459"/>
          <a:ext cx="1180427" cy="708256"/>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a:solidFill>
                <a:sysClr val="window" lastClr="FFFFFF"/>
              </a:solidFill>
              <a:latin typeface="Calibri" panose="020F0502020204030204"/>
              <a:ea typeface="+mn-ea"/>
              <a:cs typeface="+mn-cs"/>
            </a:rPr>
            <a:t>Munca</a:t>
          </a:r>
          <a:endParaRPr lang="en-US">
            <a:solidFill>
              <a:sysClr val="window" lastClr="FFFFFF"/>
            </a:solidFill>
            <a:latin typeface="Calibri" panose="020F0502020204030204"/>
            <a:ea typeface="+mn-ea"/>
            <a:cs typeface="+mn-cs"/>
          </a:endParaRPr>
        </a:p>
      </dgm:t>
    </dgm:pt>
    <dgm:pt modelId="{7E5C3880-C809-4FAA-9762-9DB23A32A8FD}" type="parTrans" cxnId="{BC420829-264B-4320-BEF2-CD88711B14E4}">
      <dgm:prSet/>
      <dgm:spPr/>
      <dgm:t>
        <a:bodyPr/>
        <a:lstStyle/>
        <a:p>
          <a:endParaRPr lang="en-US"/>
        </a:p>
      </dgm:t>
    </dgm:pt>
    <dgm:pt modelId="{54D89614-B29C-462F-A8E2-C66AC9A67216}" type="sibTrans" cxnId="{BC420829-264B-4320-BEF2-CD88711B14E4}">
      <dgm:prSet/>
      <dgm:spPr>
        <a:xfrm>
          <a:off x="4606368" y="363214"/>
          <a:ext cx="250250" cy="292746"/>
        </a:xfrm>
        <a:solidFill>
          <a:srgbClr val="4472C4">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US">
            <a:solidFill>
              <a:sysClr val="window" lastClr="FFFFFF"/>
            </a:solidFill>
            <a:latin typeface="Calibri" panose="020F0502020204030204"/>
            <a:ea typeface="+mn-ea"/>
            <a:cs typeface="+mn-cs"/>
          </a:endParaRPr>
        </a:p>
      </dgm:t>
    </dgm:pt>
    <dgm:pt modelId="{BECE7378-7AE0-4F69-8C43-A726AF95C744}">
      <dgm:prSet phldrT="[Text]"/>
      <dgm:spPr>
        <a:xfrm>
          <a:off x="4960497" y="155459"/>
          <a:ext cx="1180427" cy="708256"/>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a:solidFill>
                <a:sysClr val="window" lastClr="FFFFFF"/>
              </a:solidFill>
              <a:latin typeface="Calibri" panose="020F0502020204030204"/>
              <a:ea typeface="+mn-ea"/>
              <a:cs typeface="+mn-cs"/>
            </a:rPr>
            <a:t>Competitivitatea</a:t>
          </a:r>
          <a:endParaRPr lang="en-US">
            <a:solidFill>
              <a:sysClr val="window" lastClr="FFFFFF"/>
            </a:solidFill>
            <a:latin typeface="Calibri" panose="020F0502020204030204"/>
            <a:ea typeface="+mn-ea"/>
            <a:cs typeface="+mn-cs"/>
          </a:endParaRPr>
        </a:p>
      </dgm:t>
    </dgm:pt>
    <dgm:pt modelId="{4E60C993-B422-414E-BC92-5CE5B5F3967E}" type="parTrans" cxnId="{C625705B-9EDF-4A3F-83AB-16E408160C1D}">
      <dgm:prSet/>
      <dgm:spPr/>
      <dgm:t>
        <a:bodyPr/>
        <a:lstStyle/>
        <a:p>
          <a:endParaRPr lang="en-US"/>
        </a:p>
      </dgm:t>
    </dgm:pt>
    <dgm:pt modelId="{94158CE8-65B7-4BF8-AF2D-40EAD043DCE7}" type="sibTrans" cxnId="{C625705B-9EDF-4A3F-83AB-16E408160C1D}">
      <dgm:prSet/>
      <dgm:spPr/>
      <dgm:t>
        <a:bodyPr/>
        <a:lstStyle/>
        <a:p>
          <a:endParaRPr lang="en-US"/>
        </a:p>
      </dgm:t>
    </dgm:pt>
    <dgm:pt modelId="{3AECF8DE-1A1D-48F6-9C15-F610FEC12856}" type="pres">
      <dgm:prSet presAssocID="{BEC01BA1-0EA7-4D73-A1EE-2655EB2236EC}" presName="Name0" presStyleCnt="0">
        <dgm:presLayoutVars>
          <dgm:dir/>
          <dgm:resizeHandles val="exact"/>
        </dgm:presLayoutVars>
      </dgm:prSet>
      <dgm:spPr/>
      <dgm:t>
        <a:bodyPr/>
        <a:lstStyle/>
        <a:p>
          <a:endParaRPr lang="en-US"/>
        </a:p>
      </dgm:t>
    </dgm:pt>
    <dgm:pt modelId="{D10394FC-F41F-4122-BCDC-D3528CF0C29E}" type="pres">
      <dgm:prSet presAssocID="{4CCC83CB-0F10-4890-8050-D0971331A5F7}" presName="node" presStyleLbl="node1" presStyleIdx="0" presStyleCnt="4">
        <dgm:presLayoutVars>
          <dgm:bulletEnabled val="1"/>
        </dgm:presLayoutVars>
      </dgm:prSet>
      <dgm:spPr>
        <a:prstGeom prst="roundRect">
          <a:avLst>
            <a:gd name="adj" fmla="val 10000"/>
          </a:avLst>
        </a:prstGeom>
      </dgm:spPr>
      <dgm:t>
        <a:bodyPr/>
        <a:lstStyle/>
        <a:p>
          <a:endParaRPr lang="en-US"/>
        </a:p>
      </dgm:t>
    </dgm:pt>
    <dgm:pt modelId="{55D010D4-FF6D-43F8-8F34-6A942818ECC2}" type="pres">
      <dgm:prSet presAssocID="{638791A0-8E88-4A92-9F3A-809B544EBDB8}" presName="sibTrans" presStyleLbl="sibTrans2D1" presStyleIdx="0" presStyleCnt="3"/>
      <dgm:spPr>
        <a:prstGeom prst="rightArrow">
          <a:avLst>
            <a:gd name="adj1" fmla="val 60000"/>
            <a:gd name="adj2" fmla="val 50000"/>
          </a:avLst>
        </a:prstGeom>
      </dgm:spPr>
      <dgm:t>
        <a:bodyPr/>
        <a:lstStyle/>
        <a:p>
          <a:endParaRPr lang="en-US"/>
        </a:p>
      </dgm:t>
    </dgm:pt>
    <dgm:pt modelId="{AECB49DC-2796-411E-BF46-185C2F8892FA}" type="pres">
      <dgm:prSet presAssocID="{638791A0-8E88-4A92-9F3A-809B544EBDB8}" presName="connectorText" presStyleLbl="sibTrans2D1" presStyleIdx="0" presStyleCnt="3"/>
      <dgm:spPr/>
      <dgm:t>
        <a:bodyPr/>
        <a:lstStyle/>
        <a:p>
          <a:endParaRPr lang="en-US"/>
        </a:p>
      </dgm:t>
    </dgm:pt>
    <dgm:pt modelId="{C115BC1E-39FB-4A7D-A446-71DB2281050E}" type="pres">
      <dgm:prSet presAssocID="{ACB66A30-7A42-488A-8438-CCB7DE1B8D70}" presName="node" presStyleLbl="node1" presStyleIdx="1" presStyleCnt="4">
        <dgm:presLayoutVars>
          <dgm:bulletEnabled val="1"/>
        </dgm:presLayoutVars>
      </dgm:prSet>
      <dgm:spPr>
        <a:prstGeom prst="roundRect">
          <a:avLst>
            <a:gd name="adj" fmla="val 10000"/>
          </a:avLst>
        </a:prstGeom>
      </dgm:spPr>
      <dgm:t>
        <a:bodyPr/>
        <a:lstStyle/>
        <a:p>
          <a:endParaRPr lang="en-US"/>
        </a:p>
      </dgm:t>
    </dgm:pt>
    <dgm:pt modelId="{2D3F0573-04E7-4332-A5FE-2961B6753C50}" type="pres">
      <dgm:prSet presAssocID="{4DBD3F50-F7C4-4D69-83CA-4867C2CEA91F}" presName="sibTrans" presStyleLbl="sibTrans2D1" presStyleIdx="1" presStyleCnt="3"/>
      <dgm:spPr>
        <a:prstGeom prst="rightArrow">
          <a:avLst>
            <a:gd name="adj1" fmla="val 60000"/>
            <a:gd name="adj2" fmla="val 50000"/>
          </a:avLst>
        </a:prstGeom>
      </dgm:spPr>
      <dgm:t>
        <a:bodyPr/>
        <a:lstStyle/>
        <a:p>
          <a:endParaRPr lang="en-US"/>
        </a:p>
      </dgm:t>
    </dgm:pt>
    <dgm:pt modelId="{C42B6D7C-44B7-4800-A856-1963C71BB22A}" type="pres">
      <dgm:prSet presAssocID="{4DBD3F50-F7C4-4D69-83CA-4867C2CEA91F}" presName="connectorText" presStyleLbl="sibTrans2D1" presStyleIdx="1" presStyleCnt="3"/>
      <dgm:spPr/>
      <dgm:t>
        <a:bodyPr/>
        <a:lstStyle/>
        <a:p>
          <a:endParaRPr lang="en-US"/>
        </a:p>
      </dgm:t>
    </dgm:pt>
    <dgm:pt modelId="{F571891B-CD09-46B0-9A1F-1DBD89A0BA88}" type="pres">
      <dgm:prSet presAssocID="{AC0A1530-706C-42DB-88A4-DE17D97A9B83}"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59053398-38DA-4236-A929-D9760EFB7EFA}" type="pres">
      <dgm:prSet presAssocID="{54D89614-B29C-462F-A8E2-C66AC9A67216}" presName="sibTrans" presStyleLbl="sibTrans2D1" presStyleIdx="2" presStyleCnt="3"/>
      <dgm:spPr>
        <a:prstGeom prst="rightArrow">
          <a:avLst>
            <a:gd name="adj1" fmla="val 60000"/>
            <a:gd name="adj2" fmla="val 50000"/>
          </a:avLst>
        </a:prstGeom>
      </dgm:spPr>
      <dgm:t>
        <a:bodyPr/>
        <a:lstStyle/>
        <a:p>
          <a:endParaRPr lang="en-US"/>
        </a:p>
      </dgm:t>
    </dgm:pt>
    <dgm:pt modelId="{42CC0B4C-65DC-4475-98AF-0BDFBDD78478}" type="pres">
      <dgm:prSet presAssocID="{54D89614-B29C-462F-A8E2-C66AC9A67216}" presName="connectorText" presStyleLbl="sibTrans2D1" presStyleIdx="2" presStyleCnt="3"/>
      <dgm:spPr/>
      <dgm:t>
        <a:bodyPr/>
        <a:lstStyle/>
        <a:p>
          <a:endParaRPr lang="en-US"/>
        </a:p>
      </dgm:t>
    </dgm:pt>
    <dgm:pt modelId="{EF369C77-63D5-4804-882D-94780842327A}" type="pres">
      <dgm:prSet presAssocID="{BECE7378-7AE0-4F69-8C43-A726AF95C744}" presName="node" presStyleLbl="node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2A6EA666-7A6E-4DEB-A3F7-AF9638EBF3D3}" srcId="{BEC01BA1-0EA7-4D73-A1EE-2655EB2236EC}" destId="{ACB66A30-7A42-488A-8438-CCB7DE1B8D70}" srcOrd="1" destOrd="0" parTransId="{CBC6A585-617A-446A-BE92-C10D87B476DB}" sibTransId="{4DBD3F50-F7C4-4D69-83CA-4867C2CEA91F}"/>
    <dgm:cxn modelId="{EABEFCCA-E975-4453-A555-7C3A31B78AAB}" type="presOf" srcId="{AC0A1530-706C-42DB-88A4-DE17D97A9B83}" destId="{F571891B-CD09-46B0-9A1F-1DBD89A0BA88}" srcOrd="0" destOrd="0" presId="urn:microsoft.com/office/officeart/2005/8/layout/process1"/>
    <dgm:cxn modelId="{ADDE5445-EB50-431A-801A-9CC3FCDB7E9C}" type="presOf" srcId="{BEC01BA1-0EA7-4D73-A1EE-2655EB2236EC}" destId="{3AECF8DE-1A1D-48F6-9C15-F610FEC12856}" srcOrd="0" destOrd="0" presId="urn:microsoft.com/office/officeart/2005/8/layout/process1"/>
    <dgm:cxn modelId="{231C0CC9-8CE8-419B-A74A-93D8492807C4}" type="presOf" srcId="{638791A0-8E88-4A92-9F3A-809B544EBDB8}" destId="{55D010D4-FF6D-43F8-8F34-6A942818ECC2}" srcOrd="0" destOrd="0" presId="urn:microsoft.com/office/officeart/2005/8/layout/process1"/>
    <dgm:cxn modelId="{5FAF0E8F-D3C3-4B86-89B9-C3D82607E84C}" type="presOf" srcId="{4DBD3F50-F7C4-4D69-83CA-4867C2CEA91F}" destId="{2D3F0573-04E7-4332-A5FE-2961B6753C50}" srcOrd="0" destOrd="0" presId="urn:microsoft.com/office/officeart/2005/8/layout/process1"/>
    <dgm:cxn modelId="{506CA6D0-6836-4D04-AD51-A3E3B1BC6041}" type="presOf" srcId="{BECE7378-7AE0-4F69-8C43-A726AF95C744}" destId="{EF369C77-63D5-4804-882D-94780842327A}" srcOrd="0" destOrd="0" presId="urn:microsoft.com/office/officeart/2005/8/layout/process1"/>
    <dgm:cxn modelId="{2BF46FFA-A055-437D-9172-EA5CE81ECB5A}" srcId="{BEC01BA1-0EA7-4D73-A1EE-2655EB2236EC}" destId="{4CCC83CB-0F10-4890-8050-D0971331A5F7}" srcOrd="0" destOrd="0" parTransId="{F3DAF61F-6BB0-4C3E-B607-ADB03F4C0345}" sibTransId="{638791A0-8E88-4A92-9F3A-809B544EBDB8}"/>
    <dgm:cxn modelId="{C0C59170-5BB2-4FA3-9322-A3DB0F5AB1F9}" type="presOf" srcId="{54D89614-B29C-462F-A8E2-C66AC9A67216}" destId="{59053398-38DA-4236-A929-D9760EFB7EFA}" srcOrd="0" destOrd="0" presId="urn:microsoft.com/office/officeart/2005/8/layout/process1"/>
    <dgm:cxn modelId="{C625705B-9EDF-4A3F-83AB-16E408160C1D}" srcId="{BEC01BA1-0EA7-4D73-A1EE-2655EB2236EC}" destId="{BECE7378-7AE0-4F69-8C43-A726AF95C744}" srcOrd="3" destOrd="0" parTransId="{4E60C993-B422-414E-BC92-5CE5B5F3967E}" sibTransId="{94158CE8-65B7-4BF8-AF2D-40EAD043DCE7}"/>
    <dgm:cxn modelId="{3C41E40B-9747-4955-8CCA-252CCE955648}" type="presOf" srcId="{ACB66A30-7A42-488A-8438-CCB7DE1B8D70}" destId="{C115BC1E-39FB-4A7D-A446-71DB2281050E}" srcOrd="0" destOrd="0" presId="urn:microsoft.com/office/officeart/2005/8/layout/process1"/>
    <dgm:cxn modelId="{BC420829-264B-4320-BEF2-CD88711B14E4}" srcId="{BEC01BA1-0EA7-4D73-A1EE-2655EB2236EC}" destId="{AC0A1530-706C-42DB-88A4-DE17D97A9B83}" srcOrd="2" destOrd="0" parTransId="{7E5C3880-C809-4FAA-9762-9DB23A32A8FD}" sibTransId="{54D89614-B29C-462F-A8E2-C66AC9A67216}"/>
    <dgm:cxn modelId="{192AE156-D3FD-42AD-BA60-AF6EACD871AC}" type="presOf" srcId="{4CCC83CB-0F10-4890-8050-D0971331A5F7}" destId="{D10394FC-F41F-4122-BCDC-D3528CF0C29E}" srcOrd="0" destOrd="0" presId="urn:microsoft.com/office/officeart/2005/8/layout/process1"/>
    <dgm:cxn modelId="{1FDF3C9B-D178-4A4F-9EB4-B7BEB1FC15FD}" type="presOf" srcId="{4DBD3F50-F7C4-4D69-83CA-4867C2CEA91F}" destId="{C42B6D7C-44B7-4800-A856-1963C71BB22A}" srcOrd="1" destOrd="0" presId="urn:microsoft.com/office/officeart/2005/8/layout/process1"/>
    <dgm:cxn modelId="{6216C0AB-4C2C-4537-9A9C-4ECA4608C080}" type="presOf" srcId="{638791A0-8E88-4A92-9F3A-809B544EBDB8}" destId="{AECB49DC-2796-411E-BF46-185C2F8892FA}" srcOrd="1" destOrd="0" presId="urn:microsoft.com/office/officeart/2005/8/layout/process1"/>
    <dgm:cxn modelId="{2226C728-3631-4A0C-94BB-E30C06DABB89}" type="presOf" srcId="{54D89614-B29C-462F-A8E2-C66AC9A67216}" destId="{42CC0B4C-65DC-4475-98AF-0BDFBDD78478}" srcOrd="1" destOrd="0" presId="urn:microsoft.com/office/officeart/2005/8/layout/process1"/>
    <dgm:cxn modelId="{8617351C-1AAD-475B-AE6B-0899BAF1D9CF}" type="presParOf" srcId="{3AECF8DE-1A1D-48F6-9C15-F610FEC12856}" destId="{D10394FC-F41F-4122-BCDC-D3528CF0C29E}" srcOrd="0" destOrd="0" presId="urn:microsoft.com/office/officeart/2005/8/layout/process1"/>
    <dgm:cxn modelId="{CED231A4-F0BC-4E96-BD18-3D42B32218E3}" type="presParOf" srcId="{3AECF8DE-1A1D-48F6-9C15-F610FEC12856}" destId="{55D010D4-FF6D-43F8-8F34-6A942818ECC2}" srcOrd="1" destOrd="0" presId="urn:microsoft.com/office/officeart/2005/8/layout/process1"/>
    <dgm:cxn modelId="{D8D1899C-B979-4F4C-BB41-9C9ACE294154}" type="presParOf" srcId="{55D010D4-FF6D-43F8-8F34-6A942818ECC2}" destId="{AECB49DC-2796-411E-BF46-185C2F8892FA}" srcOrd="0" destOrd="0" presId="urn:microsoft.com/office/officeart/2005/8/layout/process1"/>
    <dgm:cxn modelId="{616FBC85-026C-4218-95F9-CA93A74FA4C4}" type="presParOf" srcId="{3AECF8DE-1A1D-48F6-9C15-F610FEC12856}" destId="{C115BC1E-39FB-4A7D-A446-71DB2281050E}" srcOrd="2" destOrd="0" presId="urn:microsoft.com/office/officeart/2005/8/layout/process1"/>
    <dgm:cxn modelId="{7E821FD1-06A4-4D3D-9604-7CC7AF9A608D}" type="presParOf" srcId="{3AECF8DE-1A1D-48F6-9C15-F610FEC12856}" destId="{2D3F0573-04E7-4332-A5FE-2961B6753C50}" srcOrd="3" destOrd="0" presId="urn:microsoft.com/office/officeart/2005/8/layout/process1"/>
    <dgm:cxn modelId="{EE1F2CF4-BEB0-4A92-81E3-9A4DA8B02051}" type="presParOf" srcId="{2D3F0573-04E7-4332-A5FE-2961B6753C50}" destId="{C42B6D7C-44B7-4800-A856-1963C71BB22A}" srcOrd="0" destOrd="0" presId="urn:microsoft.com/office/officeart/2005/8/layout/process1"/>
    <dgm:cxn modelId="{D1D542E1-0AC3-467E-9892-A632BAD4E3E7}" type="presParOf" srcId="{3AECF8DE-1A1D-48F6-9C15-F610FEC12856}" destId="{F571891B-CD09-46B0-9A1F-1DBD89A0BA88}" srcOrd="4" destOrd="0" presId="urn:microsoft.com/office/officeart/2005/8/layout/process1"/>
    <dgm:cxn modelId="{DB10A494-C924-49E9-AFB0-9B1EB3F70E77}" type="presParOf" srcId="{3AECF8DE-1A1D-48F6-9C15-F610FEC12856}" destId="{59053398-38DA-4236-A929-D9760EFB7EFA}" srcOrd="5" destOrd="0" presId="urn:microsoft.com/office/officeart/2005/8/layout/process1"/>
    <dgm:cxn modelId="{C41608DB-99B3-4CDB-8480-4B03CAB3E53F}" type="presParOf" srcId="{59053398-38DA-4236-A929-D9760EFB7EFA}" destId="{42CC0B4C-65DC-4475-98AF-0BDFBDD78478}" srcOrd="0" destOrd="0" presId="urn:microsoft.com/office/officeart/2005/8/layout/process1"/>
    <dgm:cxn modelId="{DEC79901-7527-49AB-AE0B-8901459797C4}" type="presParOf" srcId="{3AECF8DE-1A1D-48F6-9C15-F610FEC12856}" destId="{EF369C77-63D5-4804-882D-94780842327A}" srcOrd="6"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ADA86F-AAE9-4852-81A9-03B71FB79B1B}" type="doc">
      <dgm:prSet loTypeId="urn:microsoft.com/office/officeart/2005/8/layout/vList5" loCatId="list" qsTypeId="urn:microsoft.com/office/officeart/2005/8/quickstyle/3d1" qsCatId="3D" csTypeId="urn:microsoft.com/office/officeart/2005/8/colors/accent1_2" csCatId="accent1" phldr="1"/>
      <dgm:spPr/>
      <dgm:t>
        <a:bodyPr/>
        <a:lstStyle/>
        <a:p>
          <a:endParaRPr lang="ru-RU"/>
        </a:p>
      </dgm:t>
    </dgm:pt>
    <dgm:pt modelId="{569C03E5-62BF-4911-AAA7-9D18D95AEA94}">
      <dgm:prSet phldrT="[Text]" custT="1"/>
      <dgm:spPr>
        <a:xfrm>
          <a:off x="0" y="684"/>
          <a:ext cx="2154783" cy="451842"/>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o-MD" sz="2000" b="1">
              <a:solidFill>
                <a:sysClr val="window" lastClr="FFFFFF"/>
              </a:solidFill>
              <a:latin typeface="Calibri" panose="020F0502020204030204"/>
              <a:ea typeface="+mn-ea"/>
              <a:cs typeface="+mn-cs"/>
            </a:rPr>
            <a:t>OG 1</a:t>
          </a:r>
          <a:endParaRPr lang="ru-RU" sz="2000" b="1">
            <a:solidFill>
              <a:sysClr val="window" lastClr="FFFFFF"/>
            </a:solidFill>
            <a:latin typeface="Calibri" panose="020F0502020204030204"/>
            <a:ea typeface="+mn-ea"/>
            <a:cs typeface="+mn-cs"/>
          </a:endParaRPr>
        </a:p>
      </dgm:t>
    </dgm:pt>
    <dgm:pt modelId="{0CA48D94-AF91-4C22-8A26-EBC3F8B11E11}" type="parTrans" cxnId="{EDC232A8-92EA-4F6E-A963-2C1C22819EE8}">
      <dgm:prSet/>
      <dgm:spPr/>
      <dgm:t>
        <a:bodyPr/>
        <a:lstStyle/>
        <a:p>
          <a:endParaRPr lang="ru-RU"/>
        </a:p>
      </dgm:t>
    </dgm:pt>
    <dgm:pt modelId="{07889D6C-3F75-45E4-ABC5-1335AA5F22AF}" type="sibTrans" cxnId="{EDC232A8-92EA-4F6E-A963-2C1C22819EE8}">
      <dgm:prSet/>
      <dgm:spPr/>
      <dgm:t>
        <a:bodyPr/>
        <a:lstStyle/>
        <a:p>
          <a:endParaRPr lang="ru-RU"/>
        </a:p>
      </dgm:t>
    </dgm:pt>
    <dgm:pt modelId="{9EBB7573-1E68-4AE6-9C4B-48448AB01E2C}">
      <dgm:prSet phldrT="[Text]" custT="1"/>
      <dgm:spPr>
        <a:xfrm rot="5400000">
          <a:off x="3889409" y="-1688757"/>
          <a:ext cx="361473" cy="3830726"/>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ro-MD" sz="1200" b="1">
              <a:solidFill>
                <a:sysClr val="windowText" lastClr="000000">
                  <a:hueOff val="0"/>
                  <a:satOff val="0"/>
                  <a:lumOff val="0"/>
                  <a:alphaOff val="0"/>
                </a:sysClr>
              </a:solidFill>
              <a:latin typeface="Calibri" panose="020F0502020204030204"/>
              <a:ea typeface="+mn-ea"/>
              <a:cs typeface="+mn-cs"/>
            </a:rPr>
            <a:t>Îmbunătățirea guvernanței și modernizarea instituțională</a:t>
          </a:r>
          <a:endParaRPr lang="ru-RU" sz="1100">
            <a:solidFill>
              <a:sysClr val="windowText" lastClr="000000">
                <a:hueOff val="0"/>
                <a:satOff val="0"/>
                <a:lumOff val="0"/>
                <a:alphaOff val="0"/>
              </a:sysClr>
            </a:solidFill>
            <a:latin typeface="Calibri" panose="020F0502020204030204"/>
            <a:ea typeface="+mn-ea"/>
            <a:cs typeface="+mn-cs"/>
          </a:endParaRPr>
        </a:p>
      </dgm:t>
    </dgm:pt>
    <dgm:pt modelId="{EA6258B2-2C3E-433D-A7B1-9827DF8D8F20}" type="parTrans" cxnId="{120B60C3-89AF-49F7-89EE-CE69303D8926}">
      <dgm:prSet/>
      <dgm:spPr/>
      <dgm:t>
        <a:bodyPr/>
        <a:lstStyle/>
        <a:p>
          <a:endParaRPr lang="ru-RU"/>
        </a:p>
      </dgm:t>
    </dgm:pt>
    <dgm:pt modelId="{56DCA510-F14D-4F3A-B228-341B8DEAE73E}" type="sibTrans" cxnId="{120B60C3-89AF-49F7-89EE-CE69303D8926}">
      <dgm:prSet/>
      <dgm:spPr/>
      <dgm:t>
        <a:bodyPr/>
        <a:lstStyle/>
        <a:p>
          <a:endParaRPr lang="ru-RU"/>
        </a:p>
      </dgm:t>
    </dgm:pt>
    <dgm:pt modelId="{BCFD059A-7372-4AEF-BB46-83B2A016BCBC}">
      <dgm:prSet phldrT="[Text]" custT="1"/>
      <dgm:spPr>
        <a:xfrm>
          <a:off x="0" y="475118"/>
          <a:ext cx="2154783" cy="451842"/>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o-MD" sz="2000" b="1">
              <a:solidFill>
                <a:sysClr val="window" lastClr="FFFFFF"/>
              </a:solidFill>
              <a:latin typeface="Calibri" panose="020F0502020204030204"/>
              <a:ea typeface="+mn-ea"/>
              <a:cs typeface="+mn-cs"/>
            </a:rPr>
            <a:t>OG 2</a:t>
          </a:r>
          <a:endParaRPr lang="ru-RU" sz="2000" b="1">
            <a:solidFill>
              <a:sysClr val="window" lastClr="FFFFFF"/>
            </a:solidFill>
            <a:latin typeface="Calibri" panose="020F0502020204030204"/>
            <a:ea typeface="+mn-ea"/>
            <a:cs typeface="+mn-cs"/>
          </a:endParaRPr>
        </a:p>
      </dgm:t>
    </dgm:pt>
    <dgm:pt modelId="{7F12D502-630B-4977-BC88-D9103DEDEDC6}" type="parTrans" cxnId="{4B2213AE-2A09-4ADD-BCC7-F202F396E622}">
      <dgm:prSet/>
      <dgm:spPr/>
      <dgm:t>
        <a:bodyPr/>
        <a:lstStyle/>
        <a:p>
          <a:endParaRPr lang="ru-RU"/>
        </a:p>
      </dgm:t>
    </dgm:pt>
    <dgm:pt modelId="{D9E2A591-AC12-4894-B900-3D4B560F4BBE}" type="sibTrans" cxnId="{4B2213AE-2A09-4ADD-BCC7-F202F396E622}">
      <dgm:prSet/>
      <dgm:spPr/>
      <dgm:t>
        <a:bodyPr/>
        <a:lstStyle/>
        <a:p>
          <a:endParaRPr lang="ru-RU"/>
        </a:p>
      </dgm:t>
    </dgm:pt>
    <dgm:pt modelId="{2F0F851D-CED7-4507-A675-204238AF43DF}">
      <dgm:prSet phldrT="[Text]" custT="1"/>
      <dgm:spPr>
        <a:xfrm rot="5400000">
          <a:off x="3889409" y="-1214323"/>
          <a:ext cx="361473" cy="3830726"/>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ro-MD" sz="1200" b="1">
              <a:solidFill>
                <a:sysClr val="windowText" lastClr="000000">
                  <a:hueOff val="0"/>
                  <a:satOff val="0"/>
                  <a:lumOff val="0"/>
                  <a:alphaOff val="0"/>
                </a:sysClr>
              </a:solidFill>
              <a:latin typeface="Calibri" panose="020F0502020204030204"/>
              <a:ea typeface="+mn-ea"/>
              <a:cs typeface="+mn-cs"/>
            </a:rPr>
            <a:t>Mobilizarea capitalului și forței de muncă</a:t>
          </a:r>
          <a:endParaRPr lang="ru-RU" sz="1100">
            <a:solidFill>
              <a:sysClr val="windowText" lastClr="000000">
                <a:hueOff val="0"/>
                <a:satOff val="0"/>
                <a:lumOff val="0"/>
                <a:alphaOff val="0"/>
              </a:sysClr>
            </a:solidFill>
            <a:latin typeface="Calibri" panose="020F0502020204030204"/>
            <a:ea typeface="+mn-ea"/>
            <a:cs typeface="+mn-cs"/>
          </a:endParaRPr>
        </a:p>
      </dgm:t>
    </dgm:pt>
    <dgm:pt modelId="{81B3F536-2411-4E4F-A883-B5B91DB3537B}" type="parTrans" cxnId="{CE4025E0-28C9-4FA9-9F5A-3B1E8F6F51C2}">
      <dgm:prSet/>
      <dgm:spPr/>
      <dgm:t>
        <a:bodyPr/>
        <a:lstStyle/>
        <a:p>
          <a:endParaRPr lang="ru-RU"/>
        </a:p>
      </dgm:t>
    </dgm:pt>
    <dgm:pt modelId="{3906D4F5-808D-4661-981E-48C9E7CAB138}" type="sibTrans" cxnId="{CE4025E0-28C9-4FA9-9F5A-3B1E8F6F51C2}">
      <dgm:prSet/>
      <dgm:spPr/>
      <dgm:t>
        <a:bodyPr/>
        <a:lstStyle/>
        <a:p>
          <a:endParaRPr lang="ru-RU"/>
        </a:p>
      </dgm:t>
    </dgm:pt>
    <dgm:pt modelId="{81443536-62D0-4A8A-A535-FCE6137EAD60}">
      <dgm:prSet phldrT="[Text]" custT="1"/>
      <dgm:spPr>
        <a:xfrm>
          <a:off x="0" y="949553"/>
          <a:ext cx="2154783" cy="451842"/>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o-MD" sz="2000" b="1">
              <a:solidFill>
                <a:sysClr val="window" lastClr="FFFFFF"/>
              </a:solidFill>
              <a:latin typeface="Calibri" panose="020F0502020204030204"/>
              <a:ea typeface="+mn-ea"/>
              <a:cs typeface="+mn-cs"/>
            </a:rPr>
            <a:t>OG 3</a:t>
          </a:r>
          <a:endParaRPr lang="ru-RU" sz="2000" b="1">
            <a:solidFill>
              <a:sysClr val="window" lastClr="FFFFFF"/>
            </a:solidFill>
            <a:latin typeface="Calibri" panose="020F0502020204030204"/>
            <a:ea typeface="+mn-ea"/>
            <a:cs typeface="+mn-cs"/>
          </a:endParaRPr>
        </a:p>
      </dgm:t>
    </dgm:pt>
    <dgm:pt modelId="{45748AD5-295A-4022-A796-2BBC68C42CDF}" type="parTrans" cxnId="{E42A8F8D-8BA1-4E90-94FC-534F7669B036}">
      <dgm:prSet/>
      <dgm:spPr/>
      <dgm:t>
        <a:bodyPr/>
        <a:lstStyle/>
        <a:p>
          <a:endParaRPr lang="ru-RU"/>
        </a:p>
      </dgm:t>
    </dgm:pt>
    <dgm:pt modelId="{0E018E2D-E0CB-4A70-88EA-ACCE8763CE00}" type="sibTrans" cxnId="{E42A8F8D-8BA1-4E90-94FC-534F7669B036}">
      <dgm:prSet/>
      <dgm:spPr/>
      <dgm:t>
        <a:bodyPr/>
        <a:lstStyle/>
        <a:p>
          <a:endParaRPr lang="ru-RU"/>
        </a:p>
      </dgm:t>
    </dgm:pt>
    <dgm:pt modelId="{9E5805AA-C31A-425A-BC5C-E92E2FDEEEF6}">
      <dgm:prSet phldrT="[Text]"/>
      <dgm:spPr>
        <a:xfrm rot="5400000">
          <a:off x="3889409" y="-739888"/>
          <a:ext cx="361473" cy="3830726"/>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just"/>
          <a:r>
            <a:rPr lang="ro-MD" b="1">
              <a:solidFill>
                <a:sysClr val="windowText" lastClr="000000">
                  <a:hueOff val="0"/>
                  <a:satOff val="0"/>
                  <a:lumOff val="0"/>
                  <a:alphaOff val="0"/>
                </a:sysClr>
              </a:solidFill>
              <a:latin typeface="Calibri" panose="020F0502020204030204"/>
              <a:ea typeface="+mn-ea"/>
              <a:cs typeface="+mn-cs"/>
            </a:rPr>
            <a:t>Stimularea productivității și tranziției la economia verde</a:t>
          </a:r>
          <a:endParaRPr lang="ru-RU">
            <a:solidFill>
              <a:sysClr val="windowText" lastClr="000000">
                <a:hueOff val="0"/>
                <a:satOff val="0"/>
                <a:lumOff val="0"/>
                <a:alphaOff val="0"/>
              </a:sysClr>
            </a:solidFill>
            <a:latin typeface="Calibri" panose="020F0502020204030204"/>
            <a:ea typeface="+mn-ea"/>
            <a:cs typeface="+mn-cs"/>
          </a:endParaRPr>
        </a:p>
      </dgm:t>
    </dgm:pt>
    <dgm:pt modelId="{F6505A4B-9143-47EC-AF00-E101B986E9CA}" type="parTrans" cxnId="{F5FC0FBD-90B6-4B8F-A239-64AE68FA212F}">
      <dgm:prSet/>
      <dgm:spPr/>
      <dgm:t>
        <a:bodyPr/>
        <a:lstStyle/>
        <a:p>
          <a:endParaRPr lang="ru-RU"/>
        </a:p>
      </dgm:t>
    </dgm:pt>
    <dgm:pt modelId="{6A763C3A-71B1-49FE-91B2-394BE893C070}" type="sibTrans" cxnId="{F5FC0FBD-90B6-4B8F-A239-64AE68FA212F}">
      <dgm:prSet/>
      <dgm:spPr/>
      <dgm:t>
        <a:bodyPr/>
        <a:lstStyle/>
        <a:p>
          <a:endParaRPr lang="ru-RU"/>
        </a:p>
      </dgm:t>
    </dgm:pt>
    <dgm:pt modelId="{2B931772-226B-41A2-A4E3-38082A48E6B5}" type="pres">
      <dgm:prSet presAssocID="{4CADA86F-AAE9-4852-81A9-03B71FB79B1B}" presName="Name0" presStyleCnt="0">
        <dgm:presLayoutVars>
          <dgm:dir/>
          <dgm:animLvl val="lvl"/>
          <dgm:resizeHandles val="exact"/>
        </dgm:presLayoutVars>
      </dgm:prSet>
      <dgm:spPr/>
      <dgm:t>
        <a:bodyPr/>
        <a:lstStyle/>
        <a:p>
          <a:endParaRPr lang="en-US"/>
        </a:p>
      </dgm:t>
    </dgm:pt>
    <dgm:pt modelId="{03D58624-219F-4BB6-8211-92D3795B9F1C}" type="pres">
      <dgm:prSet presAssocID="{569C03E5-62BF-4911-AAA7-9D18D95AEA94}" presName="linNode" presStyleCnt="0"/>
      <dgm:spPr/>
    </dgm:pt>
    <dgm:pt modelId="{918CE7EA-FC32-43DF-8A74-2B5F9D2EE887}" type="pres">
      <dgm:prSet presAssocID="{569C03E5-62BF-4911-AAA7-9D18D95AEA94}" presName="parentText" presStyleLbl="node1" presStyleIdx="0" presStyleCnt="3">
        <dgm:presLayoutVars>
          <dgm:chMax val="1"/>
          <dgm:bulletEnabled val="1"/>
        </dgm:presLayoutVars>
      </dgm:prSet>
      <dgm:spPr>
        <a:prstGeom prst="roundRect">
          <a:avLst/>
        </a:prstGeom>
      </dgm:spPr>
      <dgm:t>
        <a:bodyPr/>
        <a:lstStyle/>
        <a:p>
          <a:endParaRPr lang="en-US"/>
        </a:p>
      </dgm:t>
    </dgm:pt>
    <dgm:pt modelId="{772E427F-6FE8-4BA1-A7EA-5B62F1BF84F6}" type="pres">
      <dgm:prSet presAssocID="{569C03E5-62BF-4911-AAA7-9D18D95AEA94}" presName="descendantText" presStyleLbl="alignAccFollowNode1" presStyleIdx="0" presStyleCnt="3">
        <dgm:presLayoutVars>
          <dgm:bulletEnabled val="1"/>
        </dgm:presLayoutVars>
      </dgm:prSet>
      <dgm:spPr>
        <a:prstGeom prst="round2SameRect">
          <a:avLst/>
        </a:prstGeom>
      </dgm:spPr>
      <dgm:t>
        <a:bodyPr/>
        <a:lstStyle/>
        <a:p>
          <a:endParaRPr lang="en-US"/>
        </a:p>
      </dgm:t>
    </dgm:pt>
    <dgm:pt modelId="{24CC783D-6930-436A-AC1F-52B943C3E63A}" type="pres">
      <dgm:prSet presAssocID="{07889D6C-3F75-45E4-ABC5-1335AA5F22AF}" presName="sp" presStyleCnt="0"/>
      <dgm:spPr/>
    </dgm:pt>
    <dgm:pt modelId="{B3C37820-6E39-4F9A-A5C6-01BDB6D5E0E1}" type="pres">
      <dgm:prSet presAssocID="{BCFD059A-7372-4AEF-BB46-83B2A016BCBC}" presName="linNode" presStyleCnt="0"/>
      <dgm:spPr/>
    </dgm:pt>
    <dgm:pt modelId="{3E9732B5-4D98-48BB-AC99-43C238AB1C7D}" type="pres">
      <dgm:prSet presAssocID="{BCFD059A-7372-4AEF-BB46-83B2A016BCBC}" presName="parentText" presStyleLbl="node1" presStyleIdx="1" presStyleCnt="3">
        <dgm:presLayoutVars>
          <dgm:chMax val="1"/>
          <dgm:bulletEnabled val="1"/>
        </dgm:presLayoutVars>
      </dgm:prSet>
      <dgm:spPr>
        <a:prstGeom prst="roundRect">
          <a:avLst/>
        </a:prstGeom>
      </dgm:spPr>
      <dgm:t>
        <a:bodyPr/>
        <a:lstStyle/>
        <a:p>
          <a:endParaRPr lang="en-US"/>
        </a:p>
      </dgm:t>
    </dgm:pt>
    <dgm:pt modelId="{7B18796C-742F-455F-B701-284BF2EBBD9C}" type="pres">
      <dgm:prSet presAssocID="{BCFD059A-7372-4AEF-BB46-83B2A016BCBC}" presName="descendantText" presStyleLbl="alignAccFollowNode1" presStyleIdx="1" presStyleCnt="3">
        <dgm:presLayoutVars>
          <dgm:bulletEnabled val="1"/>
        </dgm:presLayoutVars>
      </dgm:prSet>
      <dgm:spPr>
        <a:prstGeom prst="round2SameRect">
          <a:avLst/>
        </a:prstGeom>
      </dgm:spPr>
      <dgm:t>
        <a:bodyPr/>
        <a:lstStyle/>
        <a:p>
          <a:endParaRPr lang="en-US"/>
        </a:p>
      </dgm:t>
    </dgm:pt>
    <dgm:pt modelId="{31BA297F-00D7-45BB-8B89-3DC7833EB19C}" type="pres">
      <dgm:prSet presAssocID="{D9E2A591-AC12-4894-B900-3D4B560F4BBE}" presName="sp" presStyleCnt="0"/>
      <dgm:spPr/>
    </dgm:pt>
    <dgm:pt modelId="{CF06F452-C6D3-4E37-AC2F-F1173A35FC7D}" type="pres">
      <dgm:prSet presAssocID="{81443536-62D0-4A8A-A535-FCE6137EAD60}" presName="linNode" presStyleCnt="0"/>
      <dgm:spPr/>
    </dgm:pt>
    <dgm:pt modelId="{196CB08C-9EF4-412F-AF97-091CD7D97592}" type="pres">
      <dgm:prSet presAssocID="{81443536-62D0-4A8A-A535-FCE6137EAD60}" presName="parentText" presStyleLbl="node1" presStyleIdx="2" presStyleCnt="3">
        <dgm:presLayoutVars>
          <dgm:chMax val="1"/>
          <dgm:bulletEnabled val="1"/>
        </dgm:presLayoutVars>
      </dgm:prSet>
      <dgm:spPr>
        <a:prstGeom prst="roundRect">
          <a:avLst/>
        </a:prstGeom>
      </dgm:spPr>
      <dgm:t>
        <a:bodyPr/>
        <a:lstStyle/>
        <a:p>
          <a:endParaRPr lang="en-US"/>
        </a:p>
      </dgm:t>
    </dgm:pt>
    <dgm:pt modelId="{221D221E-1AD8-463D-A710-7CCC9C0CAB47}" type="pres">
      <dgm:prSet presAssocID="{81443536-62D0-4A8A-A535-FCE6137EAD60}" presName="descendantText" presStyleLbl="alignAccFollowNode1" presStyleIdx="2" presStyleCnt="3">
        <dgm:presLayoutVars>
          <dgm:bulletEnabled val="1"/>
        </dgm:presLayoutVars>
      </dgm:prSet>
      <dgm:spPr>
        <a:prstGeom prst="round2SameRect">
          <a:avLst/>
        </a:prstGeom>
      </dgm:spPr>
      <dgm:t>
        <a:bodyPr/>
        <a:lstStyle/>
        <a:p>
          <a:endParaRPr lang="en-US"/>
        </a:p>
      </dgm:t>
    </dgm:pt>
  </dgm:ptLst>
  <dgm:cxnLst>
    <dgm:cxn modelId="{53D59827-8E1E-4ABC-BB8E-32B093882A4D}" type="presOf" srcId="{2F0F851D-CED7-4507-A675-204238AF43DF}" destId="{7B18796C-742F-455F-B701-284BF2EBBD9C}" srcOrd="0" destOrd="0" presId="urn:microsoft.com/office/officeart/2005/8/layout/vList5"/>
    <dgm:cxn modelId="{3AC8F8D6-1A46-44D2-9B79-3192ADC318E2}" type="presOf" srcId="{81443536-62D0-4A8A-A535-FCE6137EAD60}" destId="{196CB08C-9EF4-412F-AF97-091CD7D97592}" srcOrd="0" destOrd="0" presId="urn:microsoft.com/office/officeart/2005/8/layout/vList5"/>
    <dgm:cxn modelId="{120B60C3-89AF-49F7-89EE-CE69303D8926}" srcId="{569C03E5-62BF-4911-AAA7-9D18D95AEA94}" destId="{9EBB7573-1E68-4AE6-9C4B-48448AB01E2C}" srcOrd="0" destOrd="0" parTransId="{EA6258B2-2C3E-433D-A7B1-9827DF8D8F20}" sibTransId="{56DCA510-F14D-4F3A-B228-341B8DEAE73E}"/>
    <dgm:cxn modelId="{F5FC0FBD-90B6-4B8F-A239-64AE68FA212F}" srcId="{81443536-62D0-4A8A-A535-FCE6137EAD60}" destId="{9E5805AA-C31A-425A-BC5C-E92E2FDEEEF6}" srcOrd="0" destOrd="0" parTransId="{F6505A4B-9143-47EC-AF00-E101B986E9CA}" sibTransId="{6A763C3A-71B1-49FE-91B2-394BE893C070}"/>
    <dgm:cxn modelId="{CE10FF26-AF6B-4191-A905-1120559445CF}" type="presOf" srcId="{BCFD059A-7372-4AEF-BB46-83B2A016BCBC}" destId="{3E9732B5-4D98-48BB-AC99-43C238AB1C7D}" srcOrd="0" destOrd="0" presId="urn:microsoft.com/office/officeart/2005/8/layout/vList5"/>
    <dgm:cxn modelId="{7A09170C-15BA-4BFD-A672-4D8439F0A58D}" type="presOf" srcId="{4CADA86F-AAE9-4852-81A9-03B71FB79B1B}" destId="{2B931772-226B-41A2-A4E3-38082A48E6B5}" srcOrd="0" destOrd="0" presId="urn:microsoft.com/office/officeart/2005/8/layout/vList5"/>
    <dgm:cxn modelId="{0BECDEE0-E209-4A15-8812-488436A5DA26}" type="presOf" srcId="{9E5805AA-C31A-425A-BC5C-E92E2FDEEEF6}" destId="{221D221E-1AD8-463D-A710-7CCC9C0CAB47}" srcOrd="0" destOrd="0" presId="urn:microsoft.com/office/officeart/2005/8/layout/vList5"/>
    <dgm:cxn modelId="{CE4025E0-28C9-4FA9-9F5A-3B1E8F6F51C2}" srcId="{BCFD059A-7372-4AEF-BB46-83B2A016BCBC}" destId="{2F0F851D-CED7-4507-A675-204238AF43DF}" srcOrd="0" destOrd="0" parTransId="{81B3F536-2411-4E4F-A883-B5B91DB3537B}" sibTransId="{3906D4F5-808D-4661-981E-48C9E7CAB138}"/>
    <dgm:cxn modelId="{E42A8F8D-8BA1-4E90-94FC-534F7669B036}" srcId="{4CADA86F-AAE9-4852-81A9-03B71FB79B1B}" destId="{81443536-62D0-4A8A-A535-FCE6137EAD60}" srcOrd="2" destOrd="0" parTransId="{45748AD5-295A-4022-A796-2BBC68C42CDF}" sibTransId="{0E018E2D-E0CB-4A70-88EA-ACCE8763CE00}"/>
    <dgm:cxn modelId="{F592813E-B4E4-4203-B6FF-E721AA559BB2}" type="presOf" srcId="{569C03E5-62BF-4911-AAA7-9D18D95AEA94}" destId="{918CE7EA-FC32-43DF-8A74-2B5F9D2EE887}" srcOrd="0" destOrd="0" presId="urn:microsoft.com/office/officeart/2005/8/layout/vList5"/>
    <dgm:cxn modelId="{4B2213AE-2A09-4ADD-BCC7-F202F396E622}" srcId="{4CADA86F-AAE9-4852-81A9-03B71FB79B1B}" destId="{BCFD059A-7372-4AEF-BB46-83B2A016BCBC}" srcOrd="1" destOrd="0" parTransId="{7F12D502-630B-4977-BC88-D9103DEDEDC6}" sibTransId="{D9E2A591-AC12-4894-B900-3D4B560F4BBE}"/>
    <dgm:cxn modelId="{EDC232A8-92EA-4F6E-A963-2C1C22819EE8}" srcId="{4CADA86F-AAE9-4852-81A9-03B71FB79B1B}" destId="{569C03E5-62BF-4911-AAA7-9D18D95AEA94}" srcOrd="0" destOrd="0" parTransId="{0CA48D94-AF91-4C22-8A26-EBC3F8B11E11}" sibTransId="{07889D6C-3F75-45E4-ABC5-1335AA5F22AF}"/>
    <dgm:cxn modelId="{258AC440-DDDE-405B-AA52-8B80E13741DC}" type="presOf" srcId="{9EBB7573-1E68-4AE6-9C4B-48448AB01E2C}" destId="{772E427F-6FE8-4BA1-A7EA-5B62F1BF84F6}" srcOrd="0" destOrd="0" presId="urn:microsoft.com/office/officeart/2005/8/layout/vList5"/>
    <dgm:cxn modelId="{2278CDF4-9FB5-4332-B0F2-384739144B8E}" type="presParOf" srcId="{2B931772-226B-41A2-A4E3-38082A48E6B5}" destId="{03D58624-219F-4BB6-8211-92D3795B9F1C}" srcOrd="0" destOrd="0" presId="urn:microsoft.com/office/officeart/2005/8/layout/vList5"/>
    <dgm:cxn modelId="{DC4800F3-907D-4D05-B8D8-8CC4BCB3A244}" type="presParOf" srcId="{03D58624-219F-4BB6-8211-92D3795B9F1C}" destId="{918CE7EA-FC32-43DF-8A74-2B5F9D2EE887}" srcOrd="0" destOrd="0" presId="urn:microsoft.com/office/officeart/2005/8/layout/vList5"/>
    <dgm:cxn modelId="{3A55BA68-E486-45C5-8478-8339B426DA4E}" type="presParOf" srcId="{03D58624-219F-4BB6-8211-92D3795B9F1C}" destId="{772E427F-6FE8-4BA1-A7EA-5B62F1BF84F6}" srcOrd="1" destOrd="0" presId="urn:microsoft.com/office/officeart/2005/8/layout/vList5"/>
    <dgm:cxn modelId="{0AA5DFE8-025D-429B-A2EF-1C6E72B507EB}" type="presParOf" srcId="{2B931772-226B-41A2-A4E3-38082A48E6B5}" destId="{24CC783D-6930-436A-AC1F-52B943C3E63A}" srcOrd="1" destOrd="0" presId="urn:microsoft.com/office/officeart/2005/8/layout/vList5"/>
    <dgm:cxn modelId="{0376EBE3-4D18-44CC-9D9C-DDA05AB5972D}" type="presParOf" srcId="{2B931772-226B-41A2-A4E3-38082A48E6B5}" destId="{B3C37820-6E39-4F9A-A5C6-01BDB6D5E0E1}" srcOrd="2" destOrd="0" presId="urn:microsoft.com/office/officeart/2005/8/layout/vList5"/>
    <dgm:cxn modelId="{2C1BF55B-8022-4A66-9B6E-34A5066B443B}" type="presParOf" srcId="{B3C37820-6E39-4F9A-A5C6-01BDB6D5E0E1}" destId="{3E9732B5-4D98-48BB-AC99-43C238AB1C7D}" srcOrd="0" destOrd="0" presId="urn:microsoft.com/office/officeart/2005/8/layout/vList5"/>
    <dgm:cxn modelId="{5C5B7B7A-2C84-491D-ADBC-9389598BBB91}" type="presParOf" srcId="{B3C37820-6E39-4F9A-A5C6-01BDB6D5E0E1}" destId="{7B18796C-742F-455F-B701-284BF2EBBD9C}" srcOrd="1" destOrd="0" presId="urn:microsoft.com/office/officeart/2005/8/layout/vList5"/>
    <dgm:cxn modelId="{895B9F29-5388-461E-B5D3-34DA16CE576C}" type="presParOf" srcId="{2B931772-226B-41A2-A4E3-38082A48E6B5}" destId="{31BA297F-00D7-45BB-8B89-3DC7833EB19C}" srcOrd="3" destOrd="0" presId="urn:microsoft.com/office/officeart/2005/8/layout/vList5"/>
    <dgm:cxn modelId="{CB3C591F-8A68-4006-A0F3-A74118C77ECE}" type="presParOf" srcId="{2B931772-226B-41A2-A4E3-38082A48E6B5}" destId="{CF06F452-C6D3-4E37-AC2F-F1173A35FC7D}" srcOrd="4" destOrd="0" presId="urn:microsoft.com/office/officeart/2005/8/layout/vList5"/>
    <dgm:cxn modelId="{0C44DAD2-F8CD-4A06-9896-044E475EEF27}" type="presParOf" srcId="{CF06F452-C6D3-4E37-AC2F-F1173A35FC7D}" destId="{196CB08C-9EF4-412F-AF97-091CD7D97592}" srcOrd="0" destOrd="0" presId="urn:microsoft.com/office/officeart/2005/8/layout/vList5"/>
    <dgm:cxn modelId="{953083A5-35B3-44AE-BFCB-9A3236DC381A}" type="presParOf" srcId="{CF06F452-C6D3-4E37-AC2F-F1173A35FC7D}" destId="{221D221E-1AD8-463D-A710-7CCC9C0CAB47}"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7C9063-8AAF-48F9-AB25-DC2858A1C75F}"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ru-RU"/>
        </a:p>
      </dgm:t>
    </dgm:pt>
    <dgm:pt modelId="{F51D05AB-5340-45B6-81B3-008A5B2CB295}">
      <dgm:prSet phldrT="[Text]"/>
      <dgm:spPr>
        <a:xfrm>
          <a:off x="0" y="0"/>
          <a:ext cx="6126480" cy="3009900"/>
        </a:xfr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o-MD" b="1">
              <a:solidFill>
                <a:sysClr val="window" lastClr="FFFFFF"/>
              </a:solidFill>
              <a:latin typeface="Calibri" panose="020F0502020204030204"/>
              <a:ea typeface="+mn-ea"/>
              <a:cs typeface="+mn-cs"/>
            </a:rPr>
            <a:t>Stabilitatea macroeconomică</a:t>
          </a:r>
          <a:endParaRPr lang="ru-RU">
            <a:solidFill>
              <a:sysClr val="window" lastClr="FFFFFF"/>
            </a:solidFill>
            <a:latin typeface="Calibri" panose="020F0502020204030204"/>
            <a:ea typeface="+mn-ea"/>
            <a:cs typeface="+mn-cs"/>
          </a:endParaRPr>
        </a:p>
      </dgm:t>
    </dgm:pt>
    <dgm:pt modelId="{9E207894-44FB-4604-AF41-4CAB0948C3D2}" type="parTrans" cxnId="{B7FDA37F-05C1-458D-A0BA-25DBF36660F4}">
      <dgm:prSet/>
      <dgm:spPr/>
      <dgm:t>
        <a:bodyPr/>
        <a:lstStyle/>
        <a:p>
          <a:endParaRPr lang="ru-RU"/>
        </a:p>
      </dgm:t>
    </dgm:pt>
    <dgm:pt modelId="{376AAABC-4FB6-4BD1-8605-31F632DD0DB8}" type="sibTrans" cxnId="{B7FDA37F-05C1-458D-A0BA-25DBF36660F4}">
      <dgm:prSet/>
      <dgm:spPr/>
      <dgm:t>
        <a:bodyPr/>
        <a:lstStyle/>
        <a:p>
          <a:endParaRPr lang="ru-RU"/>
        </a:p>
      </dgm:t>
    </dgm:pt>
    <dgm:pt modelId="{4C650267-3BA3-4350-995E-EEE91C6D77D2}">
      <dgm:prSet phldrT="[Text]" custT="1"/>
      <dgm:spPr>
        <a:xfrm>
          <a:off x="153162" y="752475"/>
          <a:ext cx="918972" cy="103083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1200" b="1">
              <a:solidFill>
                <a:sysClr val="windowText" lastClr="000000">
                  <a:hueOff val="0"/>
                  <a:satOff val="0"/>
                  <a:lumOff val="0"/>
                  <a:alphaOff val="0"/>
                </a:sysClr>
              </a:solidFill>
              <a:latin typeface="Calibri" panose="020F0502020204030204"/>
              <a:ea typeface="+mn-ea"/>
              <a:cs typeface="+mn-cs"/>
            </a:rPr>
            <a:t>Politica fiscală</a:t>
          </a:r>
          <a:endParaRPr lang="ru-RU" sz="1200" b="1">
            <a:solidFill>
              <a:sysClr val="windowText" lastClr="000000">
                <a:hueOff val="0"/>
                <a:satOff val="0"/>
                <a:lumOff val="0"/>
                <a:alphaOff val="0"/>
              </a:sysClr>
            </a:solidFill>
            <a:latin typeface="Calibri" panose="020F0502020204030204"/>
            <a:ea typeface="+mn-ea"/>
            <a:cs typeface="+mn-cs"/>
          </a:endParaRPr>
        </a:p>
      </dgm:t>
    </dgm:pt>
    <dgm:pt modelId="{62442C97-D24B-49E5-A5D3-5F32B774C756}" type="parTrans" cxnId="{E29F67DA-2203-46FD-9922-84CF7C6B476A}">
      <dgm:prSet/>
      <dgm:spPr/>
      <dgm:t>
        <a:bodyPr/>
        <a:lstStyle/>
        <a:p>
          <a:endParaRPr lang="ru-RU"/>
        </a:p>
      </dgm:t>
    </dgm:pt>
    <dgm:pt modelId="{88FD5C80-5B81-4219-A27A-D3C7293E1C6A}" type="sibTrans" cxnId="{E29F67DA-2203-46FD-9922-84CF7C6B476A}">
      <dgm:prSet/>
      <dgm:spPr/>
      <dgm:t>
        <a:bodyPr/>
        <a:lstStyle/>
        <a:p>
          <a:endParaRPr lang="ru-RU"/>
        </a:p>
      </dgm:t>
    </dgm:pt>
    <dgm:pt modelId="{515A9492-6FD6-4A1F-85E2-0BB83ACAF486}">
      <dgm:prSet phldrT="[Text]" custT="1"/>
      <dgm:spPr>
        <a:xfrm>
          <a:off x="153162" y="1828268"/>
          <a:ext cx="918972" cy="103083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1200" b="1">
              <a:solidFill>
                <a:sysClr val="windowText" lastClr="000000">
                  <a:hueOff val="0"/>
                  <a:satOff val="0"/>
                  <a:lumOff val="0"/>
                  <a:alphaOff val="0"/>
                </a:sysClr>
              </a:solidFill>
              <a:latin typeface="Calibri" panose="020F0502020204030204"/>
              <a:ea typeface="+mn-ea"/>
              <a:cs typeface="+mn-cs"/>
            </a:rPr>
            <a:t>Politica monetară</a:t>
          </a:r>
          <a:endParaRPr lang="ru-RU" sz="1200" b="1">
            <a:solidFill>
              <a:sysClr val="windowText" lastClr="000000">
                <a:hueOff val="0"/>
                <a:satOff val="0"/>
                <a:lumOff val="0"/>
                <a:alphaOff val="0"/>
              </a:sysClr>
            </a:solidFill>
            <a:latin typeface="Calibri" panose="020F0502020204030204"/>
            <a:ea typeface="+mn-ea"/>
            <a:cs typeface="+mn-cs"/>
          </a:endParaRPr>
        </a:p>
      </dgm:t>
    </dgm:pt>
    <dgm:pt modelId="{2277C49D-DFAA-40C4-8A6D-67DF89E9E223}" type="parTrans" cxnId="{EF39CB5B-C18A-40B1-8C54-347A45151862}">
      <dgm:prSet/>
      <dgm:spPr/>
      <dgm:t>
        <a:bodyPr/>
        <a:lstStyle/>
        <a:p>
          <a:endParaRPr lang="ru-RU"/>
        </a:p>
      </dgm:t>
    </dgm:pt>
    <dgm:pt modelId="{A48326DD-BC5A-4B2B-B5EA-3DA9FA7F642B}" type="sibTrans" cxnId="{EF39CB5B-C18A-40B1-8C54-347A45151862}">
      <dgm:prSet/>
      <dgm:spPr/>
      <dgm:t>
        <a:bodyPr/>
        <a:lstStyle/>
        <a:p>
          <a:endParaRPr lang="ru-RU"/>
        </a:p>
      </dgm:t>
    </dgm:pt>
    <dgm:pt modelId="{1E18E511-B9DC-4790-9D38-F6898BF9EBEA}">
      <dgm:prSet phldrT="[Text]"/>
      <dgm:spPr>
        <a:xfrm>
          <a:off x="1225296" y="752475"/>
          <a:ext cx="4748022" cy="2106930"/>
        </a:xfrm>
        <a:solidFill>
          <a:srgbClr val="4472C4">
            <a:lumMod val="75000"/>
          </a:srgbClr>
        </a:solidFill>
        <a:ln w="12700" cap="flat" cmpd="sng" algn="ctr">
          <a:solidFill>
            <a:srgbClr val="44546A"/>
          </a:solidFill>
          <a:prstDash val="solid"/>
          <a:miter lim="800000"/>
        </a:ln>
        <a:effectLst/>
      </dgm:spPr>
      <dgm:t>
        <a:bodyPr/>
        <a:lstStyle/>
        <a:p>
          <a:pPr algn="ctr"/>
          <a:r>
            <a:rPr lang="ro-MD" b="1">
              <a:solidFill>
                <a:sysClr val="window" lastClr="FFFFFF"/>
              </a:solidFill>
              <a:latin typeface="Calibri" panose="020F0502020204030204"/>
              <a:ea typeface="+mn-ea"/>
              <a:cs typeface="+mn-cs"/>
            </a:rPr>
            <a:t>Reforme structurale</a:t>
          </a:r>
          <a:endParaRPr lang="ru-RU">
            <a:solidFill>
              <a:sysClr val="window" lastClr="FFFFFF"/>
            </a:solidFill>
            <a:latin typeface="Calibri" panose="020F0502020204030204"/>
            <a:ea typeface="+mn-ea"/>
            <a:cs typeface="+mn-cs"/>
          </a:endParaRPr>
        </a:p>
      </dgm:t>
    </dgm:pt>
    <dgm:pt modelId="{BCF65B2B-F876-496F-B898-C9B7BCC0611E}" type="parTrans" cxnId="{DCED9806-9722-489C-828C-419816FF4211}">
      <dgm:prSet/>
      <dgm:spPr/>
      <dgm:t>
        <a:bodyPr/>
        <a:lstStyle/>
        <a:p>
          <a:endParaRPr lang="ru-RU"/>
        </a:p>
      </dgm:t>
    </dgm:pt>
    <dgm:pt modelId="{DCF19859-8E38-4368-A9B6-D4004ED0F833}" type="sibTrans" cxnId="{DCED9806-9722-489C-828C-419816FF4211}">
      <dgm:prSet/>
      <dgm:spPr/>
      <dgm:t>
        <a:bodyPr/>
        <a:lstStyle/>
        <a:p>
          <a:endParaRPr lang="ru-RU"/>
        </a:p>
      </dgm:t>
    </dgm:pt>
    <dgm:pt modelId="{7748FE98-CACC-4155-BA27-D51A77BFE20E}">
      <dgm:prSet phldrT="[Text]" custT="1"/>
      <dgm:spPr>
        <a:xfrm>
          <a:off x="1343996" y="1489900"/>
          <a:ext cx="949604" cy="38391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900" b="1">
              <a:solidFill>
                <a:sysClr val="windowText" lastClr="000000">
                  <a:hueOff val="0"/>
                  <a:satOff val="0"/>
                  <a:lumOff val="0"/>
                  <a:alphaOff val="0"/>
                </a:sysClr>
              </a:solidFill>
              <a:latin typeface="Calibri" panose="020F0502020204030204"/>
              <a:ea typeface="+mn-ea"/>
              <a:cs typeface="+mn-cs"/>
            </a:rPr>
            <a:t>Justiția</a:t>
          </a:r>
          <a:r>
            <a:rPr lang="ro-MD" sz="1000" b="1">
              <a:solidFill>
                <a:sysClr val="windowText" lastClr="000000">
                  <a:hueOff val="0"/>
                  <a:satOff val="0"/>
                  <a:lumOff val="0"/>
                  <a:alphaOff val="0"/>
                </a:sysClr>
              </a:solidFill>
              <a:latin typeface="Calibri" panose="020F0502020204030204"/>
              <a:ea typeface="+mn-ea"/>
              <a:cs typeface="+mn-cs"/>
            </a:rPr>
            <a:t> </a:t>
          </a:r>
          <a:endParaRPr lang="ru-RU" sz="1000" b="1">
            <a:solidFill>
              <a:sysClr val="windowText" lastClr="000000">
                <a:hueOff val="0"/>
                <a:satOff val="0"/>
                <a:lumOff val="0"/>
                <a:alphaOff val="0"/>
              </a:sysClr>
            </a:solidFill>
            <a:latin typeface="Calibri" panose="020F0502020204030204"/>
            <a:ea typeface="+mn-ea"/>
            <a:cs typeface="+mn-cs"/>
          </a:endParaRPr>
        </a:p>
      </dgm:t>
    </dgm:pt>
    <dgm:pt modelId="{254B9DD4-5A93-4825-A4C7-4D142EE9FAB3}" type="parTrans" cxnId="{864F9A0D-E2E4-445E-B438-3E9B24C5D88F}">
      <dgm:prSet/>
      <dgm:spPr/>
      <dgm:t>
        <a:bodyPr/>
        <a:lstStyle/>
        <a:p>
          <a:endParaRPr lang="ru-RU"/>
        </a:p>
      </dgm:t>
    </dgm:pt>
    <dgm:pt modelId="{70CC2013-6133-46AE-8141-9B3C364F3FB0}" type="sibTrans" cxnId="{864F9A0D-E2E4-445E-B438-3E9B24C5D88F}">
      <dgm:prSet/>
      <dgm:spPr/>
      <dgm:t>
        <a:bodyPr/>
        <a:lstStyle/>
        <a:p>
          <a:endParaRPr lang="ru-RU"/>
        </a:p>
      </dgm:t>
    </dgm:pt>
    <dgm:pt modelId="{C6005690-7745-4097-8D8E-3E0F8A88C5BC}">
      <dgm:prSet phldrT="[Text]" custT="1"/>
      <dgm:spPr>
        <a:xfrm>
          <a:off x="1343996" y="2315969"/>
          <a:ext cx="949604" cy="38391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900" b="1">
              <a:solidFill>
                <a:sysClr val="windowText" lastClr="000000">
                  <a:hueOff val="0"/>
                  <a:satOff val="0"/>
                  <a:lumOff val="0"/>
                  <a:alphaOff val="0"/>
                </a:sysClr>
              </a:solidFill>
              <a:latin typeface="Calibri" panose="020F0502020204030204"/>
              <a:ea typeface="+mn-ea"/>
              <a:cs typeface="+mn-cs"/>
            </a:rPr>
            <a:t>Energia și Transportul</a:t>
          </a:r>
          <a:endParaRPr lang="ru-RU" sz="900" b="1">
            <a:solidFill>
              <a:sysClr val="windowText" lastClr="000000">
                <a:hueOff val="0"/>
                <a:satOff val="0"/>
                <a:lumOff val="0"/>
                <a:alphaOff val="0"/>
              </a:sysClr>
            </a:solidFill>
            <a:latin typeface="Calibri" panose="020F0502020204030204"/>
            <a:ea typeface="+mn-ea"/>
            <a:cs typeface="+mn-cs"/>
          </a:endParaRPr>
        </a:p>
      </dgm:t>
    </dgm:pt>
    <dgm:pt modelId="{191FA2F2-E3BA-4EBA-ADA0-F91A6DF02283}" type="parTrans" cxnId="{6E92DB56-4239-4579-8785-E764F249C71C}">
      <dgm:prSet/>
      <dgm:spPr/>
      <dgm:t>
        <a:bodyPr/>
        <a:lstStyle/>
        <a:p>
          <a:endParaRPr lang="ru-RU"/>
        </a:p>
      </dgm:t>
    </dgm:pt>
    <dgm:pt modelId="{E5B53089-E9F6-4023-BDA1-E51935040BE7}" type="sibTrans" cxnId="{6E92DB56-4239-4579-8785-E764F249C71C}">
      <dgm:prSet/>
      <dgm:spPr/>
      <dgm:t>
        <a:bodyPr/>
        <a:lstStyle/>
        <a:p>
          <a:endParaRPr lang="ru-RU"/>
        </a:p>
      </dgm:t>
    </dgm:pt>
    <dgm:pt modelId="{57860C71-DF5B-450D-8E45-BFCDF0BDC1E7}">
      <dgm:prSet phldrT="[Text]"/>
      <dgm:spPr>
        <a:xfrm>
          <a:off x="2419959" y="1504950"/>
          <a:ext cx="3400196" cy="12039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o-MD" b="1">
              <a:solidFill>
                <a:sysClr val="window" lastClr="FFFFFF"/>
              </a:solidFill>
              <a:latin typeface="Calibri" panose="020F0502020204030204"/>
              <a:ea typeface="+mn-ea"/>
              <a:cs typeface="+mn-cs"/>
            </a:rPr>
            <a:t>Politici sectoriale</a:t>
          </a:r>
          <a:endParaRPr lang="ru-RU">
            <a:solidFill>
              <a:sysClr val="window" lastClr="FFFFFF"/>
            </a:solidFill>
            <a:latin typeface="Calibri" panose="020F0502020204030204"/>
            <a:ea typeface="+mn-ea"/>
            <a:cs typeface="+mn-cs"/>
          </a:endParaRPr>
        </a:p>
      </dgm:t>
    </dgm:pt>
    <dgm:pt modelId="{C32DB8F9-3C71-4B5E-B811-D1D77E5FE379}" type="parTrans" cxnId="{84843822-36B1-4A73-A89F-6C7D5D7637D7}">
      <dgm:prSet/>
      <dgm:spPr/>
      <dgm:t>
        <a:bodyPr/>
        <a:lstStyle/>
        <a:p>
          <a:endParaRPr lang="ru-RU"/>
        </a:p>
      </dgm:t>
    </dgm:pt>
    <dgm:pt modelId="{C418AB11-E30F-4D41-AA7F-87DA6D48B690}" type="sibTrans" cxnId="{84843822-36B1-4A73-A89F-6C7D5D7637D7}">
      <dgm:prSet/>
      <dgm:spPr/>
      <dgm:t>
        <a:bodyPr/>
        <a:lstStyle/>
        <a:p>
          <a:endParaRPr lang="ru-RU"/>
        </a:p>
      </dgm:t>
    </dgm:pt>
    <dgm:pt modelId="{240EA12C-5073-41BD-BE08-D0C8BBA4CAA5}">
      <dgm:prSet phldrT="[Text]" custT="1"/>
      <dgm:spPr>
        <a:xfrm>
          <a:off x="2504964" y="2143358"/>
          <a:ext cx="998156" cy="34852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1000" b="1">
              <a:solidFill>
                <a:sysClr val="windowText" lastClr="000000">
                  <a:hueOff val="0"/>
                  <a:satOff val="0"/>
                  <a:lumOff val="0"/>
                  <a:alphaOff val="0"/>
                </a:sysClr>
              </a:solidFill>
              <a:latin typeface="Calibri" panose="020F0502020204030204"/>
              <a:ea typeface="+mn-ea"/>
              <a:cs typeface="+mn-cs"/>
            </a:rPr>
            <a:t>OG 1</a:t>
          </a:r>
          <a:endParaRPr lang="ru-RU" sz="1000" b="1">
            <a:solidFill>
              <a:sysClr val="windowText" lastClr="000000">
                <a:hueOff val="0"/>
                <a:satOff val="0"/>
                <a:lumOff val="0"/>
                <a:alphaOff val="0"/>
              </a:sysClr>
            </a:solidFill>
            <a:latin typeface="Calibri" panose="020F0502020204030204"/>
            <a:ea typeface="+mn-ea"/>
            <a:cs typeface="+mn-cs"/>
          </a:endParaRPr>
        </a:p>
      </dgm:t>
    </dgm:pt>
    <dgm:pt modelId="{BD6EA8EA-07DD-46E3-9F24-BC3B463B3517}" type="parTrans" cxnId="{14669265-1930-447D-B374-B97C21E04253}">
      <dgm:prSet/>
      <dgm:spPr/>
      <dgm:t>
        <a:bodyPr/>
        <a:lstStyle/>
        <a:p>
          <a:endParaRPr lang="ru-RU"/>
        </a:p>
      </dgm:t>
    </dgm:pt>
    <dgm:pt modelId="{BDDB77CD-068D-4DE1-8D00-4E9BFD0E086F}" type="sibTrans" cxnId="{14669265-1930-447D-B374-B97C21E04253}">
      <dgm:prSet/>
      <dgm:spPr/>
      <dgm:t>
        <a:bodyPr/>
        <a:lstStyle/>
        <a:p>
          <a:endParaRPr lang="ru-RU"/>
        </a:p>
      </dgm:t>
    </dgm:pt>
    <dgm:pt modelId="{4308098F-4BB4-4AEA-9BC3-159FAAA36476}">
      <dgm:prSet phldrT="[Text]" custT="1"/>
      <dgm:spPr>
        <a:xfrm>
          <a:off x="4738183" y="2143358"/>
          <a:ext cx="994855" cy="34852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1000" b="1">
              <a:solidFill>
                <a:sysClr val="windowText" lastClr="000000">
                  <a:hueOff val="0"/>
                  <a:satOff val="0"/>
                  <a:lumOff val="0"/>
                  <a:alphaOff val="0"/>
                </a:sysClr>
              </a:solidFill>
              <a:latin typeface="Calibri" panose="020F0502020204030204"/>
              <a:ea typeface="+mn-ea"/>
              <a:cs typeface="+mn-cs"/>
            </a:rPr>
            <a:t>OG 3</a:t>
          </a:r>
          <a:endParaRPr lang="ru-RU" sz="1000" b="1">
            <a:solidFill>
              <a:sysClr val="windowText" lastClr="000000">
                <a:hueOff val="0"/>
                <a:satOff val="0"/>
                <a:lumOff val="0"/>
                <a:alphaOff val="0"/>
              </a:sysClr>
            </a:solidFill>
            <a:latin typeface="Calibri" panose="020F0502020204030204"/>
            <a:ea typeface="+mn-ea"/>
            <a:cs typeface="+mn-cs"/>
          </a:endParaRPr>
        </a:p>
      </dgm:t>
    </dgm:pt>
    <dgm:pt modelId="{5AB906AE-E81A-49BC-B5EE-9DE3C6936B5F}" type="parTrans" cxnId="{CBF4907C-46EB-4F10-A2B2-98538691874C}">
      <dgm:prSet/>
      <dgm:spPr/>
      <dgm:t>
        <a:bodyPr/>
        <a:lstStyle/>
        <a:p>
          <a:endParaRPr lang="ru-RU"/>
        </a:p>
      </dgm:t>
    </dgm:pt>
    <dgm:pt modelId="{D4A54E01-6A39-49D2-B995-79E2A986FEAF}" type="sibTrans" cxnId="{CBF4907C-46EB-4F10-A2B2-98538691874C}">
      <dgm:prSet/>
      <dgm:spPr/>
      <dgm:t>
        <a:bodyPr/>
        <a:lstStyle/>
        <a:p>
          <a:endParaRPr lang="ru-RU"/>
        </a:p>
      </dgm:t>
    </dgm:pt>
    <dgm:pt modelId="{A96BAE78-C8B2-4E09-9392-D82E1091C8D9}">
      <dgm:prSet phldrT="[Text]" custScaleX="67882"/>
      <dgm:spPr/>
      <dgm:t>
        <a:bodyPr/>
        <a:lstStyle/>
        <a:p>
          <a:endParaRPr lang="ru-RU"/>
        </a:p>
      </dgm:t>
    </dgm:pt>
    <dgm:pt modelId="{C25FD4FD-C9DA-420C-A90C-E6CC4510CB35}" type="parTrans" cxnId="{7FE1876D-1E9A-422B-A88F-D10CDE7A6EB3}">
      <dgm:prSet/>
      <dgm:spPr/>
      <dgm:t>
        <a:bodyPr/>
        <a:lstStyle/>
        <a:p>
          <a:endParaRPr lang="ru-RU"/>
        </a:p>
      </dgm:t>
    </dgm:pt>
    <dgm:pt modelId="{462702A1-FBE9-40F5-BF17-846EF3BCEA0A}" type="sibTrans" cxnId="{7FE1876D-1E9A-422B-A88F-D10CDE7A6EB3}">
      <dgm:prSet/>
      <dgm:spPr/>
      <dgm:t>
        <a:bodyPr/>
        <a:lstStyle/>
        <a:p>
          <a:endParaRPr lang="ru-RU"/>
        </a:p>
      </dgm:t>
    </dgm:pt>
    <dgm:pt modelId="{C4601E34-771E-47B6-8D0F-81D6965203E6}">
      <dgm:prSet phldrT="[Text]" custScaleX="43312"/>
      <dgm:spPr/>
      <dgm:t>
        <a:bodyPr/>
        <a:lstStyle/>
        <a:p>
          <a:endParaRPr lang="ru-RU"/>
        </a:p>
      </dgm:t>
    </dgm:pt>
    <dgm:pt modelId="{920F5A7E-D07D-41A8-BBA2-A9798BAFC3CA}" type="parTrans" cxnId="{9CD6B30F-DD6B-468F-A6D3-08A3AD6F9860}">
      <dgm:prSet/>
      <dgm:spPr/>
      <dgm:t>
        <a:bodyPr/>
        <a:lstStyle/>
        <a:p>
          <a:endParaRPr lang="ru-RU"/>
        </a:p>
      </dgm:t>
    </dgm:pt>
    <dgm:pt modelId="{C1A79FCA-3275-404C-89C9-AAC2A64BF22C}" type="sibTrans" cxnId="{9CD6B30F-DD6B-468F-A6D3-08A3AD6F9860}">
      <dgm:prSet/>
      <dgm:spPr/>
      <dgm:t>
        <a:bodyPr/>
        <a:lstStyle/>
        <a:p>
          <a:endParaRPr lang="ru-RU"/>
        </a:p>
      </dgm:t>
    </dgm:pt>
    <dgm:pt modelId="{AF1691D9-9E0A-4357-836A-2B728B84DB8A}">
      <dgm:prSet phldrT="[Text]" custScaleX="43312"/>
      <dgm:spPr/>
      <dgm:t>
        <a:bodyPr/>
        <a:lstStyle/>
        <a:p>
          <a:endParaRPr lang="ru-RU"/>
        </a:p>
      </dgm:t>
    </dgm:pt>
    <dgm:pt modelId="{9AB3F6D5-A095-4CAA-AC24-E412DA46BE13}" type="parTrans" cxnId="{D62ECEB9-70E3-4A1D-89B7-6BF3BFC59CE0}">
      <dgm:prSet/>
      <dgm:spPr/>
      <dgm:t>
        <a:bodyPr/>
        <a:lstStyle/>
        <a:p>
          <a:endParaRPr lang="ru-RU"/>
        </a:p>
      </dgm:t>
    </dgm:pt>
    <dgm:pt modelId="{78B8E8E0-3C73-4CD2-A6B5-DCC9DF94203F}" type="sibTrans" cxnId="{D62ECEB9-70E3-4A1D-89B7-6BF3BFC59CE0}">
      <dgm:prSet/>
      <dgm:spPr/>
      <dgm:t>
        <a:bodyPr/>
        <a:lstStyle/>
        <a:p>
          <a:endParaRPr lang="ru-RU"/>
        </a:p>
      </dgm:t>
    </dgm:pt>
    <dgm:pt modelId="{33116DFA-C965-46A6-8AEE-A24D098FDE8C}">
      <dgm:prSet custT="1"/>
      <dgm:spPr>
        <a:xfrm>
          <a:off x="1343996" y="1902935"/>
          <a:ext cx="949604" cy="38391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900" b="1">
              <a:solidFill>
                <a:sysClr val="windowText" lastClr="000000">
                  <a:hueOff val="0"/>
                  <a:satOff val="0"/>
                  <a:lumOff val="0"/>
                  <a:alphaOff val="0"/>
                </a:sysClr>
              </a:solidFill>
              <a:latin typeface="Calibri" panose="020F0502020204030204"/>
              <a:ea typeface="+mn-ea"/>
              <a:cs typeface="+mn-cs"/>
            </a:rPr>
            <a:t>Piața muncii și securitatea socială</a:t>
          </a:r>
          <a:endParaRPr lang="ru-RU" sz="900" b="1">
            <a:solidFill>
              <a:sysClr val="windowText" lastClr="000000">
                <a:hueOff val="0"/>
                <a:satOff val="0"/>
                <a:lumOff val="0"/>
                <a:alphaOff val="0"/>
              </a:sysClr>
            </a:solidFill>
            <a:latin typeface="Calibri" panose="020F0502020204030204"/>
            <a:ea typeface="+mn-ea"/>
            <a:cs typeface="+mn-cs"/>
          </a:endParaRPr>
        </a:p>
      </dgm:t>
    </dgm:pt>
    <dgm:pt modelId="{70BE32ED-5510-4374-A570-9B5CF4686C39}" type="parTrans" cxnId="{51E188FC-174C-4894-B239-E2D76EF09782}">
      <dgm:prSet/>
      <dgm:spPr/>
      <dgm:t>
        <a:bodyPr/>
        <a:lstStyle/>
        <a:p>
          <a:endParaRPr lang="ru-RU"/>
        </a:p>
      </dgm:t>
    </dgm:pt>
    <dgm:pt modelId="{188B1A11-D970-401C-B946-38295F4866D4}" type="sibTrans" cxnId="{51E188FC-174C-4894-B239-E2D76EF09782}">
      <dgm:prSet/>
      <dgm:spPr/>
      <dgm:t>
        <a:bodyPr/>
        <a:lstStyle/>
        <a:p>
          <a:endParaRPr lang="ru-RU"/>
        </a:p>
      </dgm:t>
    </dgm:pt>
    <dgm:pt modelId="{CBEFD649-FE01-4F23-9B5D-3CA4D62B7829}">
      <dgm:prSet custT="1"/>
      <dgm:spPr>
        <a:xfrm>
          <a:off x="3584787" y="2143358"/>
          <a:ext cx="1071729" cy="34852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MD" sz="1000" b="1">
              <a:solidFill>
                <a:sysClr val="windowText" lastClr="000000">
                  <a:hueOff val="0"/>
                  <a:satOff val="0"/>
                  <a:lumOff val="0"/>
                  <a:alphaOff val="0"/>
                </a:sysClr>
              </a:solidFill>
              <a:latin typeface="Calibri" panose="020F0502020204030204"/>
              <a:ea typeface="+mn-ea"/>
              <a:cs typeface="+mn-cs"/>
            </a:rPr>
            <a:t>OG 2</a:t>
          </a:r>
          <a:endParaRPr lang="ru-RU" sz="1000" b="1">
            <a:solidFill>
              <a:sysClr val="windowText" lastClr="000000">
                <a:hueOff val="0"/>
                <a:satOff val="0"/>
                <a:lumOff val="0"/>
                <a:alphaOff val="0"/>
              </a:sysClr>
            </a:solidFill>
            <a:latin typeface="Calibri" panose="020F0502020204030204"/>
            <a:ea typeface="+mn-ea"/>
            <a:cs typeface="+mn-cs"/>
          </a:endParaRPr>
        </a:p>
      </dgm:t>
    </dgm:pt>
    <dgm:pt modelId="{7E82240E-14F4-47AA-8CC5-7A6032556B71}" type="parTrans" cxnId="{61DEDA16-58B3-4B0F-99F6-0C6F59E5ED33}">
      <dgm:prSet/>
      <dgm:spPr/>
      <dgm:t>
        <a:bodyPr/>
        <a:lstStyle/>
        <a:p>
          <a:endParaRPr lang="ru-RU"/>
        </a:p>
      </dgm:t>
    </dgm:pt>
    <dgm:pt modelId="{21743594-E33A-4BC2-9B55-7ADD041EB401}" type="sibTrans" cxnId="{61DEDA16-58B3-4B0F-99F6-0C6F59E5ED33}">
      <dgm:prSet/>
      <dgm:spPr/>
      <dgm:t>
        <a:bodyPr/>
        <a:lstStyle/>
        <a:p>
          <a:endParaRPr lang="ru-RU"/>
        </a:p>
      </dgm:t>
    </dgm:pt>
    <dgm:pt modelId="{95F9DE60-473B-438E-8800-2A9AF2ADDCFA}" type="pres">
      <dgm:prSet presAssocID="{D17C9063-8AAF-48F9-AB25-DC2858A1C75F}" presName="Name0" presStyleCnt="0">
        <dgm:presLayoutVars>
          <dgm:chMax val="3"/>
          <dgm:chPref val="1"/>
          <dgm:dir/>
          <dgm:animLvl val="lvl"/>
          <dgm:resizeHandles/>
        </dgm:presLayoutVars>
      </dgm:prSet>
      <dgm:spPr/>
      <dgm:t>
        <a:bodyPr/>
        <a:lstStyle/>
        <a:p>
          <a:endParaRPr lang="en-US"/>
        </a:p>
      </dgm:t>
    </dgm:pt>
    <dgm:pt modelId="{CCECD2BD-1BAD-4E14-97A2-736DDC80DFD7}" type="pres">
      <dgm:prSet presAssocID="{D17C9063-8AAF-48F9-AB25-DC2858A1C75F}" presName="outerBox" presStyleCnt="0"/>
      <dgm:spPr/>
    </dgm:pt>
    <dgm:pt modelId="{D41D0E00-694F-4EB2-A691-0F00DEBD4609}" type="pres">
      <dgm:prSet presAssocID="{D17C9063-8AAF-48F9-AB25-DC2858A1C75F}" presName="outerBoxParent" presStyleLbl="node1" presStyleIdx="0" presStyleCnt="3" custLinFactNeighborX="63846" custLinFactNeighborY="5238"/>
      <dgm:spPr>
        <a:prstGeom prst="roundRect">
          <a:avLst>
            <a:gd name="adj" fmla="val 8500"/>
          </a:avLst>
        </a:prstGeom>
      </dgm:spPr>
      <dgm:t>
        <a:bodyPr/>
        <a:lstStyle/>
        <a:p>
          <a:endParaRPr lang="en-US"/>
        </a:p>
      </dgm:t>
    </dgm:pt>
    <dgm:pt modelId="{B94F2862-EFC2-4179-9A6C-BD5E9007A4CE}" type="pres">
      <dgm:prSet presAssocID="{D17C9063-8AAF-48F9-AB25-DC2858A1C75F}" presName="outerBoxChildren" presStyleCnt="0"/>
      <dgm:spPr/>
    </dgm:pt>
    <dgm:pt modelId="{DE9C0433-CB8F-4438-B56A-D5CA42284F4E}" type="pres">
      <dgm:prSet presAssocID="{4C650267-3BA3-4350-995E-EEE91C6D77D2}" presName="oChild" presStyleLbl="fgAcc1" presStyleIdx="0" presStyleCnt="8">
        <dgm:presLayoutVars>
          <dgm:bulletEnabled val="1"/>
        </dgm:presLayoutVars>
      </dgm:prSet>
      <dgm:spPr>
        <a:prstGeom prst="roundRect">
          <a:avLst>
            <a:gd name="adj" fmla="val 10500"/>
          </a:avLst>
        </a:prstGeom>
      </dgm:spPr>
      <dgm:t>
        <a:bodyPr/>
        <a:lstStyle/>
        <a:p>
          <a:endParaRPr lang="en-US"/>
        </a:p>
      </dgm:t>
    </dgm:pt>
    <dgm:pt modelId="{7E086EB4-F3DC-4D0E-8EC4-3DAF0B82BEB0}" type="pres">
      <dgm:prSet presAssocID="{88FD5C80-5B81-4219-A27A-D3C7293E1C6A}" presName="outerSibTrans" presStyleCnt="0"/>
      <dgm:spPr/>
    </dgm:pt>
    <dgm:pt modelId="{4157F7D8-032F-45D0-85F5-5ACB5C3AE2CB}" type="pres">
      <dgm:prSet presAssocID="{515A9492-6FD6-4A1F-85E2-0BB83ACAF486}" presName="oChild" presStyleLbl="fgAcc1" presStyleIdx="1" presStyleCnt="8">
        <dgm:presLayoutVars>
          <dgm:bulletEnabled val="1"/>
        </dgm:presLayoutVars>
      </dgm:prSet>
      <dgm:spPr>
        <a:prstGeom prst="roundRect">
          <a:avLst>
            <a:gd name="adj" fmla="val 10500"/>
          </a:avLst>
        </a:prstGeom>
      </dgm:spPr>
      <dgm:t>
        <a:bodyPr/>
        <a:lstStyle/>
        <a:p>
          <a:endParaRPr lang="en-US"/>
        </a:p>
      </dgm:t>
    </dgm:pt>
    <dgm:pt modelId="{291E3A72-7B22-4514-932E-B25BA5877BD6}" type="pres">
      <dgm:prSet presAssocID="{D17C9063-8AAF-48F9-AB25-DC2858A1C75F}" presName="middleBox" presStyleCnt="0"/>
      <dgm:spPr/>
    </dgm:pt>
    <dgm:pt modelId="{3D6B1B31-38E8-4B9C-AE24-8DD771F369E9}" type="pres">
      <dgm:prSet presAssocID="{D17C9063-8AAF-48F9-AB25-DC2858A1C75F}" presName="middleBoxParent" presStyleLbl="node1" presStyleIdx="1" presStyleCnt="3"/>
      <dgm:spPr>
        <a:prstGeom prst="roundRect">
          <a:avLst>
            <a:gd name="adj" fmla="val 10500"/>
          </a:avLst>
        </a:prstGeom>
      </dgm:spPr>
      <dgm:t>
        <a:bodyPr/>
        <a:lstStyle/>
        <a:p>
          <a:endParaRPr lang="en-US"/>
        </a:p>
      </dgm:t>
    </dgm:pt>
    <dgm:pt modelId="{5F97B43C-7354-4EC9-9B32-257144CD3283}" type="pres">
      <dgm:prSet presAssocID="{D17C9063-8AAF-48F9-AB25-DC2858A1C75F}" presName="middleBoxChildren" presStyleCnt="0"/>
      <dgm:spPr/>
    </dgm:pt>
    <dgm:pt modelId="{45332DD2-1DEA-43B4-AD7C-BE4F4A70591A}" type="pres">
      <dgm:prSet presAssocID="{7748FE98-CACC-4155-BA27-D51A77BFE20E}" presName="mChild" presStyleLbl="fgAcc1" presStyleIdx="2" presStyleCnt="8">
        <dgm:presLayoutVars>
          <dgm:bulletEnabled val="1"/>
        </dgm:presLayoutVars>
      </dgm:prSet>
      <dgm:spPr>
        <a:prstGeom prst="roundRect">
          <a:avLst>
            <a:gd name="adj" fmla="val 10500"/>
          </a:avLst>
        </a:prstGeom>
      </dgm:spPr>
      <dgm:t>
        <a:bodyPr/>
        <a:lstStyle/>
        <a:p>
          <a:endParaRPr lang="en-US"/>
        </a:p>
      </dgm:t>
    </dgm:pt>
    <dgm:pt modelId="{246B1E4E-66D7-4071-8BD0-5FCB80A4A4EF}" type="pres">
      <dgm:prSet presAssocID="{70CC2013-6133-46AE-8141-9B3C364F3FB0}" presName="middleSibTrans" presStyleCnt="0"/>
      <dgm:spPr/>
    </dgm:pt>
    <dgm:pt modelId="{8E397790-D4D7-4585-B1C0-5E3A45C5AB3D}" type="pres">
      <dgm:prSet presAssocID="{33116DFA-C965-46A6-8AEE-A24D098FDE8C}" presName="mChild" presStyleLbl="fgAcc1" presStyleIdx="3" presStyleCnt="8">
        <dgm:presLayoutVars>
          <dgm:bulletEnabled val="1"/>
        </dgm:presLayoutVars>
      </dgm:prSet>
      <dgm:spPr>
        <a:prstGeom prst="roundRect">
          <a:avLst>
            <a:gd name="adj" fmla="val 10500"/>
          </a:avLst>
        </a:prstGeom>
      </dgm:spPr>
      <dgm:t>
        <a:bodyPr/>
        <a:lstStyle/>
        <a:p>
          <a:endParaRPr lang="en-US"/>
        </a:p>
      </dgm:t>
    </dgm:pt>
    <dgm:pt modelId="{A77AE8A9-252E-4197-989A-3927856EE93D}" type="pres">
      <dgm:prSet presAssocID="{188B1A11-D970-401C-B946-38295F4866D4}" presName="middleSibTrans" presStyleCnt="0"/>
      <dgm:spPr/>
    </dgm:pt>
    <dgm:pt modelId="{BA046785-C626-4494-B2B2-51FE9CC91523}" type="pres">
      <dgm:prSet presAssocID="{C6005690-7745-4097-8D8E-3E0F8A88C5BC}" presName="mChild" presStyleLbl="fgAcc1" presStyleIdx="4" presStyleCnt="8">
        <dgm:presLayoutVars>
          <dgm:bulletEnabled val="1"/>
        </dgm:presLayoutVars>
      </dgm:prSet>
      <dgm:spPr>
        <a:prstGeom prst="roundRect">
          <a:avLst>
            <a:gd name="adj" fmla="val 10500"/>
          </a:avLst>
        </a:prstGeom>
      </dgm:spPr>
      <dgm:t>
        <a:bodyPr/>
        <a:lstStyle/>
        <a:p>
          <a:endParaRPr lang="en-US"/>
        </a:p>
      </dgm:t>
    </dgm:pt>
    <dgm:pt modelId="{0019E912-4CBF-49B6-875D-FAE065EFEEB9}" type="pres">
      <dgm:prSet presAssocID="{D17C9063-8AAF-48F9-AB25-DC2858A1C75F}" presName="centerBox" presStyleCnt="0"/>
      <dgm:spPr/>
    </dgm:pt>
    <dgm:pt modelId="{35D05E58-EACF-4FB9-AB1D-8D5365E65C93}" type="pres">
      <dgm:prSet presAssocID="{D17C9063-8AAF-48F9-AB25-DC2858A1C75F}" presName="centerBoxParent" presStyleLbl="node1" presStyleIdx="2" presStyleCnt="3"/>
      <dgm:spPr>
        <a:prstGeom prst="roundRect">
          <a:avLst>
            <a:gd name="adj" fmla="val 10500"/>
          </a:avLst>
        </a:prstGeom>
      </dgm:spPr>
      <dgm:t>
        <a:bodyPr/>
        <a:lstStyle/>
        <a:p>
          <a:endParaRPr lang="en-US"/>
        </a:p>
      </dgm:t>
    </dgm:pt>
    <dgm:pt modelId="{FE61EF12-00D9-4944-BB17-7B96CFBCB334}" type="pres">
      <dgm:prSet presAssocID="{D17C9063-8AAF-48F9-AB25-DC2858A1C75F}" presName="centerBoxChildren" presStyleCnt="0"/>
      <dgm:spPr/>
    </dgm:pt>
    <dgm:pt modelId="{E742082B-9B5F-4F32-8D51-248BB9A795F0}" type="pres">
      <dgm:prSet presAssocID="{240EA12C-5073-41BD-BE08-D0C8BBA4CAA5}" presName="cChild" presStyleLbl="fgAcc1" presStyleIdx="5" presStyleCnt="8" custScaleX="34772" custScaleY="64330">
        <dgm:presLayoutVars>
          <dgm:bulletEnabled val="1"/>
        </dgm:presLayoutVars>
      </dgm:prSet>
      <dgm:spPr>
        <a:prstGeom prst="roundRect">
          <a:avLst>
            <a:gd name="adj" fmla="val 10500"/>
          </a:avLst>
        </a:prstGeom>
      </dgm:spPr>
      <dgm:t>
        <a:bodyPr/>
        <a:lstStyle/>
        <a:p>
          <a:endParaRPr lang="en-US"/>
        </a:p>
      </dgm:t>
    </dgm:pt>
    <dgm:pt modelId="{D5B393AC-96E7-45A7-AD95-F44700D93C46}" type="pres">
      <dgm:prSet presAssocID="{BDDB77CD-068D-4DE1-8D00-4E9BFD0E086F}" presName="centerSibTrans" presStyleCnt="0"/>
      <dgm:spPr/>
    </dgm:pt>
    <dgm:pt modelId="{B550268A-E1B0-4DC3-95AF-BFB8FB31651A}" type="pres">
      <dgm:prSet presAssocID="{CBEFD649-FE01-4F23-9B5D-3CA4D62B7829}" presName="cChild" presStyleLbl="fgAcc1" presStyleIdx="6" presStyleCnt="8" custScaleX="37335" custScaleY="64330">
        <dgm:presLayoutVars>
          <dgm:bulletEnabled val="1"/>
        </dgm:presLayoutVars>
      </dgm:prSet>
      <dgm:spPr>
        <a:prstGeom prst="roundRect">
          <a:avLst>
            <a:gd name="adj" fmla="val 10500"/>
          </a:avLst>
        </a:prstGeom>
      </dgm:spPr>
      <dgm:t>
        <a:bodyPr/>
        <a:lstStyle/>
        <a:p>
          <a:endParaRPr lang="en-US"/>
        </a:p>
      </dgm:t>
    </dgm:pt>
    <dgm:pt modelId="{78CFDC3E-6E3B-46FA-B3F9-02EFD629BA7E}" type="pres">
      <dgm:prSet presAssocID="{21743594-E33A-4BC2-9B55-7ADD041EB401}" presName="centerSibTrans" presStyleCnt="0"/>
      <dgm:spPr/>
    </dgm:pt>
    <dgm:pt modelId="{7A6CBDAC-9B93-43CF-8E3F-A4AE87D801B2}" type="pres">
      <dgm:prSet presAssocID="{4308098F-4BB4-4AEA-9BC3-159FAAA36476}" presName="cChild" presStyleLbl="fgAcc1" presStyleIdx="7" presStyleCnt="8" custScaleX="34657" custScaleY="64330">
        <dgm:presLayoutVars>
          <dgm:bulletEnabled val="1"/>
        </dgm:presLayoutVars>
      </dgm:prSet>
      <dgm:spPr>
        <a:prstGeom prst="roundRect">
          <a:avLst>
            <a:gd name="adj" fmla="val 10500"/>
          </a:avLst>
        </a:prstGeom>
      </dgm:spPr>
      <dgm:t>
        <a:bodyPr/>
        <a:lstStyle/>
        <a:p>
          <a:endParaRPr lang="en-US"/>
        </a:p>
      </dgm:t>
    </dgm:pt>
  </dgm:ptLst>
  <dgm:cxnLst>
    <dgm:cxn modelId="{CBF4907C-46EB-4F10-A2B2-98538691874C}" srcId="{57860C71-DF5B-450D-8E45-BFCDF0BDC1E7}" destId="{4308098F-4BB4-4AEA-9BC3-159FAAA36476}" srcOrd="2" destOrd="0" parTransId="{5AB906AE-E81A-49BC-B5EE-9DE3C6936B5F}" sibTransId="{D4A54E01-6A39-49D2-B995-79E2A986FEAF}"/>
    <dgm:cxn modelId="{9CD6B30F-DD6B-468F-A6D3-08A3AD6F9860}" srcId="{D17C9063-8AAF-48F9-AB25-DC2858A1C75F}" destId="{C4601E34-771E-47B6-8D0F-81D6965203E6}" srcOrd="4" destOrd="0" parTransId="{920F5A7E-D07D-41A8-BBA2-A9798BAFC3CA}" sibTransId="{C1A79FCA-3275-404C-89C9-AAC2A64BF22C}"/>
    <dgm:cxn modelId="{D62ECEB9-70E3-4A1D-89B7-6BF3BFC59CE0}" srcId="{D17C9063-8AAF-48F9-AB25-DC2858A1C75F}" destId="{AF1691D9-9E0A-4357-836A-2B728B84DB8A}" srcOrd="3" destOrd="0" parTransId="{9AB3F6D5-A095-4CAA-AC24-E412DA46BE13}" sibTransId="{78B8E8E0-3C73-4CD2-A6B5-DCC9DF94203F}"/>
    <dgm:cxn modelId="{D47162D1-FD6A-4F1A-BAED-6ADA811A57F8}" type="presOf" srcId="{C6005690-7745-4097-8D8E-3E0F8A88C5BC}" destId="{BA046785-C626-4494-B2B2-51FE9CC91523}" srcOrd="0" destOrd="0" presId="urn:microsoft.com/office/officeart/2005/8/layout/target2"/>
    <dgm:cxn modelId="{864F9A0D-E2E4-445E-B438-3E9B24C5D88F}" srcId="{1E18E511-B9DC-4790-9D38-F6898BF9EBEA}" destId="{7748FE98-CACC-4155-BA27-D51A77BFE20E}" srcOrd="0" destOrd="0" parTransId="{254B9DD4-5A93-4825-A4C7-4D142EE9FAB3}" sibTransId="{70CC2013-6133-46AE-8141-9B3C364F3FB0}"/>
    <dgm:cxn modelId="{C5B79210-E419-4636-AFF1-0A95899A2740}" type="presOf" srcId="{240EA12C-5073-41BD-BE08-D0C8BBA4CAA5}" destId="{E742082B-9B5F-4F32-8D51-248BB9A795F0}" srcOrd="0" destOrd="0" presId="urn:microsoft.com/office/officeart/2005/8/layout/target2"/>
    <dgm:cxn modelId="{15C81BB3-F118-4D26-8769-37C8A26A251B}" type="presOf" srcId="{4308098F-4BB4-4AEA-9BC3-159FAAA36476}" destId="{7A6CBDAC-9B93-43CF-8E3F-A4AE87D801B2}" srcOrd="0" destOrd="0" presId="urn:microsoft.com/office/officeart/2005/8/layout/target2"/>
    <dgm:cxn modelId="{14669265-1930-447D-B374-B97C21E04253}" srcId="{57860C71-DF5B-450D-8E45-BFCDF0BDC1E7}" destId="{240EA12C-5073-41BD-BE08-D0C8BBA4CAA5}" srcOrd="0" destOrd="0" parTransId="{BD6EA8EA-07DD-46E3-9F24-BC3B463B3517}" sibTransId="{BDDB77CD-068D-4DE1-8D00-4E9BFD0E086F}"/>
    <dgm:cxn modelId="{557B990F-95A2-4C47-8862-9579AEBCED47}" type="presOf" srcId="{CBEFD649-FE01-4F23-9B5D-3CA4D62B7829}" destId="{B550268A-E1B0-4DC3-95AF-BFB8FB31651A}" srcOrd="0" destOrd="0" presId="urn:microsoft.com/office/officeart/2005/8/layout/target2"/>
    <dgm:cxn modelId="{03E7CBA8-C62B-4FCB-9529-43B7537F96EF}" type="presOf" srcId="{515A9492-6FD6-4A1F-85E2-0BB83ACAF486}" destId="{4157F7D8-032F-45D0-85F5-5ACB5C3AE2CB}" srcOrd="0" destOrd="0" presId="urn:microsoft.com/office/officeart/2005/8/layout/target2"/>
    <dgm:cxn modelId="{7FE1876D-1E9A-422B-A88F-D10CDE7A6EB3}" srcId="{D17C9063-8AAF-48F9-AB25-DC2858A1C75F}" destId="{A96BAE78-C8B2-4E09-9392-D82E1091C8D9}" srcOrd="5" destOrd="0" parTransId="{C25FD4FD-C9DA-420C-A90C-E6CC4510CB35}" sibTransId="{462702A1-FBE9-40F5-BF17-846EF3BCEA0A}"/>
    <dgm:cxn modelId="{51E188FC-174C-4894-B239-E2D76EF09782}" srcId="{1E18E511-B9DC-4790-9D38-F6898BF9EBEA}" destId="{33116DFA-C965-46A6-8AEE-A24D098FDE8C}" srcOrd="1" destOrd="0" parTransId="{70BE32ED-5510-4374-A570-9B5CF4686C39}" sibTransId="{188B1A11-D970-401C-B946-38295F4866D4}"/>
    <dgm:cxn modelId="{B7FDA37F-05C1-458D-A0BA-25DBF36660F4}" srcId="{D17C9063-8AAF-48F9-AB25-DC2858A1C75F}" destId="{F51D05AB-5340-45B6-81B3-008A5B2CB295}" srcOrd="0" destOrd="0" parTransId="{9E207894-44FB-4604-AF41-4CAB0948C3D2}" sibTransId="{376AAABC-4FB6-4BD1-8605-31F632DD0DB8}"/>
    <dgm:cxn modelId="{66FFA1DD-E9A4-4AC5-B560-1423CBE2E832}" type="presOf" srcId="{F51D05AB-5340-45B6-81B3-008A5B2CB295}" destId="{D41D0E00-694F-4EB2-A691-0F00DEBD4609}" srcOrd="0" destOrd="0" presId="urn:microsoft.com/office/officeart/2005/8/layout/target2"/>
    <dgm:cxn modelId="{E29F67DA-2203-46FD-9922-84CF7C6B476A}" srcId="{F51D05AB-5340-45B6-81B3-008A5B2CB295}" destId="{4C650267-3BA3-4350-995E-EEE91C6D77D2}" srcOrd="0" destOrd="0" parTransId="{62442C97-D24B-49E5-A5D3-5F32B774C756}" sibTransId="{88FD5C80-5B81-4219-A27A-D3C7293E1C6A}"/>
    <dgm:cxn modelId="{84843822-36B1-4A73-A89F-6C7D5D7637D7}" srcId="{D17C9063-8AAF-48F9-AB25-DC2858A1C75F}" destId="{57860C71-DF5B-450D-8E45-BFCDF0BDC1E7}" srcOrd="2" destOrd="0" parTransId="{C32DB8F9-3C71-4B5E-B811-D1D77E5FE379}" sibTransId="{C418AB11-E30F-4D41-AA7F-87DA6D48B690}"/>
    <dgm:cxn modelId="{42F2AE5E-6399-4DA9-BB38-B42EAD9E352D}" type="presOf" srcId="{4C650267-3BA3-4350-995E-EEE91C6D77D2}" destId="{DE9C0433-CB8F-4438-B56A-D5CA42284F4E}" srcOrd="0" destOrd="0" presId="urn:microsoft.com/office/officeart/2005/8/layout/target2"/>
    <dgm:cxn modelId="{DCED9806-9722-489C-828C-419816FF4211}" srcId="{D17C9063-8AAF-48F9-AB25-DC2858A1C75F}" destId="{1E18E511-B9DC-4790-9D38-F6898BF9EBEA}" srcOrd="1" destOrd="0" parTransId="{BCF65B2B-F876-496F-B898-C9B7BCC0611E}" sibTransId="{DCF19859-8E38-4368-A9B6-D4004ED0F833}"/>
    <dgm:cxn modelId="{393A341A-94DC-43D0-B616-108D5FFAAAB6}" type="presOf" srcId="{57860C71-DF5B-450D-8E45-BFCDF0BDC1E7}" destId="{35D05E58-EACF-4FB9-AB1D-8D5365E65C93}" srcOrd="0" destOrd="0" presId="urn:microsoft.com/office/officeart/2005/8/layout/target2"/>
    <dgm:cxn modelId="{6E92DB56-4239-4579-8785-E764F249C71C}" srcId="{1E18E511-B9DC-4790-9D38-F6898BF9EBEA}" destId="{C6005690-7745-4097-8D8E-3E0F8A88C5BC}" srcOrd="2" destOrd="0" parTransId="{191FA2F2-E3BA-4EBA-ADA0-F91A6DF02283}" sibTransId="{E5B53089-E9F6-4023-BDA1-E51935040BE7}"/>
    <dgm:cxn modelId="{EF39CB5B-C18A-40B1-8C54-347A45151862}" srcId="{F51D05AB-5340-45B6-81B3-008A5B2CB295}" destId="{515A9492-6FD6-4A1F-85E2-0BB83ACAF486}" srcOrd="1" destOrd="0" parTransId="{2277C49D-DFAA-40C4-8A6D-67DF89E9E223}" sibTransId="{A48326DD-BC5A-4B2B-B5EA-3DA9FA7F642B}"/>
    <dgm:cxn modelId="{E4263397-CE87-4E12-A23C-C63118FC37AF}" type="presOf" srcId="{7748FE98-CACC-4155-BA27-D51A77BFE20E}" destId="{45332DD2-1DEA-43B4-AD7C-BE4F4A70591A}" srcOrd="0" destOrd="0" presId="urn:microsoft.com/office/officeart/2005/8/layout/target2"/>
    <dgm:cxn modelId="{BC3C8702-A5F5-41FA-B002-98B5DC1DD867}" type="presOf" srcId="{33116DFA-C965-46A6-8AEE-A24D098FDE8C}" destId="{8E397790-D4D7-4585-B1C0-5E3A45C5AB3D}" srcOrd="0" destOrd="0" presId="urn:microsoft.com/office/officeart/2005/8/layout/target2"/>
    <dgm:cxn modelId="{26EB3114-9E20-4EF4-8EE9-782B4634FED8}" type="presOf" srcId="{1E18E511-B9DC-4790-9D38-F6898BF9EBEA}" destId="{3D6B1B31-38E8-4B9C-AE24-8DD771F369E9}" srcOrd="0" destOrd="0" presId="urn:microsoft.com/office/officeart/2005/8/layout/target2"/>
    <dgm:cxn modelId="{61DEDA16-58B3-4B0F-99F6-0C6F59E5ED33}" srcId="{57860C71-DF5B-450D-8E45-BFCDF0BDC1E7}" destId="{CBEFD649-FE01-4F23-9B5D-3CA4D62B7829}" srcOrd="1" destOrd="0" parTransId="{7E82240E-14F4-47AA-8CC5-7A6032556B71}" sibTransId="{21743594-E33A-4BC2-9B55-7ADD041EB401}"/>
    <dgm:cxn modelId="{9EE4FC2F-A9E5-4847-99E4-C3C45AA66EA3}" type="presOf" srcId="{D17C9063-8AAF-48F9-AB25-DC2858A1C75F}" destId="{95F9DE60-473B-438E-8800-2A9AF2ADDCFA}" srcOrd="0" destOrd="0" presId="urn:microsoft.com/office/officeart/2005/8/layout/target2"/>
    <dgm:cxn modelId="{74E0287C-20D5-48BF-9BF8-E362A2D0E7F2}" type="presParOf" srcId="{95F9DE60-473B-438E-8800-2A9AF2ADDCFA}" destId="{CCECD2BD-1BAD-4E14-97A2-736DDC80DFD7}" srcOrd="0" destOrd="0" presId="urn:microsoft.com/office/officeart/2005/8/layout/target2"/>
    <dgm:cxn modelId="{94784130-E594-409D-845B-D0E5FFC3AB17}" type="presParOf" srcId="{CCECD2BD-1BAD-4E14-97A2-736DDC80DFD7}" destId="{D41D0E00-694F-4EB2-A691-0F00DEBD4609}" srcOrd="0" destOrd="0" presId="urn:microsoft.com/office/officeart/2005/8/layout/target2"/>
    <dgm:cxn modelId="{6691762B-4AF2-41D0-B8CD-595481197263}" type="presParOf" srcId="{CCECD2BD-1BAD-4E14-97A2-736DDC80DFD7}" destId="{B94F2862-EFC2-4179-9A6C-BD5E9007A4CE}" srcOrd="1" destOrd="0" presId="urn:microsoft.com/office/officeart/2005/8/layout/target2"/>
    <dgm:cxn modelId="{C89583A0-0989-4797-A0F3-1D576471DF2C}" type="presParOf" srcId="{B94F2862-EFC2-4179-9A6C-BD5E9007A4CE}" destId="{DE9C0433-CB8F-4438-B56A-D5CA42284F4E}" srcOrd="0" destOrd="0" presId="urn:microsoft.com/office/officeart/2005/8/layout/target2"/>
    <dgm:cxn modelId="{B1ADA35D-D629-4A23-BCCF-CF583EE6C62D}" type="presParOf" srcId="{B94F2862-EFC2-4179-9A6C-BD5E9007A4CE}" destId="{7E086EB4-F3DC-4D0E-8EC4-3DAF0B82BEB0}" srcOrd="1" destOrd="0" presId="urn:microsoft.com/office/officeart/2005/8/layout/target2"/>
    <dgm:cxn modelId="{E5DC1696-B0AE-4311-8E84-C63327365E4C}" type="presParOf" srcId="{B94F2862-EFC2-4179-9A6C-BD5E9007A4CE}" destId="{4157F7D8-032F-45D0-85F5-5ACB5C3AE2CB}" srcOrd="2" destOrd="0" presId="urn:microsoft.com/office/officeart/2005/8/layout/target2"/>
    <dgm:cxn modelId="{C7995D4B-3321-4AA4-8251-8025F9A6A5C1}" type="presParOf" srcId="{95F9DE60-473B-438E-8800-2A9AF2ADDCFA}" destId="{291E3A72-7B22-4514-932E-B25BA5877BD6}" srcOrd="1" destOrd="0" presId="urn:microsoft.com/office/officeart/2005/8/layout/target2"/>
    <dgm:cxn modelId="{606CCC50-9251-432C-AA72-8F442E48873E}" type="presParOf" srcId="{291E3A72-7B22-4514-932E-B25BA5877BD6}" destId="{3D6B1B31-38E8-4B9C-AE24-8DD771F369E9}" srcOrd="0" destOrd="0" presId="urn:microsoft.com/office/officeart/2005/8/layout/target2"/>
    <dgm:cxn modelId="{D2399456-3E2C-47AD-B9D5-C32571F9791B}" type="presParOf" srcId="{291E3A72-7B22-4514-932E-B25BA5877BD6}" destId="{5F97B43C-7354-4EC9-9B32-257144CD3283}" srcOrd="1" destOrd="0" presId="urn:microsoft.com/office/officeart/2005/8/layout/target2"/>
    <dgm:cxn modelId="{D2BBCBC2-1AA4-4FAF-95A6-27AB5AF4694B}" type="presParOf" srcId="{5F97B43C-7354-4EC9-9B32-257144CD3283}" destId="{45332DD2-1DEA-43B4-AD7C-BE4F4A70591A}" srcOrd="0" destOrd="0" presId="urn:microsoft.com/office/officeart/2005/8/layout/target2"/>
    <dgm:cxn modelId="{F0A4C244-3545-4580-BEFD-C8DF0D8EBD1C}" type="presParOf" srcId="{5F97B43C-7354-4EC9-9B32-257144CD3283}" destId="{246B1E4E-66D7-4071-8BD0-5FCB80A4A4EF}" srcOrd="1" destOrd="0" presId="urn:microsoft.com/office/officeart/2005/8/layout/target2"/>
    <dgm:cxn modelId="{164D313E-FB1A-4515-9E44-68D93FCA31AA}" type="presParOf" srcId="{5F97B43C-7354-4EC9-9B32-257144CD3283}" destId="{8E397790-D4D7-4585-B1C0-5E3A45C5AB3D}" srcOrd="2" destOrd="0" presId="urn:microsoft.com/office/officeart/2005/8/layout/target2"/>
    <dgm:cxn modelId="{C20F247C-7F77-45C6-8522-9F1B0FF4A45C}" type="presParOf" srcId="{5F97B43C-7354-4EC9-9B32-257144CD3283}" destId="{A77AE8A9-252E-4197-989A-3927856EE93D}" srcOrd="3" destOrd="0" presId="urn:microsoft.com/office/officeart/2005/8/layout/target2"/>
    <dgm:cxn modelId="{81C9D6F3-6800-4FFE-998E-4A84B1ABCC8F}" type="presParOf" srcId="{5F97B43C-7354-4EC9-9B32-257144CD3283}" destId="{BA046785-C626-4494-B2B2-51FE9CC91523}" srcOrd="4" destOrd="0" presId="urn:microsoft.com/office/officeart/2005/8/layout/target2"/>
    <dgm:cxn modelId="{00AAB06A-602C-4CF4-96FC-FF5E1F077DB7}" type="presParOf" srcId="{95F9DE60-473B-438E-8800-2A9AF2ADDCFA}" destId="{0019E912-4CBF-49B6-875D-FAE065EFEEB9}" srcOrd="2" destOrd="0" presId="urn:microsoft.com/office/officeart/2005/8/layout/target2"/>
    <dgm:cxn modelId="{9B95066A-37EC-4161-B7C5-63A88E6927F9}" type="presParOf" srcId="{0019E912-4CBF-49B6-875D-FAE065EFEEB9}" destId="{35D05E58-EACF-4FB9-AB1D-8D5365E65C93}" srcOrd="0" destOrd="0" presId="urn:microsoft.com/office/officeart/2005/8/layout/target2"/>
    <dgm:cxn modelId="{DA487A75-0B2C-4B7A-87E7-EFF8F9A95616}" type="presParOf" srcId="{0019E912-4CBF-49B6-875D-FAE065EFEEB9}" destId="{FE61EF12-00D9-4944-BB17-7B96CFBCB334}" srcOrd="1" destOrd="0" presId="urn:microsoft.com/office/officeart/2005/8/layout/target2"/>
    <dgm:cxn modelId="{F2C29BB3-02BD-4450-A1D0-2C1FADA17625}" type="presParOf" srcId="{FE61EF12-00D9-4944-BB17-7B96CFBCB334}" destId="{E742082B-9B5F-4F32-8D51-248BB9A795F0}" srcOrd="0" destOrd="0" presId="urn:microsoft.com/office/officeart/2005/8/layout/target2"/>
    <dgm:cxn modelId="{B83708F7-06F3-4F0B-B67F-8B2354A43215}" type="presParOf" srcId="{FE61EF12-00D9-4944-BB17-7B96CFBCB334}" destId="{D5B393AC-96E7-45A7-AD95-F44700D93C46}" srcOrd="1" destOrd="0" presId="urn:microsoft.com/office/officeart/2005/8/layout/target2"/>
    <dgm:cxn modelId="{44D5C977-AFC1-4F9C-A3BD-0B569CA7A075}" type="presParOf" srcId="{FE61EF12-00D9-4944-BB17-7B96CFBCB334}" destId="{B550268A-E1B0-4DC3-95AF-BFB8FB31651A}" srcOrd="2" destOrd="0" presId="urn:microsoft.com/office/officeart/2005/8/layout/target2"/>
    <dgm:cxn modelId="{1AC7226C-C7A7-442B-8138-2A7CFEE240B3}" type="presParOf" srcId="{FE61EF12-00D9-4944-BB17-7B96CFBCB334}" destId="{78CFDC3E-6E3B-46FA-B3F9-02EFD629BA7E}" srcOrd="3" destOrd="0" presId="urn:microsoft.com/office/officeart/2005/8/layout/target2"/>
    <dgm:cxn modelId="{0E04B95F-30D3-4645-906D-6EC95CAB6D88}" type="presParOf" srcId="{FE61EF12-00D9-4944-BB17-7B96CFBCB334}" destId="{7A6CBDAC-9B93-43CF-8E3F-A4AE87D801B2}" srcOrd="4" destOrd="0" presId="urn:microsoft.com/office/officeart/2005/8/layout/targe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7C61C0-869E-4C4B-A59E-3CAB9218DF31}" type="doc">
      <dgm:prSet loTypeId="urn:microsoft.com/office/officeart/2005/8/layout/hList6" loCatId="list" qsTypeId="urn:microsoft.com/office/officeart/2005/8/quickstyle/3d3" qsCatId="3D" csTypeId="urn:microsoft.com/office/officeart/2005/8/colors/accent1_2" csCatId="accent1" phldr="1"/>
      <dgm:spPr/>
      <dgm:t>
        <a:bodyPr/>
        <a:lstStyle/>
        <a:p>
          <a:endParaRPr lang="en-US"/>
        </a:p>
      </dgm:t>
    </dgm:pt>
    <dgm:pt modelId="{47809EB8-F092-46AA-B4A3-448C6BFB9E74}">
      <dgm:prSet phldrT="[Text]" custT="1"/>
      <dgm:spPr>
        <a:xfrm rot="16200000">
          <a:off x="-182895" y="183626"/>
          <a:ext cx="2266950" cy="189969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r>
            <a:rPr lang="ro-MD" sz="1400" b="1">
              <a:solidFill>
                <a:sysClr val="window" lastClr="FFFFFF"/>
              </a:solidFill>
              <a:latin typeface="Calibri" panose="020F0502020204030204"/>
              <a:ea typeface="+mn-ea"/>
              <a:cs typeface="+mn-cs"/>
            </a:rPr>
            <a:t>Atragerea Companiilor Multinaționale - </a:t>
          </a:r>
          <a:r>
            <a:rPr lang="ro-MD" sz="1400" b="0">
              <a:solidFill>
                <a:sysClr val="window" lastClr="FFFFFF"/>
              </a:solidFill>
              <a:latin typeface="Calibri" panose="020F0502020204030204"/>
              <a:ea typeface="+mn-ea"/>
              <a:cs typeface="+mn-cs"/>
            </a:rPr>
            <a:t>întreprinderi industriale cu ctivități superioare în lanțul valoric global      </a:t>
          </a:r>
          <a:endParaRPr lang="en-US" sz="1400" b="0">
            <a:solidFill>
              <a:sysClr val="window" lastClr="FFFFFF"/>
            </a:solidFill>
            <a:latin typeface="Calibri" panose="020F0502020204030204"/>
            <a:ea typeface="+mn-ea"/>
            <a:cs typeface="+mn-cs"/>
          </a:endParaRPr>
        </a:p>
      </dgm:t>
    </dgm:pt>
    <dgm:pt modelId="{6EF6362E-BBBA-433D-83C8-5C2D4C4437FB}" type="parTrans" cxnId="{D4980F0C-0301-4874-BE5D-91752B1C3A0C}">
      <dgm:prSet/>
      <dgm:spPr/>
      <dgm:t>
        <a:bodyPr/>
        <a:lstStyle/>
        <a:p>
          <a:endParaRPr lang="en-US"/>
        </a:p>
      </dgm:t>
    </dgm:pt>
    <dgm:pt modelId="{DFF73E23-5DAE-411E-BD15-B95ACB8590F6}" type="sibTrans" cxnId="{D4980F0C-0301-4874-BE5D-91752B1C3A0C}">
      <dgm:prSet/>
      <dgm:spPr/>
      <dgm:t>
        <a:bodyPr/>
        <a:lstStyle/>
        <a:p>
          <a:endParaRPr lang="en-US"/>
        </a:p>
      </dgm:t>
    </dgm:pt>
    <dgm:pt modelId="{C910B6AE-D299-4872-B8BB-C9841544812B}">
      <dgm:prSet phldrT="[Text]" custT="1"/>
      <dgm:spPr>
        <a:xfrm rot="16200000">
          <a:off x="1859279" y="183626"/>
          <a:ext cx="2266950" cy="189969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r>
            <a:rPr lang="ro-MD" sz="1400" b="1">
              <a:solidFill>
                <a:sysClr val="window" lastClr="FFFFFF"/>
              </a:solidFill>
              <a:latin typeface="Calibri" panose="020F0502020204030204"/>
              <a:ea typeface="+mn-ea"/>
              <a:cs typeface="+mn-cs"/>
            </a:rPr>
            <a:t>Dezvoltarea campionilor naționali - </a:t>
          </a:r>
          <a:r>
            <a:rPr lang="ro-MD" sz="1400" b="0">
              <a:solidFill>
                <a:sysClr val="window" lastClr="FFFFFF"/>
              </a:solidFill>
              <a:latin typeface="Calibri" panose="020F0502020204030204"/>
              <a:ea typeface="+mn-ea"/>
              <a:cs typeface="+mn-cs"/>
            </a:rPr>
            <a:t>întreprinderi industriale inovatoare cu potențial de creștere rapidă și export</a:t>
          </a:r>
          <a:endParaRPr lang="en-US" sz="1400" b="0">
            <a:solidFill>
              <a:sysClr val="window" lastClr="FFFFFF"/>
            </a:solidFill>
            <a:latin typeface="Calibri" panose="020F0502020204030204"/>
            <a:ea typeface="+mn-ea"/>
            <a:cs typeface="+mn-cs"/>
          </a:endParaRPr>
        </a:p>
      </dgm:t>
    </dgm:pt>
    <dgm:pt modelId="{72E8EF52-7819-4D2F-BF8E-B1DB96C3F2FE}" type="parTrans" cxnId="{5A4156BA-1A51-4750-AE11-BC1FEEFB7946}">
      <dgm:prSet/>
      <dgm:spPr/>
      <dgm:t>
        <a:bodyPr/>
        <a:lstStyle/>
        <a:p>
          <a:endParaRPr lang="en-US"/>
        </a:p>
      </dgm:t>
    </dgm:pt>
    <dgm:pt modelId="{CDF0DCB5-5CEB-42D1-B79F-EF41E5BF8AC5}" type="sibTrans" cxnId="{5A4156BA-1A51-4750-AE11-BC1FEEFB7946}">
      <dgm:prSet/>
      <dgm:spPr/>
      <dgm:t>
        <a:bodyPr/>
        <a:lstStyle/>
        <a:p>
          <a:endParaRPr lang="en-US"/>
        </a:p>
      </dgm:t>
    </dgm:pt>
    <dgm:pt modelId="{CC3840DE-434F-4007-9D6A-1D573BE243F8}">
      <dgm:prSet phldrT="[Text]" custT="1"/>
      <dgm:spPr>
        <a:xfrm rot="16200000">
          <a:off x="3901455" y="183626"/>
          <a:ext cx="2266950" cy="189969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r>
            <a:rPr lang="ro-MD" sz="1400" b="1">
              <a:solidFill>
                <a:sysClr val="window" lastClr="FFFFFF"/>
              </a:solidFill>
              <a:latin typeface="Calibri" panose="020F0502020204030204"/>
              <a:ea typeface="+mn-ea"/>
              <a:cs typeface="+mn-cs"/>
            </a:rPr>
            <a:t>Dezvoltarea producției locale - </a:t>
          </a:r>
          <a:r>
            <a:rPr lang="ro-MD" sz="1400" b="0">
              <a:solidFill>
                <a:sysClr val="window" lastClr="FFFFFF"/>
              </a:solidFill>
              <a:latin typeface="Calibri" panose="020F0502020204030204"/>
              <a:ea typeface="+mn-ea"/>
              <a:cs typeface="+mn-cs"/>
            </a:rPr>
            <a:t>întreprinderi industriale la nivel local/scară mică </a:t>
          </a:r>
          <a:endParaRPr lang="en-US" sz="1400" b="0">
            <a:solidFill>
              <a:sysClr val="window" lastClr="FFFFFF"/>
            </a:solidFill>
            <a:latin typeface="Calibri" panose="020F0502020204030204"/>
            <a:ea typeface="+mn-ea"/>
            <a:cs typeface="+mn-cs"/>
          </a:endParaRPr>
        </a:p>
      </dgm:t>
    </dgm:pt>
    <dgm:pt modelId="{ACC4F222-DEAA-4713-A9AA-94FB9BE5E97D}" type="parTrans" cxnId="{6F38FB2B-0586-4EF9-8DEF-846EF56339C1}">
      <dgm:prSet/>
      <dgm:spPr/>
      <dgm:t>
        <a:bodyPr/>
        <a:lstStyle/>
        <a:p>
          <a:endParaRPr lang="en-US"/>
        </a:p>
      </dgm:t>
    </dgm:pt>
    <dgm:pt modelId="{EEDE0176-C92F-49E4-9D50-847DEF2433E0}" type="sibTrans" cxnId="{6F38FB2B-0586-4EF9-8DEF-846EF56339C1}">
      <dgm:prSet/>
      <dgm:spPr/>
      <dgm:t>
        <a:bodyPr/>
        <a:lstStyle/>
        <a:p>
          <a:endParaRPr lang="en-US"/>
        </a:p>
      </dgm:t>
    </dgm:pt>
    <dgm:pt modelId="{D6C85E8A-3657-426F-9695-CD12D73BF2FC}" type="pres">
      <dgm:prSet presAssocID="{F87C61C0-869E-4C4B-A59E-3CAB9218DF31}" presName="Name0" presStyleCnt="0">
        <dgm:presLayoutVars>
          <dgm:dir/>
          <dgm:resizeHandles val="exact"/>
        </dgm:presLayoutVars>
      </dgm:prSet>
      <dgm:spPr/>
      <dgm:t>
        <a:bodyPr/>
        <a:lstStyle/>
        <a:p>
          <a:endParaRPr lang="en-US"/>
        </a:p>
      </dgm:t>
    </dgm:pt>
    <dgm:pt modelId="{B8564EF6-19F7-4B56-B7F3-E397B2AB7327}" type="pres">
      <dgm:prSet presAssocID="{47809EB8-F092-46AA-B4A3-448C6BFB9E74}" presName="node" presStyleLbl="node1" presStyleIdx="0" presStyleCnt="3">
        <dgm:presLayoutVars>
          <dgm:bulletEnabled val="1"/>
        </dgm:presLayoutVars>
      </dgm:prSet>
      <dgm:spPr>
        <a:prstGeom prst="flowChartManualOperation">
          <a:avLst/>
        </a:prstGeom>
      </dgm:spPr>
      <dgm:t>
        <a:bodyPr/>
        <a:lstStyle/>
        <a:p>
          <a:endParaRPr lang="en-US"/>
        </a:p>
      </dgm:t>
    </dgm:pt>
    <dgm:pt modelId="{4C55193D-503C-4E20-99F5-609777F427B9}" type="pres">
      <dgm:prSet presAssocID="{DFF73E23-5DAE-411E-BD15-B95ACB8590F6}" presName="sibTrans" presStyleCnt="0"/>
      <dgm:spPr/>
    </dgm:pt>
    <dgm:pt modelId="{89F0E0F2-D2AB-47AD-8E8F-FBEFF9007FA8}" type="pres">
      <dgm:prSet presAssocID="{C910B6AE-D299-4872-B8BB-C9841544812B}" presName="node" presStyleLbl="node1" presStyleIdx="1" presStyleCnt="3">
        <dgm:presLayoutVars>
          <dgm:bulletEnabled val="1"/>
        </dgm:presLayoutVars>
      </dgm:prSet>
      <dgm:spPr>
        <a:prstGeom prst="flowChartManualOperation">
          <a:avLst/>
        </a:prstGeom>
      </dgm:spPr>
      <dgm:t>
        <a:bodyPr/>
        <a:lstStyle/>
        <a:p>
          <a:endParaRPr lang="en-US"/>
        </a:p>
      </dgm:t>
    </dgm:pt>
    <dgm:pt modelId="{218574E4-9194-4BF9-B153-C09266F9259F}" type="pres">
      <dgm:prSet presAssocID="{CDF0DCB5-5CEB-42D1-B79F-EF41E5BF8AC5}" presName="sibTrans" presStyleCnt="0"/>
      <dgm:spPr/>
    </dgm:pt>
    <dgm:pt modelId="{0B1834E2-E8BB-4220-A6A4-559C8E0D63B1}" type="pres">
      <dgm:prSet presAssocID="{CC3840DE-434F-4007-9D6A-1D573BE243F8}" presName="node" presStyleLbl="node1" presStyleIdx="2" presStyleCnt="3">
        <dgm:presLayoutVars>
          <dgm:bulletEnabled val="1"/>
        </dgm:presLayoutVars>
      </dgm:prSet>
      <dgm:spPr>
        <a:prstGeom prst="flowChartManualOperation">
          <a:avLst/>
        </a:prstGeom>
      </dgm:spPr>
      <dgm:t>
        <a:bodyPr/>
        <a:lstStyle/>
        <a:p>
          <a:endParaRPr lang="en-US"/>
        </a:p>
      </dgm:t>
    </dgm:pt>
  </dgm:ptLst>
  <dgm:cxnLst>
    <dgm:cxn modelId="{6F38FB2B-0586-4EF9-8DEF-846EF56339C1}" srcId="{F87C61C0-869E-4C4B-A59E-3CAB9218DF31}" destId="{CC3840DE-434F-4007-9D6A-1D573BE243F8}" srcOrd="2" destOrd="0" parTransId="{ACC4F222-DEAA-4713-A9AA-94FB9BE5E97D}" sibTransId="{EEDE0176-C92F-49E4-9D50-847DEF2433E0}"/>
    <dgm:cxn modelId="{D4980F0C-0301-4874-BE5D-91752B1C3A0C}" srcId="{F87C61C0-869E-4C4B-A59E-3CAB9218DF31}" destId="{47809EB8-F092-46AA-B4A3-448C6BFB9E74}" srcOrd="0" destOrd="0" parTransId="{6EF6362E-BBBA-433D-83C8-5C2D4C4437FB}" sibTransId="{DFF73E23-5DAE-411E-BD15-B95ACB8590F6}"/>
    <dgm:cxn modelId="{3AED255E-2C50-4E92-AE8F-C45A1A496842}" type="presOf" srcId="{C910B6AE-D299-4872-B8BB-C9841544812B}" destId="{89F0E0F2-D2AB-47AD-8E8F-FBEFF9007FA8}" srcOrd="0" destOrd="0" presId="urn:microsoft.com/office/officeart/2005/8/layout/hList6"/>
    <dgm:cxn modelId="{926ADF84-E2AB-4470-9415-5A30E786E98A}" type="presOf" srcId="{F87C61C0-869E-4C4B-A59E-3CAB9218DF31}" destId="{D6C85E8A-3657-426F-9695-CD12D73BF2FC}" srcOrd="0" destOrd="0" presId="urn:microsoft.com/office/officeart/2005/8/layout/hList6"/>
    <dgm:cxn modelId="{46560125-CF3B-40B7-8E3B-1471451E88DC}" type="presOf" srcId="{CC3840DE-434F-4007-9D6A-1D573BE243F8}" destId="{0B1834E2-E8BB-4220-A6A4-559C8E0D63B1}" srcOrd="0" destOrd="0" presId="urn:microsoft.com/office/officeart/2005/8/layout/hList6"/>
    <dgm:cxn modelId="{5A4156BA-1A51-4750-AE11-BC1FEEFB7946}" srcId="{F87C61C0-869E-4C4B-A59E-3CAB9218DF31}" destId="{C910B6AE-D299-4872-B8BB-C9841544812B}" srcOrd="1" destOrd="0" parTransId="{72E8EF52-7819-4D2F-BF8E-B1DB96C3F2FE}" sibTransId="{CDF0DCB5-5CEB-42D1-B79F-EF41E5BF8AC5}"/>
    <dgm:cxn modelId="{A8601C20-E29A-418B-A4DC-77052BAD8624}" type="presOf" srcId="{47809EB8-F092-46AA-B4A3-448C6BFB9E74}" destId="{B8564EF6-19F7-4B56-B7F3-E397B2AB7327}" srcOrd="0" destOrd="0" presId="urn:microsoft.com/office/officeart/2005/8/layout/hList6"/>
    <dgm:cxn modelId="{646EC72D-C652-46D3-8443-560E10458E0C}" type="presParOf" srcId="{D6C85E8A-3657-426F-9695-CD12D73BF2FC}" destId="{B8564EF6-19F7-4B56-B7F3-E397B2AB7327}" srcOrd="0" destOrd="0" presId="urn:microsoft.com/office/officeart/2005/8/layout/hList6"/>
    <dgm:cxn modelId="{D2960921-48E0-49F6-A26B-658E99993982}" type="presParOf" srcId="{D6C85E8A-3657-426F-9695-CD12D73BF2FC}" destId="{4C55193D-503C-4E20-99F5-609777F427B9}" srcOrd="1" destOrd="0" presId="urn:microsoft.com/office/officeart/2005/8/layout/hList6"/>
    <dgm:cxn modelId="{1634807A-359B-4A0E-B8D7-3C4C45D2C72A}" type="presParOf" srcId="{D6C85E8A-3657-426F-9695-CD12D73BF2FC}" destId="{89F0E0F2-D2AB-47AD-8E8F-FBEFF9007FA8}" srcOrd="2" destOrd="0" presId="urn:microsoft.com/office/officeart/2005/8/layout/hList6"/>
    <dgm:cxn modelId="{8D9C5151-BE24-43B9-A28E-5AD12B72407B}" type="presParOf" srcId="{D6C85E8A-3657-426F-9695-CD12D73BF2FC}" destId="{218574E4-9194-4BF9-B153-C09266F9259F}" srcOrd="3" destOrd="0" presId="urn:microsoft.com/office/officeart/2005/8/layout/hList6"/>
    <dgm:cxn modelId="{2BC3BEDE-F1B9-4B88-ACBE-E452388D2F98}" type="presParOf" srcId="{D6C85E8A-3657-426F-9695-CD12D73BF2FC}" destId="{0B1834E2-E8BB-4220-A6A4-559C8E0D63B1}" srcOrd="4" destOrd="0" presId="urn:microsoft.com/office/officeart/2005/8/layout/hList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24EF76-AE7A-434B-8D6C-2B49F7DDED2B}" type="doc">
      <dgm:prSet loTypeId="urn:microsoft.com/office/officeart/2008/layout/VerticalCurvedList" loCatId="list" qsTypeId="urn:microsoft.com/office/officeart/2005/8/quickstyle/simple5" qsCatId="simple" csTypeId="urn:microsoft.com/office/officeart/2005/8/colors/accent1_2" csCatId="accent1" phldr="1"/>
      <dgm:spPr/>
      <dgm:t>
        <a:bodyPr/>
        <a:lstStyle/>
        <a:p>
          <a:endParaRPr lang="ru-RU"/>
        </a:p>
      </dgm:t>
    </dgm:pt>
    <dgm:pt modelId="{C8114730-42CF-46B4-8E20-071AFF2DE3E1}">
      <dgm:prSet phldrT="[Text]"/>
      <dgm:spPr>
        <a:xfrm>
          <a:off x="260250" y="168533"/>
          <a:ext cx="5817062" cy="336938"/>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o-MD">
              <a:solidFill>
                <a:sysClr val="window" lastClr="FFFFFF"/>
              </a:solidFill>
              <a:latin typeface="Calibri" panose="020F0502020204030204"/>
              <a:ea typeface="+mn-ea"/>
              <a:cs typeface="+mn-cs"/>
            </a:rPr>
            <a:t>Industria </a:t>
          </a:r>
          <a:r>
            <a:rPr lang="ro-MD" b="1">
              <a:solidFill>
                <a:sysClr val="window" lastClr="FFFFFF"/>
              </a:solidFill>
              <a:latin typeface="Calibri" panose="020F0502020204030204"/>
              <a:ea typeface="+mn-ea"/>
              <a:cs typeface="+mn-cs"/>
            </a:rPr>
            <a:t>electronică</a:t>
          </a:r>
          <a:r>
            <a:rPr lang="ro-MD">
              <a:solidFill>
                <a:sysClr val="window" lastClr="FFFFFF"/>
              </a:solidFill>
              <a:latin typeface="Calibri" panose="020F0502020204030204"/>
              <a:ea typeface="+mn-ea"/>
              <a:cs typeface="+mn-cs"/>
            </a:rPr>
            <a:t> </a:t>
          </a:r>
          <a:endParaRPr lang="ru-RU">
            <a:solidFill>
              <a:sysClr val="window" lastClr="FFFFFF"/>
            </a:solidFill>
            <a:latin typeface="Calibri" panose="020F0502020204030204"/>
            <a:ea typeface="+mn-ea"/>
            <a:cs typeface="+mn-cs"/>
          </a:endParaRPr>
        </a:p>
      </dgm:t>
    </dgm:pt>
    <dgm:pt modelId="{86DC63A8-F01A-44EB-92CF-40E32CCD36D7}" type="parTrans" cxnId="{DD4099AC-176C-48C3-9076-1E9BEF620898}">
      <dgm:prSet/>
      <dgm:spPr/>
      <dgm:t>
        <a:bodyPr/>
        <a:lstStyle/>
        <a:p>
          <a:endParaRPr lang="ru-RU"/>
        </a:p>
      </dgm:t>
    </dgm:pt>
    <dgm:pt modelId="{2EDFD36C-1E55-4348-B7A3-21BD6FA46B10}" type="sibTrans" cxnId="{DD4099AC-176C-48C3-9076-1E9BEF620898}">
      <dgm:prSet/>
      <dgm:spPr>
        <a:xfrm>
          <a:off x="-3617274" y="-555868"/>
          <a:ext cx="4312137" cy="4312137"/>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005A9E8C-595E-494D-A153-C58669EB3841}">
      <dgm:prSet phldrT="[Text]"/>
      <dgm:spPr>
        <a:xfrm>
          <a:off x="537405" y="673876"/>
          <a:ext cx="5539907" cy="336938"/>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o-MD">
              <a:solidFill>
                <a:sysClr val="window" lastClr="FFFFFF"/>
              </a:solidFill>
              <a:latin typeface="Calibri" panose="020F0502020204030204"/>
              <a:ea typeface="+mn-ea"/>
              <a:cs typeface="+mn-cs"/>
            </a:rPr>
            <a:t>Industria </a:t>
          </a:r>
          <a:r>
            <a:rPr lang="ro-MD" b="1">
              <a:solidFill>
                <a:sysClr val="window" lastClr="FFFFFF"/>
              </a:solidFill>
              <a:latin typeface="Calibri" panose="020F0502020204030204"/>
              <a:ea typeface="+mn-ea"/>
              <a:cs typeface="+mn-cs"/>
            </a:rPr>
            <a:t>chimică și farmaceutică</a:t>
          </a:r>
          <a:endParaRPr lang="ru-RU" b="1">
            <a:solidFill>
              <a:sysClr val="window" lastClr="FFFFFF"/>
            </a:solidFill>
            <a:latin typeface="Calibri" panose="020F0502020204030204"/>
            <a:ea typeface="+mn-ea"/>
            <a:cs typeface="+mn-cs"/>
          </a:endParaRPr>
        </a:p>
      </dgm:t>
    </dgm:pt>
    <dgm:pt modelId="{8F186C06-ABE1-45FC-A4B7-C361CE8A461B}" type="parTrans" cxnId="{20A99EC4-CA04-453F-AECF-6E41165CAEF8}">
      <dgm:prSet/>
      <dgm:spPr/>
      <dgm:t>
        <a:bodyPr/>
        <a:lstStyle/>
        <a:p>
          <a:endParaRPr lang="ru-RU"/>
        </a:p>
      </dgm:t>
    </dgm:pt>
    <dgm:pt modelId="{4574024C-FC96-42AF-AE33-8D84CCA00D57}" type="sibTrans" cxnId="{20A99EC4-CA04-453F-AECF-6E41165CAEF8}">
      <dgm:prSet/>
      <dgm:spPr/>
      <dgm:t>
        <a:bodyPr/>
        <a:lstStyle/>
        <a:p>
          <a:endParaRPr lang="ru-RU"/>
        </a:p>
      </dgm:t>
    </dgm:pt>
    <dgm:pt modelId="{7C9B534B-797F-4682-B929-3EDAC30CA62A}">
      <dgm:prSet phldrT="[Text]"/>
      <dgm:spPr>
        <a:xfrm>
          <a:off x="664141" y="1179219"/>
          <a:ext cx="5413171" cy="336938"/>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o-MD">
              <a:solidFill>
                <a:sysClr val="window" lastClr="FFFFFF"/>
              </a:solidFill>
              <a:latin typeface="Calibri" panose="020F0502020204030204"/>
              <a:ea typeface="+mn-ea"/>
              <a:cs typeface="+mn-cs"/>
            </a:rPr>
            <a:t>Industria </a:t>
          </a:r>
          <a:r>
            <a:rPr lang="ro-MD" b="1">
              <a:solidFill>
                <a:sysClr val="window" lastClr="FFFFFF"/>
              </a:solidFill>
              <a:latin typeface="Calibri" panose="020F0502020204030204"/>
              <a:ea typeface="+mn-ea"/>
              <a:cs typeface="+mn-cs"/>
            </a:rPr>
            <a:t>constructoare de mașini și componente auto</a:t>
          </a:r>
          <a:endParaRPr lang="ru-RU" b="1">
            <a:solidFill>
              <a:sysClr val="window" lastClr="FFFFFF"/>
            </a:solidFill>
            <a:latin typeface="Calibri" panose="020F0502020204030204"/>
            <a:ea typeface="+mn-ea"/>
            <a:cs typeface="+mn-cs"/>
          </a:endParaRPr>
        </a:p>
      </dgm:t>
    </dgm:pt>
    <dgm:pt modelId="{7CC5F971-F790-4B7A-B444-F638691C60F1}" type="parTrans" cxnId="{66E43E3F-1403-4826-9F3E-8B0FCED57567}">
      <dgm:prSet/>
      <dgm:spPr/>
      <dgm:t>
        <a:bodyPr/>
        <a:lstStyle/>
        <a:p>
          <a:endParaRPr lang="ru-RU"/>
        </a:p>
      </dgm:t>
    </dgm:pt>
    <dgm:pt modelId="{2677A078-0624-4ED2-B114-B99AD979B878}" type="sibTrans" cxnId="{66E43E3F-1403-4826-9F3E-8B0FCED57567}">
      <dgm:prSet/>
      <dgm:spPr/>
      <dgm:t>
        <a:bodyPr/>
        <a:lstStyle/>
        <a:p>
          <a:endParaRPr lang="ru-RU"/>
        </a:p>
      </dgm:t>
    </dgm:pt>
    <dgm:pt modelId="{1E72A256-69B1-4DE8-950B-3CF037D71151}">
      <dgm:prSet/>
      <dgm:spPr>
        <a:xfrm>
          <a:off x="664141" y="1684242"/>
          <a:ext cx="5413171" cy="336938"/>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o-MD">
              <a:solidFill>
                <a:sysClr val="window" lastClr="FFFFFF"/>
              </a:solidFill>
              <a:latin typeface="Calibri" panose="020F0502020204030204"/>
              <a:ea typeface="+mn-ea"/>
              <a:cs typeface="+mn-cs"/>
            </a:rPr>
            <a:t>Industria </a:t>
          </a:r>
          <a:r>
            <a:rPr lang="ro-MD" b="1">
              <a:solidFill>
                <a:sysClr val="window" lastClr="FFFFFF"/>
              </a:solidFill>
              <a:latin typeface="Calibri" panose="020F0502020204030204"/>
              <a:ea typeface="+mn-ea"/>
              <a:cs typeface="+mn-cs"/>
            </a:rPr>
            <a:t>textilă și de îmbrăcăminte</a:t>
          </a:r>
          <a:endParaRPr lang="ru-RU" b="1">
            <a:solidFill>
              <a:sysClr val="window" lastClr="FFFFFF"/>
            </a:solidFill>
            <a:latin typeface="Calibri" panose="020F0502020204030204"/>
            <a:ea typeface="+mn-ea"/>
            <a:cs typeface="+mn-cs"/>
          </a:endParaRPr>
        </a:p>
      </dgm:t>
    </dgm:pt>
    <dgm:pt modelId="{9DA4A310-291F-4B43-A7EF-CABCB3522385}" type="parTrans" cxnId="{D388B1C9-0D20-4A24-ACB9-4706FA5F5F71}">
      <dgm:prSet/>
      <dgm:spPr/>
      <dgm:t>
        <a:bodyPr/>
        <a:lstStyle/>
        <a:p>
          <a:endParaRPr lang="ru-RU"/>
        </a:p>
      </dgm:t>
    </dgm:pt>
    <dgm:pt modelId="{C6DC1F8F-8FFC-4539-9716-8844DC97ED6E}" type="sibTrans" cxnId="{D388B1C9-0D20-4A24-ACB9-4706FA5F5F71}">
      <dgm:prSet/>
      <dgm:spPr/>
      <dgm:t>
        <a:bodyPr/>
        <a:lstStyle/>
        <a:p>
          <a:endParaRPr lang="ru-RU"/>
        </a:p>
      </dgm:t>
    </dgm:pt>
    <dgm:pt modelId="{1AFCF964-D90A-4ADD-8404-938E42657057}">
      <dgm:prSet/>
      <dgm:spPr>
        <a:xfrm>
          <a:off x="537405" y="2189585"/>
          <a:ext cx="5539907" cy="336938"/>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o-MD">
              <a:solidFill>
                <a:sysClr val="window" lastClr="FFFFFF"/>
              </a:solidFill>
              <a:latin typeface="Calibri" panose="020F0502020204030204"/>
              <a:ea typeface="+mn-ea"/>
              <a:cs typeface="+mn-cs"/>
            </a:rPr>
            <a:t>Industria </a:t>
          </a:r>
          <a:r>
            <a:rPr lang="ro-MD" b="1">
              <a:solidFill>
                <a:sysClr val="window" lastClr="FFFFFF"/>
              </a:solidFill>
              <a:latin typeface="Calibri" panose="020F0502020204030204"/>
              <a:ea typeface="+mn-ea"/>
              <a:cs typeface="+mn-cs"/>
            </a:rPr>
            <a:t>materialelor de construcție</a:t>
          </a:r>
          <a:endParaRPr lang="ru-RU" b="1">
            <a:solidFill>
              <a:sysClr val="window" lastClr="FFFFFF"/>
            </a:solidFill>
            <a:latin typeface="Calibri" panose="020F0502020204030204"/>
            <a:ea typeface="+mn-ea"/>
            <a:cs typeface="+mn-cs"/>
          </a:endParaRPr>
        </a:p>
      </dgm:t>
    </dgm:pt>
    <dgm:pt modelId="{D085E7A4-1051-44FD-9D0C-3EA71867E19A}" type="parTrans" cxnId="{9E463C00-07F4-46F8-ABFC-EECAEA6A1642}">
      <dgm:prSet/>
      <dgm:spPr/>
      <dgm:t>
        <a:bodyPr/>
        <a:lstStyle/>
        <a:p>
          <a:endParaRPr lang="en-US"/>
        </a:p>
      </dgm:t>
    </dgm:pt>
    <dgm:pt modelId="{E82A74E9-8FF1-4C69-B3B1-26A151204446}" type="sibTrans" cxnId="{9E463C00-07F4-46F8-ABFC-EECAEA6A1642}">
      <dgm:prSet/>
      <dgm:spPr/>
      <dgm:t>
        <a:bodyPr/>
        <a:lstStyle/>
        <a:p>
          <a:endParaRPr lang="en-US"/>
        </a:p>
      </dgm:t>
    </dgm:pt>
    <dgm:pt modelId="{3745DCF4-2390-424F-BB2E-173A703ED526}">
      <dgm:prSet/>
      <dgm:spPr>
        <a:xfrm>
          <a:off x="260250" y="2694928"/>
          <a:ext cx="5817062" cy="336938"/>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o-MD">
              <a:solidFill>
                <a:sysClr val="window" lastClr="FFFFFF"/>
              </a:solidFill>
              <a:latin typeface="Calibri" panose="020F0502020204030204"/>
              <a:ea typeface="+mn-ea"/>
              <a:cs typeface="+mn-cs"/>
            </a:rPr>
            <a:t>Industria </a:t>
          </a:r>
          <a:r>
            <a:rPr lang="ro-MD" b="1">
              <a:solidFill>
                <a:sysClr val="window" lastClr="FFFFFF"/>
              </a:solidFill>
              <a:latin typeface="Calibri" panose="020F0502020204030204"/>
              <a:ea typeface="+mn-ea"/>
              <a:cs typeface="+mn-cs"/>
            </a:rPr>
            <a:t>alimentară</a:t>
          </a:r>
          <a:endParaRPr lang="ru-RU" b="1">
            <a:solidFill>
              <a:sysClr val="window" lastClr="FFFFFF"/>
            </a:solidFill>
            <a:latin typeface="Calibri" panose="020F0502020204030204"/>
            <a:ea typeface="+mn-ea"/>
            <a:cs typeface="+mn-cs"/>
          </a:endParaRPr>
        </a:p>
      </dgm:t>
    </dgm:pt>
    <dgm:pt modelId="{2B743C45-F6F4-4252-B488-9AFA28F1A843}" type="parTrans" cxnId="{05AD10C7-693D-44B0-8AE3-B60435AC7F58}">
      <dgm:prSet/>
      <dgm:spPr/>
      <dgm:t>
        <a:bodyPr/>
        <a:lstStyle/>
        <a:p>
          <a:endParaRPr lang="en-US"/>
        </a:p>
      </dgm:t>
    </dgm:pt>
    <dgm:pt modelId="{4FB3FCCE-16FD-4444-BFC0-106C3A6CBF70}" type="sibTrans" cxnId="{05AD10C7-693D-44B0-8AE3-B60435AC7F58}">
      <dgm:prSet/>
      <dgm:spPr/>
      <dgm:t>
        <a:bodyPr/>
        <a:lstStyle/>
        <a:p>
          <a:endParaRPr lang="en-US"/>
        </a:p>
      </dgm:t>
    </dgm:pt>
    <dgm:pt modelId="{F09B9757-6BCB-483C-B54D-67A14EE630B2}" type="pres">
      <dgm:prSet presAssocID="{D224EF76-AE7A-434B-8D6C-2B49F7DDED2B}" presName="Name0" presStyleCnt="0">
        <dgm:presLayoutVars>
          <dgm:chMax val="7"/>
          <dgm:chPref val="7"/>
          <dgm:dir/>
        </dgm:presLayoutVars>
      </dgm:prSet>
      <dgm:spPr/>
      <dgm:t>
        <a:bodyPr/>
        <a:lstStyle/>
        <a:p>
          <a:endParaRPr lang="en-US"/>
        </a:p>
      </dgm:t>
    </dgm:pt>
    <dgm:pt modelId="{FF9C8C6E-3854-4664-A34F-538F4EE63CDD}" type="pres">
      <dgm:prSet presAssocID="{D224EF76-AE7A-434B-8D6C-2B49F7DDED2B}" presName="Name1" presStyleCnt="0"/>
      <dgm:spPr/>
    </dgm:pt>
    <dgm:pt modelId="{6F3D5915-BE0A-4346-8288-355E8BBF38CD}" type="pres">
      <dgm:prSet presAssocID="{D224EF76-AE7A-434B-8D6C-2B49F7DDED2B}" presName="cycle" presStyleCnt="0"/>
      <dgm:spPr/>
    </dgm:pt>
    <dgm:pt modelId="{D18DE40D-DD03-4B8F-A8FB-E285020F8545}" type="pres">
      <dgm:prSet presAssocID="{D224EF76-AE7A-434B-8D6C-2B49F7DDED2B}" presName="srcNode" presStyleLbl="node1" presStyleIdx="0" presStyleCnt="6"/>
      <dgm:spPr/>
    </dgm:pt>
    <dgm:pt modelId="{A09881F1-9E0C-4C55-83E4-34D9E2C34845}" type="pres">
      <dgm:prSet presAssocID="{D224EF76-AE7A-434B-8D6C-2B49F7DDED2B}" presName="conn" presStyleLbl="parChTrans1D2" presStyleIdx="0" presStyleCnt="1"/>
      <dgm:spPr>
        <a:prstGeom prst="blockArc">
          <a:avLst>
            <a:gd name="adj1" fmla="val 18900000"/>
            <a:gd name="adj2" fmla="val 2700000"/>
            <a:gd name="adj3" fmla="val 501"/>
          </a:avLst>
        </a:prstGeom>
      </dgm:spPr>
      <dgm:t>
        <a:bodyPr/>
        <a:lstStyle/>
        <a:p>
          <a:endParaRPr lang="en-US"/>
        </a:p>
      </dgm:t>
    </dgm:pt>
    <dgm:pt modelId="{3B8BDC62-DBF4-43B4-9253-172EE90330AA}" type="pres">
      <dgm:prSet presAssocID="{D224EF76-AE7A-434B-8D6C-2B49F7DDED2B}" presName="extraNode" presStyleLbl="node1" presStyleIdx="0" presStyleCnt="6"/>
      <dgm:spPr/>
    </dgm:pt>
    <dgm:pt modelId="{66709670-77EA-48EB-9AFF-7353A797DB86}" type="pres">
      <dgm:prSet presAssocID="{D224EF76-AE7A-434B-8D6C-2B49F7DDED2B}" presName="dstNode" presStyleLbl="node1" presStyleIdx="0" presStyleCnt="6"/>
      <dgm:spPr/>
    </dgm:pt>
    <dgm:pt modelId="{31FB22AD-5A33-4708-9573-81102A419E57}" type="pres">
      <dgm:prSet presAssocID="{C8114730-42CF-46B4-8E20-071AFF2DE3E1}" presName="text_1" presStyleLbl="node1" presStyleIdx="0" presStyleCnt="6">
        <dgm:presLayoutVars>
          <dgm:bulletEnabled val="1"/>
        </dgm:presLayoutVars>
      </dgm:prSet>
      <dgm:spPr>
        <a:prstGeom prst="rect">
          <a:avLst/>
        </a:prstGeom>
      </dgm:spPr>
      <dgm:t>
        <a:bodyPr/>
        <a:lstStyle/>
        <a:p>
          <a:endParaRPr lang="en-US"/>
        </a:p>
      </dgm:t>
    </dgm:pt>
    <dgm:pt modelId="{224A3874-CCBE-456A-B3E3-062D324864C8}" type="pres">
      <dgm:prSet presAssocID="{C8114730-42CF-46B4-8E20-071AFF2DE3E1}" presName="accent_1" presStyleCnt="0"/>
      <dgm:spPr/>
    </dgm:pt>
    <dgm:pt modelId="{8F6DD80F-6A48-4713-8710-DC8A0407554B}" type="pres">
      <dgm:prSet presAssocID="{C8114730-42CF-46B4-8E20-071AFF2DE3E1}" presName="accentRepeatNode" presStyleLbl="solidFgAcc1" presStyleIdx="0" presStyleCnt="6"/>
      <dgm:spPr>
        <a:xfrm>
          <a:off x="49664" y="126415"/>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endParaRPr lang="en-US"/>
        </a:p>
      </dgm:t>
    </dgm:pt>
    <dgm:pt modelId="{7F33F612-75C8-4CA2-960C-CE99FA16A7B4}" type="pres">
      <dgm:prSet presAssocID="{005A9E8C-595E-494D-A153-C58669EB3841}" presName="text_2" presStyleLbl="node1" presStyleIdx="1" presStyleCnt="6">
        <dgm:presLayoutVars>
          <dgm:bulletEnabled val="1"/>
        </dgm:presLayoutVars>
      </dgm:prSet>
      <dgm:spPr>
        <a:prstGeom prst="rect">
          <a:avLst/>
        </a:prstGeom>
      </dgm:spPr>
      <dgm:t>
        <a:bodyPr/>
        <a:lstStyle/>
        <a:p>
          <a:endParaRPr lang="en-US"/>
        </a:p>
      </dgm:t>
    </dgm:pt>
    <dgm:pt modelId="{65CD8290-4C16-4F9C-8CF7-7CCCD132F884}" type="pres">
      <dgm:prSet presAssocID="{005A9E8C-595E-494D-A153-C58669EB3841}" presName="accent_2" presStyleCnt="0"/>
      <dgm:spPr/>
    </dgm:pt>
    <dgm:pt modelId="{9B77877C-9296-4BE1-B182-8EAC224DA3D6}" type="pres">
      <dgm:prSet presAssocID="{005A9E8C-595E-494D-A153-C58669EB3841}" presName="accentRepeatNode" presStyleLbl="solidFgAcc1" presStyleIdx="1" presStyleCnt="6"/>
      <dgm:spPr>
        <a:xfrm>
          <a:off x="326819" y="631758"/>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endParaRPr lang="en-US"/>
        </a:p>
      </dgm:t>
    </dgm:pt>
    <dgm:pt modelId="{E0AB56BB-35AE-4E58-9C1F-CEF0F3671744}" type="pres">
      <dgm:prSet presAssocID="{7C9B534B-797F-4682-B929-3EDAC30CA62A}" presName="text_3" presStyleLbl="node1" presStyleIdx="2" presStyleCnt="6">
        <dgm:presLayoutVars>
          <dgm:bulletEnabled val="1"/>
        </dgm:presLayoutVars>
      </dgm:prSet>
      <dgm:spPr>
        <a:prstGeom prst="rect">
          <a:avLst/>
        </a:prstGeom>
      </dgm:spPr>
      <dgm:t>
        <a:bodyPr/>
        <a:lstStyle/>
        <a:p>
          <a:endParaRPr lang="en-US"/>
        </a:p>
      </dgm:t>
    </dgm:pt>
    <dgm:pt modelId="{5C9FE35A-6924-4D65-B8B1-724B8FE57997}" type="pres">
      <dgm:prSet presAssocID="{7C9B534B-797F-4682-B929-3EDAC30CA62A}" presName="accent_3" presStyleCnt="0"/>
      <dgm:spPr/>
    </dgm:pt>
    <dgm:pt modelId="{55E87EFC-7230-40AB-9014-BAFABAB65797}" type="pres">
      <dgm:prSet presAssocID="{7C9B534B-797F-4682-B929-3EDAC30CA62A}" presName="accentRepeatNode" presStyleLbl="solidFgAcc1" presStyleIdx="2" presStyleCnt="6"/>
      <dgm:spPr>
        <a:xfrm>
          <a:off x="453554" y="1137102"/>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endParaRPr lang="en-US"/>
        </a:p>
      </dgm:t>
    </dgm:pt>
    <dgm:pt modelId="{41026793-1A0A-4D3A-B75E-55D6A3973F58}" type="pres">
      <dgm:prSet presAssocID="{1E72A256-69B1-4DE8-950B-3CF037D71151}" presName="text_4" presStyleLbl="node1" presStyleIdx="3" presStyleCnt="6">
        <dgm:presLayoutVars>
          <dgm:bulletEnabled val="1"/>
        </dgm:presLayoutVars>
      </dgm:prSet>
      <dgm:spPr>
        <a:prstGeom prst="rect">
          <a:avLst/>
        </a:prstGeom>
      </dgm:spPr>
      <dgm:t>
        <a:bodyPr/>
        <a:lstStyle/>
        <a:p>
          <a:endParaRPr lang="en-US"/>
        </a:p>
      </dgm:t>
    </dgm:pt>
    <dgm:pt modelId="{489287D0-EFB7-4325-A784-B43D75BF2CD1}" type="pres">
      <dgm:prSet presAssocID="{1E72A256-69B1-4DE8-950B-3CF037D71151}" presName="accent_4" presStyleCnt="0"/>
      <dgm:spPr/>
    </dgm:pt>
    <dgm:pt modelId="{CE875BFA-894C-42F5-8639-31F948521D9E}" type="pres">
      <dgm:prSet presAssocID="{1E72A256-69B1-4DE8-950B-3CF037D71151}" presName="accentRepeatNode" presStyleLbl="solidFgAcc1" presStyleIdx="3" presStyleCnt="6"/>
      <dgm:spPr>
        <a:xfrm>
          <a:off x="453554" y="1642125"/>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endParaRPr lang="en-US"/>
        </a:p>
      </dgm:t>
    </dgm:pt>
    <dgm:pt modelId="{809BEB8C-A8A9-45FD-A0A7-FCA015FC4196}" type="pres">
      <dgm:prSet presAssocID="{1AFCF964-D90A-4ADD-8404-938E42657057}" presName="text_5" presStyleLbl="node1" presStyleIdx="4" presStyleCnt="6">
        <dgm:presLayoutVars>
          <dgm:bulletEnabled val="1"/>
        </dgm:presLayoutVars>
      </dgm:prSet>
      <dgm:spPr>
        <a:prstGeom prst="rect">
          <a:avLst/>
        </a:prstGeom>
      </dgm:spPr>
      <dgm:t>
        <a:bodyPr/>
        <a:lstStyle/>
        <a:p>
          <a:endParaRPr lang="en-US"/>
        </a:p>
      </dgm:t>
    </dgm:pt>
    <dgm:pt modelId="{A7AD1231-5F40-40F5-AB83-77C6D9199E85}" type="pres">
      <dgm:prSet presAssocID="{1AFCF964-D90A-4ADD-8404-938E42657057}" presName="accent_5" presStyleCnt="0"/>
      <dgm:spPr/>
    </dgm:pt>
    <dgm:pt modelId="{4BD9879B-1B95-44C5-A91B-3E630D841F19}" type="pres">
      <dgm:prSet presAssocID="{1AFCF964-D90A-4ADD-8404-938E42657057}" presName="accentRepeatNode" presStyleLbl="solidFgAcc1" presStyleIdx="4" presStyleCnt="6"/>
      <dgm:spPr>
        <a:xfrm>
          <a:off x="326819" y="2147468"/>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endParaRPr lang="en-US"/>
        </a:p>
      </dgm:t>
    </dgm:pt>
    <dgm:pt modelId="{807BE6B6-8F7D-4126-981E-0BB9A18F3D43}" type="pres">
      <dgm:prSet presAssocID="{3745DCF4-2390-424F-BB2E-173A703ED526}" presName="text_6" presStyleLbl="node1" presStyleIdx="5" presStyleCnt="6">
        <dgm:presLayoutVars>
          <dgm:bulletEnabled val="1"/>
        </dgm:presLayoutVars>
      </dgm:prSet>
      <dgm:spPr>
        <a:prstGeom prst="rect">
          <a:avLst/>
        </a:prstGeom>
      </dgm:spPr>
      <dgm:t>
        <a:bodyPr/>
        <a:lstStyle/>
        <a:p>
          <a:endParaRPr lang="en-US"/>
        </a:p>
      </dgm:t>
    </dgm:pt>
    <dgm:pt modelId="{6E6F1992-2CA3-4C70-A69A-01664D007D40}" type="pres">
      <dgm:prSet presAssocID="{3745DCF4-2390-424F-BB2E-173A703ED526}" presName="accent_6" presStyleCnt="0"/>
      <dgm:spPr/>
    </dgm:pt>
    <dgm:pt modelId="{B14823F8-2FCA-460B-9C4F-755CD902D3D4}" type="pres">
      <dgm:prSet presAssocID="{3745DCF4-2390-424F-BB2E-173A703ED526}" presName="accentRepeatNode" presStyleLbl="solidFgAcc1" presStyleIdx="5" presStyleCnt="6"/>
      <dgm:spPr>
        <a:xfrm>
          <a:off x="49664" y="2652811"/>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endParaRPr lang="en-US"/>
        </a:p>
      </dgm:t>
    </dgm:pt>
  </dgm:ptLst>
  <dgm:cxnLst>
    <dgm:cxn modelId="{05AD10C7-693D-44B0-8AE3-B60435AC7F58}" srcId="{D224EF76-AE7A-434B-8D6C-2B49F7DDED2B}" destId="{3745DCF4-2390-424F-BB2E-173A703ED526}" srcOrd="5" destOrd="0" parTransId="{2B743C45-F6F4-4252-B488-9AFA28F1A843}" sibTransId="{4FB3FCCE-16FD-4444-BFC0-106C3A6CBF70}"/>
    <dgm:cxn modelId="{9D6F4D98-14B9-4B71-A535-3EDF04AFF343}" type="presOf" srcId="{005A9E8C-595E-494D-A153-C58669EB3841}" destId="{7F33F612-75C8-4CA2-960C-CE99FA16A7B4}" srcOrd="0" destOrd="0" presId="urn:microsoft.com/office/officeart/2008/layout/VerticalCurvedList"/>
    <dgm:cxn modelId="{CF1B1E98-CB7D-48BB-8CE9-7C1C8F1415A7}" type="presOf" srcId="{C8114730-42CF-46B4-8E20-071AFF2DE3E1}" destId="{31FB22AD-5A33-4708-9573-81102A419E57}" srcOrd="0" destOrd="0" presId="urn:microsoft.com/office/officeart/2008/layout/VerticalCurvedList"/>
    <dgm:cxn modelId="{D26FF512-FFB8-4DEC-850A-68FC6D31D8B0}" type="presOf" srcId="{D224EF76-AE7A-434B-8D6C-2B49F7DDED2B}" destId="{F09B9757-6BCB-483C-B54D-67A14EE630B2}" srcOrd="0" destOrd="0" presId="urn:microsoft.com/office/officeart/2008/layout/VerticalCurvedList"/>
    <dgm:cxn modelId="{9E463C00-07F4-46F8-ABFC-EECAEA6A1642}" srcId="{D224EF76-AE7A-434B-8D6C-2B49F7DDED2B}" destId="{1AFCF964-D90A-4ADD-8404-938E42657057}" srcOrd="4" destOrd="0" parTransId="{D085E7A4-1051-44FD-9D0C-3EA71867E19A}" sibTransId="{E82A74E9-8FF1-4C69-B3B1-26A151204446}"/>
    <dgm:cxn modelId="{47E3782D-A29B-487E-B6E6-59FCC37C19CC}" type="presOf" srcId="{2EDFD36C-1E55-4348-B7A3-21BD6FA46B10}" destId="{A09881F1-9E0C-4C55-83E4-34D9E2C34845}" srcOrd="0" destOrd="0" presId="urn:microsoft.com/office/officeart/2008/layout/VerticalCurvedList"/>
    <dgm:cxn modelId="{23E24BBD-18C2-4ED2-9ACC-1CDF6187047E}" type="presOf" srcId="{3745DCF4-2390-424F-BB2E-173A703ED526}" destId="{807BE6B6-8F7D-4126-981E-0BB9A18F3D43}" srcOrd="0" destOrd="0" presId="urn:microsoft.com/office/officeart/2008/layout/VerticalCurvedList"/>
    <dgm:cxn modelId="{7C4F8D51-D872-4652-87B8-AC9C0BB00285}" type="presOf" srcId="{7C9B534B-797F-4682-B929-3EDAC30CA62A}" destId="{E0AB56BB-35AE-4E58-9C1F-CEF0F3671744}" srcOrd="0" destOrd="0" presId="urn:microsoft.com/office/officeart/2008/layout/VerticalCurvedList"/>
    <dgm:cxn modelId="{DD4099AC-176C-48C3-9076-1E9BEF620898}" srcId="{D224EF76-AE7A-434B-8D6C-2B49F7DDED2B}" destId="{C8114730-42CF-46B4-8E20-071AFF2DE3E1}" srcOrd="0" destOrd="0" parTransId="{86DC63A8-F01A-44EB-92CF-40E32CCD36D7}" sibTransId="{2EDFD36C-1E55-4348-B7A3-21BD6FA46B10}"/>
    <dgm:cxn modelId="{93FBC7AF-5761-4224-9623-7EED7A87A1BD}" type="presOf" srcId="{1AFCF964-D90A-4ADD-8404-938E42657057}" destId="{809BEB8C-A8A9-45FD-A0A7-FCA015FC4196}" srcOrd="0" destOrd="0" presId="urn:microsoft.com/office/officeart/2008/layout/VerticalCurvedList"/>
    <dgm:cxn modelId="{66E43E3F-1403-4826-9F3E-8B0FCED57567}" srcId="{D224EF76-AE7A-434B-8D6C-2B49F7DDED2B}" destId="{7C9B534B-797F-4682-B929-3EDAC30CA62A}" srcOrd="2" destOrd="0" parTransId="{7CC5F971-F790-4B7A-B444-F638691C60F1}" sibTransId="{2677A078-0624-4ED2-B114-B99AD979B878}"/>
    <dgm:cxn modelId="{D388B1C9-0D20-4A24-ACB9-4706FA5F5F71}" srcId="{D224EF76-AE7A-434B-8D6C-2B49F7DDED2B}" destId="{1E72A256-69B1-4DE8-950B-3CF037D71151}" srcOrd="3" destOrd="0" parTransId="{9DA4A310-291F-4B43-A7EF-CABCB3522385}" sibTransId="{C6DC1F8F-8FFC-4539-9716-8844DC97ED6E}"/>
    <dgm:cxn modelId="{20A99EC4-CA04-453F-AECF-6E41165CAEF8}" srcId="{D224EF76-AE7A-434B-8D6C-2B49F7DDED2B}" destId="{005A9E8C-595E-494D-A153-C58669EB3841}" srcOrd="1" destOrd="0" parTransId="{8F186C06-ABE1-45FC-A4B7-C361CE8A461B}" sibTransId="{4574024C-FC96-42AF-AE33-8D84CCA00D57}"/>
    <dgm:cxn modelId="{43A62F89-ADA4-44A5-9D9B-5BA12ADE2334}" type="presOf" srcId="{1E72A256-69B1-4DE8-950B-3CF037D71151}" destId="{41026793-1A0A-4D3A-B75E-55D6A3973F58}" srcOrd="0" destOrd="0" presId="urn:microsoft.com/office/officeart/2008/layout/VerticalCurvedList"/>
    <dgm:cxn modelId="{BF29B9E3-EE09-4C9E-9035-3DF3DD5043F5}" type="presParOf" srcId="{F09B9757-6BCB-483C-B54D-67A14EE630B2}" destId="{FF9C8C6E-3854-4664-A34F-538F4EE63CDD}" srcOrd="0" destOrd="0" presId="urn:microsoft.com/office/officeart/2008/layout/VerticalCurvedList"/>
    <dgm:cxn modelId="{3444197A-20A7-4C98-9C23-2D5EC2FFE7E8}" type="presParOf" srcId="{FF9C8C6E-3854-4664-A34F-538F4EE63CDD}" destId="{6F3D5915-BE0A-4346-8288-355E8BBF38CD}" srcOrd="0" destOrd="0" presId="urn:microsoft.com/office/officeart/2008/layout/VerticalCurvedList"/>
    <dgm:cxn modelId="{FF3440CA-AF09-4E45-8334-8EF45269454A}" type="presParOf" srcId="{6F3D5915-BE0A-4346-8288-355E8BBF38CD}" destId="{D18DE40D-DD03-4B8F-A8FB-E285020F8545}" srcOrd="0" destOrd="0" presId="urn:microsoft.com/office/officeart/2008/layout/VerticalCurvedList"/>
    <dgm:cxn modelId="{53A20F23-736B-47C9-A5DA-ADEA25973986}" type="presParOf" srcId="{6F3D5915-BE0A-4346-8288-355E8BBF38CD}" destId="{A09881F1-9E0C-4C55-83E4-34D9E2C34845}" srcOrd="1" destOrd="0" presId="urn:microsoft.com/office/officeart/2008/layout/VerticalCurvedList"/>
    <dgm:cxn modelId="{C53F425D-FBEF-48F9-9BAC-10B020E4DDA3}" type="presParOf" srcId="{6F3D5915-BE0A-4346-8288-355E8BBF38CD}" destId="{3B8BDC62-DBF4-43B4-9253-172EE90330AA}" srcOrd="2" destOrd="0" presId="urn:microsoft.com/office/officeart/2008/layout/VerticalCurvedList"/>
    <dgm:cxn modelId="{24A9B58A-0E58-4F8A-9AB4-5DDC04251871}" type="presParOf" srcId="{6F3D5915-BE0A-4346-8288-355E8BBF38CD}" destId="{66709670-77EA-48EB-9AFF-7353A797DB86}" srcOrd="3" destOrd="0" presId="urn:microsoft.com/office/officeart/2008/layout/VerticalCurvedList"/>
    <dgm:cxn modelId="{159B8DA2-FF15-4E5D-9E24-E52FA01D9976}" type="presParOf" srcId="{FF9C8C6E-3854-4664-A34F-538F4EE63CDD}" destId="{31FB22AD-5A33-4708-9573-81102A419E57}" srcOrd="1" destOrd="0" presId="urn:microsoft.com/office/officeart/2008/layout/VerticalCurvedList"/>
    <dgm:cxn modelId="{6CA2A562-0ED9-420D-BD30-58C01394E158}" type="presParOf" srcId="{FF9C8C6E-3854-4664-A34F-538F4EE63CDD}" destId="{224A3874-CCBE-456A-B3E3-062D324864C8}" srcOrd="2" destOrd="0" presId="urn:microsoft.com/office/officeart/2008/layout/VerticalCurvedList"/>
    <dgm:cxn modelId="{DFADEB36-DEDD-4C45-AF7A-0E374DF29475}" type="presParOf" srcId="{224A3874-CCBE-456A-B3E3-062D324864C8}" destId="{8F6DD80F-6A48-4713-8710-DC8A0407554B}" srcOrd="0" destOrd="0" presId="urn:microsoft.com/office/officeart/2008/layout/VerticalCurvedList"/>
    <dgm:cxn modelId="{2C5339F9-A63E-4296-BAC0-8446963AD6BD}" type="presParOf" srcId="{FF9C8C6E-3854-4664-A34F-538F4EE63CDD}" destId="{7F33F612-75C8-4CA2-960C-CE99FA16A7B4}" srcOrd="3" destOrd="0" presId="urn:microsoft.com/office/officeart/2008/layout/VerticalCurvedList"/>
    <dgm:cxn modelId="{987C5453-C49D-44D1-A77D-0509AB90AA08}" type="presParOf" srcId="{FF9C8C6E-3854-4664-A34F-538F4EE63CDD}" destId="{65CD8290-4C16-4F9C-8CF7-7CCCD132F884}" srcOrd="4" destOrd="0" presId="urn:microsoft.com/office/officeart/2008/layout/VerticalCurvedList"/>
    <dgm:cxn modelId="{20E62584-BC31-4086-B302-EF3154929B5A}" type="presParOf" srcId="{65CD8290-4C16-4F9C-8CF7-7CCCD132F884}" destId="{9B77877C-9296-4BE1-B182-8EAC224DA3D6}" srcOrd="0" destOrd="0" presId="urn:microsoft.com/office/officeart/2008/layout/VerticalCurvedList"/>
    <dgm:cxn modelId="{275EA0FA-AAB7-432F-9EA4-553AB236E718}" type="presParOf" srcId="{FF9C8C6E-3854-4664-A34F-538F4EE63CDD}" destId="{E0AB56BB-35AE-4E58-9C1F-CEF0F3671744}" srcOrd="5" destOrd="0" presId="urn:microsoft.com/office/officeart/2008/layout/VerticalCurvedList"/>
    <dgm:cxn modelId="{C6649558-92FE-49A4-B1D5-25FBCD5F4551}" type="presParOf" srcId="{FF9C8C6E-3854-4664-A34F-538F4EE63CDD}" destId="{5C9FE35A-6924-4D65-B8B1-724B8FE57997}" srcOrd="6" destOrd="0" presId="urn:microsoft.com/office/officeart/2008/layout/VerticalCurvedList"/>
    <dgm:cxn modelId="{B4C01C0C-0126-465C-BA02-32072B121092}" type="presParOf" srcId="{5C9FE35A-6924-4D65-B8B1-724B8FE57997}" destId="{55E87EFC-7230-40AB-9014-BAFABAB65797}" srcOrd="0" destOrd="0" presId="urn:microsoft.com/office/officeart/2008/layout/VerticalCurvedList"/>
    <dgm:cxn modelId="{2A15A476-A519-47EF-8E1E-044A45AB9989}" type="presParOf" srcId="{FF9C8C6E-3854-4664-A34F-538F4EE63CDD}" destId="{41026793-1A0A-4D3A-B75E-55D6A3973F58}" srcOrd="7" destOrd="0" presId="urn:microsoft.com/office/officeart/2008/layout/VerticalCurvedList"/>
    <dgm:cxn modelId="{E0F23C24-FF03-41A5-8378-9AE0E5769924}" type="presParOf" srcId="{FF9C8C6E-3854-4664-A34F-538F4EE63CDD}" destId="{489287D0-EFB7-4325-A784-B43D75BF2CD1}" srcOrd="8" destOrd="0" presId="urn:microsoft.com/office/officeart/2008/layout/VerticalCurvedList"/>
    <dgm:cxn modelId="{162703F5-9CF7-4A24-9F63-448F73CC8CA8}" type="presParOf" srcId="{489287D0-EFB7-4325-A784-B43D75BF2CD1}" destId="{CE875BFA-894C-42F5-8639-31F948521D9E}" srcOrd="0" destOrd="0" presId="urn:microsoft.com/office/officeart/2008/layout/VerticalCurvedList"/>
    <dgm:cxn modelId="{55ABB667-89CE-4D7F-AA35-6CFCBA8B19A9}" type="presParOf" srcId="{FF9C8C6E-3854-4664-A34F-538F4EE63CDD}" destId="{809BEB8C-A8A9-45FD-A0A7-FCA015FC4196}" srcOrd="9" destOrd="0" presId="urn:microsoft.com/office/officeart/2008/layout/VerticalCurvedList"/>
    <dgm:cxn modelId="{86A01A57-D918-449B-9D1F-9646F0F140DF}" type="presParOf" srcId="{FF9C8C6E-3854-4664-A34F-538F4EE63CDD}" destId="{A7AD1231-5F40-40F5-AB83-77C6D9199E85}" srcOrd="10" destOrd="0" presId="urn:microsoft.com/office/officeart/2008/layout/VerticalCurvedList"/>
    <dgm:cxn modelId="{F167D251-1EBD-4214-A273-F55F898C050D}" type="presParOf" srcId="{A7AD1231-5F40-40F5-AB83-77C6D9199E85}" destId="{4BD9879B-1B95-44C5-A91B-3E630D841F19}" srcOrd="0" destOrd="0" presId="urn:microsoft.com/office/officeart/2008/layout/VerticalCurvedList"/>
    <dgm:cxn modelId="{C474F0B2-72A7-4DD9-BC22-30D6A0FC507F}" type="presParOf" srcId="{FF9C8C6E-3854-4664-A34F-538F4EE63CDD}" destId="{807BE6B6-8F7D-4126-981E-0BB9A18F3D43}" srcOrd="11" destOrd="0" presId="urn:microsoft.com/office/officeart/2008/layout/VerticalCurvedList"/>
    <dgm:cxn modelId="{A1BC5165-38DD-451E-A7D3-293344A86B12}" type="presParOf" srcId="{FF9C8C6E-3854-4664-A34F-538F4EE63CDD}" destId="{6E6F1992-2CA3-4C70-A69A-01664D007D40}" srcOrd="12" destOrd="0" presId="urn:microsoft.com/office/officeart/2008/layout/VerticalCurvedList"/>
    <dgm:cxn modelId="{58DAF13C-C1AF-4CF6-B7CB-A2FDBA6371C6}" type="presParOf" srcId="{6E6F1992-2CA3-4C70-A69A-01664D007D40}" destId="{B14823F8-2FCA-460B-9C4F-755CD902D3D4}" srcOrd="0" destOrd="0" presId="urn:microsoft.com/office/officeart/2008/layout/VerticalCurved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394FC-F41F-4122-BCDC-D3528CF0C29E}">
      <dsp:nvSpPr>
        <dsp:cNvPr id="0" name=""/>
        <dsp:cNvSpPr/>
      </dsp:nvSpPr>
      <dsp:spPr>
        <a:xfrm>
          <a:off x="2699" y="155459"/>
          <a:ext cx="1180427" cy="708256"/>
        </a:xfrm>
        <a:prstGeom prst="roundRect">
          <a:avLst>
            <a:gd name="adj" fmla="val 10000"/>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MD" sz="1200" kern="1200">
              <a:solidFill>
                <a:sysClr val="window" lastClr="FFFFFF"/>
              </a:solidFill>
              <a:latin typeface="Calibri" panose="020F0502020204030204"/>
              <a:ea typeface="+mn-ea"/>
              <a:cs typeface="+mn-cs"/>
            </a:rPr>
            <a:t>Instituțiile</a:t>
          </a:r>
          <a:endParaRPr lang="en-US" sz="1200" kern="1200">
            <a:solidFill>
              <a:sysClr val="window" lastClr="FFFFFF"/>
            </a:solidFill>
            <a:latin typeface="Calibri" panose="020F0502020204030204"/>
            <a:ea typeface="+mn-ea"/>
            <a:cs typeface="+mn-cs"/>
          </a:endParaRPr>
        </a:p>
      </dsp:txBody>
      <dsp:txXfrm>
        <a:off x="23443" y="176203"/>
        <a:ext cx="1138939" cy="666768"/>
      </dsp:txXfrm>
    </dsp:sp>
    <dsp:sp modelId="{55D010D4-FF6D-43F8-8F34-6A942818ECC2}">
      <dsp:nvSpPr>
        <dsp:cNvPr id="0" name=""/>
        <dsp:cNvSpPr/>
      </dsp:nvSpPr>
      <dsp:spPr>
        <a:xfrm>
          <a:off x="1301170" y="363214"/>
          <a:ext cx="250250" cy="292746"/>
        </a:xfrm>
        <a:prstGeom prst="rightArrow">
          <a:avLst>
            <a:gd name="adj1" fmla="val 60000"/>
            <a:gd name="adj2" fmla="val 50000"/>
          </a:avLst>
        </a:prstGeom>
        <a:solidFill>
          <a:srgbClr val="4472C4">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panose="020F0502020204030204"/>
            <a:ea typeface="+mn-ea"/>
            <a:cs typeface="+mn-cs"/>
          </a:endParaRPr>
        </a:p>
      </dsp:txBody>
      <dsp:txXfrm>
        <a:off x="1301170" y="421763"/>
        <a:ext cx="175175" cy="175648"/>
      </dsp:txXfrm>
    </dsp:sp>
    <dsp:sp modelId="{C115BC1E-39FB-4A7D-A446-71DB2281050E}">
      <dsp:nvSpPr>
        <dsp:cNvPr id="0" name=""/>
        <dsp:cNvSpPr/>
      </dsp:nvSpPr>
      <dsp:spPr>
        <a:xfrm>
          <a:off x="1655298" y="155459"/>
          <a:ext cx="1180427" cy="708256"/>
        </a:xfrm>
        <a:prstGeom prst="roundRect">
          <a:avLst>
            <a:gd name="adj" fmla="val 10000"/>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MD" sz="1200" kern="1200">
              <a:solidFill>
                <a:sysClr val="window" lastClr="FFFFFF"/>
              </a:solidFill>
              <a:latin typeface="Calibri" panose="020F0502020204030204"/>
              <a:ea typeface="+mn-ea"/>
              <a:cs typeface="+mn-cs"/>
            </a:rPr>
            <a:t>Investițiile</a:t>
          </a:r>
          <a:endParaRPr lang="en-US" sz="1200" kern="1200">
            <a:solidFill>
              <a:sysClr val="window" lastClr="FFFFFF"/>
            </a:solidFill>
            <a:latin typeface="Calibri" panose="020F0502020204030204"/>
            <a:ea typeface="+mn-ea"/>
            <a:cs typeface="+mn-cs"/>
          </a:endParaRPr>
        </a:p>
      </dsp:txBody>
      <dsp:txXfrm>
        <a:off x="1676042" y="176203"/>
        <a:ext cx="1138939" cy="666768"/>
      </dsp:txXfrm>
    </dsp:sp>
    <dsp:sp modelId="{2D3F0573-04E7-4332-A5FE-2961B6753C50}">
      <dsp:nvSpPr>
        <dsp:cNvPr id="0" name=""/>
        <dsp:cNvSpPr/>
      </dsp:nvSpPr>
      <dsp:spPr>
        <a:xfrm>
          <a:off x="2953769" y="363214"/>
          <a:ext cx="250250" cy="292746"/>
        </a:xfrm>
        <a:prstGeom prst="rightArrow">
          <a:avLst>
            <a:gd name="adj1" fmla="val 60000"/>
            <a:gd name="adj2" fmla="val 50000"/>
          </a:avLst>
        </a:prstGeom>
        <a:solidFill>
          <a:srgbClr val="4472C4">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panose="020F0502020204030204"/>
            <a:ea typeface="+mn-ea"/>
            <a:cs typeface="+mn-cs"/>
          </a:endParaRPr>
        </a:p>
      </dsp:txBody>
      <dsp:txXfrm>
        <a:off x="2953769" y="421763"/>
        <a:ext cx="175175" cy="175648"/>
      </dsp:txXfrm>
    </dsp:sp>
    <dsp:sp modelId="{F571891B-CD09-46B0-9A1F-1DBD89A0BA88}">
      <dsp:nvSpPr>
        <dsp:cNvPr id="0" name=""/>
        <dsp:cNvSpPr/>
      </dsp:nvSpPr>
      <dsp:spPr>
        <a:xfrm>
          <a:off x="3307898" y="155459"/>
          <a:ext cx="1180427" cy="708256"/>
        </a:xfrm>
        <a:prstGeom prst="roundRect">
          <a:avLst>
            <a:gd name="adj" fmla="val 10000"/>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MD" sz="1200" kern="1200">
              <a:solidFill>
                <a:sysClr val="window" lastClr="FFFFFF"/>
              </a:solidFill>
              <a:latin typeface="Calibri" panose="020F0502020204030204"/>
              <a:ea typeface="+mn-ea"/>
              <a:cs typeface="+mn-cs"/>
            </a:rPr>
            <a:t>Munca</a:t>
          </a:r>
          <a:endParaRPr lang="en-US" sz="1200" kern="1200">
            <a:solidFill>
              <a:sysClr val="window" lastClr="FFFFFF"/>
            </a:solidFill>
            <a:latin typeface="Calibri" panose="020F0502020204030204"/>
            <a:ea typeface="+mn-ea"/>
            <a:cs typeface="+mn-cs"/>
          </a:endParaRPr>
        </a:p>
      </dsp:txBody>
      <dsp:txXfrm>
        <a:off x="3328642" y="176203"/>
        <a:ext cx="1138939" cy="666768"/>
      </dsp:txXfrm>
    </dsp:sp>
    <dsp:sp modelId="{59053398-38DA-4236-A929-D9760EFB7EFA}">
      <dsp:nvSpPr>
        <dsp:cNvPr id="0" name=""/>
        <dsp:cNvSpPr/>
      </dsp:nvSpPr>
      <dsp:spPr>
        <a:xfrm>
          <a:off x="4606368" y="363214"/>
          <a:ext cx="250250" cy="292746"/>
        </a:xfrm>
        <a:prstGeom prst="rightArrow">
          <a:avLst>
            <a:gd name="adj1" fmla="val 60000"/>
            <a:gd name="adj2" fmla="val 50000"/>
          </a:avLst>
        </a:prstGeom>
        <a:solidFill>
          <a:srgbClr val="4472C4">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panose="020F0502020204030204"/>
            <a:ea typeface="+mn-ea"/>
            <a:cs typeface="+mn-cs"/>
          </a:endParaRPr>
        </a:p>
      </dsp:txBody>
      <dsp:txXfrm>
        <a:off x="4606368" y="421763"/>
        <a:ext cx="175175" cy="175648"/>
      </dsp:txXfrm>
    </dsp:sp>
    <dsp:sp modelId="{EF369C77-63D5-4804-882D-94780842327A}">
      <dsp:nvSpPr>
        <dsp:cNvPr id="0" name=""/>
        <dsp:cNvSpPr/>
      </dsp:nvSpPr>
      <dsp:spPr>
        <a:xfrm>
          <a:off x="4960497" y="155459"/>
          <a:ext cx="1180427" cy="708256"/>
        </a:xfrm>
        <a:prstGeom prst="roundRect">
          <a:avLst>
            <a:gd name="adj" fmla="val 10000"/>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MD" sz="1200" kern="1200">
              <a:solidFill>
                <a:sysClr val="window" lastClr="FFFFFF"/>
              </a:solidFill>
              <a:latin typeface="Calibri" panose="020F0502020204030204"/>
              <a:ea typeface="+mn-ea"/>
              <a:cs typeface="+mn-cs"/>
            </a:rPr>
            <a:t>Competitivitatea</a:t>
          </a:r>
          <a:endParaRPr lang="en-US" sz="1200" kern="1200">
            <a:solidFill>
              <a:sysClr val="window" lastClr="FFFFFF"/>
            </a:solidFill>
            <a:latin typeface="Calibri" panose="020F0502020204030204"/>
            <a:ea typeface="+mn-ea"/>
            <a:cs typeface="+mn-cs"/>
          </a:endParaRPr>
        </a:p>
      </dsp:txBody>
      <dsp:txXfrm>
        <a:off x="4981241" y="176203"/>
        <a:ext cx="1138939" cy="666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2E427F-6FE8-4BA1-A7EA-5B62F1BF84F6}">
      <dsp:nvSpPr>
        <dsp:cNvPr id="0" name=""/>
        <dsp:cNvSpPr/>
      </dsp:nvSpPr>
      <dsp:spPr>
        <a:xfrm rot="5400000">
          <a:off x="3889409" y="-1688757"/>
          <a:ext cx="361473" cy="3830726"/>
        </a:xfrm>
        <a:prstGeom prst="round2SameRect">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3820" tIns="41910" rIns="83820" bIns="41910" numCol="1" spcCol="1270" anchor="ctr" anchorCtr="0">
          <a:noAutofit/>
        </a:bodyPr>
        <a:lstStyle/>
        <a:p>
          <a:pPr marL="114300" lvl="1" indent="-114300" algn="just" defTabSz="533400">
            <a:lnSpc>
              <a:spcPct val="90000"/>
            </a:lnSpc>
            <a:spcBef>
              <a:spcPct val="0"/>
            </a:spcBef>
            <a:spcAft>
              <a:spcPct val="15000"/>
            </a:spcAft>
            <a:buChar char="••"/>
          </a:pPr>
          <a:r>
            <a:rPr lang="ro-MD" sz="1200" b="1" kern="1200">
              <a:solidFill>
                <a:sysClr val="windowText" lastClr="000000">
                  <a:hueOff val="0"/>
                  <a:satOff val="0"/>
                  <a:lumOff val="0"/>
                  <a:alphaOff val="0"/>
                </a:sysClr>
              </a:solidFill>
              <a:latin typeface="Calibri" panose="020F0502020204030204"/>
              <a:ea typeface="+mn-ea"/>
              <a:cs typeface="+mn-cs"/>
            </a:rPr>
            <a:t>Îmbunătățirea guvernanței și modernizarea instituțională</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rot="-5400000">
        <a:off x="2154783" y="63515"/>
        <a:ext cx="3813080" cy="326181"/>
      </dsp:txXfrm>
    </dsp:sp>
    <dsp:sp modelId="{918CE7EA-FC32-43DF-8A74-2B5F9D2EE887}">
      <dsp:nvSpPr>
        <dsp:cNvPr id="0" name=""/>
        <dsp:cNvSpPr/>
      </dsp:nvSpPr>
      <dsp:spPr>
        <a:xfrm>
          <a:off x="0" y="684"/>
          <a:ext cx="2154783" cy="451842"/>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o-MD" sz="2000" b="1" kern="1200">
              <a:solidFill>
                <a:sysClr val="window" lastClr="FFFFFF"/>
              </a:solidFill>
              <a:latin typeface="Calibri" panose="020F0502020204030204"/>
              <a:ea typeface="+mn-ea"/>
              <a:cs typeface="+mn-cs"/>
            </a:rPr>
            <a:t>OG 1</a:t>
          </a:r>
          <a:endParaRPr lang="ru-RU" sz="2000" b="1" kern="1200">
            <a:solidFill>
              <a:sysClr val="window" lastClr="FFFFFF"/>
            </a:solidFill>
            <a:latin typeface="Calibri" panose="020F0502020204030204"/>
            <a:ea typeface="+mn-ea"/>
            <a:cs typeface="+mn-cs"/>
          </a:endParaRPr>
        </a:p>
      </dsp:txBody>
      <dsp:txXfrm>
        <a:off x="22057" y="22741"/>
        <a:ext cx="2110669" cy="407728"/>
      </dsp:txXfrm>
    </dsp:sp>
    <dsp:sp modelId="{7B18796C-742F-455F-B701-284BF2EBBD9C}">
      <dsp:nvSpPr>
        <dsp:cNvPr id="0" name=""/>
        <dsp:cNvSpPr/>
      </dsp:nvSpPr>
      <dsp:spPr>
        <a:xfrm rot="5400000">
          <a:off x="3889409" y="-1214323"/>
          <a:ext cx="361473" cy="3830726"/>
        </a:xfrm>
        <a:prstGeom prst="round2SameRect">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3820" tIns="41910" rIns="83820" bIns="41910" numCol="1" spcCol="1270" anchor="ctr" anchorCtr="0">
          <a:noAutofit/>
        </a:bodyPr>
        <a:lstStyle/>
        <a:p>
          <a:pPr marL="114300" lvl="1" indent="-114300" algn="just" defTabSz="533400">
            <a:lnSpc>
              <a:spcPct val="90000"/>
            </a:lnSpc>
            <a:spcBef>
              <a:spcPct val="0"/>
            </a:spcBef>
            <a:spcAft>
              <a:spcPct val="15000"/>
            </a:spcAft>
            <a:buChar char="••"/>
          </a:pPr>
          <a:r>
            <a:rPr lang="ro-MD" sz="1200" b="1" kern="1200">
              <a:solidFill>
                <a:sysClr val="windowText" lastClr="000000">
                  <a:hueOff val="0"/>
                  <a:satOff val="0"/>
                  <a:lumOff val="0"/>
                  <a:alphaOff val="0"/>
                </a:sysClr>
              </a:solidFill>
              <a:latin typeface="Calibri" panose="020F0502020204030204"/>
              <a:ea typeface="+mn-ea"/>
              <a:cs typeface="+mn-cs"/>
            </a:rPr>
            <a:t>Mobilizarea capitalului și forței de muncă</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rot="-5400000">
        <a:off x="2154783" y="537949"/>
        <a:ext cx="3813080" cy="326181"/>
      </dsp:txXfrm>
    </dsp:sp>
    <dsp:sp modelId="{3E9732B5-4D98-48BB-AC99-43C238AB1C7D}">
      <dsp:nvSpPr>
        <dsp:cNvPr id="0" name=""/>
        <dsp:cNvSpPr/>
      </dsp:nvSpPr>
      <dsp:spPr>
        <a:xfrm>
          <a:off x="0" y="475118"/>
          <a:ext cx="2154783" cy="451842"/>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o-MD" sz="2000" b="1" kern="1200">
              <a:solidFill>
                <a:sysClr val="window" lastClr="FFFFFF"/>
              </a:solidFill>
              <a:latin typeface="Calibri" panose="020F0502020204030204"/>
              <a:ea typeface="+mn-ea"/>
              <a:cs typeface="+mn-cs"/>
            </a:rPr>
            <a:t>OG 2</a:t>
          </a:r>
          <a:endParaRPr lang="ru-RU" sz="2000" b="1" kern="1200">
            <a:solidFill>
              <a:sysClr val="window" lastClr="FFFFFF"/>
            </a:solidFill>
            <a:latin typeface="Calibri" panose="020F0502020204030204"/>
            <a:ea typeface="+mn-ea"/>
            <a:cs typeface="+mn-cs"/>
          </a:endParaRPr>
        </a:p>
      </dsp:txBody>
      <dsp:txXfrm>
        <a:off x="22057" y="497175"/>
        <a:ext cx="2110669" cy="407728"/>
      </dsp:txXfrm>
    </dsp:sp>
    <dsp:sp modelId="{221D221E-1AD8-463D-A710-7CCC9C0CAB47}">
      <dsp:nvSpPr>
        <dsp:cNvPr id="0" name=""/>
        <dsp:cNvSpPr/>
      </dsp:nvSpPr>
      <dsp:spPr>
        <a:xfrm rot="5400000">
          <a:off x="3889409" y="-739888"/>
          <a:ext cx="361473" cy="3830726"/>
        </a:xfrm>
        <a:prstGeom prst="round2SameRect">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just" defTabSz="533400">
            <a:lnSpc>
              <a:spcPct val="90000"/>
            </a:lnSpc>
            <a:spcBef>
              <a:spcPct val="0"/>
            </a:spcBef>
            <a:spcAft>
              <a:spcPct val="15000"/>
            </a:spcAft>
            <a:buChar char="••"/>
          </a:pPr>
          <a:r>
            <a:rPr lang="ro-MD" sz="1200" b="1" kern="1200">
              <a:solidFill>
                <a:sysClr val="windowText" lastClr="000000">
                  <a:hueOff val="0"/>
                  <a:satOff val="0"/>
                  <a:lumOff val="0"/>
                  <a:alphaOff val="0"/>
                </a:sysClr>
              </a:solidFill>
              <a:latin typeface="Calibri" panose="020F0502020204030204"/>
              <a:ea typeface="+mn-ea"/>
              <a:cs typeface="+mn-cs"/>
            </a:rPr>
            <a:t>Stimularea productivității și tranziției la economia verde</a:t>
          </a:r>
          <a:endParaRPr lang="ru-RU" sz="1200" kern="1200">
            <a:solidFill>
              <a:sysClr val="windowText" lastClr="000000">
                <a:hueOff val="0"/>
                <a:satOff val="0"/>
                <a:lumOff val="0"/>
                <a:alphaOff val="0"/>
              </a:sysClr>
            </a:solidFill>
            <a:latin typeface="Calibri" panose="020F0502020204030204"/>
            <a:ea typeface="+mn-ea"/>
            <a:cs typeface="+mn-cs"/>
          </a:endParaRPr>
        </a:p>
      </dsp:txBody>
      <dsp:txXfrm rot="-5400000">
        <a:off x="2154783" y="1012384"/>
        <a:ext cx="3813080" cy="326181"/>
      </dsp:txXfrm>
    </dsp:sp>
    <dsp:sp modelId="{196CB08C-9EF4-412F-AF97-091CD7D97592}">
      <dsp:nvSpPr>
        <dsp:cNvPr id="0" name=""/>
        <dsp:cNvSpPr/>
      </dsp:nvSpPr>
      <dsp:spPr>
        <a:xfrm>
          <a:off x="0" y="949553"/>
          <a:ext cx="2154783" cy="451842"/>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o-MD" sz="2000" b="1" kern="1200">
              <a:solidFill>
                <a:sysClr val="window" lastClr="FFFFFF"/>
              </a:solidFill>
              <a:latin typeface="Calibri" panose="020F0502020204030204"/>
              <a:ea typeface="+mn-ea"/>
              <a:cs typeface="+mn-cs"/>
            </a:rPr>
            <a:t>OG 3</a:t>
          </a:r>
          <a:endParaRPr lang="ru-RU" sz="2000" b="1" kern="1200">
            <a:solidFill>
              <a:sysClr val="window" lastClr="FFFFFF"/>
            </a:solidFill>
            <a:latin typeface="Calibri" panose="020F0502020204030204"/>
            <a:ea typeface="+mn-ea"/>
            <a:cs typeface="+mn-cs"/>
          </a:endParaRPr>
        </a:p>
      </dsp:txBody>
      <dsp:txXfrm>
        <a:off x="22057" y="971610"/>
        <a:ext cx="2110669" cy="4077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D0E00-694F-4EB2-A691-0F00DEBD4609}">
      <dsp:nvSpPr>
        <dsp:cNvPr id="0" name=""/>
        <dsp:cNvSpPr/>
      </dsp:nvSpPr>
      <dsp:spPr>
        <a:xfrm>
          <a:off x="0" y="0"/>
          <a:ext cx="6126480" cy="3009900"/>
        </a:xfrm>
        <a:prstGeom prst="roundRect">
          <a:avLst>
            <a:gd name="adj" fmla="val 8500"/>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2336017" numCol="1" spcCol="1270" anchor="t" anchorCtr="0">
          <a:noAutofit/>
        </a:bodyPr>
        <a:lstStyle/>
        <a:p>
          <a:pPr lvl="0" algn="ctr" defTabSz="1111250">
            <a:lnSpc>
              <a:spcPct val="90000"/>
            </a:lnSpc>
            <a:spcBef>
              <a:spcPct val="0"/>
            </a:spcBef>
            <a:spcAft>
              <a:spcPct val="35000"/>
            </a:spcAft>
          </a:pPr>
          <a:r>
            <a:rPr lang="ro-MD" sz="2500" b="1" kern="1200">
              <a:solidFill>
                <a:sysClr val="window" lastClr="FFFFFF"/>
              </a:solidFill>
              <a:latin typeface="Calibri" panose="020F0502020204030204"/>
              <a:ea typeface="+mn-ea"/>
              <a:cs typeface="+mn-cs"/>
            </a:rPr>
            <a:t>Stabilitatea macroeconomică</a:t>
          </a:r>
          <a:endParaRPr lang="ru-RU" sz="2500" kern="1200">
            <a:solidFill>
              <a:sysClr val="window" lastClr="FFFFFF"/>
            </a:solidFill>
            <a:latin typeface="Calibri" panose="020F0502020204030204"/>
            <a:ea typeface="+mn-ea"/>
            <a:cs typeface="+mn-cs"/>
          </a:endParaRPr>
        </a:p>
      </dsp:txBody>
      <dsp:txXfrm>
        <a:off x="74933" y="74933"/>
        <a:ext cx="5976614" cy="2860034"/>
      </dsp:txXfrm>
    </dsp:sp>
    <dsp:sp modelId="{DE9C0433-CB8F-4438-B56A-D5CA42284F4E}">
      <dsp:nvSpPr>
        <dsp:cNvPr id="0" name=""/>
        <dsp:cNvSpPr/>
      </dsp:nvSpPr>
      <dsp:spPr>
        <a:xfrm>
          <a:off x="153162" y="752475"/>
          <a:ext cx="918972" cy="1030831"/>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MD" sz="1200" b="1" kern="1200">
              <a:solidFill>
                <a:sysClr val="windowText" lastClr="000000">
                  <a:hueOff val="0"/>
                  <a:satOff val="0"/>
                  <a:lumOff val="0"/>
                  <a:alphaOff val="0"/>
                </a:sysClr>
              </a:solidFill>
              <a:latin typeface="Calibri" panose="020F0502020204030204"/>
              <a:ea typeface="+mn-ea"/>
              <a:cs typeface="+mn-cs"/>
            </a:rPr>
            <a:t>Politica fiscală</a:t>
          </a:r>
          <a:endParaRPr lang="ru-RU" sz="1200" b="1" kern="1200">
            <a:solidFill>
              <a:sysClr val="windowText" lastClr="000000">
                <a:hueOff val="0"/>
                <a:satOff val="0"/>
                <a:lumOff val="0"/>
                <a:alphaOff val="0"/>
              </a:sysClr>
            </a:solidFill>
            <a:latin typeface="Calibri" panose="020F0502020204030204"/>
            <a:ea typeface="+mn-ea"/>
            <a:cs typeface="+mn-cs"/>
          </a:endParaRPr>
        </a:p>
      </dsp:txBody>
      <dsp:txXfrm>
        <a:off x="181424" y="780737"/>
        <a:ext cx="862448" cy="974307"/>
      </dsp:txXfrm>
    </dsp:sp>
    <dsp:sp modelId="{4157F7D8-032F-45D0-85F5-5ACB5C3AE2CB}">
      <dsp:nvSpPr>
        <dsp:cNvPr id="0" name=""/>
        <dsp:cNvSpPr/>
      </dsp:nvSpPr>
      <dsp:spPr>
        <a:xfrm>
          <a:off x="153162" y="1828268"/>
          <a:ext cx="918972" cy="1030831"/>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MD" sz="1200" b="1" kern="1200">
              <a:solidFill>
                <a:sysClr val="windowText" lastClr="000000">
                  <a:hueOff val="0"/>
                  <a:satOff val="0"/>
                  <a:lumOff val="0"/>
                  <a:alphaOff val="0"/>
                </a:sysClr>
              </a:solidFill>
              <a:latin typeface="Calibri" panose="020F0502020204030204"/>
              <a:ea typeface="+mn-ea"/>
              <a:cs typeface="+mn-cs"/>
            </a:rPr>
            <a:t>Politica monetară</a:t>
          </a:r>
          <a:endParaRPr lang="ru-RU" sz="1200" b="1" kern="1200">
            <a:solidFill>
              <a:sysClr val="windowText" lastClr="000000">
                <a:hueOff val="0"/>
                <a:satOff val="0"/>
                <a:lumOff val="0"/>
                <a:alphaOff val="0"/>
              </a:sysClr>
            </a:solidFill>
            <a:latin typeface="Calibri" panose="020F0502020204030204"/>
            <a:ea typeface="+mn-ea"/>
            <a:cs typeface="+mn-cs"/>
          </a:endParaRPr>
        </a:p>
      </dsp:txBody>
      <dsp:txXfrm>
        <a:off x="181424" y="1856530"/>
        <a:ext cx="862448" cy="974307"/>
      </dsp:txXfrm>
    </dsp:sp>
    <dsp:sp modelId="{3D6B1B31-38E8-4B9C-AE24-8DD771F369E9}">
      <dsp:nvSpPr>
        <dsp:cNvPr id="0" name=""/>
        <dsp:cNvSpPr/>
      </dsp:nvSpPr>
      <dsp:spPr>
        <a:xfrm>
          <a:off x="1225296" y="752475"/>
          <a:ext cx="4748022" cy="2106930"/>
        </a:xfrm>
        <a:prstGeom prst="roundRect">
          <a:avLst>
            <a:gd name="adj" fmla="val 10500"/>
          </a:avLst>
        </a:prstGeom>
        <a:solidFill>
          <a:srgbClr val="4472C4">
            <a:lumMod val="75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1337901" numCol="1" spcCol="1270" anchor="t" anchorCtr="0">
          <a:noAutofit/>
        </a:bodyPr>
        <a:lstStyle/>
        <a:p>
          <a:pPr lvl="0" algn="ctr" defTabSz="1111250">
            <a:lnSpc>
              <a:spcPct val="90000"/>
            </a:lnSpc>
            <a:spcBef>
              <a:spcPct val="0"/>
            </a:spcBef>
            <a:spcAft>
              <a:spcPct val="35000"/>
            </a:spcAft>
          </a:pPr>
          <a:r>
            <a:rPr lang="ro-MD" sz="2500" b="1" kern="1200">
              <a:solidFill>
                <a:sysClr val="window" lastClr="FFFFFF"/>
              </a:solidFill>
              <a:latin typeface="Calibri" panose="020F0502020204030204"/>
              <a:ea typeface="+mn-ea"/>
              <a:cs typeface="+mn-cs"/>
            </a:rPr>
            <a:t>Reforme structurale</a:t>
          </a:r>
          <a:endParaRPr lang="ru-RU" sz="2500" kern="1200">
            <a:solidFill>
              <a:sysClr val="window" lastClr="FFFFFF"/>
            </a:solidFill>
            <a:latin typeface="Calibri" panose="020F0502020204030204"/>
            <a:ea typeface="+mn-ea"/>
            <a:cs typeface="+mn-cs"/>
          </a:endParaRPr>
        </a:p>
      </dsp:txBody>
      <dsp:txXfrm>
        <a:off x="1290091" y="817270"/>
        <a:ext cx="4618432" cy="1977340"/>
      </dsp:txXfrm>
    </dsp:sp>
    <dsp:sp modelId="{45332DD2-1DEA-43B4-AD7C-BE4F4A70591A}">
      <dsp:nvSpPr>
        <dsp:cNvPr id="0" name=""/>
        <dsp:cNvSpPr/>
      </dsp:nvSpPr>
      <dsp:spPr>
        <a:xfrm>
          <a:off x="1343996" y="1489900"/>
          <a:ext cx="949604" cy="383912"/>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solidFill>
                <a:sysClr val="windowText" lastClr="000000">
                  <a:hueOff val="0"/>
                  <a:satOff val="0"/>
                  <a:lumOff val="0"/>
                  <a:alphaOff val="0"/>
                </a:sysClr>
              </a:solidFill>
              <a:latin typeface="Calibri" panose="020F0502020204030204"/>
              <a:ea typeface="+mn-ea"/>
              <a:cs typeface="+mn-cs"/>
            </a:rPr>
            <a:t>Justiția</a:t>
          </a:r>
          <a:r>
            <a:rPr lang="ro-MD" sz="1000" b="1" kern="1200">
              <a:solidFill>
                <a:sysClr val="windowText" lastClr="000000">
                  <a:hueOff val="0"/>
                  <a:satOff val="0"/>
                  <a:lumOff val="0"/>
                  <a:alphaOff val="0"/>
                </a:sysClr>
              </a:solidFill>
              <a:latin typeface="Calibri" panose="020F0502020204030204"/>
              <a:ea typeface="+mn-ea"/>
              <a:cs typeface="+mn-cs"/>
            </a:rPr>
            <a:t> </a:t>
          </a:r>
          <a:endParaRPr lang="ru-RU" sz="1000" b="1" kern="1200">
            <a:solidFill>
              <a:sysClr val="windowText" lastClr="000000">
                <a:hueOff val="0"/>
                <a:satOff val="0"/>
                <a:lumOff val="0"/>
                <a:alphaOff val="0"/>
              </a:sysClr>
            </a:solidFill>
            <a:latin typeface="Calibri" panose="020F0502020204030204"/>
            <a:ea typeface="+mn-ea"/>
            <a:cs typeface="+mn-cs"/>
          </a:endParaRPr>
        </a:p>
      </dsp:txBody>
      <dsp:txXfrm>
        <a:off x="1355803" y="1501707"/>
        <a:ext cx="925990" cy="360298"/>
      </dsp:txXfrm>
    </dsp:sp>
    <dsp:sp modelId="{8E397790-D4D7-4585-B1C0-5E3A45C5AB3D}">
      <dsp:nvSpPr>
        <dsp:cNvPr id="0" name=""/>
        <dsp:cNvSpPr/>
      </dsp:nvSpPr>
      <dsp:spPr>
        <a:xfrm>
          <a:off x="1343996" y="1902935"/>
          <a:ext cx="949604" cy="383912"/>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solidFill>
                <a:sysClr val="windowText" lastClr="000000">
                  <a:hueOff val="0"/>
                  <a:satOff val="0"/>
                  <a:lumOff val="0"/>
                  <a:alphaOff val="0"/>
                </a:sysClr>
              </a:solidFill>
              <a:latin typeface="Calibri" panose="020F0502020204030204"/>
              <a:ea typeface="+mn-ea"/>
              <a:cs typeface="+mn-cs"/>
            </a:rPr>
            <a:t>Piața muncii și securitatea socială</a:t>
          </a:r>
          <a:endParaRPr lang="ru-RU" sz="900" b="1" kern="1200">
            <a:solidFill>
              <a:sysClr val="windowText" lastClr="000000">
                <a:hueOff val="0"/>
                <a:satOff val="0"/>
                <a:lumOff val="0"/>
                <a:alphaOff val="0"/>
              </a:sysClr>
            </a:solidFill>
            <a:latin typeface="Calibri" panose="020F0502020204030204"/>
            <a:ea typeface="+mn-ea"/>
            <a:cs typeface="+mn-cs"/>
          </a:endParaRPr>
        </a:p>
      </dsp:txBody>
      <dsp:txXfrm>
        <a:off x="1355803" y="1914742"/>
        <a:ext cx="925990" cy="360298"/>
      </dsp:txXfrm>
    </dsp:sp>
    <dsp:sp modelId="{BA046785-C626-4494-B2B2-51FE9CC91523}">
      <dsp:nvSpPr>
        <dsp:cNvPr id="0" name=""/>
        <dsp:cNvSpPr/>
      </dsp:nvSpPr>
      <dsp:spPr>
        <a:xfrm>
          <a:off x="1343996" y="2315969"/>
          <a:ext cx="949604" cy="383912"/>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solidFill>
                <a:sysClr val="windowText" lastClr="000000">
                  <a:hueOff val="0"/>
                  <a:satOff val="0"/>
                  <a:lumOff val="0"/>
                  <a:alphaOff val="0"/>
                </a:sysClr>
              </a:solidFill>
              <a:latin typeface="Calibri" panose="020F0502020204030204"/>
              <a:ea typeface="+mn-ea"/>
              <a:cs typeface="+mn-cs"/>
            </a:rPr>
            <a:t>Energia și Transportul</a:t>
          </a:r>
          <a:endParaRPr lang="ru-RU" sz="900" b="1" kern="1200">
            <a:solidFill>
              <a:sysClr val="windowText" lastClr="000000">
                <a:hueOff val="0"/>
                <a:satOff val="0"/>
                <a:lumOff val="0"/>
                <a:alphaOff val="0"/>
              </a:sysClr>
            </a:solidFill>
            <a:latin typeface="Calibri" panose="020F0502020204030204"/>
            <a:ea typeface="+mn-ea"/>
            <a:cs typeface="+mn-cs"/>
          </a:endParaRPr>
        </a:p>
      </dsp:txBody>
      <dsp:txXfrm>
        <a:off x="1355803" y="2327776"/>
        <a:ext cx="925990" cy="360298"/>
      </dsp:txXfrm>
    </dsp:sp>
    <dsp:sp modelId="{35D05E58-EACF-4FB9-AB1D-8D5365E65C93}">
      <dsp:nvSpPr>
        <dsp:cNvPr id="0" name=""/>
        <dsp:cNvSpPr/>
      </dsp:nvSpPr>
      <dsp:spPr>
        <a:xfrm>
          <a:off x="2419959" y="1504950"/>
          <a:ext cx="3400196" cy="1203960"/>
        </a:xfrm>
        <a:prstGeom prst="roundRect">
          <a:avLst>
            <a:gd name="adj" fmla="val 105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679569" numCol="1" spcCol="1270" anchor="t" anchorCtr="0">
          <a:noAutofit/>
        </a:bodyPr>
        <a:lstStyle/>
        <a:p>
          <a:pPr lvl="0" algn="ctr" defTabSz="1111250">
            <a:lnSpc>
              <a:spcPct val="90000"/>
            </a:lnSpc>
            <a:spcBef>
              <a:spcPct val="0"/>
            </a:spcBef>
            <a:spcAft>
              <a:spcPct val="35000"/>
            </a:spcAft>
          </a:pPr>
          <a:r>
            <a:rPr lang="ro-MD" sz="2500" b="1" kern="1200">
              <a:solidFill>
                <a:sysClr val="window" lastClr="FFFFFF"/>
              </a:solidFill>
              <a:latin typeface="Calibri" panose="020F0502020204030204"/>
              <a:ea typeface="+mn-ea"/>
              <a:cs typeface="+mn-cs"/>
            </a:rPr>
            <a:t>Politici sectoriale</a:t>
          </a:r>
          <a:endParaRPr lang="ru-RU" sz="2500" kern="1200">
            <a:solidFill>
              <a:sysClr val="window" lastClr="FFFFFF"/>
            </a:solidFill>
            <a:latin typeface="Calibri" panose="020F0502020204030204"/>
            <a:ea typeface="+mn-ea"/>
            <a:cs typeface="+mn-cs"/>
          </a:endParaRPr>
        </a:p>
      </dsp:txBody>
      <dsp:txXfrm>
        <a:off x="2456985" y="1541976"/>
        <a:ext cx="3326144" cy="1129908"/>
      </dsp:txXfrm>
    </dsp:sp>
    <dsp:sp modelId="{E742082B-9B5F-4F32-8D51-248BB9A795F0}">
      <dsp:nvSpPr>
        <dsp:cNvPr id="0" name=""/>
        <dsp:cNvSpPr/>
      </dsp:nvSpPr>
      <dsp:spPr>
        <a:xfrm>
          <a:off x="2504964" y="2143358"/>
          <a:ext cx="998156" cy="348528"/>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1" kern="1200">
              <a:solidFill>
                <a:sysClr val="windowText" lastClr="000000">
                  <a:hueOff val="0"/>
                  <a:satOff val="0"/>
                  <a:lumOff val="0"/>
                  <a:alphaOff val="0"/>
                </a:sysClr>
              </a:solidFill>
              <a:latin typeface="Calibri" panose="020F0502020204030204"/>
              <a:ea typeface="+mn-ea"/>
              <a:cs typeface="+mn-cs"/>
            </a:rPr>
            <a:t>OG 1</a:t>
          </a:r>
          <a:endParaRPr lang="ru-RU" sz="1000" b="1" kern="1200">
            <a:solidFill>
              <a:sysClr val="windowText" lastClr="000000">
                <a:hueOff val="0"/>
                <a:satOff val="0"/>
                <a:lumOff val="0"/>
                <a:alphaOff val="0"/>
              </a:sysClr>
            </a:solidFill>
            <a:latin typeface="Calibri" panose="020F0502020204030204"/>
            <a:ea typeface="+mn-ea"/>
            <a:cs typeface="+mn-cs"/>
          </a:endParaRPr>
        </a:p>
      </dsp:txBody>
      <dsp:txXfrm>
        <a:off x="2515682" y="2154076"/>
        <a:ext cx="976720" cy="327092"/>
      </dsp:txXfrm>
    </dsp:sp>
    <dsp:sp modelId="{B550268A-E1B0-4DC3-95AF-BFB8FB31651A}">
      <dsp:nvSpPr>
        <dsp:cNvPr id="0" name=""/>
        <dsp:cNvSpPr/>
      </dsp:nvSpPr>
      <dsp:spPr>
        <a:xfrm>
          <a:off x="3584787" y="2143358"/>
          <a:ext cx="1071729" cy="348528"/>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1" kern="1200">
              <a:solidFill>
                <a:sysClr val="windowText" lastClr="000000">
                  <a:hueOff val="0"/>
                  <a:satOff val="0"/>
                  <a:lumOff val="0"/>
                  <a:alphaOff val="0"/>
                </a:sysClr>
              </a:solidFill>
              <a:latin typeface="Calibri" panose="020F0502020204030204"/>
              <a:ea typeface="+mn-ea"/>
              <a:cs typeface="+mn-cs"/>
            </a:rPr>
            <a:t>OG 2</a:t>
          </a:r>
          <a:endParaRPr lang="ru-RU" sz="1000" b="1" kern="1200">
            <a:solidFill>
              <a:sysClr val="windowText" lastClr="000000">
                <a:hueOff val="0"/>
                <a:satOff val="0"/>
                <a:lumOff val="0"/>
                <a:alphaOff val="0"/>
              </a:sysClr>
            </a:solidFill>
            <a:latin typeface="Calibri" panose="020F0502020204030204"/>
            <a:ea typeface="+mn-ea"/>
            <a:cs typeface="+mn-cs"/>
          </a:endParaRPr>
        </a:p>
      </dsp:txBody>
      <dsp:txXfrm>
        <a:off x="3595505" y="2154076"/>
        <a:ext cx="1050293" cy="327092"/>
      </dsp:txXfrm>
    </dsp:sp>
    <dsp:sp modelId="{7A6CBDAC-9B93-43CF-8E3F-A4AE87D801B2}">
      <dsp:nvSpPr>
        <dsp:cNvPr id="0" name=""/>
        <dsp:cNvSpPr/>
      </dsp:nvSpPr>
      <dsp:spPr>
        <a:xfrm>
          <a:off x="4738183" y="2143358"/>
          <a:ext cx="994855" cy="348528"/>
        </a:xfrm>
        <a:prstGeom prst="roundRect">
          <a:avLst>
            <a:gd name="adj" fmla="val 105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1" kern="1200">
              <a:solidFill>
                <a:sysClr val="windowText" lastClr="000000">
                  <a:hueOff val="0"/>
                  <a:satOff val="0"/>
                  <a:lumOff val="0"/>
                  <a:alphaOff val="0"/>
                </a:sysClr>
              </a:solidFill>
              <a:latin typeface="Calibri" panose="020F0502020204030204"/>
              <a:ea typeface="+mn-ea"/>
              <a:cs typeface="+mn-cs"/>
            </a:rPr>
            <a:t>OG 3</a:t>
          </a:r>
          <a:endParaRPr lang="ru-RU" sz="1000" b="1" kern="1200">
            <a:solidFill>
              <a:sysClr val="windowText" lastClr="000000">
                <a:hueOff val="0"/>
                <a:satOff val="0"/>
                <a:lumOff val="0"/>
                <a:alphaOff val="0"/>
              </a:sysClr>
            </a:solidFill>
            <a:latin typeface="Calibri" panose="020F0502020204030204"/>
            <a:ea typeface="+mn-ea"/>
            <a:cs typeface="+mn-cs"/>
          </a:endParaRPr>
        </a:p>
      </dsp:txBody>
      <dsp:txXfrm>
        <a:off x="4748901" y="2154076"/>
        <a:ext cx="973419" cy="3270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564EF6-19F7-4B56-B7F3-E397B2AB7327}">
      <dsp:nvSpPr>
        <dsp:cNvPr id="0" name=""/>
        <dsp:cNvSpPr/>
      </dsp:nvSpPr>
      <dsp:spPr>
        <a:xfrm rot="16200000">
          <a:off x="-182895" y="183626"/>
          <a:ext cx="2266950" cy="1899697"/>
        </a:xfrm>
        <a:prstGeom prst="flowChartManualOperation">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just" defTabSz="622300">
            <a:lnSpc>
              <a:spcPct val="90000"/>
            </a:lnSpc>
            <a:spcBef>
              <a:spcPct val="0"/>
            </a:spcBef>
            <a:spcAft>
              <a:spcPct val="35000"/>
            </a:spcAft>
          </a:pPr>
          <a:r>
            <a:rPr lang="ro-MD" sz="1400" b="1" kern="1200">
              <a:solidFill>
                <a:sysClr val="window" lastClr="FFFFFF"/>
              </a:solidFill>
              <a:latin typeface="Calibri" panose="020F0502020204030204"/>
              <a:ea typeface="+mn-ea"/>
              <a:cs typeface="+mn-cs"/>
            </a:rPr>
            <a:t>Atragerea Companiilor Multinaționale - </a:t>
          </a:r>
          <a:r>
            <a:rPr lang="ro-MD" sz="1400" b="0" kern="1200">
              <a:solidFill>
                <a:sysClr val="window" lastClr="FFFFFF"/>
              </a:solidFill>
              <a:latin typeface="Calibri" panose="020F0502020204030204"/>
              <a:ea typeface="+mn-ea"/>
              <a:cs typeface="+mn-cs"/>
            </a:rPr>
            <a:t>întreprinderi industriale cu ctivități superioare în lanțul valoric global      </a:t>
          </a:r>
          <a:endParaRPr lang="en-US" sz="1400" b="0" kern="1200">
            <a:solidFill>
              <a:sysClr val="window" lastClr="FFFFFF"/>
            </a:solidFill>
            <a:latin typeface="Calibri" panose="020F0502020204030204"/>
            <a:ea typeface="+mn-ea"/>
            <a:cs typeface="+mn-cs"/>
          </a:endParaRPr>
        </a:p>
      </dsp:txBody>
      <dsp:txXfrm rot="5400000">
        <a:off x="732" y="453389"/>
        <a:ext cx="1899697" cy="1360170"/>
      </dsp:txXfrm>
    </dsp:sp>
    <dsp:sp modelId="{89F0E0F2-D2AB-47AD-8E8F-FBEFF9007FA8}">
      <dsp:nvSpPr>
        <dsp:cNvPr id="0" name=""/>
        <dsp:cNvSpPr/>
      </dsp:nvSpPr>
      <dsp:spPr>
        <a:xfrm rot="16200000">
          <a:off x="1859279" y="183626"/>
          <a:ext cx="2266950" cy="1899697"/>
        </a:xfrm>
        <a:prstGeom prst="flowChartManualOperation">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just" defTabSz="622300">
            <a:lnSpc>
              <a:spcPct val="90000"/>
            </a:lnSpc>
            <a:spcBef>
              <a:spcPct val="0"/>
            </a:spcBef>
            <a:spcAft>
              <a:spcPct val="35000"/>
            </a:spcAft>
          </a:pPr>
          <a:r>
            <a:rPr lang="ro-MD" sz="1400" b="1" kern="1200">
              <a:solidFill>
                <a:sysClr val="window" lastClr="FFFFFF"/>
              </a:solidFill>
              <a:latin typeface="Calibri" panose="020F0502020204030204"/>
              <a:ea typeface="+mn-ea"/>
              <a:cs typeface="+mn-cs"/>
            </a:rPr>
            <a:t>Dezvoltarea campionilor naționali - </a:t>
          </a:r>
          <a:r>
            <a:rPr lang="ro-MD" sz="1400" b="0" kern="1200">
              <a:solidFill>
                <a:sysClr val="window" lastClr="FFFFFF"/>
              </a:solidFill>
              <a:latin typeface="Calibri" panose="020F0502020204030204"/>
              <a:ea typeface="+mn-ea"/>
              <a:cs typeface="+mn-cs"/>
            </a:rPr>
            <a:t>întreprinderi industriale inovatoare cu potențial de creștere rapidă și export</a:t>
          </a:r>
          <a:endParaRPr lang="en-US" sz="1400" b="0" kern="1200">
            <a:solidFill>
              <a:sysClr val="window" lastClr="FFFFFF"/>
            </a:solidFill>
            <a:latin typeface="Calibri" panose="020F0502020204030204"/>
            <a:ea typeface="+mn-ea"/>
            <a:cs typeface="+mn-cs"/>
          </a:endParaRPr>
        </a:p>
      </dsp:txBody>
      <dsp:txXfrm rot="5400000">
        <a:off x="2042906" y="453389"/>
        <a:ext cx="1899697" cy="1360170"/>
      </dsp:txXfrm>
    </dsp:sp>
    <dsp:sp modelId="{0B1834E2-E8BB-4220-A6A4-559C8E0D63B1}">
      <dsp:nvSpPr>
        <dsp:cNvPr id="0" name=""/>
        <dsp:cNvSpPr/>
      </dsp:nvSpPr>
      <dsp:spPr>
        <a:xfrm rot="16200000">
          <a:off x="3901455" y="183626"/>
          <a:ext cx="2266950" cy="1899697"/>
        </a:xfrm>
        <a:prstGeom prst="flowChartManualOperation">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ctr" anchorCtr="0">
          <a:noAutofit/>
        </a:bodyPr>
        <a:lstStyle/>
        <a:p>
          <a:pPr lvl="0" algn="just" defTabSz="622300">
            <a:lnSpc>
              <a:spcPct val="90000"/>
            </a:lnSpc>
            <a:spcBef>
              <a:spcPct val="0"/>
            </a:spcBef>
            <a:spcAft>
              <a:spcPct val="35000"/>
            </a:spcAft>
          </a:pPr>
          <a:r>
            <a:rPr lang="ro-MD" sz="1400" b="1" kern="1200">
              <a:solidFill>
                <a:sysClr val="window" lastClr="FFFFFF"/>
              </a:solidFill>
              <a:latin typeface="Calibri" panose="020F0502020204030204"/>
              <a:ea typeface="+mn-ea"/>
              <a:cs typeface="+mn-cs"/>
            </a:rPr>
            <a:t>Dezvoltarea producției locale - </a:t>
          </a:r>
          <a:r>
            <a:rPr lang="ro-MD" sz="1400" b="0" kern="1200">
              <a:solidFill>
                <a:sysClr val="window" lastClr="FFFFFF"/>
              </a:solidFill>
              <a:latin typeface="Calibri" panose="020F0502020204030204"/>
              <a:ea typeface="+mn-ea"/>
              <a:cs typeface="+mn-cs"/>
            </a:rPr>
            <a:t>întreprinderi industriale la nivel local/scară mică </a:t>
          </a:r>
          <a:endParaRPr lang="en-US" sz="1400" b="0" kern="1200">
            <a:solidFill>
              <a:sysClr val="window" lastClr="FFFFFF"/>
            </a:solidFill>
            <a:latin typeface="Calibri" panose="020F0502020204030204"/>
            <a:ea typeface="+mn-ea"/>
            <a:cs typeface="+mn-cs"/>
          </a:endParaRPr>
        </a:p>
      </dsp:txBody>
      <dsp:txXfrm rot="5400000">
        <a:off x="4085082" y="453389"/>
        <a:ext cx="1899697" cy="13601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881F1-9E0C-4C55-83E4-34D9E2C34845}">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FB22AD-5A33-4708-9573-81102A419E57}">
      <dsp:nvSpPr>
        <dsp:cNvPr id="0" name=""/>
        <dsp:cNvSpPr/>
      </dsp:nvSpPr>
      <dsp:spPr>
        <a:xfrm>
          <a:off x="260250" y="168533"/>
          <a:ext cx="5817062" cy="336938"/>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7445" tIns="43180" rIns="43180" bIns="43180" numCol="1" spcCol="1270" anchor="ctr" anchorCtr="0">
          <a:noAutofit/>
        </a:bodyPr>
        <a:lstStyle/>
        <a:p>
          <a:pPr lvl="0" algn="l" defTabSz="755650">
            <a:lnSpc>
              <a:spcPct val="90000"/>
            </a:lnSpc>
            <a:spcBef>
              <a:spcPct val="0"/>
            </a:spcBef>
            <a:spcAft>
              <a:spcPct val="35000"/>
            </a:spcAft>
          </a:pPr>
          <a:r>
            <a:rPr lang="ro-MD" sz="1700" kern="1200">
              <a:solidFill>
                <a:sysClr val="window" lastClr="FFFFFF"/>
              </a:solidFill>
              <a:latin typeface="Calibri" panose="020F0502020204030204"/>
              <a:ea typeface="+mn-ea"/>
              <a:cs typeface="+mn-cs"/>
            </a:rPr>
            <a:t>Industria </a:t>
          </a:r>
          <a:r>
            <a:rPr lang="ro-MD" sz="1700" b="1" kern="1200">
              <a:solidFill>
                <a:sysClr val="window" lastClr="FFFFFF"/>
              </a:solidFill>
              <a:latin typeface="Calibri" panose="020F0502020204030204"/>
              <a:ea typeface="+mn-ea"/>
              <a:cs typeface="+mn-cs"/>
            </a:rPr>
            <a:t>electronică</a:t>
          </a:r>
          <a:r>
            <a:rPr lang="ro-MD" sz="1700" kern="1200">
              <a:solidFill>
                <a:sysClr val="window" lastClr="FFFFFF"/>
              </a:solidFill>
              <a:latin typeface="Calibri" panose="020F0502020204030204"/>
              <a:ea typeface="+mn-ea"/>
              <a:cs typeface="+mn-cs"/>
            </a:rPr>
            <a:t> </a:t>
          </a:r>
          <a:endParaRPr lang="ru-RU" sz="1700" kern="1200">
            <a:solidFill>
              <a:sysClr val="window" lastClr="FFFFFF"/>
            </a:solidFill>
            <a:latin typeface="Calibri" panose="020F0502020204030204"/>
            <a:ea typeface="+mn-ea"/>
            <a:cs typeface="+mn-cs"/>
          </a:endParaRPr>
        </a:p>
      </dsp:txBody>
      <dsp:txXfrm>
        <a:off x="260250" y="168533"/>
        <a:ext cx="5817062" cy="336938"/>
      </dsp:txXfrm>
    </dsp:sp>
    <dsp:sp modelId="{8F6DD80F-6A48-4713-8710-DC8A0407554B}">
      <dsp:nvSpPr>
        <dsp:cNvPr id="0" name=""/>
        <dsp:cNvSpPr/>
      </dsp:nvSpPr>
      <dsp:spPr>
        <a:xfrm>
          <a:off x="49664" y="126415"/>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7F33F612-75C8-4CA2-960C-CE99FA16A7B4}">
      <dsp:nvSpPr>
        <dsp:cNvPr id="0" name=""/>
        <dsp:cNvSpPr/>
      </dsp:nvSpPr>
      <dsp:spPr>
        <a:xfrm>
          <a:off x="537405" y="673876"/>
          <a:ext cx="5539907" cy="336938"/>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7445" tIns="43180" rIns="43180" bIns="43180" numCol="1" spcCol="1270" anchor="ctr" anchorCtr="0">
          <a:noAutofit/>
        </a:bodyPr>
        <a:lstStyle/>
        <a:p>
          <a:pPr lvl="0" algn="l" defTabSz="755650">
            <a:lnSpc>
              <a:spcPct val="90000"/>
            </a:lnSpc>
            <a:spcBef>
              <a:spcPct val="0"/>
            </a:spcBef>
            <a:spcAft>
              <a:spcPct val="35000"/>
            </a:spcAft>
          </a:pPr>
          <a:r>
            <a:rPr lang="ro-MD" sz="1700" kern="1200">
              <a:solidFill>
                <a:sysClr val="window" lastClr="FFFFFF"/>
              </a:solidFill>
              <a:latin typeface="Calibri" panose="020F0502020204030204"/>
              <a:ea typeface="+mn-ea"/>
              <a:cs typeface="+mn-cs"/>
            </a:rPr>
            <a:t>Industria </a:t>
          </a:r>
          <a:r>
            <a:rPr lang="ro-MD" sz="1700" b="1" kern="1200">
              <a:solidFill>
                <a:sysClr val="window" lastClr="FFFFFF"/>
              </a:solidFill>
              <a:latin typeface="Calibri" panose="020F0502020204030204"/>
              <a:ea typeface="+mn-ea"/>
              <a:cs typeface="+mn-cs"/>
            </a:rPr>
            <a:t>chimică și farmaceutică</a:t>
          </a:r>
          <a:endParaRPr lang="ru-RU" sz="1700" b="1" kern="1200">
            <a:solidFill>
              <a:sysClr val="window" lastClr="FFFFFF"/>
            </a:solidFill>
            <a:latin typeface="Calibri" panose="020F0502020204030204"/>
            <a:ea typeface="+mn-ea"/>
            <a:cs typeface="+mn-cs"/>
          </a:endParaRPr>
        </a:p>
      </dsp:txBody>
      <dsp:txXfrm>
        <a:off x="537405" y="673876"/>
        <a:ext cx="5539907" cy="336938"/>
      </dsp:txXfrm>
    </dsp:sp>
    <dsp:sp modelId="{9B77877C-9296-4BE1-B182-8EAC224DA3D6}">
      <dsp:nvSpPr>
        <dsp:cNvPr id="0" name=""/>
        <dsp:cNvSpPr/>
      </dsp:nvSpPr>
      <dsp:spPr>
        <a:xfrm>
          <a:off x="326819" y="631758"/>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E0AB56BB-35AE-4E58-9C1F-CEF0F3671744}">
      <dsp:nvSpPr>
        <dsp:cNvPr id="0" name=""/>
        <dsp:cNvSpPr/>
      </dsp:nvSpPr>
      <dsp:spPr>
        <a:xfrm>
          <a:off x="664141" y="1179219"/>
          <a:ext cx="5413171" cy="336938"/>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7445" tIns="43180" rIns="43180" bIns="43180" numCol="1" spcCol="1270" anchor="ctr" anchorCtr="0">
          <a:noAutofit/>
        </a:bodyPr>
        <a:lstStyle/>
        <a:p>
          <a:pPr lvl="0" algn="l" defTabSz="755650">
            <a:lnSpc>
              <a:spcPct val="90000"/>
            </a:lnSpc>
            <a:spcBef>
              <a:spcPct val="0"/>
            </a:spcBef>
            <a:spcAft>
              <a:spcPct val="35000"/>
            </a:spcAft>
          </a:pPr>
          <a:r>
            <a:rPr lang="ro-MD" sz="1700" kern="1200">
              <a:solidFill>
                <a:sysClr val="window" lastClr="FFFFFF"/>
              </a:solidFill>
              <a:latin typeface="Calibri" panose="020F0502020204030204"/>
              <a:ea typeface="+mn-ea"/>
              <a:cs typeface="+mn-cs"/>
            </a:rPr>
            <a:t>Industria </a:t>
          </a:r>
          <a:r>
            <a:rPr lang="ro-MD" sz="1700" b="1" kern="1200">
              <a:solidFill>
                <a:sysClr val="window" lastClr="FFFFFF"/>
              </a:solidFill>
              <a:latin typeface="Calibri" panose="020F0502020204030204"/>
              <a:ea typeface="+mn-ea"/>
              <a:cs typeface="+mn-cs"/>
            </a:rPr>
            <a:t>constructoare de mașini și componente auto</a:t>
          </a:r>
          <a:endParaRPr lang="ru-RU" sz="1700" b="1" kern="1200">
            <a:solidFill>
              <a:sysClr val="window" lastClr="FFFFFF"/>
            </a:solidFill>
            <a:latin typeface="Calibri" panose="020F0502020204030204"/>
            <a:ea typeface="+mn-ea"/>
            <a:cs typeface="+mn-cs"/>
          </a:endParaRPr>
        </a:p>
      </dsp:txBody>
      <dsp:txXfrm>
        <a:off x="664141" y="1179219"/>
        <a:ext cx="5413171" cy="336938"/>
      </dsp:txXfrm>
    </dsp:sp>
    <dsp:sp modelId="{55E87EFC-7230-40AB-9014-BAFABAB65797}">
      <dsp:nvSpPr>
        <dsp:cNvPr id="0" name=""/>
        <dsp:cNvSpPr/>
      </dsp:nvSpPr>
      <dsp:spPr>
        <a:xfrm>
          <a:off x="453554" y="1137102"/>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41026793-1A0A-4D3A-B75E-55D6A3973F58}">
      <dsp:nvSpPr>
        <dsp:cNvPr id="0" name=""/>
        <dsp:cNvSpPr/>
      </dsp:nvSpPr>
      <dsp:spPr>
        <a:xfrm>
          <a:off x="664141" y="1684242"/>
          <a:ext cx="5413171" cy="336938"/>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7445" tIns="43180" rIns="43180" bIns="43180" numCol="1" spcCol="1270" anchor="ctr" anchorCtr="0">
          <a:noAutofit/>
        </a:bodyPr>
        <a:lstStyle/>
        <a:p>
          <a:pPr lvl="0" algn="l" defTabSz="755650">
            <a:lnSpc>
              <a:spcPct val="90000"/>
            </a:lnSpc>
            <a:spcBef>
              <a:spcPct val="0"/>
            </a:spcBef>
            <a:spcAft>
              <a:spcPct val="35000"/>
            </a:spcAft>
          </a:pPr>
          <a:r>
            <a:rPr lang="ro-MD" sz="1700" kern="1200">
              <a:solidFill>
                <a:sysClr val="window" lastClr="FFFFFF"/>
              </a:solidFill>
              <a:latin typeface="Calibri" panose="020F0502020204030204"/>
              <a:ea typeface="+mn-ea"/>
              <a:cs typeface="+mn-cs"/>
            </a:rPr>
            <a:t>Industria </a:t>
          </a:r>
          <a:r>
            <a:rPr lang="ro-MD" sz="1700" b="1" kern="1200">
              <a:solidFill>
                <a:sysClr val="window" lastClr="FFFFFF"/>
              </a:solidFill>
              <a:latin typeface="Calibri" panose="020F0502020204030204"/>
              <a:ea typeface="+mn-ea"/>
              <a:cs typeface="+mn-cs"/>
            </a:rPr>
            <a:t>textilă și de îmbrăcăminte</a:t>
          </a:r>
          <a:endParaRPr lang="ru-RU" sz="1700" b="1" kern="1200">
            <a:solidFill>
              <a:sysClr val="window" lastClr="FFFFFF"/>
            </a:solidFill>
            <a:latin typeface="Calibri" panose="020F0502020204030204"/>
            <a:ea typeface="+mn-ea"/>
            <a:cs typeface="+mn-cs"/>
          </a:endParaRPr>
        </a:p>
      </dsp:txBody>
      <dsp:txXfrm>
        <a:off x="664141" y="1684242"/>
        <a:ext cx="5413171" cy="336938"/>
      </dsp:txXfrm>
    </dsp:sp>
    <dsp:sp modelId="{CE875BFA-894C-42F5-8639-31F948521D9E}">
      <dsp:nvSpPr>
        <dsp:cNvPr id="0" name=""/>
        <dsp:cNvSpPr/>
      </dsp:nvSpPr>
      <dsp:spPr>
        <a:xfrm>
          <a:off x="453554" y="1642125"/>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809BEB8C-A8A9-45FD-A0A7-FCA015FC4196}">
      <dsp:nvSpPr>
        <dsp:cNvPr id="0" name=""/>
        <dsp:cNvSpPr/>
      </dsp:nvSpPr>
      <dsp:spPr>
        <a:xfrm>
          <a:off x="537405" y="2189585"/>
          <a:ext cx="5539907" cy="336938"/>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7445" tIns="43180" rIns="43180" bIns="43180" numCol="1" spcCol="1270" anchor="ctr" anchorCtr="0">
          <a:noAutofit/>
        </a:bodyPr>
        <a:lstStyle/>
        <a:p>
          <a:pPr lvl="0" algn="l" defTabSz="755650">
            <a:lnSpc>
              <a:spcPct val="90000"/>
            </a:lnSpc>
            <a:spcBef>
              <a:spcPct val="0"/>
            </a:spcBef>
            <a:spcAft>
              <a:spcPct val="35000"/>
            </a:spcAft>
          </a:pPr>
          <a:r>
            <a:rPr lang="ro-MD" sz="1700" kern="1200">
              <a:solidFill>
                <a:sysClr val="window" lastClr="FFFFFF"/>
              </a:solidFill>
              <a:latin typeface="Calibri" panose="020F0502020204030204"/>
              <a:ea typeface="+mn-ea"/>
              <a:cs typeface="+mn-cs"/>
            </a:rPr>
            <a:t>Industria </a:t>
          </a:r>
          <a:r>
            <a:rPr lang="ro-MD" sz="1700" b="1" kern="1200">
              <a:solidFill>
                <a:sysClr val="window" lastClr="FFFFFF"/>
              </a:solidFill>
              <a:latin typeface="Calibri" panose="020F0502020204030204"/>
              <a:ea typeface="+mn-ea"/>
              <a:cs typeface="+mn-cs"/>
            </a:rPr>
            <a:t>materialelor de construcție</a:t>
          </a:r>
          <a:endParaRPr lang="ru-RU" sz="1700" b="1" kern="1200">
            <a:solidFill>
              <a:sysClr val="window" lastClr="FFFFFF"/>
            </a:solidFill>
            <a:latin typeface="Calibri" panose="020F0502020204030204"/>
            <a:ea typeface="+mn-ea"/>
            <a:cs typeface="+mn-cs"/>
          </a:endParaRPr>
        </a:p>
      </dsp:txBody>
      <dsp:txXfrm>
        <a:off x="537405" y="2189585"/>
        <a:ext cx="5539907" cy="336938"/>
      </dsp:txXfrm>
    </dsp:sp>
    <dsp:sp modelId="{4BD9879B-1B95-44C5-A91B-3E630D841F19}">
      <dsp:nvSpPr>
        <dsp:cNvPr id="0" name=""/>
        <dsp:cNvSpPr/>
      </dsp:nvSpPr>
      <dsp:spPr>
        <a:xfrm>
          <a:off x="326819" y="2147468"/>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807BE6B6-8F7D-4126-981E-0BB9A18F3D43}">
      <dsp:nvSpPr>
        <dsp:cNvPr id="0" name=""/>
        <dsp:cNvSpPr/>
      </dsp:nvSpPr>
      <dsp:spPr>
        <a:xfrm>
          <a:off x="260250" y="2694928"/>
          <a:ext cx="5817062" cy="336938"/>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7445" tIns="43180" rIns="43180" bIns="43180" numCol="1" spcCol="1270" anchor="ctr" anchorCtr="0">
          <a:noAutofit/>
        </a:bodyPr>
        <a:lstStyle/>
        <a:p>
          <a:pPr lvl="0" algn="l" defTabSz="755650">
            <a:lnSpc>
              <a:spcPct val="90000"/>
            </a:lnSpc>
            <a:spcBef>
              <a:spcPct val="0"/>
            </a:spcBef>
            <a:spcAft>
              <a:spcPct val="35000"/>
            </a:spcAft>
          </a:pPr>
          <a:r>
            <a:rPr lang="ro-MD" sz="1700" kern="1200">
              <a:solidFill>
                <a:sysClr val="window" lastClr="FFFFFF"/>
              </a:solidFill>
              <a:latin typeface="Calibri" panose="020F0502020204030204"/>
              <a:ea typeface="+mn-ea"/>
              <a:cs typeface="+mn-cs"/>
            </a:rPr>
            <a:t>Industria </a:t>
          </a:r>
          <a:r>
            <a:rPr lang="ro-MD" sz="1700" b="1" kern="1200">
              <a:solidFill>
                <a:sysClr val="window" lastClr="FFFFFF"/>
              </a:solidFill>
              <a:latin typeface="Calibri" panose="020F0502020204030204"/>
              <a:ea typeface="+mn-ea"/>
              <a:cs typeface="+mn-cs"/>
            </a:rPr>
            <a:t>alimentară</a:t>
          </a:r>
          <a:endParaRPr lang="ru-RU" sz="1700" b="1" kern="1200">
            <a:solidFill>
              <a:sysClr val="window" lastClr="FFFFFF"/>
            </a:solidFill>
            <a:latin typeface="Calibri" panose="020F0502020204030204"/>
            <a:ea typeface="+mn-ea"/>
            <a:cs typeface="+mn-cs"/>
          </a:endParaRPr>
        </a:p>
      </dsp:txBody>
      <dsp:txXfrm>
        <a:off x="260250" y="2694928"/>
        <a:ext cx="5817062" cy="336938"/>
      </dsp:txXfrm>
    </dsp:sp>
    <dsp:sp modelId="{B14823F8-2FCA-460B-9C4F-755CD902D3D4}">
      <dsp:nvSpPr>
        <dsp:cNvPr id="0" name=""/>
        <dsp:cNvSpPr/>
      </dsp:nvSpPr>
      <dsp:spPr>
        <a:xfrm>
          <a:off x="49664" y="2652811"/>
          <a:ext cx="421172" cy="421172"/>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3C47-2BED-4C04-B5AA-AD07B260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59</Pages>
  <Words>17594</Words>
  <Characters>100291</Characters>
  <Application>Microsoft Office Word</Application>
  <DocSecurity>0</DocSecurity>
  <Lines>835</Lines>
  <Paragraphs>235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117650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Lupașcu</dc:creator>
  <cp:keywords/>
  <dc:description/>
  <cp:lastModifiedBy>Lilia</cp:lastModifiedBy>
  <cp:revision>6</cp:revision>
  <cp:lastPrinted>2023-06-14T05:07:00Z</cp:lastPrinted>
  <dcterms:created xsi:type="dcterms:W3CDTF">2024-01-26T13:36:00Z</dcterms:created>
  <dcterms:modified xsi:type="dcterms:W3CDTF">2024-01-26T13:51:00Z</dcterms:modified>
</cp:coreProperties>
</file>