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63" w:rsidRPr="00E25FDC" w:rsidRDefault="007B7A63" w:rsidP="007B7A63">
      <w:pPr>
        <w:jc w:val="center"/>
        <w:rPr>
          <w:b/>
          <w:sz w:val="26"/>
          <w:szCs w:val="26"/>
        </w:rPr>
      </w:pPr>
      <w:r w:rsidRPr="00E25FDC">
        <w:rPr>
          <w:b/>
          <w:sz w:val="26"/>
          <w:szCs w:val="26"/>
        </w:rPr>
        <w:t>Notă informativă</w:t>
      </w:r>
    </w:p>
    <w:p w:rsidR="00E25FDC" w:rsidRPr="00E25FDC" w:rsidRDefault="004C796B" w:rsidP="00E25FDC">
      <w:pPr>
        <w:ind w:firstLine="567"/>
        <w:jc w:val="center"/>
        <w:rPr>
          <w:b/>
          <w:sz w:val="28"/>
          <w:szCs w:val="28"/>
        </w:rPr>
      </w:pPr>
      <w:r>
        <w:rPr>
          <w:b/>
          <w:sz w:val="28"/>
          <w:szCs w:val="28"/>
        </w:rPr>
        <w:t xml:space="preserve">la proiectul hotărârii Guvernului </w:t>
      </w:r>
      <w:r w:rsidR="00E25FDC" w:rsidRPr="00E25FDC">
        <w:rPr>
          <w:b/>
          <w:sz w:val="28"/>
          <w:szCs w:val="28"/>
        </w:rPr>
        <w:t xml:space="preserve">cu privire la aprobarea Programului național de </w:t>
      </w:r>
      <w:r>
        <w:rPr>
          <w:b/>
          <w:sz w:val="28"/>
          <w:szCs w:val="28"/>
        </w:rPr>
        <w:t xml:space="preserve">dezvoltare </w:t>
      </w:r>
      <w:r w:rsidR="00E25FDC" w:rsidRPr="00E25FDC">
        <w:rPr>
          <w:b/>
          <w:sz w:val="28"/>
          <w:szCs w:val="28"/>
        </w:rPr>
        <w:t>industrial</w:t>
      </w:r>
      <w:r>
        <w:rPr>
          <w:b/>
          <w:sz w:val="28"/>
          <w:szCs w:val="28"/>
        </w:rPr>
        <w:t>ă</w:t>
      </w:r>
      <w:r w:rsidR="00E25FDC" w:rsidRPr="00E25FDC">
        <w:rPr>
          <w:b/>
          <w:sz w:val="28"/>
          <w:szCs w:val="28"/>
        </w:rPr>
        <w:t xml:space="preserve"> </w:t>
      </w:r>
      <w:r>
        <w:rPr>
          <w:b/>
          <w:sz w:val="28"/>
          <w:szCs w:val="28"/>
        </w:rPr>
        <w:t>pentru anii 2024 - 202</w:t>
      </w:r>
      <w:r w:rsidR="00CC500D">
        <w:rPr>
          <w:b/>
          <w:sz w:val="28"/>
          <w:szCs w:val="28"/>
        </w:rPr>
        <w:t>8</w:t>
      </w:r>
    </w:p>
    <w:p w:rsidR="007B7A63" w:rsidRPr="00EA5308" w:rsidRDefault="007B7A63" w:rsidP="00D634D7">
      <w:pPr>
        <w:jc w:val="center"/>
        <w:rPr>
          <w:b/>
          <w:bCs/>
          <w:sz w:val="26"/>
          <w:szCs w:val="26"/>
        </w:rPr>
      </w:pPr>
    </w:p>
    <w:tbl>
      <w:tblPr>
        <w:tblStyle w:val="a8"/>
        <w:tblW w:w="10051" w:type="dxa"/>
        <w:tblInd w:w="37" w:type="dxa"/>
        <w:tblLook w:val="04A0" w:firstRow="1" w:lastRow="0" w:firstColumn="1" w:lastColumn="0" w:noHBand="0" w:noVBand="1"/>
      </w:tblPr>
      <w:tblGrid>
        <w:gridCol w:w="541"/>
        <w:gridCol w:w="9510"/>
      </w:tblGrid>
      <w:tr w:rsidR="00DB516A" w:rsidRPr="00051F41" w:rsidTr="00EA5308">
        <w:trPr>
          <w:trHeight w:val="535"/>
        </w:trPr>
        <w:tc>
          <w:tcPr>
            <w:tcW w:w="541" w:type="dxa"/>
            <w:shd w:val="clear" w:color="auto" w:fill="BFBFBF" w:themeFill="background1" w:themeFillShade="BF"/>
          </w:tcPr>
          <w:p w:rsidR="00DB516A" w:rsidRPr="00051F41" w:rsidRDefault="00DB516A" w:rsidP="004E3D1A">
            <w:pPr>
              <w:spacing w:line="276" w:lineRule="auto"/>
              <w:jc w:val="both"/>
              <w:rPr>
                <w:b/>
                <w:sz w:val="24"/>
                <w:szCs w:val="24"/>
              </w:rPr>
            </w:pPr>
            <w:r w:rsidRPr="00051F41">
              <w:rPr>
                <w:b/>
                <w:sz w:val="24"/>
                <w:szCs w:val="24"/>
              </w:rPr>
              <w:t>1.</w:t>
            </w:r>
          </w:p>
        </w:tc>
        <w:tc>
          <w:tcPr>
            <w:tcW w:w="9510" w:type="dxa"/>
            <w:shd w:val="clear" w:color="auto" w:fill="BFBFBF" w:themeFill="background1" w:themeFillShade="BF"/>
          </w:tcPr>
          <w:p w:rsidR="00DB516A" w:rsidRPr="00051F41" w:rsidRDefault="00DB516A" w:rsidP="004E3D1A">
            <w:pPr>
              <w:spacing w:line="276" w:lineRule="auto"/>
              <w:jc w:val="both"/>
              <w:rPr>
                <w:b/>
                <w:sz w:val="24"/>
                <w:szCs w:val="24"/>
              </w:rPr>
            </w:pPr>
            <w:r w:rsidRPr="00051F41">
              <w:rPr>
                <w:b/>
                <w:sz w:val="24"/>
                <w:szCs w:val="24"/>
              </w:rPr>
              <w:t xml:space="preserve">Denumirea autorului </w:t>
            </w:r>
            <w:proofErr w:type="spellStart"/>
            <w:r w:rsidRPr="00051F41">
              <w:rPr>
                <w:b/>
                <w:sz w:val="24"/>
                <w:szCs w:val="24"/>
              </w:rPr>
              <w:t>şi</w:t>
            </w:r>
            <w:proofErr w:type="spellEnd"/>
            <w:r w:rsidRPr="00051F41">
              <w:rPr>
                <w:b/>
                <w:sz w:val="24"/>
                <w:szCs w:val="24"/>
              </w:rPr>
              <w:t xml:space="preserve">, după caz, a </w:t>
            </w:r>
            <w:r w:rsidR="00EA5308" w:rsidRPr="00051F41">
              <w:rPr>
                <w:b/>
                <w:sz w:val="24"/>
                <w:szCs w:val="24"/>
              </w:rPr>
              <w:t>participanților</w:t>
            </w:r>
            <w:r w:rsidRPr="00051F41">
              <w:rPr>
                <w:b/>
                <w:sz w:val="24"/>
                <w:szCs w:val="24"/>
              </w:rPr>
              <w:t xml:space="preserve"> la elaborarea proiectului</w:t>
            </w:r>
          </w:p>
        </w:tc>
      </w:tr>
      <w:tr w:rsidR="00DB516A" w:rsidRPr="00051F41" w:rsidTr="00EA5308">
        <w:trPr>
          <w:trHeight w:val="535"/>
        </w:trPr>
        <w:tc>
          <w:tcPr>
            <w:tcW w:w="541" w:type="dxa"/>
            <w:shd w:val="clear" w:color="auto" w:fill="FFFFFF" w:themeFill="background1"/>
          </w:tcPr>
          <w:p w:rsidR="00DB516A" w:rsidRPr="00051F41" w:rsidRDefault="00DB516A" w:rsidP="004E3D1A">
            <w:pPr>
              <w:spacing w:line="276" w:lineRule="auto"/>
              <w:jc w:val="both"/>
              <w:rPr>
                <w:sz w:val="24"/>
                <w:szCs w:val="24"/>
              </w:rPr>
            </w:pPr>
          </w:p>
        </w:tc>
        <w:tc>
          <w:tcPr>
            <w:tcW w:w="9510" w:type="dxa"/>
            <w:shd w:val="clear" w:color="auto" w:fill="FFFFFF" w:themeFill="background1"/>
          </w:tcPr>
          <w:p w:rsidR="00DB516A" w:rsidRPr="00051F41" w:rsidRDefault="00DB516A" w:rsidP="004C796B">
            <w:pPr>
              <w:spacing w:line="276" w:lineRule="auto"/>
              <w:jc w:val="both"/>
              <w:rPr>
                <w:sz w:val="24"/>
                <w:szCs w:val="24"/>
              </w:rPr>
            </w:pPr>
            <w:r w:rsidRPr="00051F41">
              <w:rPr>
                <w:sz w:val="24"/>
                <w:szCs w:val="24"/>
              </w:rPr>
              <w:t xml:space="preserve">Proiectul </w:t>
            </w:r>
            <w:r w:rsidR="004C796B">
              <w:rPr>
                <w:sz w:val="24"/>
                <w:szCs w:val="24"/>
              </w:rPr>
              <w:t>este</w:t>
            </w:r>
            <w:r w:rsidRPr="00051F41">
              <w:rPr>
                <w:sz w:val="24"/>
                <w:szCs w:val="24"/>
              </w:rPr>
              <w:t xml:space="preserve"> elaborat de</w:t>
            </w:r>
            <w:r w:rsidR="00AF1B61" w:rsidRPr="00051F41">
              <w:rPr>
                <w:sz w:val="24"/>
                <w:szCs w:val="24"/>
              </w:rPr>
              <w:t xml:space="preserve"> către </w:t>
            </w:r>
            <w:r w:rsidRPr="00051F41">
              <w:rPr>
                <w:sz w:val="24"/>
                <w:szCs w:val="24"/>
              </w:rPr>
              <w:t>Ministerul</w:t>
            </w:r>
            <w:r w:rsidR="004C796B">
              <w:rPr>
                <w:sz w:val="24"/>
                <w:szCs w:val="24"/>
              </w:rPr>
              <w:t xml:space="preserve"> Dezvoltării </w:t>
            </w:r>
            <w:r w:rsidRPr="00051F41">
              <w:rPr>
                <w:sz w:val="24"/>
                <w:szCs w:val="24"/>
              </w:rPr>
              <w:t>Economi</w:t>
            </w:r>
            <w:r w:rsidR="004C796B">
              <w:rPr>
                <w:sz w:val="24"/>
                <w:szCs w:val="24"/>
              </w:rPr>
              <w:t>c</w:t>
            </w:r>
            <w:r w:rsidRPr="00051F41">
              <w:rPr>
                <w:sz w:val="24"/>
                <w:szCs w:val="24"/>
              </w:rPr>
              <w:t xml:space="preserve">e și </w:t>
            </w:r>
            <w:r w:rsidR="004C796B">
              <w:rPr>
                <w:sz w:val="24"/>
                <w:szCs w:val="24"/>
              </w:rPr>
              <w:t>Digita</w:t>
            </w:r>
            <w:r w:rsidR="0080515D">
              <w:rPr>
                <w:sz w:val="24"/>
                <w:szCs w:val="24"/>
              </w:rPr>
              <w:t>l</w:t>
            </w:r>
            <w:r w:rsidR="004C796B">
              <w:rPr>
                <w:sz w:val="24"/>
                <w:szCs w:val="24"/>
              </w:rPr>
              <w:t>izării</w:t>
            </w:r>
            <w:r w:rsidR="00E25FDC" w:rsidRPr="00051F41">
              <w:rPr>
                <w:sz w:val="24"/>
                <w:szCs w:val="24"/>
              </w:rPr>
              <w:t xml:space="preserve"> </w:t>
            </w:r>
          </w:p>
        </w:tc>
      </w:tr>
      <w:tr w:rsidR="00DB516A" w:rsidRPr="00051F41" w:rsidTr="00EA5308">
        <w:trPr>
          <w:trHeight w:val="535"/>
        </w:trPr>
        <w:tc>
          <w:tcPr>
            <w:tcW w:w="541" w:type="dxa"/>
            <w:shd w:val="clear" w:color="auto" w:fill="BFBFBF" w:themeFill="background1" w:themeFillShade="BF"/>
          </w:tcPr>
          <w:p w:rsidR="00DB516A" w:rsidRPr="00051F41" w:rsidRDefault="00DB516A" w:rsidP="004E3D1A">
            <w:pPr>
              <w:spacing w:line="276" w:lineRule="auto"/>
              <w:jc w:val="both"/>
              <w:rPr>
                <w:b/>
                <w:sz w:val="24"/>
                <w:szCs w:val="24"/>
              </w:rPr>
            </w:pPr>
            <w:r w:rsidRPr="00051F41">
              <w:rPr>
                <w:b/>
                <w:sz w:val="24"/>
                <w:szCs w:val="24"/>
              </w:rPr>
              <w:t>2.</w:t>
            </w:r>
          </w:p>
        </w:tc>
        <w:tc>
          <w:tcPr>
            <w:tcW w:w="9510" w:type="dxa"/>
            <w:shd w:val="clear" w:color="auto" w:fill="BFBFBF" w:themeFill="background1" w:themeFillShade="BF"/>
          </w:tcPr>
          <w:p w:rsidR="00DB516A" w:rsidRPr="00051F41" w:rsidRDefault="00EA5308" w:rsidP="004E3D1A">
            <w:pPr>
              <w:spacing w:line="276" w:lineRule="auto"/>
              <w:jc w:val="both"/>
              <w:rPr>
                <w:b/>
                <w:sz w:val="24"/>
                <w:szCs w:val="24"/>
              </w:rPr>
            </w:pPr>
            <w:r w:rsidRPr="00051F41">
              <w:rPr>
                <w:b/>
                <w:sz w:val="24"/>
                <w:szCs w:val="24"/>
              </w:rPr>
              <w:t>Condițiile</w:t>
            </w:r>
            <w:r w:rsidR="00DB516A" w:rsidRPr="00051F41">
              <w:rPr>
                <w:b/>
                <w:sz w:val="24"/>
                <w:szCs w:val="24"/>
              </w:rPr>
              <w:t xml:space="preserve"> ce au impus elaborarea proiectului de act normativ </w:t>
            </w:r>
            <w:proofErr w:type="spellStart"/>
            <w:r w:rsidR="00DB516A" w:rsidRPr="00051F41">
              <w:rPr>
                <w:b/>
                <w:sz w:val="24"/>
                <w:szCs w:val="24"/>
              </w:rPr>
              <w:t>şi</w:t>
            </w:r>
            <w:proofErr w:type="spellEnd"/>
            <w:r w:rsidR="00DB516A" w:rsidRPr="00051F41">
              <w:rPr>
                <w:b/>
                <w:sz w:val="24"/>
                <w:szCs w:val="24"/>
              </w:rPr>
              <w:t xml:space="preserve"> </w:t>
            </w:r>
            <w:r w:rsidRPr="00051F41">
              <w:rPr>
                <w:b/>
                <w:sz w:val="24"/>
                <w:szCs w:val="24"/>
              </w:rPr>
              <w:t>finalitățile</w:t>
            </w:r>
            <w:r w:rsidR="00DB516A" w:rsidRPr="00051F41">
              <w:rPr>
                <w:b/>
                <w:sz w:val="24"/>
                <w:szCs w:val="24"/>
              </w:rPr>
              <w:t xml:space="preserve"> urmărite </w:t>
            </w:r>
          </w:p>
        </w:tc>
      </w:tr>
      <w:tr w:rsidR="00DB516A" w:rsidRPr="00051F41" w:rsidTr="00EA5308">
        <w:tc>
          <w:tcPr>
            <w:tcW w:w="541" w:type="dxa"/>
          </w:tcPr>
          <w:p w:rsidR="00DB516A" w:rsidRPr="00051F41" w:rsidRDefault="00DB516A" w:rsidP="0085057A">
            <w:pPr>
              <w:ind w:firstLine="567"/>
              <w:jc w:val="both"/>
              <w:rPr>
                <w:sz w:val="24"/>
                <w:szCs w:val="24"/>
              </w:rPr>
            </w:pPr>
          </w:p>
        </w:tc>
        <w:tc>
          <w:tcPr>
            <w:tcW w:w="9510" w:type="dxa"/>
          </w:tcPr>
          <w:p w:rsidR="006052E6" w:rsidRPr="00051F41" w:rsidRDefault="000A29C6" w:rsidP="00B5734B">
            <w:pPr>
              <w:spacing w:line="276" w:lineRule="auto"/>
              <w:jc w:val="both"/>
              <w:rPr>
                <w:sz w:val="24"/>
                <w:szCs w:val="24"/>
              </w:rPr>
            </w:pPr>
            <w:r w:rsidRPr="00051F41">
              <w:rPr>
                <w:sz w:val="24"/>
                <w:szCs w:val="24"/>
              </w:rPr>
              <w:t xml:space="preserve">Programului </w:t>
            </w:r>
            <w:r>
              <w:rPr>
                <w:sz w:val="24"/>
                <w:szCs w:val="24"/>
              </w:rPr>
              <w:t>N</w:t>
            </w:r>
            <w:r w:rsidRPr="00051F41">
              <w:rPr>
                <w:sz w:val="24"/>
                <w:szCs w:val="24"/>
              </w:rPr>
              <w:t xml:space="preserve">ațional de </w:t>
            </w:r>
            <w:r>
              <w:rPr>
                <w:sz w:val="24"/>
                <w:szCs w:val="24"/>
              </w:rPr>
              <w:t xml:space="preserve">dezvoltare a industriei pentru anii 2024 – 2028 </w:t>
            </w:r>
            <w:r w:rsidRPr="009C1A0D">
              <w:rPr>
                <w:i/>
                <w:sz w:val="24"/>
                <w:szCs w:val="24"/>
              </w:rPr>
              <w:t>(în continuare – Program)</w:t>
            </w:r>
            <w:r>
              <w:rPr>
                <w:i/>
                <w:sz w:val="24"/>
                <w:szCs w:val="24"/>
              </w:rPr>
              <w:t xml:space="preserve"> </w:t>
            </w:r>
            <w:r>
              <w:rPr>
                <w:sz w:val="24"/>
                <w:szCs w:val="24"/>
              </w:rPr>
              <w:t>în scopul stimulării</w:t>
            </w:r>
            <w:r w:rsidR="006052E6" w:rsidRPr="00051F41">
              <w:rPr>
                <w:sz w:val="24"/>
                <w:szCs w:val="24"/>
              </w:rPr>
              <w:t xml:space="preserve"> </w:t>
            </w:r>
            <w:r w:rsidR="006052E6">
              <w:rPr>
                <w:sz w:val="24"/>
                <w:szCs w:val="24"/>
              </w:rPr>
              <w:t xml:space="preserve">dezvoltării </w:t>
            </w:r>
            <w:r w:rsidR="006052E6" w:rsidRPr="00051F41">
              <w:rPr>
                <w:sz w:val="24"/>
                <w:szCs w:val="24"/>
              </w:rPr>
              <w:t>industri</w:t>
            </w:r>
            <w:r w:rsidR="006052E6">
              <w:rPr>
                <w:sz w:val="24"/>
                <w:szCs w:val="24"/>
              </w:rPr>
              <w:t>ei</w:t>
            </w:r>
            <w:r w:rsidR="00B5734B">
              <w:rPr>
                <w:sz w:val="24"/>
                <w:szCs w:val="24"/>
              </w:rPr>
              <w:t xml:space="preserve"> prelucrătoare</w:t>
            </w:r>
            <w:r w:rsidR="009C1A0D">
              <w:rPr>
                <w:sz w:val="24"/>
                <w:szCs w:val="24"/>
              </w:rPr>
              <w:t>, care deține o pondere de 86 % în total industrie</w:t>
            </w:r>
            <w:r w:rsidR="006052E6" w:rsidRPr="00051F41">
              <w:rPr>
                <w:sz w:val="24"/>
                <w:szCs w:val="24"/>
              </w:rPr>
              <w:t xml:space="preserve">. </w:t>
            </w:r>
          </w:p>
          <w:p w:rsidR="006052E6" w:rsidRPr="00051F41" w:rsidRDefault="00980291" w:rsidP="00B5734B">
            <w:pPr>
              <w:spacing w:line="276" w:lineRule="auto"/>
              <w:jc w:val="both"/>
              <w:rPr>
                <w:sz w:val="24"/>
                <w:szCs w:val="24"/>
              </w:rPr>
            </w:pPr>
            <w:r>
              <w:rPr>
                <w:sz w:val="24"/>
                <w:szCs w:val="24"/>
              </w:rPr>
              <w:t>Remarcăm</w:t>
            </w:r>
            <w:r w:rsidR="006052E6" w:rsidRPr="00051F41">
              <w:rPr>
                <w:sz w:val="24"/>
                <w:szCs w:val="24"/>
              </w:rPr>
              <w:t xml:space="preserve"> că</w:t>
            </w:r>
            <w:r>
              <w:rPr>
                <w:sz w:val="24"/>
                <w:szCs w:val="24"/>
              </w:rPr>
              <w:t>,</w:t>
            </w:r>
            <w:r w:rsidR="006052E6" w:rsidRPr="00051F41">
              <w:rPr>
                <w:sz w:val="24"/>
                <w:szCs w:val="24"/>
              </w:rPr>
              <w:t xml:space="preserve"> ultimul document de politici în domeniul industriei a fost „Strategia de dezvoltare a industriei pentru perioada de până în anul 2015</w:t>
            </w:r>
            <w:r w:rsidR="006052E6" w:rsidRPr="00980291">
              <w:rPr>
                <w:sz w:val="24"/>
                <w:szCs w:val="24"/>
              </w:rPr>
              <w:t>”</w:t>
            </w:r>
            <w:r w:rsidR="006052E6" w:rsidRPr="00980291">
              <w:rPr>
                <w:i/>
                <w:sz w:val="24"/>
                <w:szCs w:val="24"/>
              </w:rPr>
              <w:t xml:space="preserve"> (HG nr.1149</w:t>
            </w:r>
            <w:r>
              <w:rPr>
                <w:i/>
                <w:sz w:val="24"/>
                <w:szCs w:val="24"/>
              </w:rPr>
              <w:t>/</w:t>
            </w:r>
            <w:r w:rsidR="006052E6" w:rsidRPr="00980291">
              <w:rPr>
                <w:i/>
                <w:sz w:val="24"/>
                <w:szCs w:val="24"/>
              </w:rPr>
              <w:t>2006).</w:t>
            </w:r>
            <w:r w:rsidR="006052E6" w:rsidRPr="00051F41">
              <w:rPr>
                <w:sz w:val="24"/>
                <w:szCs w:val="24"/>
              </w:rPr>
              <w:t xml:space="preserve"> </w:t>
            </w:r>
            <w:r w:rsidR="006052E6">
              <w:rPr>
                <w:sz w:val="24"/>
                <w:szCs w:val="24"/>
              </w:rPr>
              <w:t>D</w:t>
            </w:r>
            <w:r w:rsidR="006052E6" w:rsidRPr="00051F41">
              <w:rPr>
                <w:sz w:val="24"/>
                <w:szCs w:val="24"/>
              </w:rPr>
              <w:t xml:space="preserve">upă </w:t>
            </w:r>
            <w:r w:rsidR="006052E6">
              <w:rPr>
                <w:sz w:val="24"/>
                <w:szCs w:val="24"/>
              </w:rPr>
              <w:t>finalizarea</w:t>
            </w:r>
            <w:r w:rsidR="006052E6" w:rsidRPr="00051F41">
              <w:rPr>
                <w:sz w:val="24"/>
                <w:szCs w:val="24"/>
              </w:rPr>
              <w:t xml:space="preserve"> perioadei de realizare a acestuia</w:t>
            </w:r>
            <w:r w:rsidR="006052E6">
              <w:rPr>
                <w:sz w:val="24"/>
                <w:szCs w:val="24"/>
              </w:rPr>
              <w:t>,</w:t>
            </w:r>
            <w:r w:rsidR="006052E6" w:rsidRPr="00051F41">
              <w:rPr>
                <w:sz w:val="24"/>
                <w:szCs w:val="24"/>
              </w:rPr>
              <w:t xml:space="preserve"> </w:t>
            </w:r>
            <w:r>
              <w:rPr>
                <w:sz w:val="24"/>
                <w:szCs w:val="24"/>
              </w:rPr>
              <w:t>au fost elaborate</w:t>
            </w:r>
            <w:r w:rsidR="006052E6" w:rsidRPr="00051F41">
              <w:rPr>
                <w:sz w:val="24"/>
                <w:szCs w:val="24"/>
              </w:rPr>
              <w:t xml:space="preserve"> un șir de documente strategice sectoriale</w:t>
            </w:r>
            <w:r w:rsidR="006052E6">
              <w:rPr>
                <w:sz w:val="24"/>
                <w:szCs w:val="24"/>
              </w:rPr>
              <w:t>,</w:t>
            </w:r>
            <w:r w:rsidR="006052E6" w:rsidRPr="00051F41">
              <w:rPr>
                <w:sz w:val="24"/>
                <w:szCs w:val="24"/>
              </w:rPr>
              <w:t xml:space="preserve"> care </w:t>
            </w:r>
            <w:r w:rsidR="006052E6">
              <w:rPr>
                <w:sz w:val="24"/>
                <w:szCs w:val="24"/>
              </w:rPr>
              <w:t xml:space="preserve">doar </w:t>
            </w:r>
            <w:r w:rsidR="006052E6" w:rsidRPr="00051F41">
              <w:rPr>
                <w:sz w:val="24"/>
                <w:szCs w:val="24"/>
              </w:rPr>
              <w:t xml:space="preserve">tangențial se referă la dezvoltarea </w:t>
            </w:r>
            <w:r w:rsidR="006052E6">
              <w:rPr>
                <w:sz w:val="24"/>
                <w:szCs w:val="24"/>
              </w:rPr>
              <w:t xml:space="preserve">sectorului </w:t>
            </w:r>
            <w:r w:rsidR="006052E6" w:rsidRPr="00051F41">
              <w:rPr>
                <w:sz w:val="24"/>
                <w:szCs w:val="24"/>
              </w:rPr>
              <w:t>industri</w:t>
            </w:r>
            <w:r w:rsidR="006052E6">
              <w:rPr>
                <w:sz w:val="24"/>
                <w:szCs w:val="24"/>
              </w:rPr>
              <w:t xml:space="preserve">al, cum ar fi </w:t>
            </w:r>
            <w:r w:rsidR="006052E6" w:rsidRPr="00051F41">
              <w:rPr>
                <w:sz w:val="24"/>
                <w:szCs w:val="24"/>
              </w:rPr>
              <w:t>documente</w:t>
            </w:r>
            <w:r w:rsidR="006052E6">
              <w:rPr>
                <w:sz w:val="24"/>
                <w:szCs w:val="24"/>
              </w:rPr>
              <w:t>le</w:t>
            </w:r>
            <w:r w:rsidR="006052E6" w:rsidRPr="00051F41">
              <w:rPr>
                <w:sz w:val="24"/>
                <w:szCs w:val="24"/>
              </w:rPr>
              <w:t xml:space="preserve"> de politici sectoriale în domeniile agroindustrial, energeticii, TIC, dezvoltării regionale, educației, mediului, transportului, etc., care mai mult sau mai puțin, sunt corelate cu dezvoltarea sectorului industrial al economiei naționale. </w:t>
            </w:r>
          </w:p>
          <w:p w:rsidR="006052E6" w:rsidRDefault="00B5734B" w:rsidP="006052E6">
            <w:pPr>
              <w:spacing w:before="120" w:after="120" w:line="276" w:lineRule="auto"/>
              <w:jc w:val="both"/>
              <w:rPr>
                <w:sz w:val="24"/>
                <w:szCs w:val="24"/>
                <w:lang w:val="ro-MD" w:eastAsia="en-US"/>
              </w:rPr>
            </w:pPr>
            <w:r>
              <w:rPr>
                <w:sz w:val="24"/>
                <w:szCs w:val="24"/>
                <w:lang w:val="ro-MD" w:eastAsia="en-US"/>
              </w:rPr>
              <w:t xml:space="preserve">Din aceste considerente, a apărut necesitatea </w:t>
            </w:r>
            <w:r w:rsidR="009C1A0D">
              <w:rPr>
                <w:sz w:val="24"/>
                <w:szCs w:val="24"/>
                <w:lang w:val="ro-MD" w:eastAsia="en-US"/>
              </w:rPr>
              <w:t xml:space="preserve">stringentă </w:t>
            </w:r>
            <w:r>
              <w:rPr>
                <w:sz w:val="24"/>
                <w:szCs w:val="24"/>
                <w:lang w:val="ro-MD" w:eastAsia="en-US"/>
              </w:rPr>
              <w:t xml:space="preserve">elaborării </w:t>
            </w:r>
            <w:r w:rsidR="006052E6" w:rsidRPr="006052E6">
              <w:rPr>
                <w:sz w:val="24"/>
                <w:szCs w:val="24"/>
                <w:lang w:val="ro-MD" w:eastAsia="en-US"/>
              </w:rPr>
              <w:t>un</w:t>
            </w:r>
            <w:r>
              <w:rPr>
                <w:sz w:val="24"/>
                <w:szCs w:val="24"/>
                <w:lang w:val="ro-MD" w:eastAsia="en-US"/>
              </w:rPr>
              <w:t>ui</w:t>
            </w:r>
            <w:r w:rsidR="006052E6" w:rsidRPr="006052E6">
              <w:rPr>
                <w:sz w:val="24"/>
                <w:szCs w:val="24"/>
                <w:lang w:val="ro-MD" w:eastAsia="en-US"/>
              </w:rPr>
              <w:t xml:space="preserve"> document de politici care</w:t>
            </w:r>
            <w:r>
              <w:rPr>
                <w:sz w:val="24"/>
                <w:szCs w:val="24"/>
                <w:lang w:val="ro-MD" w:eastAsia="en-US"/>
              </w:rPr>
              <w:t xml:space="preserve"> să</w:t>
            </w:r>
            <w:r w:rsidR="006052E6" w:rsidRPr="006052E6">
              <w:rPr>
                <w:sz w:val="24"/>
                <w:szCs w:val="24"/>
                <w:lang w:val="ro-MD" w:eastAsia="en-US"/>
              </w:rPr>
              <w:t xml:space="preserve"> define</w:t>
            </w:r>
            <w:r>
              <w:rPr>
                <w:sz w:val="24"/>
                <w:szCs w:val="24"/>
                <w:lang w:val="ro-MD" w:eastAsia="en-US"/>
              </w:rPr>
              <w:t>ască</w:t>
            </w:r>
            <w:r w:rsidR="006052E6" w:rsidRPr="006052E6">
              <w:rPr>
                <w:sz w:val="24"/>
                <w:szCs w:val="24"/>
                <w:lang w:val="ro-MD" w:eastAsia="en-US"/>
              </w:rPr>
              <w:t xml:space="preserve"> viziunea strategică și principal</w:t>
            </w:r>
            <w:r>
              <w:rPr>
                <w:sz w:val="24"/>
                <w:szCs w:val="24"/>
                <w:lang w:val="ro-MD" w:eastAsia="en-US"/>
              </w:rPr>
              <w:t>ă a</w:t>
            </w:r>
            <w:r w:rsidR="006052E6" w:rsidRPr="006052E6">
              <w:rPr>
                <w:sz w:val="24"/>
                <w:szCs w:val="24"/>
                <w:lang w:val="ro-MD" w:eastAsia="en-US"/>
              </w:rPr>
              <w:t xml:space="preserve"> direcții</w:t>
            </w:r>
            <w:r>
              <w:rPr>
                <w:sz w:val="24"/>
                <w:szCs w:val="24"/>
                <w:lang w:val="ro-MD" w:eastAsia="en-US"/>
              </w:rPr>
              <w:t>lor</w:t>
            </w:r>
            <w:r w:rsidR="006052E6" w:rsidRPr="006052E6">
              <w:rPr>
                <w:sz w:val="24"/>
                <w:szCs w:val="24"/>
                <w:lang w:val="ro-MD" w:eastAsia="en-US"/>
              </w:rPr>
              <w:t xml:space="preserve"> de dezvoltare ale industriei prelucrătoare din Republica Moldova pe termen mediu, în conformitate cu potențialul de dezvoltare a industriei autohtone și angajamentele setate în Obiectivele de Dezvoltare Durabilă (ODD) și cele care derivă din statutul de țară-candidat pentru aderarea la Uniunea Europeană (UE).</w:t>
            </w:r>
          </w:p>
          <w:p w:rsidR="006052E6" w:rsidRPr="006052E6" w:rsidRDefault="00CC15F5" w:rsidP="006052E6">
            <w:pPr>
              <w:spacing w:before="120" w:after="120" w:line="276" w:lineRule="auto"/>
              <w:jc w:val="both"/>
              <w:rPr>
                <w:sz w:val="24"/>
                <w:szCs w:val="24"/>
                <w:lang w:val="ro-MD" w:eastAsia="en-US"/>
              </w:rPr>
            </w:pPr>
            <w:r>
              <w:rPr>
                <w:sz w:val="24"/>
                <w:szCs w:val="24"/>
                <w:lang w:val="ro-MD" w:eastAsia="en-US"/>
              </w:rPr>
              <w:t xml:space="preserve">Dat fiind cele relatate, </w:t>
            </w:r>
            <w:r w:rsidR="006052E6" w:rsidRPr="006052E6">
              <w:rPr>
                <w:sz w:val="24"/>
                <w:szCs w:val="24"/>
                <w:lang w:val="ro-MD" w:eastAsia="en-US"/>
              </w:rPr>
              <w:t xml:space="preserve">Programul este elaborat în conformitate cu angajamentele internaționale ale Republicii Moldova, în conformitate cu Strategia Națională de Dezvoltare și documente de politici publici sectoriale.  Astfel, Programul este adresat direct realizării ODD 9 – </w:t>
            </w:r>
            <w:r w:rsidR="006052E6" w:rsidRPr="006052E6">
              <w:rPr>
                <w:i/>
                <w:iCs/>
                <w:sz w:val="24"/>
                <w:szCs w:val="24"/>
                <w:lang w:val="ro-MD" w:eastAsia="en-US"/>
              </w:rPr>
              <w:t>Industrie, inovație și infrastructură</w:t>
            </w:r>
            <w:r w:rsidR="006052E6" w:rsidRPr="006052E6">
              <w:rPr>
                <w:sz w:val="24"/>
                <w:szCs w:val="24"/>
                <w:lang w:val="ro-MD" w:eastAsia="en-US"/>
              </w:rPr>
              <w:t xml:space="preserve"> (construirea unor infrastructuri </w:t>
            </w:r>
            <w:proofErr w:type="spellStart"/>
            <w:r w:rsidR="006052E6" w:rsidRPr="006052E6">
              <w:rPr>
                <w:sz w:val="24"/>
                <w:szCs w:val="24"/>
                <w:lang w:val="ro-MD" w:eastAsia="en-US"/>
              </w:rPr>
              <w:t>reziliente</w:t>
            </w:r>
            <w:proofErr w:type="spellEnd"/>
            <w:r w:rsidR="006052E6" w:rsidRPr="006052E6">
              <w:rPr>
                <w:sz w:val="24"/>
                <w:szCs w:val="24"/>
                <w:lang w:val="ro-MD" w:eastAsia="en-US"/>
              </w:rPr>
              <w:t xml:space="preserve">, promovarea industrializării durabile și încurajarea inovației) – precum și indirect contribuie la realizarea: ODD 1 (Fără sărăcie); ODD 2 (Zero foame); ODD 8 (Muncă decentă și creștere economică); ODD 10 (Inegalități reduse); ODD 12 (Consum și producție responsabile) și; ODD 13 (Acțiune asupra climei). </w:t>
            </w:r>
            <w:r>
              <w:rPr>
                <w:sz w:val="24"/>
                <w:szCs w:val="24"/>
                <w:lang w:val="ro-MD" w:eastAsia="en-US"/>
              </w:rPr>
              <w:t xml:space="preserve">Programul </w:t>
            </w:r>
            <w:r w:rsidR="006052E6" w:rsidRPr="006052E6">
              <w:rPr>
                <w:sz w:val="24"/>
                <w:szCs w:val="24"/>
                <w:lang w:val="ro-MD" w:eastAsia="en-US"/>
              </w:rPr>
              <w:t xml:space="preserve">conține </w:t>
            </w:r>
            <w:r>
              <w:rPr>
                <w:sz w:val="24"/>
                <w:szCs w:val="24"/>
                <w:lang w:val="ro-MD" w:eastAsia="en-US"/>
              </w:rPr>
              <w:t>și</w:t>
            </w:r>
            <w:r w:rsidR="006052E6" w:rsidRPr="006052E6">
              <w:rPr>
                <w:sz w:val="24"/>
                <w:szCs w:val="24"/>
                <w:lang w:val="ro-MD" w:eastAsia="en-US"/>
              </w:rPr>
              <w:t xml:space="preserve"> indicatori cu privire la industrializare setați în Cadrul Național de Monitorizare a Implementării Agendei de Dezvoltare Durabilă 2030, aprobat prin Hotărârea Guvernului nr. 953/2022, implicit indicatorii pentru măsurarea ponderii industriei în structura PIB-ului.   </w:t>
            </w:r>
          </w:p>
          <w:p w:rsidR="006052E6" w:rsidRDefault="006052E6" w:rsidP="006052E6">
            <w:pPr>
              <w:spacing w:before="120" w:after="120" w:line="276" w:lineRule="auto"/>
              <w:jc w:val="both"/>
              <w:rPr>
                <w:sz w:val="24"/>
                <w:szCs w:val="24"/>
                <w:lang w:val="ro-MD" w:eastAsia="en-US"/>
              </w:rPr>
            </w:pPr>
            <w:r w:rsidRPr="006052E6">
              <w:rPr>
                <w:sz w:val="24"/>
                <w:szCs w:val="24"/>
                <w:lang w:val="ro-MD" w:eastAsia="en-US"/>
              </w:rPr>
              <w:t xml:space="preserve">Totodată, Programul este aliniat la prevederile Acordului de Asociere </w:t>
            </w:r>
            <w:hyperlink r:id="rId5" w:history="1">
              <w:r w:rsidRPr="006052E6">
                <w:rPr>
                  <w:sz w:val="24"/>
                  <w:szCs w:val="24"/>
                  <w:shd w:val="clear" w:color="auto" w:fill="FFFFFF"/>
                  <w:lang w:val="ro-MD" w:eastAsia="en-US"/>
                </w:rPr>
                <w:t>între Uniunea Europeană, Euratom și statele membre ale acestora, pe de o parte, și Republica Moldova, pe de altă parte</w:t>
              </w:r>
            </w:hyperlink>
            <w:r w:rsidRPr="006052E6">
              <w:rPr>
                <w:sz w:val="24"/>
                <w:szCs w:val="24"/>
                <w:lang w:val="ro-MD" w:eastAsia="en-US"/>
              </w:rPr>
              <w:t xml:space="preserve"> – </w:t>
            </w:r>
            <w:r w:rsidRPr="006052E6">
              <w:rPr>
                <w:i/>
                <w:iCs/>
                <w:sz w:val="24"/>
                <w:szCs w:val="24"/>
                <w:lang w:val="ro-MD" w:eastAsia="en-US"/>
              </w:rPr>
              <w:t xml:space="preserve">Capitolul </w:t>
            </w:r>
            <w:r>
              <w:rPr>
                <w:i/>
                <w:iCs/>
                <w:sz w:val="24"/>
                <w:szCs w:val="24"/>
                <w:lang w:val="ro-MD" w:eastAsia="en-US"/>
              </w:rPr>
              <w:t>2</w:t>
            </w:r>
            <w:r w:rsidRPr="006052E6">
              <w:rPr>
                <w:i/>
                <w:iCs/>
                <w:sz w:val="24"/>
                <w:szCs w:val="24"/>
                <w:lang w:val="ro-MD" w:eastAsia="en-US"/>
              </w:rPr>
              <w:t xml:space="preserve">0. Politica industrială și antreprenorială – </w:t>
            </w:r>
            <w:r w:rsidRPr="006052E6">
              <w:rPr>
                <w:sz w:val="24"/>
                <w:szCs w:val="24"/>
                <w:lang w:val="ro-MD" w:eastAsia="en-US"/>
              </w:rPr>
              <w:t xml:space="preserve">unde este prevăzută cooperarea părților în vederea dezvoltării politicii industriale și antreprenoriale, implicit pentru a facilita modernizarea și restructurarea industriei Republicii Moldova în anumite sectoare. Consecutiv, Programul este aliniat la prioritățile Uniunii Europene în sprijinul digitalizării și accelerarea ecologizării sectorului industrial. </w:t>
            </w:r>
          </w:p>
          <w:p w:rsidR="006052E6" w:rsidRPr="006052E6" w:rsidRDefault="00CC15F5" w:rsidP="006052E6">
            <w:pPr>
              <w:spacing w:line="276" w:lineRule="auto"/>
              <w:jc w:val="both"/>
              <w:rPr>
                <w:sz w:val="24"/>
                <w:szCs w:val="24"/>
                <w:lang w:val="ro-MD" w:eastAsia="en-US"/>
              </w:rPr>
            </w:pPr>
            <w:r>
              <w:rPr>
                <w:sz w:val="24"/>
                <w:szCs w:val="24"/>
                <w:lang w:val="ro-MD" w:eastAsia="en-US"/>
              </w:rPr>
              <w:t xml:space="preserve">Concomitent, </w:t>
            </w:r>
            <w:r w:rsidR="006052E6" w:rsidRPr="006052E6">
              <w:rPr>
                <w:sz w:val="24"/>
                <w:szCs w:val="24"/>
                <w:lang w:val="ro-MD" w:eastAsia="en-US"/>
              </w:rPr>
              <w:t xml:space="preserve">Programul este conform cu obiectivele și direcțiile prioritare definite în </w:t>
            </w:r>
            <w:r w:rsidR="006052E6" w:rsidRPr="006052E6">
              <w:rPr>
                <w:i/>
                <w:iCs/>
                <w:sz w:val="24"/>
                <w:szCs w:val="24"/>
                <w:lang w:val="ro-MD" w:eastAsia="en-US"/>
              </w:rPr>
              <w:t xml:space="preserve">Strategia Națională de Dezvoltare „Moldova Europeană – 2030” (SND), </w:t>
            </w:r>
            <w:r w:rsidR="006052E6" w:rsidRPr="006052E6">
              <w:rPr>
                <w:sz w:val="24"/>
                <w:szCs w:val="24"/>
                <w:lang w:val="ro-MD" w:eastAsia="en-US"/>
              </w:rPr>
              <w:t xml:space="preserve">aprobată prin Legea nr. 315/2022. </w:t>
            </w:r>
            <w:r w:rsidR="00FA397D">
              <w:rPr>
                <w:sz w:val="24"/>
                <w:szCs w:val="24"/>
                <w:lang w:val="ro-MD" w:eastAsia="en-US"/>
              </w:rPr>
              <w:lastRenderedPageBreak/>
              <w:t>Prin urmare</w:t>
            </w:r>
            <w:r w:rsidR="006052E6" w:rsidRPr="006052E6">
              <w:rPr>
                <w:sz w:val="24"/>
                <w:szCs w:val="24"/>
                <w:lang w:val="ro-MD" w:eastAsia="en-US"/>
              </w:rPr>
              <w:t xml:space="preserve">, </w:t>
            </w:r>
            <w:r w:rsidR="00FA397D">
              <w:rPr>
                <w:sz w:val="24"/>
                <w:szCs w:val="24"/>
                <w:lang w:val="ro-MD" w:eastAsia="en-US"/>
              </w:rPr>
              <w:t>Programul</w:t>
            </w:r>
            <w:r w:rsidR="006052E6" w:rsidRPr="006052E6">
              <w:rPr>
                <w:sz w:val="24"/>
                <w:szCs w:val="24"/>
                <w:lang w:val="ro-MD" w:eastAsia="en-US"/>
              </w:rPr>
              <w:t xml:space="preserve"> conține prevederi stipulate la Direcția prioritară </w:t>
            </w:r>
            <w:r w:rsidR="006052E6" w:rsidRPr="006052E6">
              <w:rPr>
                <w:i/>
                <w:iCs/>
                <w:sz w:val="24"/>
                <w:szCs w:val="24"/>
                <w:lang w:val="ro-MD" w:eastAsia="en-US"/>
              </w:rPr>
              <w:t>5.16. Dezvoltarea sectorului industrial</w:t>
            </w:r>
            <w:r w:rsidR="006052E6" w:rsidRPr="006052E6">
              <w:rPr>
                <w:sz w:val="24"/>
                <w:szCs w:val="24"/>
                <w:lang w:val="ro-MD" w:eastAsia="en-US"/>
              </w:rPr>
              <w:t xml:space="preserve">, în timp ce Obiectivele specifice ale acestuia sunt aliniate la următoarele Obiective specifice ale SND: </w:t>
            </w:r>
          </w:p>
          <w:p w:rsidR="006052E6" w:rsidRPr="006052E6" w:rsidRDefault="006052E6" w:rsidP="006052E6">
            <w:pPr>
              <w:numPr>
                <w:ilvl w:val="0"/>
                <w:numId w:val="7"/>
              </w:numPr>
              <w:spacing w:line="276" w:lineRule="auto"/>
              <w:contextualSpacing/>
              <w:jc w:val="both"/>
              <w:rPr>
                <w:i/>
                <w:iCs/>
                <w:sz w:val="24"/>
                <w:szCs w:val="24"/>
                <w:lang w:val="ro-MD" w:eastAsia="en-US"/>
              </w:rPr>
            </w:pPr>
            <w:r w:rsidRPr="006052E6">
              <w:rPr>
                <w:i/>
                <w:iCs/>
                <w:sz w:val="24"/>
                <w:szCs w:val="24"/>
                <w:lang w:val="ro-MD" w:eastAsia="en-US"/>
              </w:rPr>
              <w:t xml:space="preserve">Obiectivul specific 1.1. Creșterea accelerată a productivității muncii; </w:t>
            </w:r>
          </w:p>
          <w:p w:rsidR="006052E6" w:rsidRPr="006052E6" w:rsidRDefault="006052E6" w:rsidP="006052E6">
            <w:pPr>
              <w:numPr>
                <w:ilvl w:val="0"/>
                <w:numId w:val="7"/>
              </w:numPr>
              <w:spacing w:line="276" w:lineRule="auto"/>
              <w:contextualSpacing/>
              <w:jc w:val="both"/>
              <w:rPr>
                <w:i/>
                <w:iCs/>
                <w:sz w:val="24"/>
                <w:szCs w:val="24"/>
                <w:lang w:val="ro-MD" w:eastAsia="en-US"/>
              </w:rPr>
            </w:pPr>
            <w:r w:rsidRPr="006052E6">
              <w:rPr>
                <w:i/>
                <w:iCs/>
                <w:sz w:val="24"/>
                <w:szCs w:val="24"/>
                <w:lang w:val="ro-MD" w:eastAsia="en-US"/>
              </w:rPr>
              <w:t xml:space="preserve">Obiectivul specific 1.2. Dezvoltarea oportunităților pentru inovații și </w:t>
            </w:r>
            <w:proofErr w:type="spellStart"/>
            <w:r w:rsidRPr="006052E6">
              <w:rPr>
                <w:i/>
                <w:iCs/>
                <w:sz w:val="24"/>
                <w:szCs w:val="24"/>
                <w:lang w:val="ro-MD" w:eastAsia="en-US"/>
              </w:rPr>
              <w:t>antreprenoriat</w:t>
            </w:r>
            <w:proofErr w:type="spellEnd"/>
            <w:r w:rsidRPr="006052E6">
              <w:rPr>
                <w:i/>
                <w:iCs/>
                <w:sz w:val="24"/>
                <w:szCs w:val="24"/>
                <w:lang w:val="ro-MD" w:eastAsia="en-US"/>
              </w:rPr>
              <w:t xml:space="preserve">; </w:t>
            </w:r>
          </w:p>
          <w:p w:rsidR="006052E6" w:rsidRPr="006052E6" w:rsidRDefault="006052E6" w:rsidP="006052E6">
            <w:pPr>
              <w:numPr>
                <w:ilvl w:val="0"/>
                <w:numId w:val="7"/>
              </w:numPr>
              <w:spacing w:line="276" w:lineRule="auto"/>
              <w:contextualSpacing/>
              <w:jc w:val="both"/>
              <w:rPr>
                <w:i/>
                <w:iCs/>
                <w:sz w:val="24"/>
                <w:szCs w:val="24"/>
                <w:lang w:val="ro-MD" w:eastAsia="en-US"/>
              </w:rPr>
            </w:pPr>
            <w:r w:rsidRPr="006052E6">
              <w:rPr>
                <w:i/>
                <w:iCs/>
                <w:sz w:val="24"/>
                <w:szCs w:val="24"/>
                <w:lang w:val="ro-MD" w:eastAsia="en-US"/>
              </w:rPr>
              <w:t xml:space="preserve">Obiectivul specific1.3. Ameliorarea condițiilor de muncă și reducerea ocupării informale; </w:t>
            </w:r>
          </w:p>
          <w:p w:rsidR="006052E6" w:rsidRPr="006052E6" w:rsidRDefault="006052E6" w:rsidP="006052E6">
            <w:pPr>
              <w:numPr>
                <w:ilvl w:val="0"/>
                <w:numId w:val="7"/>
              </w:numPr>
              <w:spacing w:line="276" w:lineRule="auto"/>
              <w:contextualSpacing/>
              <w:jc w:val="both"/>
              <w:rPr>
                <w:i/>
                <w:iCs/>
                <w:sz w:val="24"/>
                <w:szCs w:val="24"/>
                <w:lang w:val="ro-MD" w:eastAsia="en-US"/>
              </w:rPr>
            </w:pPr>
            <w:r w:rsidRPr="006052E6">
              <w:rPr>
                <w:i/>
                <w:iCs/>
                <w:sz w:val="24"/>
                <w:szCs w:val="24"/>
                <w:lang w:val="ro-MD" w:eastAsia="en-US"/>
              </w:rPr>
              <w:t>Obiectivul specific 10.4. Tranziția activă spre economia verde și circulară.</w:t>
            </w:r>
          </w:p>
          <w:p w:rsidR="00CC15F5" w:rsidRPr="00CC15F5" w:rsidRDefault="00CC15F5" w:rsidP="00CC15F5">
            <w:pPr>
              <w:spacing w:before="120" w:after="120" w:line="276" w:lineRule="auto"/>
              <w:jc w:val="both"/>
              <w:rPr>
                <w:sz w:val="24"/>
                <w:szCs w:val="24"/>
                <w:lang w:val="ro-MD" w:eastAsia="en-US"/>
              </w:rPr>
            </w:pPr>
            <w:r w:rsidRPr="00CC15F5">
              <w:rPr>
                <w:sz w:val="24"/>
                <w:szCs w:val="24"/>
                <w:lang w:val="ro-MD" w:eastAsia="en-US"/>
              </w:rPr>
              <w:t xml:space="preserve">De asemenea, </w:t>
            </w:r>
            <w:r w:rsidR="006A2666">
              <w:rPr>
                <w:sz w:val="24"/>
                <w:szCs w:val="24"/>
                <w:lang w:val="ro-MD" w:eastAsia="en-US"/>
              </w:rPr>
              <w:t>Programul</w:t>
            </w:r>
            <w:r w:rsidRPr="00CC15F5">
              <w:rPr>
                <w:sz w:val="24"/>
                <w:szCs w:val="24"/>
                <w:lang w:val="ro-MD" w:eastAsia="en-US"/>
              </w:rPr>
              <w:t xml:space="preserve"> este conform paradigmei setate în Strategia Națională de Dezvoltare Economică 2030 și a Programului național pentru promovarea </w:t>
            </w:r>
            <w:proofErr w:type="spellStart"/>
            <w:r w:rsidRPr="00CC15F5">
              <w:rPr>
                <w:sz w:val="24"/>
                <w:szCs w:val="24"/>
                <w:lang w:val="ro-MD" w:eastAsia="en-US"/>
              </w:rPr>
              <w:t>antreprenoriatului</w:t>
            </w:r>
            <w:proofErr w:type="spellEnd"/>
            <w:r w:rsidRPr="00CC15F5">
              <w:rPr>
                <w:sz w:val="24"/>
                <w:szCs w:val="24"/>
                <w:lang w:val="ro-MD" w:eastAsia="en-US"/>
              </w:rPr>
              <w:t xml:space="preserve"> și creșterea competitivității 2023-2027, și a altor documente de planificare strategică sectorială conexe, implicit Strategia Națională de Dezvoltare Regională 2022-2028 aprobată prin Hotărârea Guvernului nr. 40/2022 – OS 1.2 Îmbunătățirea mediului antreprenorial  în regiuni și OS 2.2, Dezvoltarea infrastructurii de suport pentru afaceri – , precum și Programul național în domeniile cercetării și inovării pentru anii 2024-2027.</w:t>
            </w:r>
          </w:p>
          <w:p w:rsidR="006052E6" w:rsidRDefault="00CC15F5" w:rsidP="00CC15F5">
            <w:pPr>
              <w:spacing w:before="120" w:after="120" w:line="276" w:lineRule="auto"/>
              <w:jc w:val="both"/>
              <w:rPr>
                <w:sz w:val="24"/>
                <w:szCs w:val="24"/>
                <w:lang w:val="ro-MD" w:eastAsia="en-US"/>
              </w:rPr>
            </w:pPr>
            <w:r w:rsidRPr="00CC15F5">
              <w:rPr>
                <w:sz w:val="24"/>
                <w:szCs w:val="24"/>
                <w:lang w:val="ro-MD" w:eastAsia="en-US"/>
              </w:rPr>
              <w:t>Programul</w:t>
            </w:r>
            <w:r w:rsidR="006A2666">
              <w:rPr>
                <w:sz w:val="24"/>
                <w:szCs w:val="24"/>
                <w:lang w:val="ro-MD" w:eastAsia="en-US"/>
              </w:rPr>
              <w:t xml:space="preserve"> este inclus în Planul de acțiuni al Guvernului pentru anul 2024 și</w:t>
            </w:r>
            <w:r w:rsidRPr="00CC15F5">
              <w:rPr>
                <w:sz w:val="24"/>
                <w:szCs w:val="24"/>
                <w:lang w:val="ro-MD" w:eastAsia="en-US"/>
              </w:rPr>
              <w:t xml:space="preserve"> a fost elaborat în cadrul unui proces incluziv și dinamic, conținutul și acțiunile acestuia fiind discutate și validate în cadrul ședințelor Grupului de Lucru instituit prin Ordinul</w:t>
            </w:r>
            <w:r w:rsidR="006A2666">
              <w:rPr>
                <w:sz w:val="24"/>
                <w:szCs w:val="24"/>
                <w:lang w:val="ro-MD" w:eastAsia="en-US"/>
              </w:rPr>
              <w:t xml:space="preserve"> nr. 88/2023 al Ministerului Dezvoltării Economice și Digitalizării</w:t>
            </w:r>
            <w:r w:rsidRPr="00CC15F5">
              <w:rPr>
                <w:sz w:val="24"/>
                <w:szCs w:val="24"/>
                <w:lang w:val="ro-MD" w:eastAsia="en-US"/>
              </w:rPr>
              <w:t xml:space="preserve"> membrii căruia sunt reprezentanți ai ministerelor responsabile de implementarea acțiunilor aferente Programului, reprezentanți ai mediului academic și învățământului vocațional-tehnic, reprezentanții asociațiilor de business din sectoarele industriale identificate drept prioritare.</w:t>
            </w:r>
          </w:p>
          <w:p w:rsidR="00D21539" w:rsidRPr="00D21539" w:rsidRDefault="00D21539" w:rsidP="00D21539">
            <w:pPr>
              <w:spacing w:before="120" w:after="120" w:line="276" w:lineRule="auto"/>
              <w:jc w:val="both"/>
              <w:rPr>
                <w:sz w:val="24"/>
                <w:szCs w:val="24"/>
                <w:lang w:val="ro-MD" w:eastAsia="en-US"/>
              </w:rPr>
            </w:pPr>
            <w:r w:rsidRPr="00D21539">
              <w:rPr>
                <w:sz w:val="24"/>
                <w:szCs w:val="24"/>
                <w:lang w:val="ro-MD" w:eastAsia="en-US"/>
              </w:rPr>
              <w:t xml:space="preserve">Implementarea </w:t>
            </w:r>
            <w:r>
              <w:rPr>
                <w:sz w:val="24"/>
                <w:szCs w:val="24"/>
                <w:lang w:val="ro-MD" w:eastAsia="en-US"/>
              </w:rPr>
              <w:t>cu succes a Programului</w:t>
            </w:r>
            <w:r w:rsidRPr="00D21539">
              <w:rPr>
                <w:sz w:val="24"/>
                <w:szCs w:val="24"/>
                <w:lang w:val="ro-MD" w:eastAsia="en-US"/>
              </w:rPr>
              <w:t xml:space="preserve"> și a obiectivelor conexe </w:t>
            </w:r>
            <w:r>
              <w:rPr>
                <w:sz w:val="24"/>
                <w:szCs w:val="24"/>
                <w:lang w:val="ro-MD" w:eastAsia="en-US"/>
              </w:rPr>
              <w:t>vor avea un</w:t>
            </w:r>
            <w:r w:rsidRPr="00D21539">
              <w:rPr>
                <w:sz w:val="24"/>
                <w:szCs w:val="24"/>
                <w:lang w:val="ro-MD" w:eastAsia="en-US"/>
              </w:rPr>
              <w:t xml:space="preserve"> impact</w:t>
            </w:r>
            <w:r>
              <w:rPr>
                <w:sz w:val="24"/>
                <w:szCs w:val="24"/>
                <w:lang w:val="ro-MD" w:eastAsia="en-US"/>
              </w:rPr>
              <w:t xml:space="preserve"> semnificativ</w:t>
            </w:r>
            <w:r w:rsidRPr="00D21539">
              <w:rPr>
                <w:sz w:val="24"/>
                <w:szCs w:val="24"/>
                <w:lang w:val="ro-MD" w:eastAsia="en-US"/>
              </w:rPr>
              <w:t xml:space="preserve"> asupra sectorului industrial și economiei în ansamblu, precum și asupra fiecărui sector industrial identificat în parte. </w:t>
            </w:r>
          </w:p>
          <w:p w:rsidR="00DB516A" w:rsidRPr="00051F41" w:rsidRDefault="00D21539" w:rsidP="00D21539">
            <w:pPr>
              <w:spacing w:before="120" w:after="120" w:line="276" w:lineRule="auto"/>
              <w:jc w:val="both"/>
              <w:rPr>
                <w:sz w:val="24"/>
                <w:szCs w:val="24"/>
              </w:rPr>
            </w:pPr>
            <w:r w:rsidRPr="00D21539">
              <w:rPr>
                <w:sz w:val="24"/>
                <w:szCs w:val="24"/>
                <w:lang w:val="ro-MD" w:eastAsia="en-US"/>
              </w:rPr>
              <w:t xml:space="preserve">Impactul global anticipat al Programului este dezvoltarea unui sector industrial competitiv și aliniat plenitudinar la cerințele proprii Industriei 4.0, </w:t>
            </w:r>
            <w:r w:rsidRPr="00D21539">
              <w:rPr>
                <w:sz w:val="24"/>
                <w:szCs w:val="24"/>
                <w:lang w:eastAsia="en-US"/>
              </w:rPr>
              <w:t xml:space="preserve">astfel încât în anul 2028 ponderea industriei prelucrătoare în PIB să crească cu cel puțin 40%, în timp ce volumul producției industriale fabricate să crească cu cel puțin 50%, comparativ cu anul 2023. </w:t>
            </w:r>
            <w:r w:rsidR="00E25FDC" w:rsidRPr="00051F41">
              <w:rPr>
                <w:sz w:val="24"/>
                <w:szCs w:val="24"/>
              </w:rPr>
              <w:t xml:space="preserve"> </w:t>
            </w:r>
          </w:p>
        </w:tc>
      </w:tr>
      <w:tr w:rsidR="00DB516A" w:rsidRPr="00051F41" w:rsidTr="00EA5308">
        <w:tc>
          <w:tcPr>
            <w:tcW w:w="541" w:type="dxa"/>
            <w:shd w:val="clear" w:color="auto" w:fill="BFBFBF" w:themeFill="background1" w:themeFillShade="BF"/>
          </w:tcPr>
          <w:p w:rsidR="00DB516A" w:rsidRPr="00051F41" w:rsidRDefault="00DB516A" w:rsidP="007B7A63">
            <w:pPr>
              <w:spacing w:line="276" w:lineRule="auto"/>
              <w:jc w:val="both"/>
              <w:rPr>
                <w:b/>
                <w:sz w:val="24"/>
                <w:szCs w:val="24"/>
              </w:rPr>
            </w:pPr>
            <w:r w:rsidRPr="00051F41">
              <w:rPr>
                <w:b/>
                <w:sz w:val="24"/>
                <w:szCs w:val="24"/>
              </w:rPr>
              <w:lastRenderedPageBreak/>
              <w:t>3.</w:t>
            </w:r>
          </w:p>
        </w:tc>
        <w:tc>
          <w:tcPr>
            <w:tcW w:w="9510" w:type="dxa"/>
            <w:shd w:val="clear" w:color="auto" w:fill="BFBFBF" w:themeFill="background1" w:themeFillShade="BF"/>
          </w:tcPr>
          <w:p w:rsidR="00DB516A" w:rsidRPr="00051F41" w:rsidRDefault="00DB516A" w:rsidP="007B7A63">
            <w:pPr>
              <w:spacing w:line="276" w:lineRule="auto"/>
              <w:jc w:val="both"/>
              <w:rPr>
                <w:b/>
                <w:sz w:val="24"/>
                <w:szCs w:val="24"/>
              </w:rPr>
            </w:pPr>
            <w:r w:rsidRPr="00051F41">
              <w:rPr>
                <w:b/>
                <w:sz w:val="24"/>
                <w:szCs w:val="24"/>
              </w:rPr>
              <w:t>Descrierea gradului de compatibilitate a prevederilor proiectului cu legislația Uniunii Europene</w:t>
            </w:r>
          </w:p>
        </w:tc>
      </w:tr>
      <w:tr w:rsidR="00DB516A" w:rsidRPr="00051F41" w:rsidTr="00EA5308">
        <w:tc>
          <w:tcPr>
            <w:tcW w:w="541" w:type="dxa"/>
          </w:tcPr>
          <w:p w:rsidR="00DB516A" w:rsidRPr="00051F41" w:rsidRDefault="00DB516A" w:rsidP="007B7A63">
            <w:pPr>
              <w:spacing w:line="276" w:lineRule="auto"/>
              <w:jc w:val="both"/>
              <w:rPr>
                <w:sz w:val="24"/>
                <w:szCs w:val="24"/>
              </w:rPr>
            </w:pPr>
          </w:p>
        </w:tc>
        <w:tc>
          <w:tcPr>
            <w:tcW w:w="9510" w:type="dxa"/>
          </w:tcPr>
          <w:p w:rsidR="00DB516A" w:rsidRPr="00051F41" w:rsidRDefault="00DB516A" w:rsidP="007B7A63">
            <w:pPr>
              <w:spacing w:line="276" w:lineRule="auto"/>
              <w:jc w:val="both"/>
              <w:rPr>
                <w:sz w:val="24"/>
                <w:szCs w:val="24"/>
              </w:rPr>
            </w:pPr>
            <w:r w:rsidRPr="00051F41">
              <w:rPr>
                <w:sz w:val="24"/>
                <w:szCs w:val="24"/>
              </w:rPr>
              <w:t>Prezentul proiect de act normativ nu contravine legislației Uniunii Europene</w:t>
            </w:r>
          </w:p>
        </w:tc>
      </w:tr>
      <w:tr w:rsidR="00DB516A" w:rsidRPr="00051F41" w:rsidTr="00EA5308">
        <w:tc>
          <w:tcPr>
            <w:tcW w:w="541" w:type="dxa"/>
            <w:shd w:val="clear" w:color="auto" w:fill="D9D9D9" w:themeFill="background1" w:themeFillShade="D9"/>
          </w:tcPr>
          <w:p w:rsidR="00DB516A" w:rsidRPr="00051F41" w:rsidRDefault="00DB516A" w:rsidP="007B7A63">
            <w:pPr>
              <w:spacing w:line="276" w:lineRule="auto"/>
              <w:jc w:val="both"/>
              <w:rPr>
                <w:b/>
                <w:sz w:val="24"/>
                <w:szCs w:val="24"/>
              </w:rPr>
            </w:pPr>
            <w:r w:rsidRPr="00051F41">
              <w:rPr>
                <w:b/>
                <w:sz w:val="24"/>
                <w:szCs w:val="24"/>
              </w:rPr>
              <w:t>4.</w:t>
            </w:r>
          </w:p>
        </w:tc>
        <w:tc>
          <w:tcPr>
            <w:tcW w:w="9510" w:type="dxa"/>
            <w:shd w:val="clear" w:color="auto" w:fill="D9D9D9" w:themeFill="background1" w:themeFillShade="D9"/>
          </w:tcPr>
          <w:p w:rsidR="00DB516A" w:rsidRPr="00051F41" w:rsidRDefault="00DB516A" w:rsidP="007B7A63">
            <w:pPr>
              <w:spacing w:line="276" w:lineRule="auto"/>
              <w:jc w:val="both"/>
              <w:rPr>
                <w:sz w:val="24"/>
                <w:szCs w:val="24"/>
              </w:rPr>
            </w:pPr>
            <w:r w:rsidRPr="00051F41">
              <w:rPr>
                <w:b/>
                <w:sz w:val="24"/>
                <w:szCs w:val="24"/>
              </w:rPr>
              <w:t xml:space="preserve">Principalele prevederi ale proiectului </w:t>
            </w:r>
            <w:proofErr w:type="spellStart"/>
            <w:r w:rsidRPr="00051F41">
              <w:rPr>
                <w:b/>
                <w:sz w:val="24"/>
                <w:szCs w:val="24"/>
              </w:rPr>
              <w:t>şi</w:t>
            </w:r>
            <w:proofErr w:type="spellEnd"/>
            <w:r w:rsidRPr="00051F41">
              <w:rPr>
                <w:b/>
                <w:sz w:val="24"/>
                <w:szCs w:val="24"/>
              </w:rPr>
              <w:t xml:space="preserve"> </w:t>
            </w:r>
            <w:r w:rsidR="00AF1B61" w:rsidRPr="00051F41">
              <w:rPr>
                <w:b/>
                <w:sz w:val="24"/>
                <w:szCs w:val="24"/>
              </w:rPr>
              <w:t>evidențierea</w:t>
            </w:r>
            <w:r w:rsidRPr="00051F41">
              <w:rPr>
                <w:b/>
                <w:sz w:val="24"/>
                <w:szCs w:val="24"/>
              </w:rPr>
              <w:t xml:space="preserve"> elementelor noi</w:t>
            </w:r>
          </w:p>
        </w:tc>
      </w:tr>
      <w:tr w:rsidR="00DB516A" w:rsidRPr="00051F41" w:rsidTr="00EA5308">
        <w:tc>
          <w:tcPr>
            <w:tcW w:w="541" w:type="dxa"/>
          </w:tcPr>
          <w:p w:rsidR="00DB516A" w:rsidRPr="00051F41" w:rsidRDefault="00DB516A" w:rsidP="003638BF">
            <w:pPr>
              <w:ind w:left="29" w:firstLine="709"/>
              <w:jc w:val="both"/>
              <w:rPr>
                <w:sz w:val="24"/>
                <w:szCs w:val="24"/>
              </w:rPr>
            </w:pPr>
          </w:p>
        </w:tc>
        <w:tc>
          <w:tcPr>
            <w:tcW w:w="9510" w:type="dxa"/>
          </w:tcPr>
          <w:p w:rsidR="00830D11" w:rsidRPr="00830D11" w:rsidRDefault="00830D11" w:rsidP="00830D11">
            <w:pPr>
              <w:spacing w:line="276" w:lineRule="auto"/>
              <w:jc w:val="both"/>
              <w:rPr>
                <w:bCs/>
                <w:sz w:val="24"/>
                <w:szCs w:val="24"/>
                <w:lang w:val="ro-MD" w:eastAsia="en-US"/>
              </w:rPr>
            </w:pPr>
            <w:r w:rsidRPr="00051F41">
              <w:rPr>
                <w:sz w:val="24"/>
                <w:szCs w:val="24"/>
              </w:rPr>
              <w:t xml:space="preserve">Programului </w:t>
            </w:r>
            <w:r>
              <w:rPr>
                <w:sz w:val="24"/>
                <w:szCs w:val="24"/>
              </w:rPr>
              <w:t>N</w:t>
            </w:r>
            <w:r w:rsidRPr="00051F41">
              <w:rPr>
                <w:sz w:val="24"/>
                <w:szCs w:val="24"/>
              </w:rPr>
              <w:t xml:space="preserve">ațional de </w:t>
            </w:r>
            <w:r>
              <w:rPr>
                <w:sz w:val="24"/>
                <w:szCs w:val="24"/>
              </w:rPr>
              <w:t>dezvoltare a industriei pentru anii 2024 – 202</w:t>
            </w:r>
            <w:r w:rsidR="00CA42E8">
              <w:rPr>
                <w:sz w:val="24"/>
                <w:szCs w:val="24"/>
              </w:rPr>
              <w:t>8</w:t>
            </w:r>
            <w:r>
              <w:rPr>
                <w:sz w:val="24"/>
                <w:szCs w:val="24"/>
              </w:rPr>
              <w:t xml:space="preserve"> </w:t>
            </w:r>
            <w:r w:rsidRPr="00830D11">
              <w:rPr>
                <w:bCs/>
                <w:sz w:val="24"/>
                <w:szCs w:val="24"/>
                <w:lang w:val="ro-MD" w:eastAsia="en-US"/>
              </w:rPr>
              <w:t xml:space="preserve">conține </w:t>
            </w:r>
            <w:r w:rsidRPr="00830D11">
              <w:rPr>
                <w:bCs/>
                <w:i/>
                <w:iCs/>
                <w:sz w:val="24"/>
                <w:szCs w:val="24"/>
                <w:lang w:val="ro-MD" w:eastAsia="en-US"/>
              </w:rPr>
              <w:t>6 Obiective Specifice</w:t>
            </w:r>
            <w:r w:rsidRPr="00830D11">
              <w:rPr>
                <w:bCs/>
                <w:sz w:val="24"/>
                <w:szCs w:val="24"/>
                <w:lang w:val="ro-MD" w:eastAsia="en-US"/>
              </w:rPr>
              <w:t>, câte două pentru fiecare dintre Obiectivele Generale, după cum urmează:</w:t>
            </w:r>
          </w:p>
          <w:p w:rsidR="00830D11" w:rsidRPr="00830D11" w:rsidRDefault="00830D11" w:rsidP="00830D11">
            <w:pPr>
              <w:numPr>
                <w:ilvl w:val="0"/>
                <w:numId w:val="8"/>
              </w:numPr>
              <w:spacing w:line="259" w:lineRule="auto"/>
              <w:contextualSpacing/>
              <w:jc w:val="both"/>
              <w:rPr>
                <w:bCs/>
                <w:sz w:val="24"/>
                <w:szCs w:val="24"/>
                <w:lang w:val="ro-MD" w:eastAsia="en-US"/>
              </w:rPr>
            </w:pPr>
            <w:r w:rsidRPr="00830D11">
              <w:rPr>
                <w:b/>
                <w:sz w:val="24"/>
                <w:szCs w:val="24"/>
                <w:lang w:val="ro-MD" w:eastAsia="en-US"/>
              </w:rPr>
              <w:t>Obiectivul General 1. Îmbunătățirea guvernanței și modernizarea instituțională.</w:t>
            </w:r>
          </w:p>
          <w:p w:rsidR="00830D11" w:rsidRPr="00830D11" w:rsidRDefault="00830D11" w:rsidP="00830D11">
            <w:pPr>
              <w:numPr>
                <w:ilvl w:val="0"/>
                <w:numId w:val="9"/>
              </w:numPr>
              <w:spacing w:line="259" w:lineRule="auto"/>
              <w:contextualSpacing/>
              <w:jc w:val="both"/>
              <w:rPr>
                <w:bCs/>
                <w:i/>
                <w:iCs/>
                <w:sz w:val="24"/>
                <w:szCs w:val="24"/>
                <w:lang w:val="ro-MD" w:eastAsia="en-US"/>
              </w:rPr>
            </w:pPr>
            <w:r w:rsidRPr="00830D11">
              <w:rPr>
                <w:bCs/>
                <w:i/>
                <w:iCs/>
                <w:sz w:val="24"/>
                <w:szCs w:val="24"/>
                <w:lang w:val="ro-MD" w:eastAsia="en-US"/>
              </w:rPr>
              <w:t xml:space="preserve">Obiectivul Specific 1.1. Consolidarea cadrului normativ și eficientizarea guvernanței. </w:t>
            </w:r>
          </w:p>
          <w:p w:rsidR="00830D11" w:rsidRPr="00830D11" w:rsidRDefault="00830D11" w:rsidP="00830D11">
            <w:pPr>
              <w:numPr>
                <w:ilvl w:val="0"/>
                <w:numId w:val="9"/>
              </w:numPr>
              <w:spacing w:line="259" w:lineRule="auto"/>
              <w:contextualSpacing/>
              <w:jc w:val="both"/>
              <w:rPr>
                <w:bCs/>
                <w:i/>
                <w:iCs/>
                <w:sz w:val="24"/>
                <w:szCs w:val="24"/>
                <w:lang w:val="ro-MD" w:eastAsia="en-US"/>
              </w:rPr>
            </w:pPr>
            <w:r w:rsidRPr="00830D11">
              <w:rPr>
                <w:bCs/>
                <w:i/>
                <w:iCs/>
                <w:sz w:val="24"/>
                <w:szCs w:val="24"/>
                <w:lang w:val="ro-MD" w:eastAsia="en-US"/>
              </w:rPr>
              <w:t>Obiectivul Specific 1.2. Dezvoltarea platformelor investiționale și infrastructurii de afaceri.</w:t>
            </w:r>
          </w:p>
          <w:p w:rsidR="00830D11" w:rsidRPr="00830D11" w:rsidRDefault="00830D11" w:rsidP="00830D11">
            <w:pPr>
              <w:numPr>
                <w:ilvl w:val="0"/>
                <w:numId w:val="8"/>
              </w:numPr>
              <w:contextualSpacing/>
              <w:jc w:val="both"/>
              <w:rPr>
                <w:b/>
                <w:bCs/>
                <w:sz w:val="24"/>
                <w:szCs w:val="24"/>
                <w:lang w:val="ro-MD" w:eastAsia="en-US"/>
              </w:rPr>
            </w:pPr>
            <w:r w:rsidRPr="00830D11">
              <w:rPr>
                <w:b/>
                <w:sz w:val="24"/>
                <w:szCs w:val="24"/>
                <w:lang w:val="ro-MD" w:eastAsia="en-US"/>
              </w:rPr>
              <w:t>Obiectivul General</w:t>
            </w:r>
            <w:r w:rsidRPr="00830D11">
              <w:rPr>
                <w:b/>
                <w:bCs/>
                <w:sz w:val="24"/>
                <w:szCs w:val="24"/>
                <w:lang w:val="ro-MD" w:eastAsia="en-US"/>
              </w:rPr>
              <w:t xml:space="preserve"> 2. Mobilizarea capitalului și forței de muncă.</w:t>
            </w:r>
          </w:p>
          <w:p w:rsidR="00830D11" w:rsidRPr="00830D11" w:rsidRDefault="00830D11" w:rsidP="00830D11">
            <w:pPr>
              <w:numPr>
                <w:ilvl w:val="0"/>
                <w:numId w:val="9"/>
              </w:numPr>
              <w:spacing w:line="259" w:lineRule="auto"/>
              <w:contextualSpacing/>
              <w:jc w:val="both"/>
              <w:rPr>
                <w:bCs/>
                <w:i/>
                <w:iCs/>
                <w:sz w:val="24"/>
                <w:szCs w:val="24"/>
                <w:lang w:val="ro-MD" w:eastAsia="en-US"/>
              </w:rPr>
            </w:pPr>
            <w:r w:rsidRPr="00830D11">
              <w:rPr>
                <w:bCs/>
                <w:i/>
                <w:iCs/>
                <w:sz w:val="24"/>
                <w:szCs w:val="24"/>
                <w:lang w:val="ro-MD" w:eastAsia="en-US"/>
              </w:rPr>
              <w:t>Obiectivul Specific 2.1. Stimularea investițiilor în industria prelucrătoare.</w:t>
            </w:r>
          </w:p>
          <w:p w:rsidR="00830D11" w:rsidRPr="00830D11" w:rsidRDefault="00830D11" w:rsidP="00830D11">
            <w:pPr>
              <w:numPr>
                <w:ilvl w:val="0"/>
                <w:numId w:val="9"/>
              </w:numPr>
              <w:spacing w:line="259" w:lineRule="auto"/>
              <w:contextualSpacing/>
              <w:jc w:val="both"/>
              <w:rPr>
                <w:bCs/>
                <w:i/>
                <w:iCs/>
                <w:sz w:val="24"/>
                <w:szCs w:val="24"/>
                <w:lang w:val="ro-MD" w:eastAsia="en-US"/>
              </w:rPr>
            </w:pPr>
            <w:r w:rsidRPr="00830D11">
              <w:rPr>
                <w:bCs/>
                <w:i/>
                <w:iCs/>
                <w:sz w:val="24"/>
                <w:szCs w:val="24"/>
                <w:lang w:val="ro-MD" w:eastAsia="en-US"/>
              </w:rPr>
              <w:t>Obiectivul Specific 2.2. Facilitarea accesului la forța de muncă calificată.</w:t>
            </w:r>
          </w:p>
          <w:p w:rsidR="00830D11" w:rsidRPr="00830D11" w:rsidRDefault="00830D11" w:rsidP="00830D11">
            <w:pPr>
              <w:numPr>
                <w:ilvl w:val="0"/>
                <w:numId w:val="8"/>
              </w:numPr>
              <w:contextualSpacing/>
              <w:jc w:val="both"/>
              <w:rPr>
                <w:b/>
                <w:bCs/>
                <w:sz w:val="24"/>
                <w:szCs w:val="24"/>
                <w:lang w:val="ro-MD" w:eastAsia="en-US"/>
              </w:rPr>
            </w:pPr>
            <w:r w:rsidRPr="00830D11">
              <w:rPr>
                <w:b/>
                <w:sz w:val="24"/>
                <w:szCs w:val="24"/>
                <w:lang w:val="ro-MD" w:eastAsia="en-US"/>
              </w:rPr>
              <w:t>Obiectivul General</w:t>
            </w:r>
            <w:r w:rsidRPr="00830D11">
              <w:rPr>
                <w:b/>
                <w:bCs/>
                <w:sz w:val="24"/>
                <w:szCs w:val="24"/>
                <w:lang w:val="ro-MD" w:eastAsia="en-US"/>
              </w:rPr>
              <w:t xml:space="preserve"> 3. Stimularea productivității și tranziției la economia verde.</w:t>
            </w:r>
          </w:p>
          <w:p w:rsidR="00830D11" w:rsidRPr="00830D11" w:rsidRDefault="00830D11" w:rsidP="00830D11">
            <w:pPr>
              <w:numPr>
                <w:ilvl w:val="0"/>
                <w:numId w:val="9"/>
              </w:numPr>
              <w:spacing w:line="259" w:lineRule="auto"/>
              <w:contextualSpacing/>
              <w:jc w:val="both"/>
              <w:rPr>
                <w:bCs/>
                <w:i/>
                <w:iCs/>
                <w:sz w:val="24"/>
                <w:szCs w:val="24"/>
                <w:lang w:val="ro-MD" w:eastAsia="en-US"/>
              </w:rPr>
            </w:pPr>
            <w:r w:rsidRPr="00830D11">
              <w:rPr>
                <w:bCs/>
                <w:i/>
                <w:iCs/>
                <w:sz w:val="24"/>
                <w:szCs w:val="24"/>
                <w:lang w:val="ro-MD" w:eastAsia="en-US"/>
              </w:rPr>
              <w:t>Obiectivul Specific 3.1. Creșterea inovării și competitivității industriei prelucrătoare.</w:t>
            </w:r>
          </w:p>
          <w:p w:rsidR="00830D11" w:rsidRPr="00830D11" w:rsidRDefault="00830D11" w:rsidP="00830D11">
            <w:pPr>
              <w:numPr>
                <w:ilvl w:val="0"/>
                <w:numId w:val="9"/>
              </w:numPr>
              <w:spacing w:line="259" w:lineRule="auto"/>
              <w:contextualSpacing/>
              <w:jc w:val="both"/>
              <w:rPr>
                <w:bCs/>
                <w:i/>
                <w:iCs/>
                <w:sz w:val="24"/>
                <w:szCs w:val="24"/>
                <w:lang w:val="ro-MD" w:eastAsia="en-US"/>
              </w:rPr>
            </w:pPr>
            <w:r w:rsidRPr="00830D11">
              <w:rPr>
                <w:bCs/>
                <w:i/>
                <w:iCs/>
                <w:sz w:val="24"/>
                <w:szCs w:val="24"/>
                <w:lang w:val="ro-MD" w:eastAsia="en-US"/>
              </w:rPr>
              <w:t>Obiectivul Specific 3.2. Facilitarea tranziției la economia verde.</w:t>
            </w:r>
          </w:p>
          <w:p w:rsidR="00830D11" w:rsidRPr="00830D11" w:rsidRDefault="00CF1D7A" w:rsidP="00CF1D7A">
            <w:pPr>
              <w:spacing w:before="120" w:after="120" w:line="276" w:lineRule="auto"/>
              <w:jc w:val="both"/>
              <w:rPr>
                <w:bCs/>
                <w:iCs/>
                <w:sz w:val="24"/>
                <w:szCs w:val="24"/>
                <w:lang w:val="ro-MD" w:eastAsia="en-US"/>
              </w:rPr>
            </w:pPr>
            <w:r>
              <w:rPr>
                <w:bCs/>
                <w:iCs/>
                <w:sz w:val="24"/>
                <w:szCs w:val="24"/>
                <w:lang w:val="ro-MD" w:eastAsia="en-US"/>
              </w:rPr>
              <w:lastRenderedPageBreak/>
              <w:t xml:space="preserve">Pentru implementarea Programului este elaborat un Plan de acțiuni bine structurat cu măsuri concrete ce vor contribui la </w:t>
            </w:r>
            <w:r w:rsidRPr="00CF1D7A">
              <w:rPr>
                <w:sz w:val="24"/>
                <w:szCs w:val="24"/>
                <w:lang w:eastAsia="en-US"/>
              </w:rPr>
              <w:t xml:space="preserve">accelerarea tranziției verzi și digitale a industriei din Republica Moldova și dezvoltarea unui sector industrial </w:t>
            </w:r>
            <w:proofErr w:type="spellStart"/>
            <w:r w:rsidRPr="00CF1D7A">
              <w:rPr>
                <w:sz w:val="24"/>
                <w:szCs w:val="24"/>
                <w:lang w:eastAsia="en-US"/>
              </w:rPr>
              <w:t>rezilient</w:t>
            </w:r>
            <w:proofErr w:type="spellEnd"/>
            <w:r w:rsidRPr="00CF1D7A">
              <w:rPr>
                <w:sz w:val="24"/>
                <w:szCs w:val="24"/>
                <w:lang w:eastAsia="en-US"/>
              </w:rPr>
              <w:t xml:space="preserve"> și competitiv, integrat în piața unică europeană.</w:t>
            </w:r>
          </w:p>
          <w:p w:rsidR="002B789F" w:rsidRPr="002B789F" w:rsidRDefault="00CF1D7A" w:rsidP="002B789F">
            <w:pPr>
              <w:keepNext/>
              <w:keepLines/>
              <w:spacing w:after="120" w:line="276" w:lineRule="auto"/>
              <w:jc w:val="both"/>
              <w:outlineLvl w:val="0"/>
              <w:rPr>
                <w:sz w:val="24"/>
                <w:szCs w:val="24"/>
                <w:lang w:val="ro-MD" w:eastAsia="en-US"/>
              </w:rPr>
            </w:pPr>
            <w:r>
              <w:rPr>
                <w:sz w:val="24"/>
                <w:szCs w:val="24"/>
                <w:lang w:val="ro-MD" w:eastAsia="en-US"/>
              </w:rPr>
              <w:t>Planul de implementare a Programului prevede r</w:t>
            </w:r>
            <w:r w:rsidRPr="00CF1D7A">
              <w:rPr>
                <w:sz w:val="24"/>
                <w:szCs w:val="24"/>
                <w:lang w:val="ro-MD" w:eastAsia="en-US"/>
              </w:rPr>
              <w:t xml:space="preserve">esurse financiare, tehnice </w:t>
            </w:r>
            <w:r w:rsidR="002B789F" w:rsidRPr="00CF1D7A">
              <w:rPr>
                <w:sz w:val="24"/>
                <w:szCs w:val="24"/>
                <w:lang w:val="ro-MD" w:eastAsia="en-US"/>
              </w:rPr>
              <w:t>și</w:t>
            </w:r>
            <w:r w:rsidRPr="00CF1D7A">
              <w:rPr>
                <w:sz w:val="24"/>
                <w:szCs w:val="24"/>
                <w:lang w:val="ro-MD" w:eastAsia="en-US"/>
              </w:rPr>
              <w:t xml:space="preserve"> umane necesare </w:t>
            </w:r>
            <w:r w:rsidR="0051575F">
              <w:rPr>
                <w:sz w:val="24"/>
                <w:szCs w:val="24"/>
                <w:lang w:val="ro-MD" w:eastAsia="en-US"/>
              </w:rPr>
              <w:t>realizării acestuia, care sunt</w:t>
            </w:r>
            <w:r w:rsidRPr="00CF1D7A">
              <w:rPr>
                <w:sz w:val="24"/>
                <w:szCs w:val="24"/>
                <w:lang w:val="ro-MD" w:eastAsia="en-US"/>
              </w:rPr>
              <w:t xml:space="preserve"> estimate </w:t>
            </w:r>
            <w:r w:rsidR="002B789F" w:rsidRPr="00CF1D7A">
              <w:rPr>
                <w:sz w:val="24"/>
                <w:szCs w:val="24"/>
                <w:lang w:val="ro-MD" w:eastAsia="en-US"/>
              </w:rPr>
              <w:t>și</w:t>
            </w:r>
            <w:r w:rsidRPr="00CF1D7A">
              <w:rPr>
                <w:sz w:val="24"/>
                <w:szCs w:val="24"/>
                <w:lang w:val="ro-MD" w:eastAsia="en-US"/>
              </w:rPr>
              <w:t xml:space="preserve"> detaliate pentru fiecare element al procesului de implementare. </w:t>
            </w:r>
            <w:r w:rsidR="002B789F" w:rsidRPr="00CF1D7A">
              <w:rPr>
                <w:sz w:val="24"/>
                <w:szCs w:val="24"/>
                <w:lang w:val="ro-MD" w:eastAsia="en-US"/>
              </w:rPr>
              <w:t xml:space="preserve">În plus, </w:t>
            </w:r>
            <w:r w:rsidR="002B789F">
              <w:rPr>
                <w:sz w:val="24"/>
                <w:szCs w:val="24"/>
                <w:lang w:val="ro-MD" w:eastAsia="en-US"/>
              </w:rPr>
              <w:t>î</w:t>
            </w:r>
            <w:r w:rsidR="002B789F" w:rsidRPr="002B789F">
              <w:rPr>
                <w:sz w:val="24"/>
                <w:szCs w:val="24"/>
                <w:lang w:val="ro-MD" w:eastAsia="en-US"/>
              </w:rPr>
              <w:t>n scopul atingerii obiectivelor propuse, vor fi valorificate cooperările cu partenerii de dezvoltare, care pot furniza resurse suplimentare pentru implementarea Programului, cum ar fi asistență tehnică, transfer de tehnologie, precum și finanțare suplimentară.</w:t>
            </w:r>
          </w:p>
          <w:p w:rsidR="002B789F" w:rsidRDefault="002B789F" w:rsidP="00CF1D7A">
            <w:pPr>
              <w:keepNext/>
              <w:keepLines/>
              <w:spacing w:after="120" w:line="276" w:lineRule="auto"/>
              <w:jc w:val="both"/>
              <w:outlineLvl w:val="0"/>
              <w:rPr>
                <w:sz w:val="24"/>
                <w:szCs w:val="24"/>
                <w:lang w:val="ro-MD" w:eastAsia="en-US"/>
              </w:rPr>
            </w:pPr>
            <w:r>
              <w:rPr>
                <w:sz w:val="24"/>
                <w:szCs w:val="24"/>
                <w:lang w:val="ro-MD" w:eastAsia="en-US"/>
              </w:rPr>
              <w:t xml:space="preserve">Programul determină instituția responsabilă de coordonare a procesului de implementare cum ar fi </w:t>
            </w:r>
            <w:r w:rsidRPr="00CF1D7A">
              <w:rPr>
                <w:sz w:val="24"/>
                <w:szCs w:val="24"/>
                <w:lang w:val="ro-MD" w:eastAsia="en-US"/>
              </w:rPr>
              <w:t>Ministerul Dezvoltării Economice și Digitalizării</w:t>
            </w:r>
            <w:r>
              <w:rPr>
                <w:sz w:val="24"/>
                <w:szCs w:val="24"/>
                <w:lang w:val="ro-MD" w:eastAsia="en-US"/>
              </w:rPr>
              <w:t xml:space="preserve">, precum și instituțiile ce vor fi implicate nemijlocit la realizarea acestuia </w:t>
            </w:r>
            <w:r w:rsidR="00A1120D">
              <w:rPr>
                <w:sz w:val="24"/>
                <w:szCs w:val="24"/>
                <w:lang w:val="ro-MD" w:eastAsia="en-US"/>
              </w:rPr>
              <w:t>și anume</w:t>
            </w:r>
            <w:r>
              <w:rPr>
                <w:sz w:val="24"/>
                <w:szCs w:val="24"/>
                <w:lang w:val="ro-MD" w:eastAsia="en-US"/>
              </w:rPr>
              <w:t xml:space="preserve"> </w:t>
            </w:r>
            <w:r w:rsidRPr="00CF1D7A">
              <w:rPr>
                <w:sz w:val="24"/>
                <w:szCs w:val="24"/>
                <w:lang w:val="ro-MD" w:eastAsia="en-US"/>
              </w:rPr>
              <w:t xml:space="preserve">Instituția Publică Organizația pentru Dezvoltarea </w:t>
            </w:r>
            <w:proofErr w:type="spellStart"/>
            <w:r w:rsidRPr="00CF1D7A">
              <w:rPr>
                <w:sz w:val="24"/>
                <w:szCs w:val="24"/>
                <w:lang w:val="ro-MD" w:eastAsia="en-US"/>
              </w:rPr>
              <w:t>Antreprenoriatului</w:t>
            </w:r>
            <w:proofErr w:type="spellEnd"/>
            <w:r w:rsidRPr="00CF1D7A">
              <w:rPr>
                <w:sz w:val="24"/>
                <w:szCs w:val="24"/>
                <w:lang w:val="ro-MD" w:eastAsia="en-US"/>
              </w:rPr>
              <w:t>, Institutul Național de Metrologie și Institutul de Standardizare din Moldova.</w:t>
            </w:r>
          </w:p>
          <w:p w:rsidR="00DB516A" w:rsidRPr="00051F41" w:rsidRDefault="00A1120D" w:rsidP="006A70F3">
            <w:pPr>
              <w:spacing w:before="120" w:after="120" w:line="276" w:lineRule="auto"/>
              <w:jc w:val="both"/>
              <w:rPr>
                <w:sz w:val="24"/>
                <w:szCs w:val="24"/>
              </w:rPr>
            </w:pPr>
            <w:r>
              <w:rPr>
                <w:sz w:val="24"/>
                <w:szCs w:val="24"/>
                <w:lang w:val="ro-MD"/>
              </w:rPr>
              <w:t xml:space="preserve">Totodată, s-a prevăzut procedura de raportare a realizării acțiunilor destinate implementării Programului inclusiv procesul ulterior de evaluare intermediară și evaluare finală, care </w:t>
            </w:r>
            <w:r w:rsidRPr="00CF1D7A">
              <w:rPr>
                <w:sz w:val="24"/>
                <w:szCs w:val="24"/>
                <w:lang w:val="ro-MD" w:eastAsia="ro-RO"/>
              </w:rPr>
              <w:t>vor constitui temei pentru elaborarea unui nou document de politici privind dezvoltarea industrială în Republica Moldova.</w:t>
            </w:r>
          </w:p>
        </w:tc>
      </w:tr>
      <w:tr w:rsidR="00DB516A" w:rsidRPr="00051F41" w:rsidTr="00EA5308">
        <w:tc>
          <w:tcPr>
            <w:tcW w:w="541" w:type="dxa"/>
            <w:shd w:val="clear" w:color="auto" w:fill="BFBFBF" w:themeFill="background1" w:themeFillShade="BF"/>
          </w:tcPr>
          <w:p w:rsidR="00DB516A" w:rsidRPr="00051F41" w:rsidRDefault="00CA3617" w:rsidP="007B7A63">
            <w:pPr>
              <w:spacing w:line="276" w:lineRule="auto"/>
              <w:jc w:val="both"/>
              <w:rPr>
                <w:b/>
                <w:sz w:val="24"/>
                <w:szCs w:val="24"/>
              </w:rPr>
            </w:pPr>
            <w:r w:rsidRPr="00051F41">
              <w:rPr>
                <w:b/>
                <w:sz w:val="24"/>
                <w:szCs w:val="24"/>
              </w:rPr>
              <w:lastRenderedPageBreak/>
              <w:t>5</w:t>
            </w:r>
            <w:r w:rsidR="00DB516A" w:rsidRPr="00051F41">
              <w:rPr>
                <w:b/>
                <w:sz w:val="24"/>
                <w:szCs w:val="24"/>
              </w:rPr>
              <w:t>.</w:t>
            </w:r>
          </w:p>
        </w:tc>
        <w:tc>
          <w:tcPr>
            <w:tcW w:w="9510" w:type="dxa"/>
            <w:shd w:val="clear" w:color="auto" w:fill="BFBFBF" w:themeFill="background1" w:themeFillShade="BF"/>
          </w:tcPr>
          <w:p w:rsidR="00DB516A" w:rsidRPr="00051F41" w:rsidRDefault="00DB516A" w:rsidP="007B7A63">
            <w:pPr>
              <w:spacing w:line="276" w:lineRule="auto"/>
              <w:jc w:val="both"/>
              <w:rPr>
                <w:b/>
                <w:sz w:val="24"/>
                <w:szCs w:val="24"/>
              </w:rPr>
            </w:pPr>
            <w:r w:rsidRPr="00051F41">
              <w:rPr>
                <w:b/>
                <w:sz w:val="24"/>
                <w:szCs w:val="24"/>
              </w:rPr>
              <w:t>Fundamentarea economico-financiară</w:t>
            </w:r>
          </w:p>
        </w:tc>
      </w:tr>
      <w:tr w:rsidR="00DB516A" w:rsidRPr="00051F41" w:rsidTr="00EA5308">
        <w:tc>
          <w:tcPr>
            <w:tcW w:w="541" w:type="dxa"/>
            <w:shd w:val="clear" w:color="auto" w:fill="FFFFFF" w:themeFill="background1"/>
          </w:tcPr>
          <w:p w:rsidR="00DB516A" w:rsidRPr="00051F41" w:rsidRDefault="00DB516A" w:rsidP="00236C19">
            <w:pPr>
              <w:spacing w:line="276" w:lineRule="auto"/>
              <w:ind w:firstLine="738"/>
              <w:jc w:val="both"/>
              <w:rPr>
                <w:sz w:val="24"/>
                <w:szCs w:val="24"/>
              </w:rPr>
            </w:pPr>
          </w:p>
        </w:tc>
        <w:tc>
          <w:tcPr>
            <w:tcW w:w="9510" w:type="dxa"/>
            <w:shd w:val="clear" w:color="auto" w:fill="FFFFFF" w:themeFill="background1"/>
          </w:tcPr>
          <w:p w:rsidR="00610B77" w:rsidRPr="00051F41" w:rsidRDefault="00610B77" w:rsidP="00610B77">
            <w:pPr>
              <w:spacing w:line="276" w:lineRule="auto"/>
              <w:jc w:val="both"/>
              <w:rPr>
                <w:sz w:val="24"/>
                <w:szCs w:val="24"/>
              </w:rPr>
            </w:pPr>
            <w:r w:rsidRPr="00051F41">
              <w:rPr>
                <w:sz w:val="24"/>
                <w:szCs w:val="24"/>
              </w:rPr>
              <w:t xml:space="preserve">Implementarea cu succes a Programului nominalizat va </w:t>
            </w:r>
            <w:r>
              <w:rPr>
                <w:sz w:val="24"/>
                <w:szCs w:val="24"/>
              </w:rPr>
              <w:t>contribui la</w:t>
            </w:r>
            <w:r w:rsidRPr="00051F41">
              <w:rPr>
                <w:sz w:val="24"/>
                <w:szCs w:val="24"/>
              </w:rPr>
              <w:t>:</w:t>
            </w:r>
          </w:p>
          <w:p w:rsidR="00610B77" w:rsidRPr="00610B77" w:rsidRDefault="00610B77" w:rsidP="00610B77">
            <w:pPr>
              <w:numPr>
                <w:ilvl w:val="0"/>
                <w:numId w:val="10"/>
              </w:numPr>
              <w:spacing w:line="276" w:lineRule="auto"/>
              <w:contextualSpacing/>
              <w:jc w:val="both"/>
              <w:rPr>
                <w:sz w:val="24"/>
                <w:szCs w:val="24"/>
                <w:lang w:eastAsia="en-US"/>
              </w:rPr>
            </w:pPr>
            <w:r w:rsidRPr="00610B77">
              <w:rPr>
                <w:sz w:val="24"/>
                <w:szCs w:val="24"/>
                <w:lang w:eastAsia="en-US"/>
              </w:rPr>
              <w:t>reanimarea tradiției din industria electronică și valorificarea potențialului existent în producerea de hardware și software, a componentelor și dispozitivelor electronice, a contoarelor inteligente, a conductoarelor etc, în vederea creșterii ponderii sectorului în industria autohtonă;</w:t>
            </w:r>
          </w:p>
          <w:p w:rsidR="00610B77" w:rsidRPr="00610B77" w:rsidRDefault="00610B77" w:rsidP="00610B77">
            <w:pPr>
              <w:numPr>
                <w:ilvl w:val="0"/>
                <w:numId w:val="10"/>
              </w:numPr>
              <w:spacing w:line="276" w:lineRule="auto"/>
              <w:contextualSpacing/>
              <w:jc w:val="both"/>
              <w:rPr>
                <w:sz w:val="24"/>
                <w:szCs w:val="24"/>
                <w:lang w:eastAsia="en-US"/>
              </w:rPr>
            </w:pPr>
            <w:r w:rsidRPr="00610B77">
              <w:rPr>
                <w:sz w:val="24"/>
                <w:szCs w:val="24"/>
                <w:lang w:eastAsia="en-US"/>
              </w:rPr>
              <w:t xml:space="preserve">creșterea proiectelor investiționale în industria chimică și farmaceutică, implicit creșterea cotei pe piața autohtonă a medicamentelor produse în Republica Moldova; </w:t>
            </w:r>
          </w:p>
          <w:p w:rsidR="00610B77" w:rsidRPr="00610B77" w:rsidRDefault="00610B77" w:rsidP="00610B77">
            <w:pPr>
              <w:numPr>
                <w:ilvl w:val="0"/>
                <w:numId w:val="10"/>
              </w:numPr>
              <w:spacing w:line="276" w:lineRule="auto"/>
              <w:contextualSpacing/>
              <w:jc w:val="both"/>
              <w:rPr>
                <w:sz w:val="24"/>
                <w:szCs w:val="24"/>
                <w:lang w:eastAsia="en-US"/>
              </w:rPr>
            </w:pPr>
            <w:r w:rsidRPr="00610B77">
              <w:rPr>
                <w:sz w:val="24"/>
                <w:szCs w:val="24"/>
                <w:lang w:eastAsia="en-US"/>
              </w:rPr>
              <w:t xml:space="preserve">atragerea ISD din verigele superioare ale lanțurile valorice globale din industria componentelor auto și, totodată, dezvoltarea furnizorilor locali conectați la companiile multinaționale din domeniu; </w:t>
            </w:r>
          </w:p>
          <w:p w:rsidR="00610B77" w:rsidRPr="00610B77" w:rsidRDefault="00610B77" w:rsidP="00610B77">
            <w:pPr>
              <w:numPr>
                <w:ilvl w:val="0"/>
                <w:numId w:val="10"/>
              </w:numPr>
              <w:spacing w:line="276" w:lineRule="auto"/>
              <w:contextualSpacing/>
              <w:jc w:val="both"/>
              <w:rPr>
                <w:sz w:val="24"/>
                <w:szCs w:val="24"/>
                <w:lang w:eastAsia="en-US"/>
              </w:rPr>
            </w:pPr>
            <w:r w:rsidRPr="00610B77">
              <w:rPr>
                <w:sz w:val="24"/>
                <w:szCs w:val="24"/>
                <w:lang w:eastAsia="en-US"/>
              </w:rPr>
              <w:t xml:space="preserve">tranziția etapizată de la producția în regim de perfecționare activă, care reprezintă cca 70% din industria textilă moldovenească, la un sector al industriei ușoare orientat spre dezvoltarea și comercializarea propriilor </w:t>
            </w:r>
            <w:r w:rsidRPr="00610B77">
              <w:rPr>
                <w:i/>
                <w:iCs/>
                <w:sz w:val="24"/>
                <w:szCs w:val="24"/>
                <w:lang w:eastAsia="en-US"/>
              </w:rPr>
              <w:t>brand</w:t>
            </w:r>
            <w:r w:rsidRPr="00610B77">
              <w:rPr>
                <w:sz w:val="24"/>
                <w:szCs w:val="24"/>
                <w:lang w:eastAsia="en-US"/>
              </w:rPr>
              <w:t xml:space="preserve">-uri; </w:t>
            </w:r>
          </w:p>
          <w:p w:rsidR="00610B77" w:rsidRPr="00610B77" w:rsidRDefault="00610B77" w:rsidP="00610B77">
            <w:pPr>
              <w:numPr>
                <w:ilvl w:val="0"/>
                <w:numId w:val="10"/>
              </w:numPr>
              <w:spacing w:line="276" w:lineRule="auto"/>
              <w:contextualSpacing/>
              <w:jc w:val="both"/>
              <w:rPr>
                <w:sz w:val="24"/>
                <w:szCs w:val="24"/>
                <w:lang w:eastAsia="en-US"/>
              </w:rPr>
            </w:pPr>
            <w:r w:rsidRPr="00610B77">
              <w:rPr>
                <w:sz w:val="24"/>
                <w:szCs w:val="24"/>
                <w:lang w:eastAsia="en-US"/>
              </w:rPr>
              <w:t xml:space="preserve">dezvoltarea industriei materialelor de construcție, în vederea stimulării construcțiilor – rezidențiale și industriale – și creșterii cotei pe piața internă, precum și dezvoltarea capacităților de producție în contextul participării la procesul de reconstrucție postbelică a Ucrainei și; </w:t>
            </w:r>
          </w:p>
          <w:p w:rsidR="00610B77" w:rsidRPr="00610B77" w:rsidRDefault="00610B77" w:rsidP="00610B77">
            <w:pPr>
              <w:numPr>
                <w:ilvl w:val="0"/>
                <w:numId w:val="10"/>
              </w:numPr>
              <w:spacing w:line="276" w:lineRule="auto"/>
              <w:contextualSpacing/>
              <w:jc w:val="both"/>
              <w:rPr>
                <w:sz w:val="24"/>
                <w:szCs w:val="24"/>
                <w:lang w:eastAsia="en-US"/>
              </w:rPr>
            </w:pPr>
            <w:r w:rsidRPr="00610B77">
              <w:rPr>
                <w:sz w:val="24"/>
                <w:szCs w:val="24"/>
                <w:lang w:eastAsia="en-US"/>
              </w:rPr>
              <w:t>dezvoltarea industriei alimentare în vederea asigurării securității alimentare a țării și devenirii unui producător semnificativ pe piața est-europeană.</w:t>
            </w:r>
          </w:p>
          <w:p w:rsidR="00610B77" w:rsidRDefault="00043EDD" w:rsidP="00051F41">
            <w:pPr>
              <w:spacing w:line="276" w:lineRule="auto"/>
              <w:jc w:val="both"/>
              <w:rPr>
                <w:sz w:val="24"/>
                <w:szCs w:val="24"/>
              </w:rPr>
            </w:pPr>
            <w:r>
              <w:rPr>
                <w:sz w:val="24"/>
                <w:szCs w:val="24"/>
              </w:rPr>
              <w:t>Rezultatele scontate de la implementarea acțiunilor prevăzute în Program vor asigura:</w:t>
            </w:r>
          </w:p>
          <w:p w:rsidR="00043EDD" w:rsidRPr="00043EDD" w:rsidRDefault="00043EDD" w:rsidP="00043EDD">
            <w:pPr>
              <w:spacing w:line="276" w:lineRule="auto"/>
              <w:jc w:val="both"/>
              <w:rPr>
                <w:sz w:val="24"/>
                <w:szCs w:val="24"/>
                <w:lang w:val="ro-MD"/>
              </w:rPr>
            </w:pPr>
            <w:bookmarkStart w:id="0" w:name="_Hlk156928271"/>
            <w:r w:rsidRPr="00043EDD">
              <w:rPr>
                <w:sz w:val="24"/>
                <w:szCs w:val="24"/>
                <w:lang w:val="ro-MD"/>
              </w:rPr>
              <w:t>1. Rata indicatorului Calitatea Reglementărilor (</w:t>
            </w:r>
            <w:proofErr w:type="spellStart"/>
            <w:r w:rsidRPr="00043EDD">
              <w:rPr>
                <w:i/>
                <w:iCs/>
                <w:sz w:val="24"/>
                <w:szCs w:val="24"/>
                <w:lang w:val="ro-MD"/>
              </w:rPr>
              <w:t>Regulatory</w:t>
            </w:r>
            <w:proofErr w:type="spellEnd"/>
            <w:r w:rsidRPr="00043EDD">
              <w:rPr>
                <w:i/>
                <w:iCs/>
                <w:sz w:val="24"/>
                <w:szCs w:val="24"/>
                <w:lang w:val="ro-MD"/>
              </w:rPr>
              <w:t xml:space="preserve"> Quality</w:t>
            </w:r>
            <w:r w:rsidRPr="00043EDD">
              <w:rPr>
                <w:sz w:val="24"/>
                <w:szCs w:val="24"/>
                <w:lang w:val="ro-MD"/>
              </w:rPr>
              <w:t>), în creștere cu 10%, în anul 2026.</w:t>
            </w:r>
          </w:p>
          <w:p w:rsidR="00043EDD" w:rsidRPr="00043EDD" w:rsidRDefault="00043EDD" w:rsidP="00043EDD">
            <w:pPr>
              <w:spacing w:line="276" w:lineRule="auto"/>
              <w:jc w:val="both"/>
              <w:rPr>
                <w:sz w:val="24"/>
                <w:szCs w:val="24"/>
                <w:lang w:val="ro-MD"/>
              </w:rPr>
            </w:pPr>
            <w:r w:rsidRPr="00043EDD">
              <w:rPr>
                <w:sz w:val="24"/>
                <w:szCs w:val="24"/>
                <w:lang w:val="ro-MD"/>
              </w:rPr>
              <w:t>2. Rata Indexului Infrastructurii Calității pentru Dezvoltare Sustenabilă,  în creștere cu 10%, în anul 2026.</w:t>
            </w:r>
          </w:p>
          <w:p w:rsidR="00610B77" w:rsidRDefault="00043EDD" w:rsidP="00043EDD">
            <w:pPr>
              <w:spacing w:line="276" w:lineRule="auto"/>
              <w:jc w:val="both"/>
              <w:rPr>
                <w:sz w:val="24"/>
                <w:szCs w:val="24"/>
              </w:rPr>
            </w:pPr>
            <w:r w:rsidRPr="00043EDD">
              <w:rPr>
                <w:sz w:val="24"/>
                <w:szCs w:val="24"/>
                <w:lang w:val="ro-MD"/>
              </w:rPr>
              <w:t>2. Numărul managerilor calificați din întreprinderile industriale, în creștere cu 25%, în anul 2026.</w:t>
            </w:r>
            <w:bookmarkEnd w:id="0"/>
          </w:p>
          <w:p w:rsidR="00610B77" w:rsidRDefault="00610B77" w:rsidP="00051F41">
            <w:pPr>
              <w:spacing w:line="276" w:lineRule="auto"/>
              <w:jc w:val="both"/>
              <w:rPr>
                <w:sz w:val="24"/>
                <w:szCs w:val="24"/>
              </w:rPr>
            </w:pPr>
          </w:p>
          <w:p w:rsidR="00756F04" w:rsidRPr="00756F04" w:rsidRDefault="00756F04" w:rsidP="00756F04">
            <w:pPr>
              <w:keepNext/>
              <w:keepLines/>
              <w:spacing w:after="120" w:line="276" w:lineRule="auto"/>
              <w:jc w:val="both"/>
              <w:outlineLvl w:val="0"/>
              <w:rPr>
                <w:sz w:val="24"/>
                <w:szCs w:val="24"/>
                <w:lang w:val="ro-MD" w:eastAsia="en-US"/>
              </w:rPr>
            </w:pPr>
            <w:r w:rsidRPr="00756F04">
              <w:rPr>
                <w:sz w:val="24"/>
                <w:szCs w:val="24"/>
                <w:lang w:val="ro-MD" w:eastAsia="en-US"/>
              </w:rPr>
              <w:lastRenderedPageBreak/>
              <w:t xml:space="preserve">În plus, față de costurile directe legate de implementarea, pot exista și alte costuri indirecte, precum costuri administrative și costuri acoperite nemijlocit de către partenerii strategii de dezvoltare. </w:t>
            </w:r>
          </w:p>
          <w:p w:rsidR="00756F04" w:rsidRPr="00756F04" w:rsidRDefault="00756F04" w:rsidP="00756F04">
            <w:pPr>
              <w:keepNext/>
              <w:keepLines/>
              <w:spacing w:line="276" w:lineRule="auto"/>
              <w:jc w:val="both"/>
              <w:outlineLvl w:val="0"/>
              <w:rPr>
                <w:sz w:val="24"/>
                <w:szCs w:val="24"/>
                <w:lang w:val="ro-MD" w:eastAsia="en-US"/>
              </w:rPr>
            </w:pPr>
            <w:r w:rsidRPr="00756F04">
              <w:rPr>
                <w:sz w:val="24"/>
                <w:szCs w:val="24"/>
                <w:lang w:val="ro-MD" w:eastAsia="en-US"/>
              </w:rPr>
              <w:t>Pentru a implementa obiectivele generale și specifice ale Programului, sunt necesare următoarele resurse financiare și nefinanciare:</w:t>
            </w:r>
          </w:p>
          <w:p w:rsidR="00756F04" w:rsidRPr="00756F04" w:rsidRDefault="00756F04" w:rsidP="00756F04">
            <w:pPr>
              <w:keepNext/>
              <w:keepLines/>
              <w:numPr>
                <w:ilvl w:val="0"/>
                <w:numId w:val="11"/>
              </w:numPr>
              <w:spacing w:line="276" w:lineRule="auto"/>
              <w:jc w:val="both"/>
              <w:outlineLvl w:val="0"/>
              <w:rPr>
                <w:sz w:val="24"/>
                <w:szCs w:val="24"/>
                <w:lang w:val="ro-MD" w:eastAsia="en-US"/>
              </w:rPr>
            </w:pPr>
            <w:r w:rsidRPr="00756F04">
              <w:rPr>
                <w:sz w:val="24"/>
                <w:szCs w:val="24"/>
                <w:lang w:val="ro-MD" w:eastAsia="en-US"/>
              </w:rPr>
              <w:t>Finanțare publică pentru dezvoltarea și implementarea politicilor și programelor de susținere aferente mediului antreprenorial;</w:t>
            </w:r>
          </w:p>
          <w:p w:rsidR="00756F04" w:rsidRPr="00756F04" w:rsidRDefault="00756F04" w:rsidP="00756F04">
            <w:pPr>
              <w:keepNext/>
              <w:keepLines/>
              <w:numPr>
                <w:ilvl w:val="0"/>
                <w:numId w:val="11"/>
              </w:numPr>
              <w:spacing w:line="276" w:lineRule="auto"/>
              <w:jc w:val="both"/>
              <w:outlineLvl w:val="0"/>
              <w:rPr>
                <w:sz w:val="24"/>
                <w:szCs w:val="24"/>
                <w:lang w:val="ro-MD" w:eastAsia="en-US"/>
              </w:rPr>
            </w:pPr>
            <w:r w:rsidRPr="00756F04">
              <w:rPr>
                <w:sz w:val="24"/>
                <w:szCs w:val="24"/>
                <w:lang w:val="ro-MD" w:eastAsia="en-US"/>
              </w:rPr>
              <w:t>Resurse umane cu competențe și expertiză în domeniul, precum și capacități instituționale pentru implementarea politicilor și măsurilor aferente mediului de afaceri;</w:t>
            </w:r>
          </w:p>
          <w:p w:rsidR="00756F04" w:rsidRPr="00756F04" w:rsidRDefault="00756F04" w:rsidP="00756F04">
            <w:pPr>
              <w:keepNext/>
              <w:keepLines/>
              <w:numPr>
                <w:ilvl w:val="0"/>
                <w:numId w:val="11"/>
              </w:numPr>
              <w:spacing w:after="120" w:line="276" w:lineRule="auto"/>
              <w:ind w:left="714" w:hanging="357"/>
              <w:jc w:val="both"/>
              <w:outlineLvl w:val="0"/>
              <w:rPr>
                <w:sz w:val="24"/>
                <w:szCs w:val="24"/>
                <w:lang w:val="ro-MD" w:eastAsia="en-US"/>
              </w:rPr>
            </w:pPr>
            <w:r w:rsidRPr="00756F04">
              <w:rPr>
                <w:sz w:val="24"/>
                <w:szCs w:val="24"/>
                <w:lang w:val="ro-MD" w:eastAsia="en-US"/>
              </w:rPr>
              <w:t>Suportul partenerilor strategici de dezvoltare ai Republicii Moldova.</w:t>
            </w:r>
          </w:p>
          <w:p w:rsidR="00DB516A" w:rsidRPr="00051F41" w:rsidRDefault="009425D6" w:rsidP="009C46F0">
            <w:pPr>
              <w:spacing w:line="276" w:lineRule="auto"/>
              <w:jc w:val="both"/>
              <w:rPr>
                <w:sz w:val="24"/>
                <w:szCs w:val="24"/>
              </w:rPr>
            </w:pPr>
            <w:r w:rsidRPr="00051F41">
              <w:rPr>
                <w:sz w:val="24"/>
                <w:szCs w:val="24"/>
              </w:rPr>
              <w:t xml:space="preserve">Pentru implementarea obiectivelor Programului și măsurilor de intervenție vor fi necesare mijloace financiare în valoare de cca </w:t>
            </w:r>
            <w:r w:rsidR="009C46F0" w:rsidRPr="004A02E0">
              <w:rPr>
                <w:i/>
                <w:sz w:val="24"/>
                <w:szCs w:val="24"/>
                <w:lang w:val="ro-MD" w:eastAsia="en-GB"/>
              </w:rPr>
              <w:t>258706,7</w:t>
            </w:r>
            <w:r w:rsidR="009C46F0">
              <w:rPr>
                <w:sz w:val="24"/>
                <w:szCs w:val="24"/>
              </w:rPr>
              <w:t xml:space="preserve"> </w:t>
            </w:r>
            <w:r w:rsidR="009C46F0">
              <w:rPr>
                <w:i/>
                <w:iCs/>
                <w:sz w:val="24"/>
                <w:szCs w:val="24"/>
                <w:lang w:val="en-US"/>
              </w:rPr>
              <w:t>mii</w:t>
            </w:r>
            <w:r w:rsidRPr="00051F41">
              <w:rPr>
                <w:i/>
                <w:iCs/>
                <w:sz w:val="24"/>
                <w:szCs w:val="24"/>
              </w:rPr>
              <w:t xml:space="preserve"> lei.</w:t>
            </w:r>
            <w:r w:rsidR="00EB3493">
              <w:rPr>
                <w:i/>
                <w:iCs/>
                <w:sz w:val="24"/>
                <w:szCs w:val="24"/>
              </w:rPr>
              <w:t xml:space="preserve"> </w:t>
            </w:r>
            <w:r w:rsidR="00EB3493" w:rsidRPr="00EB3493">
              <w:rPr>
                <w:b/>
                <w:sz w:val="24"/>
                <w:szCs w:val="24"/>
                <w:highlight w:val="yellow"/>
                <w:lang w:val="ro-MD" w:eastAsia="en-US"/>
              </w:rPr>
              <w:t>261763,1</w:t>
            </w:r>
            <w:bookmarkStart w:id="1" w:name="_GoBack"/>
            <w:bookmarkEnd w:id="1"/>
          </w:p>
        </w:tc>
      </w:tr>
      <w:tr w:rsidR="00DB516A" w:rsidRPr="00051F41" w:rsidTr="00EA5308">
        <w:tc>
          <w:tcPr>
            <w:tcW w:w="541" w:type="dxa"/>
            <w:shd w:val="clear" w:color="auto" w:fill="D9D9D9" w:themeFill="background1" w:themeFillShade="D9"/>
          </w:tcPr>
          <w:p w:rsidR="00DB516A" w:rsidRPr="00051F41" w:rsidRDefault="00CA3617" w:rsidP="00236C19">
            <w:pPr>
              <w:spacing w:line="276" w:lineRule="auto"/>
              <w:rPr>
                <w:b/>
                <w:sz w:val="24"/>
                <w:szCs w:val="24"/>
              </w:rPr>
            </w:pPr>
            <w:r w:rsidRPr="00051F41">
              <w:rPr>
                <w:b/>
                <w:sz w:val="24"/>
                <w:szCs w:val="24"/>
              </w:rPr>
              <w:lastRenderedPageBreak/>
              <w:t>6.</w:t>
            </w:r>
          </w:p>
        </w:tc>
        <w:tc>
          <w:tcPr>
            <w:tcW w:w="9510" w:type="dxa"/>
            <w:shd w:val="clear" w:color="auto" w:fill="D9D9D9" w:themeFill="background1" w:themeFillShade="D9"/>
          </w:tcPr>
          <w:p w:rsidR="00DB516A" w:rsidRPr="00051F41" w:rsidRDefault="00DB516A" w:rsidP="00236C19">
            <w:pPr>
              <w:spacing w:line="276" w:lineRule="auto"/>
              <w:rPr>
                <w:b/>
                <w:sz w:val="24"/>
                <w:szCs w:val="24"/>
              </w:rPr>
            </w:pPr>
            <w:r w:rsidRPr="00051F41">
              <w:rPr>
                <w:b/>
                <w:sz w:val="24"/>
                <w:szCs w:val="24"/>
              </w:rPr>
              <w:t>Modul de încorporare a actului în cadrul normativ în vigoare</w:t>
            </w:r>
          </w:p>
        </w:tc>
      </w:tr>
      <w:tr w:rsidR="00DB516A" w:rsidRPr="00051F41" w:rsidTr="00EA5308">
        <w:tc>
          <w:tcPr>
            <w:tcW w:w="541" w:type="dxa"/>
            <w:shd w:val="clear" w:color="auto" w:fill="FFFFFF" w:themeFill="background1"/>
          </w:tcPr>
          <w:p w:rsidR="00DB516A" w:rsidRPr="00051F41" w:rsidRDefault="00DB516A" w:rsidP="007B7A63">
            <w:pPr>
              <w:spacing w:line="276" w:lineRule="auto"/>
              <w:jc w:val="both"/>
              <w:rPr>
                <w:sz w:val="24"/>
                <w:szCs w:val="24"/>
              </w:rPr>
            </w:pPr>
          </w:p>
        </w:tc>
        <w:tc>
          <w:tcPr>
            <w:tcW w:w="9510" w:type="dxa"/>
            <w:shd w:val="clear" w:color="auto" w:fill="FFFFFF" w:themeFill="background1"/>
          </w:tcPr>
          <w:p w:rsidR="00DB516A" w:rsidRPr="00051F41" w:rsidRDefault="00EA5308" w:rsidP="00EA5308">
            <w:pPr>
              <w:spacing w:line="276" w:lineRule="auto"/>
              <w:jc w:val="both"/>
              <w:rPr>
                <w:sz w:val="24"/>
                <w:szCs w:val="24"/>
              </w:rPr>
            </w:pPr>
            <w:r w:rsidRPr="00051F41">
              <w:rPr>
                <w:sz w:val="24"/>
                <w:szCs w:val="24"/>
              </w:rPr>
              <w:t>Punerea în aplicare a prevederilor proiectului în cauză nu necesită modificarea sau abrogarea altor acte normative</w:t>
            </w:r>
          </w:p>
        </w:tc>
      </w:tr>
      <w:tr w:rsidR="00DB516A" w:rsidRPr="00051F41" w:rsidTr="00EA5308">
        <w:tc>
          <w:tcPr>
            <w:tcW w:w="541" w:type="dxa"/>
            <w:shd w:val="clear" w:color="auto" w:fill="D9D9D9" w:themeFill="background1" w:themeFillShade="D9"/>
          </w:tcPr>
          <w:p w:rsidR="00DB516A" w:rsidRPr="00051F41" w:rsidRDefault="00CA3617" w:rsidP="007B7A63">
            <w:pPr>
              <w:spacing w:line="276" w:lineRule="auto"/>
              <w:jc w:val="both"/>
              <w:rPr>
                <w:b/>
                <w:sz w:val="24"/>
                <w:szCs w:val="24"/>
              </w:rPr>
            </w:pPr>
            <w:r w:rsidRPr="00051F41">
              <w:rPr>
                <w:b/>
                <w:sz w:val="24"/>
                <w:szCs w:val="24"/>
              </w:rPr>
              <w:t>7.</w:t>
            </w:r>
          </w:p>
        </w:tc>
        <w:tc>
          <w:tcPr>
            <w:tcW w:w="9510" w:type="dxa"/>
            <w:shd w:val="clear" w:color="auto" w:fill="D9D9D9" w:themeFill="background1" w:themeFillShade="D9"/>
          </w:tcPr>
          <w:p w:rsidR="00DB516A" w:rsidRPr="00051F41" w:rsidRDefault="00DB516A" w:rsidP="007B7A63">
            <w:pPr>
              <w:spacing w:line="276" w:lineRule="auto"/>
              <w:jc w:val="both"/>
              <w:rPr>
                <w:sz w:val="24"/>
                <w:szCs w:val="24"/>
              </w:rPr>
            </w:pPr>
            <w:r w:rsidRPr="00051F41">
              <w:rPr>
                <w:b/>
                <w:sz w:val="24"/>
                <w:szCs w:val="24"/>
              </w:rPr>
              <w:t xml:space="preserve">Avizarea </w:t>
            </w:r>
            <w:proofErr w:type="spellStart"/>
            <w:r w:rsidRPr="00051F41">
              <w:rPr>
                <w:b/>
                <w:sz w:val="24"/>
                <w:szCs w:val="24"/>
              </w:rPr>
              <w:t>şi</w:t>
            </w:r>
            <w:proofErr w:type="spellEnd"/>
            <w:r w:rsidRPr="00051F41">
              <w:rPr>
                <w:b/>
                <w:sz w:val="24"/>
                <w:szCs w:val="24"/>
              </w:rPr>
              <w:t xml:space="preserve"> consultarea publică a proiectului</w:t>
            </w:r>
          </w:p>
        </w:tc>
      </w:tr>
      <w:tr w:rsidR="00DB516A" w:rsidRPr="00051F41" w:rsidTr="00EA5308">
        <w:tc>
          <w:tcPr>
            <w:tcW w:w="541" w:type="dxa"/>
            <w:shd w:val="clear" w:color="auto" w:fill="FFFFFF" w:themeFill="background1"/>
          </w:tcPr>
          <w:p w:rsidR="00DB516A" w:rsidRPr="00051F41" w:rsidRDefault="00DB516A" w:rsidP="00B83FA5">
            <w:pPr>
              <w:spacing w:line="276" w:lineRule="auto"/>
              <w:jc w:val="both"/>
              <w:rPr>
                <w:sz w:val="24"/>
                <w:szCs w:val="24"/>
              </w:rPr>
            </w:pPr>
          </w:p>
        </w:tc>
        <w:tc>
          <w:tcPr>
            <w:tcW w:w="9510" w:type="dxa"/>
            <w:shd w:val="clear" w:color="auto" w:fill="FFFFFF" w:themeFill="background1"/>
          </w:tcPr>
          <w:p w:rsidR="00DB516A" w:rsidRPr="00051F41" w:rsidRDefault="00921755" w:rsidP="00921755">
            <w:pPr>
              <w:spacing w:line="276" w:lineRule="auto"/>
              <w:jc w:val="both"/>
              <w:rPr>
                <w:sz w:val="24"/>
                <w:szCs w:val="24"/>
              </w:rPr>
            </w:pPr>
            <w:r w:rsidRPr="00921755">
              <w:rPr>
                <w:rFonts w:eastAsia="Calibri"/>
                <w:sz w:val="24"/>
                <w:szCs w:val="24"/>
                <w:lang w:val="en-US" w:eastAsia="en-US"/>
              </w:rPr>
              <w:t xml:space="preserve">În </w:t>
            </w:r>
            <w:r w:rsidRPr="00921755">
              <w:rPr>
                <w:rFonts w:eastAsia="Calibri"/>
                <w:sz w:val="24"/>
                <w:szCs w:val="24"/>
                <w:lang w:val="ro-MD" w:eastAsia="en-US"/>
              </w:rPr>
              <w:t>scopul respectării prevederilor Legii nr.239/2008 privind transparența în procesul decizional</w:t>
            </w:r>
            <w:r w:rsidRPr="00921755">
              <w:rPr>
                <w:rFonts w:eastAsia="Calibri"/>
                <w:sz w:val="24"/>
                <w:szCs w:val="24"/>
                <w:lang w:val="en-US" w:eastAsia="en-US"/>
              </w:rPr>
              <w:t xml:space="preserve">, </w:t>
            </w:r>
            <w:r>
              <w:rPr>
                <w:rFonts w:eastAsia="Calibri"/>
                <w:sz w:val="24"/>
                <w:szCs w:val="24"/>
                <w:lang w:val="en-US" w:eastAsia="en-US"/>
              </w:rPr>
              <w:t>p</w:t>
            </w:r>
            <w:r w:rsidR="00756F04">
              <w:rPr>
                <w:sz w:val="24"/>
                <w:szCs w:val="24"/>
              </w:rPr>
              <w:t>e pagina web a ministerului a fost publicat anunțul de inițiere a procesului de elaborarea a proiectului de hotărâre, Ulterior, după înregistrare la Cancelaria de Stat, p</w:t>
            </w:r>
            <w:r w:rsidR="00DB516A" w:rsidRPr="00051F41">
              <w:rPr>
                <w:sz w:val="24"/>
                <w:szCs w:val="24"/>
              </w:rPr>
              <w:t>roiectul va fi publicat pentru consultări publice</w:t>
            </w:r>
            <w:r w:rsidR="00756F04">
              <w:rPr>
                <w:sz w:val="24"/>
                <w:szCs w:val="24"/>
              </w:rPr>
              <w:t xml:space="preserve"> pe particip.gov.md și pagina web a ministerului.</w:t>
            </w:r>
          </w:p>
        </w:tc>
      </w:tr>
      <w:tr w:rsidR="00DB516A" w:rsidRPr="00051F41" w:rsidTr="00EA5308">
        <w:tc>
          <w:tcPr>
            <w:tcW w:w="541" w:type="dxa"/>
            <w:shd w:val="clear" w:color="auto" w:fill="D9D9D9" w:themeFill="background1" w:themeFillShade="D9"/>
          </w:tcPr>
          <w:p w:rsidR="00DB516A" w:rsidRPr="00051F41" w:rsidRDefault="00CA3617" w:rsidP="007B7A63">
            <w:pPr>
              <w:spacing w:line="276" w:lineRule="auto"/>
              <w:jc w:val="both"/>
              <w:rPr>
                <w:b/>
                <w:sz w:val="24"/>
                <w:szCs w:val="24"/>
              </w:rPr>
            </w:pPr>
            <w:r w:rsidRPr="00051F41">
              <w:rPr>
                <w:b/>
                <w:sz w:val="24"/>
                <w:szCs w:val="24"/>
              </w:rPr>
              <w:t>8.</w:t>
            </w:r>
          </w:p>
        </w:tc>
        <w:tc>
          <w:tcPr>
            <w:tcW w:w="9510" w:type="dxa"/>
            <w:shd w:val="clear" w:color="auto" w:fill="FFFFFF" w:themeFill="background1"/>
          </w:tcPr>
          <w:p w:rsidR="00DB516A" w:rsidRPr="00051F41" w:rsidRDefault="00DB516A" w:rsidP="007B7A63">
            <w:pPr>
              <w:spacing w:line="276" w:lineRule="auto"/>
              <w:jc w:val="both"/>
              <w:rPr>
                <w:sz w:val="24"/>
                <w:szCs w:val="24"/>
              </w:rPr>
            </w:pPr>
            <w:r w:rsidRPr="00051F41">
              <w:rPr>
                <w:b/>
                <w:sz w:val="24"/>
                <w:szCs w:val="24"/>
              </w:rPr>
              <w:t xml:space="preserve">Constatările expertizei </w:t>
            </w:r>
            <w:r w:rsidR="00EA5308" w:rsidRPr="00051F41">
              <w:rPr>
                <w:b/>
                <w:sz w:val="24"/>
                <w:szCs w:val="24"/>
              </w:rPr>
              <w:t>anticorupție</w:t>
            </w:r>
          </w:p>
        </w:tc>
      </w:tr>
      <w:tr w:rsidR="00DB516A" w:rsidRPr="00051F41" w:rsidTr="00EA5308">
        <w:tc>
          <w:tcPr>
            <w:tcW w:w="541" w:type="dxa"/>
            <w:shd w:val="clear" w:color="auto" w:fill="FFFFFF" w:themeFill="background1"/>
          </w:tcPr>
          <w:p w:rsidR="00DB516A" w:rsidRPr="00051F41" w:rsidRDefault="00DB516A" w:rsidP="00B83FA5">
            <w:pPr>
              <w:spacing w:line="276" w:lineRule="auto"/>
              <w:jc w:val="both"/>
              <w:rPr>
                <w:sz w:val="24"/>
                <w:szCs w:val="24"/>
              </w:rPr>
            </w:pPr>
          </w:p>
        </w:tc>
        <w:tc>
          <w:tcPr>
            <w:tcW w:w="9510" w:type="dxa"/>
            <w:shd w:val="clear" w:color="auto" w:fill="FFFFFF" w:themeFill="background1"/>
          </w:tcPr>
          <w:p w:rsidR="00DB516A" w:rsidRPr="00921755" w:rsidRDefault="00921755" w:rsidP="00B83FA5">
            <w:pPr>
              <w:spacing w:line="276" w:lineRule="auto"/>
              <w:jc w:val="both"/>
              <w:rPr>
                <w:sz w:val="24"/>
                <w:szCs w:val="24"/>
                <w:lang w:val="ro-MD"/>
              </w:rPr>
            </w:pPr>
            <w:r w:rsidRPr="00921755">
              <w:rPr>
                <w:rFonts w:eastAsia="Calibri"/>
                <w:sz w:val="24"/>
                <w:szCs w:val="24"/>
                <w:lang w:val="ro-MD" w:eastAsia="ro-RO"/>
              </w:rPr>
              <w:t>Proiectul va fi supus expertizei anticorupție conform art.35 din Legea nr.100/2017 cu privire la actele normative</w:t>
            </w:r>
          </w:p>
        </w:tc>
      </w:tr>
      <w:tr w:rsidR="00DB516A" w:rsidRPr="00051F41" w:rsidTr="00EA5308">
        <w:tc>
          <w:tcPr>
            <w:tcW w:w="541" w:type="dxa"/>
            <w:shd w:val="clear" w:color="auto" w:fill="D9D9D9" w:themeFill="background1" w:themeFillShade="D9"/>
          </w:tcPr>
          <w:p w:rsidR="00DB516A" w:rsidRPr="00051F41" w:rsidRDefault="00CA3617" w:rsidP="00B83FA5">
            <w:pPr>
              <w:spacing w:line="276" w:lineRule="auto"/>
              <w:jc w:val="both"/>
              <w:rPr>
                <w:b/>
                <w:sz w:val="24"/>
                <w:szCs w:val="24"/>
              </w:rPr>
            </w:pPr>
            <w:r w:rsidRPr="00051F41">
              <w:rPr>
                <w:b/>
                <w:sz w:val="24"/>
                <w:szCs w:val="24"/>
              </w:rPr>
              <w:t>9.</w:t>
            </w:r>
          </w:p>
        </w:tc>
        <w:tc>
          <w:tcPr>
            <w:tcW w:w="9510" w:type="dxa"/>
            <w:shd w:val="clear" w:color="auto" w:fill="D9D9D9" w:themeFill="background1" w:themeFillShade="D9"/>
          </w:tcPr>
          <w:p w:rsidR="00DB516A" w:rsidRPr="00051F41" w:rsidRDefault="00DB516A" w:rsidP="00B83FA5">
            <w:pPr>
              <w:spacing w:line="276" w:lineRule="auto"/>
              <w:jc w:val="both"/>
              <w:rPr>
                <w:sz w:val="24"/>
                <w:szCs w:val="24"/>
              </w:rPr>
            </w:pPr>
            <w:r w:rsidRPr="00051F41">
              <w:rPr>
                <w:b/>
                <w:sz w:val="24"/>
                <w:szCs w:val="24"/>
              </w:rPr>
              <w:t>Constatările expertizei de compatibilitate</w:t>
            </w:r>
          </w:p>
        </w:tc>
      </w:tr>
      <w:tr w:rsidR="00DB516A" w:rsidRPr="00051F41" w:rsidTr="00EA5308">
        <w:tc>
          <w:tcPr>
            <w:tcW w:w="541" w:type="dxa"/>
            <w:shd w:val="clear" w:color="auto" w:fill="FFFFFF" w:themeFill="background1"/>
          </w:tcPr>
          <w:p w:rsidR="00DB516A" w:rsidRPr="00051F41" w:rsidRDefault="00DB516A" w:rsidP="00B83FA5">
            <w:pPr>
              <w:spacing w:line="276" w:lineRule="auto"/>
              <w:jc w:val="both"/>
              <w:rPr>
                <w:sz w:val="24"/>
                <w:szCs w:val="24"/>
              </w:rPr>
            </w:pPr>
          </w:p>
        </w:tc>
        <w:tc>
          <w:tcPr>
            <w:tcW w:w="9510" w:type="dxa"/>
            <w:shd w:val="clear" w:color="auto" w:fill="FFFFFF" w:themeFill="background1"/>
          </w:tcPr>
          <w:p w:rsidR="00DB516A" w:rsidRPr="00051F41" w:rsidRDefault="0022364D" w:rsidP="00B83FA5">
            <w:pPr>
              <w:spacing w:line="276" w:lineRule="auto"/>
              <w:jc w:val="both"/>
              <w:rPr>
                <w:sz w:val="24"/>
                <w:szCs w:val="24"/>
              </w:rPr>
            </w:pPr>
            <w:r w:rsidRPr="00051F41">
              <w:rPr>
                <w:sz w:val="24"/>
                <w:szCs w:val="24"/>
              </w:rPr>
              <w:t>Nu este necesar</w:t>
            </w:r>
          </w:p>
        </w:tc>
      </w:tr>
      <w:tr w:rsidR="00DB516A" w:rsidRPr="00051F41" w:rsidTr="00EA5308">
        <w:tc>
          <w:tcPr>
            <w:tcW w:w="541" w:type="dxa"/>
            <w:shd w:val="clear" w:color="auto" w:fill="D9D9D9" w:themeFill="background1" w:themeFillShade="D9"/>
          </w:tcPr>
          <w:p w:rsidR="00DB516A" w:rsidRPr="00051F41" w:rsidRDefault="00CA3617" w:rsidP="007B7A63">
            <w:pPr>
              <w:spacing w:line="276" w:lineRule="auto"/>
              <w:jc w:val="both"/>
              <w:rPr>
                <w:b/>
                <w:sz w:val="24"/>
                <w:szCs w:val="24"/>
              </w:rPr>
            </w:pPr>
            <w:r w:rsidRPr="00051F41">
              <w:rPr>
                <w:b/>
                <w:sz w:val="24"/>
                <w:szCs w:val="24"/>
              </w:rPr>
              <w:t>10.</w:t>
            </w:r>
          </w:p>
        </w:tc>
        <w:tc>
          <w:tcPr>
            <w:tcW w:w="9510" w:type="dxa"/>
            <w:shd w:val="clear" w:color="auto" w:fill="D9D9D9" w:themeFill="background1" w:themeFillShade="D9"/>
          </w:tcPr>
          <w:p w:rsidR="00DB516A" w:rsidRPr="00051F41" w:rsidRDefault="00DB516A" w:rsidP="007B7A63">
            <w:pPr>
              <w:spacing w:line="276" w:lineRule="auto"/>
              <w:jc w:val="both"/>
              <w:rPr>
                <w:sz w:val="24"/>
                <w:szCs w:val="24"/>
              </w:rPr>
            </w:pPr>
            <w:r w:rsidRPr="00051F41">
              <w:rPr>
                <w:b/>
                <w:sz w:val="24"/>
                <w:szCs w:val="24"/>
              </w:rPr>
              <w:t>Constatările expertizei juridice</w:t>
            </w:r>
          </w:p>
        </w:tc>
      </w:tr>
      <w:tr w:rsidR="00DB516A" w:rsidRPr="00051F41" w:rsidTr="00EA5308">
        <w:tc>
          <w:tcPr>
            <w:tcW w:w="541" w:type="dxa"/>
            <w:shd w:val="clear" w:color="auto" w:fill="FFFFFF" w:themeFill="background1"/>
          </w:tcPr>
          <w:p w:rsidR="00DB516A" w:rsidRPr="00051F41" w:rsidRDefault="00DB516A" w:rsidP="007B7A63">
            <w:pPr>
              <w:spacing w:line="276" w:lineRule="auto"/>
              <w:jc w:val="both"/>
              <w:rPr>
                <w:sz w:val="24"/>
                <w:szCs w:val="24"/>
              </w:rPr>
            </w:pPr>
          </w:p>
        </w:tc>
        <w:tc>
          <w:tcPr>
            <w:tcW w:w="9510" w:type="dxa"/>
            <w:shd w:val="clear" w:color="auto" w:fill="FFFFFF" w:themeFill="background1"/>
          </w:tcPr>
          <w:p w:rsidR="00DB516A" w:rsidRPr="00051F41" w:rsidRDefault="00921755" w:rsidP="00921755">
            <w:pPr>
              <w:spacing w:line="276" w:lineRule="auto"/>
              <w:jc w:val="both"/>
              <w:rPr>
                <w:sz w:val="24"/>
                <w:szCs w:val="24"/>
              </w:rPr>
            </w:pPr>
            <w:r w:rsidRPr="00921755">
              <w:rPr>
                <w:rFonts w:eastAsia="Calibri"/>
                <w:sz w:val="24"/>
                <w:szCs w:val="24"/>
                <w:lang w:val="ro-MD" w:eastAsia="ro-RO"/>
              </w:rPr>
              <w:t xml:space="preserve">Proiectul </w:t>
            </w:r>
            <w:r w:rsidRPr="00921755">
              <w:rPr>
                <w:rFonts w:eastAsia="Calibri"/>
                <w:sz w:val="24"/>
                <w:szCs w:val="24"/>
                <w:lang w:val="ro-MD" w:eastAsia="ro-RO"/>
              </w:rPr>
              <w:t>va fi</w:t>
            </w:r>
            <w:r w:rsidRPr="00921755">
              <w:rPr>
                <w:rFonts w:eastAsia="Calibri"/>
                <w:sz w:val="24"/>
                <w:szCs w:val="24"/>
                <w:lang w:val="ro-MD" w:eastAsia="ro-RO"/>
              </w:rPr>
              <w:t xml:space="preserve"> supus expertizei juridice conform art. 37 din Legea nr.100/2017 cu privire la actele</w:t>
            </w:r>
            <w:r w:rsidRPr="00921755">
              <w:rPr>
                <w:rFonts w:eastAsia="Calibri"/>
                <w:sz w:val="24"/>
                <w:szCs w:val="24"/>
                <w:lang w:val="en-US" w:eastAsia="ro-RO"/>
              </w:rPr>
              <w:t xml:space="preserve"> normative.</w:t>
            </w:r>
          </w:p>
        </w:tc>
      </w:tr>
      <w:tr w:rsidR="00DB516A" w:rsidRPr="00051F41" w:rsidTr="00EA5308">
        <w:tc>
          <w:tcPr>
            <w:tcW w:w="541" w:type="dxa"/>
            <w:shd w:val="clear" w:color="auto" w:fill="D9D9D9" w:themeFill="background1" w:themeFillShade="D9"/>
          </w:tcPr>
          <w:p w:rsidR="00DB516A" w:rsidRPr="00051F41" w:rsidRDefault="00CA3617" w:rsidP="007B7A63">
            <w:pPr>
              <w:spacing w:line="276" w:lineRule="auto"/>
              <w:jc w:val="both"/>
              <w:rPr>
                <w:b/>
                <w:sz w:val="24"/>
                <w:szCs w:val="24"/>
              </w:rPr>
            </w:pPr>
            <w:r w:rsidRPr="00051F41">
              <w:rPr>
                <w:b/>
                <w:sz w:val="24"/>
                <w:szCs w:val="24"/>
              </w:rPr>
              <w:t>11.</w:t>
            </w:r>
          </w:p>
        </w:tc>
        <w:tc>
          <w:tcPr>
            <w:tcW w:w="9510" w:type="dxa"/>
            <w:shd w:val="clear" w:color="auto" w:fill="D9D9D9" w:themeFill="background1" w:themeFillShade="D9"/>
          </w:tcPr>
          <w:p w:rsidR="00DB516A" w:rsidRPr="00051F41" w:rsidRDefault="00DB516A" w:rsidP="007B7A63">
            <w:pPr>
              <w:spacing w:line="276" w:lineRule="auto"/>
              <w:jc w:val="both"/>
              <w:rPr>
                <w:b/>
                <w:sz w:val="24"/>
                <w:szCs w:val="24"/>
              </w:rPr>
            </w:pPr>
            <w:r w:rsidRPr="00051F41">
              <w:rPr>
                <w:b/>
                <w:sz w:val="24"/>
                <w:szCs w:val="24"/>
              </w:rPr>
              <w:t>Constatările altor expertize</w:t>
            </w:r>
          </w:p>
        </w:tc>
      </w:tr>
      <w:tr w:rsidR="00DB516A" w:rsidRPr="00051F41" w:rsidTr="00EA5308">
        <w:tc>
          <w:tcPr>
            <w:tcW w:w="541" w:type="dxa"/>
            <w:shd w:val="clear" w:color="auto" w:fill="FFFFFF" w:themeFill="background1"/>
          </w:tcPr>
          <w:p w:rsidR="00DB516A" w:rsidRPr="00051F41" w:rsidRDefault="00DB516A" w:rsidP="007B7A63">
            <w:pPr>
              <w:spacing w:line="276" w:lineRule="auto"/>
              <w:jc w:val="both"/>
              <w:rPr>
                <w:sz w:val="24"/>
                <w:szCs w:val="24"/>
              </w:rPr>
            </w:pPr>
          </w:p>
        </w:tc>
        <w:tc>
          <w:tcPr>
            <w:tcW w:w="9510" w:type="dxa"/>
            <w:shd w:val="clear" w:color="auto" w:fill="FFFFFF" w:themeFill="background1"/>
          </w:tcPr>
          <w:p w:rsidR="00DB516A" w:rsidRPr="00921755" w:rsidRDefault="00921755" w:rsidP="0080515D">
            <w:pPr>
              <w:spacing w:line="276" w:lineRule="auto"/>
              <w:jc w:val="both"/>
              <w:rPr>
                <w:sz w:val="24"/>
                <w:szCs w:val="24"/>
              </w:rPr>
            </w:pPr>
            <w:r w:rsidRPr="00921755">
              <w:rPr>
                <w:sz w:val="24"/>
                <w:szCs w:val="24"/>
              </w:rPr>
              <w:t xml:space="preserve">Conform prevederilor pct. 34, alin. 10) din Regulamentul cu privire la planificarea, elaborarea, aprobarea, implementarea, monitorizarea și evaluarea documentelor de politici publice, aprobat prin Hotărârea Guvernului nr.386/2020, </w:t>
            </w:r>
            <w:r>
              <w:rPr>
                <w:sz w:val="24"/>
                <w:szCs w:val="24"/>
              </w:rPr>
              <w:t>Programul a fost supus</w:t>
            </w:r>
            <w:r w:rsidRPr="00921755">
              <w:rPr>
                <w:sz w:val="24"/>
                <w:szCs w:val="24"/>
              </w:rPr>
              <w:t xml:space="preserve"> evalu</w:t>
            </w:r>
            <w:r>
              <w:rPr>
                <w:sz w:val="24"/>
                <w:szCs w:val="24"/>
              </w:rPr>
              <w:t>ării</w:t>
            </w:r>
            <w:r w:rsidRPr="00921755">
              <w:rPr>
                <w:sz w:val="24"/>
                <w:szCs w:val="24"/>
              </w:rPr>
              <w:t xml:space="preserve"> calității și conformității </w:t>
            </w:r>
            <w:r>
              <w:rPr>
                <w:sz w:val="24"/>
                <w:szCs w:val="24"/>
              </w:rPr>
              <w:t xml:space="preserve">de către Cancelaria de Stat (raportul nr. </w:t>
            </w:r>
            <w:r w:rsidR="0080515D">
              <w:rPr>
                <w:sz w:val="24"/>
                <w:szCs w:val="24"/>
              </w:rPr>
              <w:t>21-113-13200 din 18.12.2023) se anexează. Constatările din Raportul de evaluare a calității și conformității Programului, au fost luate în considerare la definitivarea acestuia.</w:t>
            </w:r>
            <w:r w:rsidR="00DB516A" w:rsidRPr="00921755">
              <w:rPr>
                <w:sz w:val="24"/>
                <w:szCs w:val="24"/>
              </w:rPr>
              <w:t xml:space="preserve"> </w:t>
            </w:r>
          </w:p>
        </w:tc>
      </w:tr>
    </w:tbl>
    <w:p w:rsidR="0047776C" w:rsidRPr="00EA5308" w:rsidRDefault="0047776C" w:rsidP="007B7A63">
      <w:pPr>
        <w:spacing w:line="276" w:lineRule="auto"/>
        <w:ind w:firstLine="567"/>
        <w:jc w:val="both"/>
        <w:rPr>
          <w:sz w:val="26"/>
          <w:szCs w:val="26"/>
        </w:rPr>
      </w:pPr>
    </w:p>
    <w:p w:rsidR="00634142" w:rsidRDefault="00634142" w:rsidP="007B7A63">
      <w:pPr>
        <w:spacing w:line="276" w:lineRule="auto"/>
        <w:ind w:firstLine="567"/>
        <w:jc w:val="both"/>
        <w:rPr>
          <w:b/>
          <w:sz w:val="26"/>
          <w:szCs w:val="26"/>
        </w:rPr>
      </w:pPr>
    </w:p>
    <w:p w:rsidR="00634142" w:rsidRDefault="00634142" w:rsidP="007B7A63">
      <w:pPr>
        <w:spacing w:line="276" w:lineRule="auto"/>
        <w:ind w:firstLine="567"/>
        <w:jc w:val="both"/>
        <w:rPr>
          <w:b/>
          <w:sz w:val="26"/>
          <w:szCs w:val="26"/>
        </w:rPr>
      </w:pPr>
    </w:p>
    <w:p w:rsidR="00634142" w:rsidRPr="00EA5308" w:rsidRDefault="00634142" w:rsidP="007B7A63">
      <w:pPr>
        <w:spacing w:line="276" w:lineRule="auto"/>
        <w:ind w:firstLine="567"/>
        <w:jc w:val="both"/>
        <w:rPr>
          <w:b/>
          <w:sz w:val="26"/>
          <w:szCs w:val="26"/>
        </w:rPr>
      </w:pPr>
    </w:p>
    <w:p w:rsidR="00B56B54" w:rsidRPr="00B56B54" w:rsidRDefault="00B56B54" w:rsidP="00B56B54">
      <w:pPr>
        <w:spacing w:after="160" w:line="276" w:lineRule="auto"/>
        <w:ind w:firstLine="567"/>
        <w:jc w:val="both"/>
        <w:rPr>
          <w:rFonts w:eastAsiaTheme="minorHAnsi"/>
          <w:b/>
          <w:sz w:val="26"/>
          <w:szCs w:val="26"/>
          <w:lang w:val="ro-MD" w:eastAsia="en-US"/>
        </w:rPr>
      </w:pPr>
      <w:r w:rsidRPr="00B56B54">
        <w:rPr>
          <w:rFonts w:eastAsiaTheme="minorHAnsi"/>
          <w:b/>
          <w:sz w:val="26"/>
          <w:szCs w:val="26"/>
          <w:lang w:val="ro-MD" w:eastAsia="en-US"/>
        </w:rPr>
        <w:t xml:space="preserve">Secretar de Stat </w:t>
      </w:r>
      <w:r w:rsidRPr="00B56B54">
        <w:rPr>
          <w:rFonts w:eastAsiaTheme="minorHAnsi"/>
          <w:b/>
          <w:sz w:val="26"/>
          <w:szCs w:val="26"/>
          <w:lang w:val="ro-MD" w:eastAsia="en-US"/>
        </w:rPr>
        <w:tab/>
      </w:r>
      <w:r w:rsidRPr="00B56B54">
        <w:rPr>
          <w:rFonts w:eastAsiaTheme="minorHAnsi"/>
          <w:b/>
          <w:sz w:val="26"/>
          <w:szCs w:val="26"/>
          <w:lang w:val="ro-MD" w:eastAsia="en-US"/>
        </w:rPr>
        <w:tab/>
      </w:r>
      <w:r w:rsidRPr="00B56B54">
        <w:rPr>
          <w:rFonts w:eastAsiaTheme="minorHAnsi"/>
          <w:b/>
          <w:sz w:val="26"/>
          <w:szCs w:val="26"/>
          <w:lang w:val="ro-MD" w:eastAsia="en-US"/>
        </w:rPr>
        <w:tab/>
      </w:r>
      <w:r w:rsidRPr="00B56B54">
        <w:rPr>
          <w:rFonts w:eastAsiaTheme="minorHAnsi"/>
          <w:b/>
          <w:sz w:val="26"/>
          <w:szCs w:val="26"/>
          <w:lang w:val="ro-MD" w:eastAsia="en-US"/>
        </w:rPr>
        <w:tab/>
      </w:r>
      <w:r w:rsidRPr="00B56B54">
        <w:rPr>
          <w:rFonts w:eastAsiaTheme="minorHAnsi"/>
          <w:b/>
          <w:sz w:val="26"/>
          <w:szCs w:val="26"/>
          <w:lang w:val="ro-MD" w:eastAsia="en-US"/>
        </w:rPr>
        <w:tab/>
      </w:r>
      <w:r w:rsidRPr="00B56B54">
        <w:rPr>
          <w:rFonts w:eastAsiaTheme="minorHAnsi"/>
          <w:b/>
          <w:sz w:val="26"/>
          <w:szCs w:val="26"/>
          <w:lang w:val="ro-MD" w:eastAsia="en-US"/>
        </w:rPr>
        <w:tab/>
      </w:r>
      <w:r w:rsidR="0080515D">
        <w:rPr>
          <w:rFonts w:eastAsiaTheme="minorHAnsi"/>
          <w:b/>
          <w:sz w:val="26"/>
          <w:szCs w:val="26"/>
          <w:lang w:val="ro-MD" w:eastAsia="en-US"/>
        </w:rPr>
        <w:t>Viorel GARAZ</w:t>
      </w:r>
    </w:p>
    <w:p w:rsidR="005E6EA8" w:rsidRPr="00EA5308" w:rsidRDefault="00EB3493"/>
    <w:sectPr w:rsidR="005E6EA8" w:rsidRPr="00EA5308" w:rsidSect="004846B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3F90"/>
    <w:multiLevelType w:val="hybridMultilevel"/>
    <w:tmpl w:val="688A135E"/>
    <w:lvl w:ilvl="0" w:tplc="0419000D">
      <w:start w:val="1"/>
      <w:numFmt w:val="bullet"/>
      <w:lvlText w:val=""/>
      <w:lvlJc w:val="left"/>
      <w:pPr>
        <w:ind w:left="928" w:hanging="360"/>
      </w:pPr>
      <w:rPr>
        <w:rFonts w:ascii="Wingdings" w:hAnsi="Wingdings"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C9483B"/>
    <w:multiLevelType w:val="hybridMultilevel"/>
    <w:tmpl w:val="D5C0D058"/>
    <w:lvl w:ilvl="0" w:tplc="B000725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F752C7D"/>
    <w:multiLevelType w:val="hybridMultilevel"/>
    <w:tmpl w:val="D012BF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56935"/>
    <w:multiLevelType w:val="hybridMultilevel"/>
    <w:tmpl w:val="B5808DBA"/>
    <w:lvl w:ilvl="0" w:tplc="B4D8375C">
      <w:numFmt w:val="bullet"/>
      <w:lvlText w:val="-"/>
      <w:lvlJc w:val="left"/>
      <w:pPr>
        <w:ind w:left="720" w:hanging="360"/>
      </w:pPr>
      <w:rPr>
        <w:rFonts w:ascii="Cambria" w:eastAsiaTheme="minorEastAsia"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2D4353"/>
    <w:multiLevelType w:val="hybridMultilevel"/>
    <w:tmpl w:val="6DAA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A6320"/>
    <w:multiLevelType w:val="hybridMultilevel"/>
    <w:tmpl w:val="8E828A4E"/>
    <w:lvl w:ilvl="0" w:tplc="0809000D">
      <w:start w:val="1"/>
      <w:numFmt w:val="bullet"/>
      <w:lvlText w:val=""/>
      <w:lvlJc w:val="left"/>
      <w:pPr>
        <w:ind w:left="1288" w:hanging="360"/>
      </w:pPr>
      <w:rPr>
        <w:rFonts w:ascii="Wingdings" w:hAnsi="Wingdings"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3EAB5D50"/>
    <w:multiLevelType w:val="hybridMultilevel"/>
    <w:tmpl w:val="C394B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130F96"/>
    <w:multiLevelType w:val="hybridMultilevel"/>
    <w:tmpl w:val="32AC604A"/>
    <w:lvl w:ilvl="0" w:tplc="0419000D">
      <w:start w:val="1"/>
      <w:numFmt w:val="bullet"/>
      <w:lvlText w:val=""/>
      <w:lvlJc w:val="left"/>
      <w:pPr>
        <w:ind w:left="928" w:hanging="360"/>
      </w:pPr>
      <w:rPr>
        <w:rFonts w:ascii="Wingdings" w:hAnsi="Wingdings" w:hint="default"/>
        <w:caps w:val="0"/>
        <w:strike w:val="0"/>
        <w:dstrike w:val="0"/>
        <w:vanish w:val="0"/>
        <w:color w:val="auto"/>
        <w:sz w:val="28"/>
        <w:szCs w:val="28"/>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7567DCA"/>
    <w:multiLevelType w:val="multilevel"/>
    <w:tmpl w:val="E292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F73DB"/>
    <w:multiLevelType w:val="singleLevel"/>
    <w:tmpl w:val="04190017"/>
    <w:lvl w:ilvl="0">
      <w:start w:val="1"/>
      <w:numFmt w:val="lowerLetter"/>
      <w:lvlText w:val="%1)"/>
      <w:lvlJc w:val="left"/>
      <w:pPr>
        <w:tabs>
          <w:tab w:val="num" w:pos="360"/>
        </w:tabs>
        <w:ind w:left="360" w:hanging="360"/>
      </w:pPr>
      <w:rPr>
        <w:rFonts w:hint="default"/>
      </w:rPr>
    </w:lvl>
  </w:abstractNum>
  <w:abstractNum w:abstractNumId="10" w15:restartNumberingAfterBreak="0">
    <w:nsid w:val="69854E4B"/>
    <w:multiLevelType w:val="hybridMultilevel"/>
    <w:tmpl w:val="D78E21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10"/>
  </w:num>
  <w:num w:numId="4">
    <w:abstractNumId w:val="5"/>
  </w:num>
  <w:num w:numId="5">
    <w:abstractNumId w:val="9"/>
  </w:num>
  <w:num w:numId="6">
    <w:abstractNumId w:val="2"/>
  </w:num>
  <w:num w:numId="7">
    <w:abstractNumId w:val="3"/>
  </w:num>
  <w:num w:numId="8">
    <w:abstractNumId w:val="6"/>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99E"/>
    <w:rsid w:val="00002E26"/>
    <w:rsid w:val="00043EDD"/>
    <w:rsid w:val="00051F41"/>
    <w:rsid w:val="000578AD"/>
    <w:rsid w:val="0006332E"/>
    <w:rsid w:val="000A29C6"/>
    <w:rsid w:val="000A5548"/>
    <w:rsid w:val="000B2E82"/>
    <w:rsid w:val="000D0C62"/>
    <w:rsid w:val="000E2101"/>
    <w:rsid w:val="00103928"/>
    <w:rsid w:val="00123285"/>
    <w:rsid w:val="001472E0"/>
    <w:rsid w:val="001A0790"/>
    <w:rsid w:val="001F4CE9"/>
    <w:rsid w:val="0022364D"/>
    <w:rsid w:val="00236C19"/>
    <w:rsid w:val="00261FF4"/>
    <w:rsid w:val="002B789F"/>
    <w:rsid w:val="0031476D"/>
    <w:rsid w:val="00330D70"/>
    <w:rsid w:val="0033138B"/>
    <w:rsid w:val="003443F3"/>
    <w:rsid w:val="003638BF"/>
    <w:rsid w:val="00366D06"/>
    <w:rsid w:val="00370F3E"/>
    <w:rsid w:val="00380953"/>
    <w:rsid w:val="00387A30"/>
    <w:rsid w:val="00401A88"/>
    <w:rsid w:val="0047776C"/>
    <w:rsid w:val="004846B4"/>
    <w:rsid w:val="004C796B"/>
    <w:rsid w:val="004E3D1A"/>
    <w:rsid w:val="0051575F"/>
    <w:rsid w:val="00581FE9"/>
    <w:rsid w:val="005A2BDE"/>
    <w:rsid w:val="006052E6"/>
    <w:rsid w:val="00610B77"/>
    <w:rsid w:val="00620203"/>
    <w:rsid w:val="00634142"/>
    <w:rsid w:val="0066537A"/>
    <w:rsid w:val="006A2666"/>
    <w:rsid w:val="006A70F3"/>
    <w:rsid w:val="006C730A"/>
    <w:rsid w:val="00737873"/>
    <w:rsid w:val="00756F04"/>
    <w:rsid w:val="007962AF"/>
    <w:rsid w:val="007B7A63"/>
    <w:rsid w:val="007F4022"/>
    <w:rsid w:val="0080515D"/>
    <w:rsid w:val="00830D11"/>
    <w:rsid w:val="0085057A"/>
    <w:rsid w:val="00863C9B"/>
    <w:rsid w:val="0088700F"/>
    <w:rsid w:val="00895FFF"/>
    <w:rsid w:val="008A2EDE"/>
    <w:rsid w:val="008F0D80"/>
    <w:rsid w:val="00902ADA"/>
    <w:rsid w:val="00921755"/>
    <w:rsid w:val="009425D6"/>
    <w:rsid w:val="00980291"/>
    <w:rsid w:val="009A0A18"/>
    <w:rsid w:val="009C1A0D"/>
    <w:rsid w:val="009C46F0"/>
    <w:rsid w:val="009F699E"/>
    <w:rsid w:val="00A1120D"/>
    <w:rsid w:val="00A55534"/>
    <w:rsid w:val="00A633E8"/>
    <w:rsid w:val="00A649E4"/>
    <w:rsid w:val="00AA56AB"/>
    <w:rsid w:val="00AF1B61"/>
    <w:rsid w:val="00B56B54"/>
    <w:rsid w:val="00B5734B"/>
    <w:rsid w:val="00B83FA5"/>
    <w:rsid w:val="00B86A5E"/>
    <w:rsid w:val="00BA759E"/>
    <w:rsid w:val="00BD4E38"/>
    <w:rsid w:val="00BE6DE8"/>
    <w:rsid w:val="00C15A41"/>
    <w:rsid w:val="00C207B4"/>
    <w:rsid w:val="00C67F88"/>
    <w:rsid w:val="00C8583C"/>
    <w:rsid w:val="00CA3617"/>
    <w:rsid w:val="00CA42E8"/>
    <w:rsid w:val="00CC15F5"/>
    <w:rsid w:val="00CC500D"/>
    <w:rsid w:val="00CF1D7A"/>
    <w:rsid w:val="00CF6AB4"/>
    <w:rsid w:val="00D004D1"/>
    <w:rsid w:val="00D21539"/>
    <w:rsid w:val="00D634D7"/>
    <w:rsid w:val="00D930A4"/>
    <w:rsid w:val="00DB1629"/>
    <w:rsid w:val="00DB516A"/>
    <w:rsid w:val="00E25FDC"/>
    <w:rsid w:val="00E45D4A"/>
    <w:rsid w:val="00E84CA3"/>
    <w:rsid w:val="00EA1EAE"/>
    <w:rsid w:val="00EA2D56"/>
    <w:rsid w:val="00EA5308"/>
    <w:rsid w:val="00EB3493"/>
    <w:rsid w:val="00F07552"/>
    <w:rsid w:val="00F44A26"/>
    <w:rsid w:val="00F7069A"/>
    <w:rsid w:val="00F80C6A"/>
    <w:rsid w:val="00F9029C"/>
    <w:rsid w:val="00FA3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3B08C-D9A5-40AF-9F55-185774AD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A63"/>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7A63"/>
    <w:pPr>
      <w:ind w:left="720"/>
      <w:contextualSpacing/>
    </w:pPr>
  </w:style>
  <w:style w:type="paragraph" w:styleId="a4">
    <w:name w:val="Normal (Web)"/>
    <w:aliases w:val="Знак, Знак,webb,webb Знак Знак"/>
    <w:basedOn w:val="a"/>
    <w:link w:val="a5"/>
    <w:uiPriority w:val="99"/>
    <w:unhideWhenUsed/>
    <w:qFormat/>
    <w:rsid w:val="00B86A5E"/>
    <w:pPr>
      <w:ind w:firstLine="567"/>
      <w:jc w:val="both"/>
    </w:pPr>
    <w:rPr>
      <w:sz w:val="24"/>
      <w:szCs w:val="24"/>
      <w:lang w:val="en-GB" w:eastAsia="en-GB"/>
    </w:rPr>
  </w:style>
  <w:style w:type="paragraph" w:customStyle="1" w:styleId="cp">
    <w:name w:val="cp"/>
    <w:basedOn w:val="a"/>
    <w:rsid w:val="00B86A5E"/>
    <w:pPr>
      <w:jc w:val="center"/>
    </w:pPr>
    <w:rPr>
      <w:b/>
      <w:bCs/>
      <w:sz w:val="24"/>
      <w:szCs w:val="24"/>
      <w:lang w:val="en-GB" w:eastAsia="en-GB"/>
    </w:rPr>
  </w:style>
  <w:style w:type="character" w:customStyle="1" w:styleId="a5">
    <w:name w:val="Обычный (веб) Знак"/>
    <w:aliases w:val="Знак Знак, Знак Знак,webb Знак,webb Знак Знак Знак"/>
    <w:basedOn w:val="a0"/>
    <w:link w:val="a4"/>
    <w:uiPriority w:val="99"/>
    <w:rsid w:val="00B86A5E"/>
    <w:rPr>
      <w:rFonts w:ascii="Times New Roman" w:eastAsia="Times New Roman" w:hAnsi="Times New Roman" w:cs="Times New Roman"/>
      <w:sz w:val="24"/>
      <w:szCs w:val="24"/>
      <w:lang w:eastAsia="en-GB"/>
    </w:rPr>
  </w:style>
  <w:style w:type="paragraph" w:customStyle="1" w:styleId="nt">
    <w:name w:val="nt"/>
    <w:basedOn w:val="a"/>
    <w:rsid w:val="000E2101"/>
    <w:pPr>
      <w:ind w:left="567" w:right="567" w:hanging="567"/>
      <w:jc w:val="both"/>
    </w:pPr>
    <w:rPr>
      <w:i/>
      <w:iCs/>
      <w:color w:val="663300"/>
      <w:lang w:val="en-GB" w:eastAsia="en-GB"/>
    </w:rPr>
  </w:style>
  <w:style w:type="paragraph" w:styleId="a6">
    <w:name w:val="Balloon Text"/>
    <w:basedOn w:val="a"/>
    <w:link w:val="a7"/>
    <w:uiPriority w:val="99"/>
    <w:semiHidden/>
    <w:unhideWhenUsed/>
    <w:rsid w:val="00CF6AB4"/>
    <w:rPr>
      <w:rFonts w:ascii="Segoe UI" w:hAnsi="Segoe UI" w:cs="Segoe UI"/>
      <w:sz w:val="18"/>
      <w:szCs w:val="18"/>
    </w:rPr>
  </w:style>
  <w:style w:type="character" w:customStyle="1" w:styleId="a7">
    <w:name w:val="Текст выноски Знак"/>
    <w:basedOn w:val="a0"/>
    <w:link w:val="a6"/>
    <w:uiPriority w:val="99"/>
    <w:semiHidden/>
    <w:rsid w:val="00CF6AB4"/>
    <w:rPr>
      <w:rFonts w:ascii="Segoe UI" w:eastAsia="Times New Roman" w:hAnsi="Segoe UI" w:cs="Segoe UI"/>
      <w:sz w:val="18"/>
      <w:szCs w:val="18"/>
      <w:lang w:val="ro-RO" w:eastAsia="ru-RU"/>
    </w:rPr>
  </w:style>
  <w:style w:type="table" w:styleId="a8">
    <w:name w:val="Table Grid"/>
    <w:basedOn w:val="a1"/>
    <w:uiPriority w:val="39"/>
    <w:rsid w:val="004E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A55534"/>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A55534"/>
    <w:pPr>
      <w:widowControl w:val="0"/>
      <w:shd w:val="clear" w:color="auto" w:fill="FFFFFF"/>
      <w:spacing w:before="1020" w:line="364" w:lineRule="exact"/>
      <w:jc w:val="both"/>
    </w:pPr>
    <w:rPr>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27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ur-lex.europa.eu/legal-content/EN/TXT/?uri=celex:22014A0830%2801%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1902</Words>
  <Characters>10845</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Lilia</cp:lastModifiedBy>
  <cp:revision>23</cp:revision>
  <cp:lastPrinted>2024-01-26T13:56:00Z</cp:lastPrinted>
  <dcterms:created xsi:type="dcterms:W3CDTF">2024-01-26T11:17:00Z</dcterms:created>
  <dcterms:modified xsi:type="dcterms:W3CDTF">2024-01-26T14:01:00Z</dcterms:modified>
</cp:coreProperties>
</file>