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30" w:rsidRPr="0017198B" w:rsidRDefault="00F17130" w:rsidP="00F17130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198B">
        <w:rPr>
          <w:rFonts w:ascii="Times New Roman" w:hAnsi="Times New Roman" w:cs="Times New Roman"/>
          <w:b/>
          <w:sz w:val="27"/>
          <w:szCs w:val="27"/>
        </w:rPr>
        <w:t>Notă informativă</w:t>
      </w:r>
    </w:p>
    <w:p w:rsidR="00430806" w:rsidRPr="0017198B" w:rsidRDefault="00F17130" w:rsidP="00430806">
      <w:pPr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198B">
        <w:rPr>
          <w:rFonts w:ascii="Times New Roman" w:hAnsi="Times New Roman" w:cs="Times New Roman"/>
          <w:b/>
          <w:sz w:val="27"/>
          <w:szCs w:val="27"/>
        </w:rPr>
        <w:t xml:space="preserve">la proiectul </w:t>
      </w:r>
      <w:r w:rsidR="00644CF9" w:rsidRPr="0017198B">
        <w:rPr>
          <w:rFonts w:ascii="Times New Roman" w:hAnsi="Times New Roman"/>
          <w:b/>
          <w:sz w:val="27"/>
          <w:szCs w:val="27"/>
        </w:rPr>
        <w:t>h</w:t>
      </w:r>
      <w:r w:rsidR="00A63EE0" w:rsidRPr="0017198B">
        <w:rPr>
          <w:rFonts w:ascii="Times New Roman" w:hAnsi="Times New Roman"/>
          <w:b/>
          <w:sz w:val="27"/>
          <w:szCs w:val="27"/>
        </w:rPr>
        <w:t xml:space="preserve">otărârii </w:t>
      </w:r>
      <w:r w:rsidRPr="0017198B">
        <w:rPr>
          <w:rFonts w:ascii="Times New Roman" w:hAnsi="Times New Roman"/>
          <w:b/>
          <w:sz w:val="27"/>
          <w:szCs w:val="27"/>
        </w:rPr>
        <w:t xml:space="preserve">de Guvern </w:t>
      </w:r>
      <w:r w:rsidRPr="0017198B">
        <w:rPr>
          <w:rFonts w:ascii="Times New Roman" w:hAnsi="Times New Roman" w:cs="Times New Roman"/>
          <w:b/>
          <w:sz w:val="27"/>
          <w:szCs w:val="27"/>
        </w:rPr>
        <w:t xml:space="preserve">cu privire la </w:t>
      </w:r>
      <w:r w:rsidR="00430806" w:rsidRPr="0017198B">
        <w:rPr>
          <w:rFonts w:ascii="Times New Roman" w:hAnsi="Times New Roman" w:cs="Times New Roman"/>
          <w:b/>
          <w:sz w:val="27"/>
          <w:szCs w:val="27"/>
        </w:rPr>
        <w:t xml:space="preserve">modificarea </w:t>
      </w:r>
    </w:p>
    <w:p w:rsidR="00486FEB" w:rsidRPr="0017198B" w:rsidRDefault="00430806" w:rsidP="00430806">
      <w:pPr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198B">
        <w:rPr>
          <w:rFonts w:ascii="Times New Roman" w:hAnsi="Times New Roman" w:cs="Times New Roman"/>
          <w:b/>
          <w:sz w:val="27"/>
          <w:szCs w:val="27"/>
        </w:rPr>
        <w:t>Hotărârii Guvernului nr. 610/2023 cu privire la aprobarea Cerințelor de calitate pentru pește și produsele din pește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570"/>
      </w:tblGrid>
      <w:tr w:rsidR="00486FEB" w:rsidRPr="0017198B" w:rsidTr="00D81D4F">
        <w:tc>
          <w:tcPr>
            <w:tcW w:w="9570" w:type="dxa"/>
          </w:tcPr>
          <w:p w:rsidR="00486FEB" w:rsidRPr="0017198B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1.</w:t>
            </w:r>
            <w:r w:rsidR="000B4E9E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Autorii proiectului</w:t>
            </w:r>
          </w:p>
        </w:tc>
      </w:tr>
      <w:tr w:rsidR="00486FEB" w:rsidRPr="0017198B" w:rsidTr="00D81D4F">
        <w:tc>
          <w:tcPr>
            <w:tcW w:w="9570" w:type="dxa"/>
          </w:tcPr>
          <w:p w:rsidR="00486FEB" w:rsidRPr="0017198B" w:rsidRDefault="00486FEB" w:rsidP="00A8639D">
            <w:pPr>
              <w:spacing w:after="0"/>
              <w:ind w:firstLine="596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Ministerul Agriculturii</w:t>
            </w:r>
            <w:r w:rsidR="00A8639D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și Industriei Alimentare</w:t>
            </w:r>
          </w:p>
        </w:tc>
      </w:tr>
      <w:tr w:rsidR="00486FEB" w:rsidRPr="0017198B" w:rsidTr="00D81D4F">
        <w:tc>
          <w:tcPr>
            <w:tcW w:w="9570" w:type="dxa"/>
          </w:tcPr>
          <w:p w:rsidR="00486FEB" w:rsidRPr="0017198B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2.</w:t>
            </w:r>
            <w:r w:rsidR="000B4E9E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E31259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Condițiile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ce au impus elaborarea proiectului de act normativ </w:t>
            </w:r>
            <w:r w:rsidR="00370F45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și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370F45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finalitățile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urmărite</w:t>
            </w:r>
          </w:p>
        </w:tc>
      </w:tr>
      <w:tr w:rsidR="00486FEB" w:rsidRPr="0017198B" w:rsidTr="007E7003">
        <w:trPr>
          <w:trHeight w:val="991"/>
        </w:trPr>
        <w:tc>
          <w:tcPr>
            <w:tcW w:w="9570" w:type="dxa"/>
          </w:tcPr>
          <w:p w:rsidR="00D33020" w:rsidRPr="00F10CFA" w:rsidRDefault="00D33020" w:rsidP="00D33020">
            <w:pPr>
              <w:pStyle w:val="Style7"/>
              <w:tabs>
                <w:tab w:val="left" w:leader="underscore" w:pos="9374"/>
              </w:tabs>
              <w:ind w:left="-14" w:firstLine="720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</w:pPr>
            <w:r w:rsidRPr="00F10CFA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La moment este în vigoare Hotărârea de Guvern 610/2023 cu privire la aprobarea Cerințelor de calitate pentru pește și produsele din pește, dar s-a decis să se completeze cu cerințe de calitate cu privire la crustacee, moluște și alte nevertebrate acvatice, iar ca urmare Hotărârea de Guvern 203/2009 cu privire la aprobarea Reglementării tehnice „Crustacee, moluște și alte nevertebrate acvatice” va fi abrogată.</w:t>
            </w:r>
          </w:p>
          <w:p w:rsidR="00D472A1" w:rsidRPr="00F10CFA" w:rsidRDefault="00D33020" w:rsidP="00F10CFA">
            <w:pPr>
              <w:pStyle w:val="Style7"/>
              <w:tabs>
                <w:tab w:val="left" w:leader="underscore" w:pos="9374"/>
              </w:tabs>
              <w:ind w:left="-14" w:firstLine="720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</w:pPr>
            <w:r w:rsidRPr="00F10CFA"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>Totodată, Hotărârea de Guvern în cauză se armonizează cu Regulamentul (CEE) nr. 2136/89 privind stabilirea unor standarde comune de comercializare pentru conservele de sardine și Regulamentul (CEE) nr. 1536/92 privind stabilirea normelor comune de comercializare pentru conservele de ton și de pălămidă.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ro-RO" w:eastAsia="en-US"/>
              </w:rPr>
              <w:t xml:space="preserve"> </w:t>
            </w:r>
          </w:p>
        </w:tc>
      </w:tr>
      <w:tr w:rsidR="00A23DF2" w:rsidRPr="0017198B" w:rsidTr="00D81D4F">
        <w:tc>
          <w:tcPr>
            <w:tcW w:w="9570" w:type="dxa"/>
          </w:tcPr>
          <w:p w:rsidR="00A23DF2" w:rsidRPr="0017198B" w:rsidRDefault="00A23DF2" w:rsidP="00A23DF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3.</w:t>
            </w:r>
            <w:r w:rsidR="000B4E9E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Descrierea gradului de compatibilitate pentru proiectele care au ca scop armonizarea </w:t>
            </w:r>
            <w:r w:rsidR="00401DDF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legislației</w:t>
            </w: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01DDF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naționale</w:t>
            </w: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cu </w:t>
            </w:r>
            <w:r w:rsidR="00401DDF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legislația</w:t>
            </w: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Uniunii Europene</w:t>
            </w:r>
          </w:p>
        </w:tc>
      </w:tr>
      <w:tr w:rsidR="00A23DF2" w:rsidRPr="0017198B" w:rsidTr="00D81D4F">
        <w:tc>
          <w:tcPr>
            <w:tcW w:w="9570" w:type="dxa"/>
          </w:tcPr>
          <w:p w:rsidR="00874DA3" w:rsidRPr="0017198B" w:rsidRDefault="00874DA3" w:rsidP="00BB4BFA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 w:rsidRPr="0017198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Preze</w:t>
            </w:r>
            <w:r w:rsidR="00430806" w:rsidRPr="0017198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ntul proiect are drept scop ajus</w:t>
            </w:r>
            <w:r w:rsidRPr="0017198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tarea cadrului normativ național, la cerințele și normele stabilite de către Uniunea Europeană, Republica Moldova, fiind cu statutul de țară-candidat. </w:t>
            </w:r>
          </w:p>
          <w:p w:rsidR="00590D7A" w:rsidRPr="0017198B" w:rsidRDefault="00A63EE0" w:rsidP="00BB4BFA">
            <w:pPr>
              <w:pStyle w:val="NoSpacing"/>
              <w:ind w:firstLine="57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Proiectul de Hotărâre de Guvern cu privire la aprobarea Cerințelor </w:t>
            </w:r>
            <w:r w:rsidR="00430806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de calitate pentru pește și produsele din pește </w:t>
            </w:r>
            <w:r w:rsidR="00590D7A" w:rsidRPr="0017198B">
              <w:rPr>
                <w:rFonts w:ascii="Times New Roman" w:hAnsi="Times New Roman" w:cs="Times New Roman"/>
                <w:sz w:val="27"/>
                <w:szCs w:val="27"/>
              </w:rPr>
              <w:t>transpun</w:t>
            </w:r>
            <w:bookmarkStart w:id="0" w:name="_GoBack"/>
            <w:bookmarkEnd w:id="0"/>
            <w:r w:rsidR="00590D7A" w:rsidRPr="0017198B">
              <w:rPr>
                <w:rFonts w:ascii="Times New Roman" w:hAnsi="Times New Roman" w:cs="Times New Roman"/>
                <w:sz w:val="27"/>
                <w:szCs w:val="27"/>
              </w:rPr>
              <w:t>e</w:t>
            </w:r>
            <w:r w:rsidR="007D0F8B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90D7A" w:rsidRPr="0017198B">
              <w:rPr>
                <w:rFonts w:ascii="Times New Roman" w:hAnsi="Times New Roman" w:cs="Times New Roman"/>
                <w:sz w:val="27"/>
                <w:szCs w:val="27"/>
              </w:rPr>
              <w:t>prevederile următoarelor regulamente UE</w:t>
            </w:r>
            <w:r w:rsidR="007D0F8B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și practici</w:t>
            </w:r>
            <w:r w:rsidR="00EC0124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le standardului internațional Codex </w:t>
            </w:r>
            <w:proofErr w:type="spellStart"/>
            <w:r w:rsidR="00EC0124" w:rsidRPr="0017198B">
              <w:rPr>
                <w:rFonts w:ascii="Times New Roman" w:hAnsi="Times New Roman" w:cs="Times New Roman"/>
                <w:sz w:val="27"/>
                <w:szCs w:val="27"/>
              </w:rPr>
              <w:t>Alimentarius</w:t>
            </w:r>
            <w:proofErr w:type="spellEnd"/>
            <w:r w:rsidR="00590D7A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</w:p>
          <w:p w:rsidR="00590D7A" w:rsidRPr="0017198B" w:rsidRDefault="00430806" w:rsidP="00BB4BFA">
            <w:pPr>
              <w:pStyle w:val="NoSpacing"/>
              <w:numPr>
                <w:ilvl w:val="0"/>
                <w:numId w:val="3"/>
              </w:numPr>
              <w:ind w:left="5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Regulamentul (CEE) nr. 2135/89 al Consiliului din 21 iunie 1989 privind stabilirea unor standarde comune de comercializare pentru conservele de sardine și a unor descrieri comerciale pentru conservele de sardine și conservele de produse de tipul sardine, CELEX: 01989R2136-20081231, publicat în Jurnalul Oficial al Uniunii Europene L 212, din 22 iulie 1989, așa cum a fost modificat ultima oară prin Regulamentul (CE) nr. 1345/2008 al comisiei din 23 decembrie 2008</w:t>
            </w:r>
            <w:r w:rsidR="00EE7F1D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90D7A" w:rsidRPr="0017198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;</w:t>
            </w:r>
          </w:p>
          <w:p w:rsidR="00590D7A" w:rsidRPr="0017198B" w:rsidRDefault="00430806" w:rsidP="00BB4BFA">
            <w:pPr>
              <w:pStyle w:val="NoSpacing"/>
              <w:numPr>
                <w:ilvl w:val="0"/>
                <w:numId w:val="2"/>
              </w:numPr>
              <w:ind w:left="0" w:firstLine="57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Regulamentul (CEE) nr. 1536/92 al Consiliului din 9 iunie 1992 privind stabilirea normelor comune de comercializare pentru conservele de ton și de pălămidă, CELEX: 31992R1536, publicat în Jurnalul Oficial al Uniunii Europene L163, din 17 iunie 1992</w:t>
            </w:r>
            <w:r w:rsidR="001B2F54" w:rsidRPr="0017198B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D219D5" w:rsidRPr="0017198B" w:rsidRDefault="00430806" w:rsidP="00BB4BFA">
            <w:pPr>
              <w:pStyle w:val="NoSpacing"/>
              <w:numPr>
                <w:ilvl w:val="0"/>
                <w:numId w:val="2"/>
              </w:numPr>
              <w:ind w:left="5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CODEX STAN 95-1981 (adoptat în 1981, revizuit în: 1995, 2004, 2017, modificat în: 2011, 2013, 2014) privind homarii congelați rapid</w:t>
            </w:r>
            <w:r w:rsidR="00901C37" w:rsidRPr="0017198B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2C0A26" w:rsidRPr="0017198B" w:rsidRDefault="00901C37" w:rsidP="00430806">
            <w:pPr>
              <w:pStyle w:val="NoSpacing"/>
              <w:numPr>
                <w:ilvl w:val="0"/>
                <w:numId w:val="2"/>
              </w:numPr>
              <w:ind w:hanging="14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CODEX STAN </w:t>
            </w:r>
            <w:r w:rsidR="00430806" w:rsidRPr="0017198B">
              <w:rPr>
                <w:rFonts w:ascii="Times New Roman" w:hAnsi="Times New Roman" w:cs="Times New Roman"/>
                <w:sz w:val="27"/>
                <w:szCs w:val="27"/>
              </w:rPr>
              <w:t>90-1981 (adoptat în 1981, revizuit în 1995, modificat în 2011, 2013, 2016, 2018) privind carnea de crab conservată</w:t>
            </w: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="001B2F54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30806" w:rsidRPr="0017198B" w:rsidRDefault="00901C37" w:rsidP="00BB4BFA">
            <w:pPr>
              <w:pStyle w:val="NoSpacing"/>
              <w:numPr>
                <w:ilvl w:val="0"/>
                <w:numId w:val="2"/>
              </w:numPr>
              <w:ind w:left="5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C</w:t>
            </w:r>
            <w:r w:rsidR="00430806" w:rsidRPr="0017198B">
              <w:rPr>
                <w:rFonts w:ascii="Times New Roman" w:hAnsi="Times New Roman" w:cs="Times New Roman"/>
                <w:sz w:val="27"/>
                <w:szCs w:val="27"/>
              </w:rPr>
              <w:t>ODEX STAN 92</w:t>
            </w: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-1981 (</w:t>
            </w:r>
            <w:r w:rsidR="00430806" w:rsidRPr="0017198B">
              <w:rPr>
                <w:rFonts w:ascii="Times New Roman" w:hAnsi="Times New Roman" w:cs="Times New Roman"/>
                <w:sz w:val="27"/>
                <w:szCs w:val="27"/>
              </w:rPr>
              <w:t>adoptat în 1981, revizuit în 1995, 2017, modificat în: 2011, 2013, 2014</w:t>
            </w:r>
            <w:r w:rsidR="00F31D6D" w:rsidRPr="0017198B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A85C85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F31D6D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privind </w:t>
            </w:r>
            <w:r w:rsidR="00430806" w:rsidRPr="0017198B">
              <w:rPr>
                <w:rFonts w:ascii="Times New Roman" w:hAnsi="Times New Roman" w:cs="Times New Roman"/>
                <w:sz w:val="27"/>
                <w:szCs w:val="27"/>
              </w:rPr>
              <w:t>creveții congelați rapid;</w:t>
            </w:r>
          </w:p>
          <w:p w:rsidR="00430806" w:rsidRPr="0017198B" w:rsidRDefault="00430806" w:rsidP="00BB4BFA">
            <w:pPr>
              <w:pStyle w:val="NoSpacing"/>
              <w:numPr>
                <w:ilvl w:val="0"/>
                <w:numId w:val="2"/>
              </w:numPr>
              <w:ind w:left="5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CODEX STAN 37-1991 (adoptat în 1991, revizuit în 1995, modificat în 2011, 2013, 2016, 2018) privind creveții conservați;</w:t>
            </w:r>
          </w:p>
          <w:p w:rsidR="00590D7A" w:rsidRPr="0017198B" w:rsidRDefault="00430806" w:rsidP="00BB4BFA">
            <w:pPr>
              <w:pStyle w:val="NoSpacing"/>
              <w:numPr>
                <w:ilvl w:val="0"/>
                <w:numId w:val="2"/>
              </w:numPr>
              <w:ind w:left="5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CODEX STAN 191-1995 privind calmarii congelați rapid.</w:t>
            </w:r>
            <w:r w:rsidR="000127F2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74DA3" w:rsidRPr="0017198B" w:rsidRDefault="00874DA3" w:rsidP="00BB4BFA">
            <w:pPr>
              <w:pStyle w:val="NoSpacing"/>
              <w:ind w:left="5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Întru respectarea art. 31 din Legea nr.100/2017, ca urmare a transpuneri</w:t>
            </w:r>
            <w:r w:rsidR="007E64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i actelor UE menționate, vor fi</w:t>
            </w:r>
            <w:r w:rsidRPr="0017198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întocmite tabelele de concordanță. Gradul de compatibilitate a </w:t>
            </w:r>
            <w:r w:rsidRPr="0017198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lastRenderedPageBreak/>
              <w:t>proiectului nominalizat cu prevederile l</w:t>
            </w:r>
            <w:r w:rsidR="007E64F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egislației Uniunii Europene va fi</w:t>
            </w:r>
            <w:r w:rsidRPr="0017198B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stabilit în Tabelele de concordanță elaborate în conformitate cu Regulamentul privind armonizarea legislației Uniunii Europene aprobat prin Hotărârea Guvernului nr. 1171/2018.</w:t>
            </w:r>
          </w:p>
        </w:tc>
      </w:tr>
      <w:tr w:rsidR="00486FEB" w:rsidRPr="0017198B" w:rsidTr="00D81D4F">
        <w:tc>
          <w:tcPr>
            <w:tcW w:w="9570" w:type="dxa"/>
          </w:tcPr>
          <w:p w:rsidR="00486FEB" w:rsidRPr="0017198B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4.</w:t>
            </w:r>
            <w:r w:rsidR="000B4E9E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Principalele prevederi ale proiectului </w:t>
            </w:r>
            <w:r w:rsidR="00401DDF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și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01DDF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evidențierea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elementelor noi</w:t>
            </w:r>
          </w:p>
        </w:tc>
      </w:tr>
      <w:tr w:rsidR="00486FEB" w:rsidRPr="0017198B" w:rsidTr="00590D7A">
        <w:trPr>
          <w:trHeight w:val="274"/>
        </w:trPr>
        <w:tc>
          <w:tcPr>
            <w:tcW w:w="9570" w:type="dxa"/>
          </w:tcPr>
          <w:p w:rsidR="00C32D2F" w:rsidRPr="00B371A0" w:rsidRDefault="00C32D2F" w:rsidP="006954E9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</w:pPr>
            <w:r w:rsidRPr="00B371A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 xml:space="preserve">Cerințele de calitate </w:t>
            </w:r>
            <w:r w:rsidR="00CA3D58" w:rsidRPr="00B371A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>pentru pește și produsele din pește</w:t>
            </w:r>
            <w:r w:rsidRPr="00B371A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 xml:space="preserve"> urmeaz</w:t>
            </w:r>
            <w:r w:rsidR="00CA3D58" w:rsidRPr="00B371A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>ă a fi completată cu Cerințe</w:t>
            </w:r>
            <w:r w:rsidR="00E86DEF" w:rsidRPr="00B371A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 xml:space="preserve"> de calitate pentru conservele de ton, conservele de pălămidă, conservele de sardină, moluște, crustacee</w:t>
            </w:r>
            <w:r w:rsidRPr="00B371A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 xml:space="preserve"> </w:t>
            </w:r>
            <w:r w:rsidR="00E86DEF" w:rsidRPr="00B371A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>și alte nevertebrate acvatice</w:t>
            </w:r>
            <w:r w:rsidRPr="00B371A0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>:</w:t>
            </w:r>
          </w:p>
          <w:p w:rsidR="0077528C" w:rsidRPr="0077528C" w:rsidRDefault="0077528C" w:rsidP="006954E9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 w:rsidRPr="0077528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- prin completarea Cerinței</w:t>
            </w:r>
            <w:r w:rsidR="00C32D2F" w:rsidRPr="0077528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cu</w:t>
            </w:r>
            <w:r w:rsidR="0081715B" w:rsidRPr="0077528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noi noțiuni de conserve</w:t>
            </w:r>
            <w:r w:rsidR="00C32D2F" w:rsidRPr="0077528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, așa cum s</w:t>
            </w:r>
            <w:r w:rsidRPr="0077528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unt prevăzute în legislația UE</w:t>
            </w:r>
            <w:r w:rsidR="0096549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;</w:t>
            </w:r>
          </w:p>
          <w:p w:rsidR="00965497" w:rsidRPr="00A951A0" w:rsidRDefault="0077528C" w:rsidP="006954E9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 w:rsidRPr="00A951A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- </w:t>
            </w:r>
            <w:r w:rsidR="00965497" w:rsidRPr="00A951A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completarea cu cerințe de calitate pentru moluște, crustacee și alte nevertebrate</w:t>
            </w:r>
            <w:r w:rsidR="00A951A0" w:rsidRPr="00A951A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 și metode de determinare a calității produsului de acvacultură</w:t>
            </w:r>
            <w:r w:rsidR="00965497" w:rsidRPr="00A951A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;</w:t>
            </w:r>
          </w:p>
          <w:p w:rsidR="00F94778" w:rsidRDefault="00A951A0" w:rsidP="006954E9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 w:rsidRPr="007F43C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- </w:t>
            </w:r>
            <w:r w:rsidR="00F94778" w:rsidRPr="007F43C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completarea cu cerințe de calitate pentru conservele din ton, sardină și pălămidă, așa cum sunt prevăzute în legislația </w:t>
            </w:r>
            <w:r w:rsidR="00D56AE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UE</w:t>
            </w:r>
            <w:r w:rsidR="00F94778" w:rsidRPr="007F43C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;</w:t>
            </w:r>
          </w:p>
          <w:p w:rsidR="007F43C5" w:rsidRPr="007F43C5" w:rsidRDefault="007F43C5" w:rsidP="006954E9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- completarea cu Capitolul XI</w:t>
            </w:r>
            <w:r w:rsidR="003A52F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. CERINȚE DE COMERCIALIZARE </w:t>
            </w:r>
            <w:r w:rsidR="00EB27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PENTRU CRUSTACEE, MOLUȘTE ȘI ALTE NEVERTEBRATE ACVATICE</w:t>
            </w:r>
          </w:p>
          <w:p w:rsidR="00C32D2F" w:rsidRPr="001D0E7E" w:rsidRDefault="00C32D2F" w:rsidP="006954E9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  <w:r w:rsidRPr="001D0E7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- </w:t>
            </w:r>
            <w:r w:rsidR="00E93983" w:rsidRPr="001D0E7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completarea prezentei cerințe cu Anexa nr. 4 </w:t>
            </w:r>
            <w:r w:rsidR="00233411" w:rsidRPr="001D0E7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 xml:space="preserve">la Cerințele </w:t>
            </w:r>
            <w:r w:rsidR="0058460D" w:rsidRPr="001D0E7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de calitate pentru pește și produsele din pește</w:t>
            </w:r>
            <w:r w:rsidR="00D56AE3" w:rsidRPr="001D0E7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, Denumirile și identificarea zonelor geografice</w:t>
            </w:r>
            <w:r w:rsidRPr="001D0E7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  <w:t>;</w:t>
            </w:r>
          </w:p>
          <w:p w:rsidR="00EB17CD" w:rsidRPr="0017198B" w:rsidRDefault="00EB17CD" w:rsidP="006954E9">
            <w:pPr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after="0" w:line="240" w:lineRule="auto"/>
              <w:ind w:right="77" w:firstLine="5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o-RO"/>
              </w:rPr>
            </w:pPr>
          </w:p>
        </w:tc>
      </w:tr>
      <w:tr w:rsidR="00486FEB" w:rsidRPr="0017198B" w:rsidTr="00D81D4F">
        <w:tc>
          <w:tcPr>
            <w:tcW w:w="9570" w:type="dxa"/>
          </w:tcPr>
          <w:p w:rsidR="00486FEB" w:rsidRPr="0017198B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5.</w:t>
            </w:r>
            <w:r w:rsidR="000B4E9E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Fundamentarea </w:t>
            </w:r>
            <w:proofErr w:type="spellStart"/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economico</w:t>
            </w:r>
            <w:proofErr w:type="spellEnd"/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-financiară</w:t>
            </w:r>
          </w:p>
        </w:tc>
      </w:tr>
      <w:tr w:rsidR="00486FEB" w:rsidRPr="0017198B" w:rsidTr="00F534ED">
        <w:trPr>
          <w:trHeight w:val="274"/>
        </w:trPr>
        <w:tc>
          <w:tcPr>
            <w:tcW w:w="9570" w:type="dxa"/>
          </w:tcPr>
          <w:p w:rsidR="0034406D" w:rsidRPr="0017198B" w:rsidRDefault="000B4E9E" w:rsidP="006954E9">
            <w:pPr>
              <w:pStyle w:val="NoSpacing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Implementarea acestui proiect nu necesită alocarea resurselor financiare suplimentare de la bugetul de stat. Potrivit prevederilor din proiect, autoritatea competentă responsabilă de realizarea controalelor este Agenția Națională pentru Siguranța Alimentelor</w:t>
            </w:r>
            <w:r w:rsidR="00D219D5" w:rsidRPr="0017198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care își realizează atribuțiile de serviciu, fiind finanțate din bugetul de stat.</w:t>
            </w:r>
          </w:p>
        </w:tc>
      </w:tr>
      <w:tr w:rsidR="00486FEB" w:rsidRPr="0017198B" w:rsidTr="00D81D4F">
        <w:tc>
          <w:tcPr>
            <w:tcW w:w="9570" w:type="dxa"/>
          </w:tcPr>
          <w:p w:rsidR="00486FEB" w:rsidRPr="0017198B" w:rsidRDefault="00A23DF2" w:rsidP="00D269AF">
            <w:pPr>
              <w:pStyle w:val="NoSpacing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6.</w:t>
            </w:r>
            <w:r w:rsidR="000B4E9E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86FEB"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Modul de încorporare a actului în cadrul normativ în vigoare</w:t>
            </w:r>
          </w:p>
        </w:tc>
      </w:tr>
      <w:tr w:rsidR="00486FEB" w:rsidRPr="0017198B" w:rsidTr="00C837C9">
        <w:trPr>
          <w:trHeight w:val="125"/>
        </w:trPr>
        <w:tc>
          <w:tcPr>
            <w:tcW w:w="9570" w:type="dxa"/>
          </w:tcPr>
          <w:p w:rsidR="00651AB5" w:rsidRPr="0017198B" w:rsidRDefault="00A870DC" w:rsidP="00C837C9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17198B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  <w:lang w:eastAsia="ro-RO"/>
              </w:rPr>
              <w:t>Proiectul nu prevede introducerea modificărilor în alte acte normative.</w:t>
            </w:r>
          </w:p>
        </w:tc>
      </w:tr>
      <w:tr w:rsidR="00486FEB" w:rsidRPr="0017198B" w:rsidTr="00D81D4F">
        <w:tc>
          <w:tcPr>
            <w:tcW w:w="9570" w:type="dxa"/>
          </w:tcPr>
          <w:p w:rsidR="00486FEB" w:rsidRPr="0017198B" w:rsidRDefault="00A23DF2" w:rsidP="00D269AF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7.</w:t>
            </w:r>
            <w:r w:rsidR="00442B64" w:rsidRPr="0017198B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r w:rsidR="00486FEB" w:rsidRPr="0017198B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Avizarea </w:t>
            </w:r>
            <w:r w:rsidR="00A85C85" w:rsidRPr="0017198B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și</w:t>
            </w:r>
            <w:r w:rsidR="00486FEB" w:rsidRPr="0017198B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consultarea publică a proiectului</w:t>
            </w:r>
          </w:p>
        </w:tc>
      </w:tr>
      <w:tr w:rsidR="00486FEB" w:rsidRPr="0017198B" w:rsidTr="00D81D4F">
        <w:tc>
          <w:tcPr>
            <w:tcW w:w="9570" w:type="dxa"/>
          </w:tcPr>
          <w:p w:rsidR="007A68E9" w:rsidRPr="0017198B" w:rsidRDefault="00CE4E30" w:rsidP="002C4D87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Astfel, în conformitate cu art. 32 din Legea nr. 100/2017 cu privire la actele normative, </w:t>
            </w:r>
            <w:r w:rsidRPr="0017198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anunțul privind inițierea elaborării proiectului de act normativ </w:t>
            </w:r>
            <w:r w:rsidR="00746CB8" w:rsidRPr="0017198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a fost</w:t>
            </w:r>
            <w:r w:rsidRPr="0017198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plasat pe pagina web al Ministerului Agriculturii</w:t>
            </w:r>
            <w:r w:rsidR="003D637F" w:rsidRPr="0017198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și Industriei </w:t>
            </w:r>
            <w:r w:rsidR="00107210" w:rsidRPr="0017198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Alimentare</w:t>
            </w:r>
            <w:r w:rsidR="003D637F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5" w:history="1">
              <w:r w:rsidR="00FC275E" w:rsidRPr="0017198B">
                <w:rPr>
                  <w:rStyle w:val="Hyperlink"/>
                  <w:rFonts w:ascii="Times New Roman" w:hAnsi="Times New Roman" w:cs="Times New Roman"/>
                  <w:sz w:val="27"/>
                  <w:szCs w:val="27"/>
                </w:rPr>
                <w:t>https://maia.gov.md</w:t>
              </w:r>
            </w:hyperlink>
            <w:r w:rsidR="00496917" w:rsidRPr="0017198B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B603E0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la compartimentul ,,Transparență decizională/</w:t>
            </w:r>
            <w:r w:rsidR="0006074F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proiecte de documente</w:t>
            </w: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”</w:t>
            </w:r>
            <w:r w:rsidR="0006074F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și pe portalul</w:t>
            </w:r>
            <w:r w:rsidR="002C4D87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6" w:history="1">
              <w:r w:rsidR="0016427A" w:rsidRPr="0017198B">
                <w:rPr>
                  <w:rStyle w:val="Hyperlink"/>
                  <w:rFonts w:ascii="Times New Roman" w:hAnsi="Times New Roman" w:cs="Times New Roman"/>
                  <w:sz w:val="27"/>
                  <w:szCs w:val="27"/>
                </w:rPr>
                <w:t>http://www.particip.gov.md</w:t>
              </w:r>
            </w:hyperlink>
            <w:r w:rsidR="00C837C9"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  <w:p w:rsidR="00C32D2F" w:rsidRPr="0017198B" w:rsidRDefault="00C837C9" w:rsidP="00541C2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3F27A5" w:rsidRPr="0017198B">
              <w:rPr>
                <w:rStyle w:val="Hyperlink"/>
                <w:rFonts w:ascii="Times New Roman" w:hAnsi="Times New Roman" w:cs="Times New Roman"/>
                <w:sz w:val="27"/>
                <w:szCs w:val="27"/>
              </w:rPr>
              <w:t>https://particip.gov.md/ro/document/stages/anunt-privind-initierea-elaborarii-proiectului-hotararii-guvernului-privind-modificarea-hotararii-guvernului-nr6102023-cu-privire-la-aprobarea-cerintelor-de-calitate-pentru-peste-si-produsele-din-peste/11873</w:t>
            </w:r>
            <w:r w:rsidRPr="0017198B">
              <w:rPr>
                <w:rFonts w:ascii="Times New Roman" w:hAnsi="Times New Roman" w:cs="Times New Roman"/>
                <w:sz w:val="27"/>
                <w:szCs w:val="27"/>
              </w:rPr>
              <w:t xml:space="preserve">). </w:t>
            </w:r>
          </w:p>
        </w:tc>
      </w:tr>
      <w:tr w:rsidR="00C151CE" w:rsidRPr="0017198B" w:rsidTr="00D81D4F">
        <w:tc>
          <w:tcPr>
            <w:tcW w:w="9570" w:type="dxa"/>
          </w:tcPr>
          <w:p w:rsidR="00C151CE" w:rsidRPr="0017198B" w:rsidRDefault="00C151CE" w:rsidP="00C151C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8. Constatările expertizei anticorupție</w:t>
            </w:r>
          </w:p>
        </w:tc>
      </w:tr>
      <w:tr w:rsidR="00C151CE" w:rsidRPr="0017198B" w:rsidTr="00D81D4F">
        <w:tc>
          <w:tcPr>
            <w:tcW w:w="9570" w:type="dxa"/>
          </w:tcPr>
          <w:p w:rsidR="0034406D" w:rsidRPr="0017198B" w:rsidRDefault="000D6E08" w:rsidP="0034406D">
            <w:pPr>
              <w:tabs>
                <w:tab w:val="left" w:pos="884"/>
                <w:tab w:val="left" w:pos="1196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7198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În temeiul art. 34 </w:t>
            </w:r>
            <w:r w:rsidR="00A85C85" w:rsidRPr="0017198B">
              <w:rPr>
                <w:rFonts w:ascii="Times New Roman" w:hAnsi="Times New Roman"/>
                <w:sz w:val="27"/>
                <w:szCs w:val="27"/>
                <w:lang w:eastAsia="ru-RU"/>
              </w:rPr>
              <w:t>și</w:t>
            </w:r>
            <w:r w:rsidRPr="0017198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35 din Legea nr. 100/2017 cu privire la actele normative, proiectul urmează a fi supus expertizei anticorupție, care va fi efectuată de către Centrul Național Anticorupție.</w:t>
            </w:r>
          </w:p>
        </w:tc>
      </w:tr>
      <w:tr w:rsidR="00C151CE" w:rsidRPr="0017198B" w:rsidTr="00D81D4F">
        <w:tc>
          <w:tcPr>
            <w:tcW w:w="9570" w:type="dxa"/>
          </w:tcPr>
          <w:p w:rsidR="00C151CE" w:rsidRPr="0017198B" w:rsidRDefault="00C151CE" w:rsidP="008A6D1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9. Constatările expertizei de compatibilitate</w:t>
            </w:r>
          </w:p>
        </w:tc>
      </w:tr>
      <w:tr w:rsidR="00C151CE" w:rsidRPr="0017198B" w:rsidTr="007E7003">
        <w:trPr>
          <w:trHeight w:val="70"/>
        </w:trPr>
        <w:tc>
          <w:tcPr>
            <w:tcW w:w="9570" w:type="dxa"/>
          </w:tcPr>
          <w:p w:rsidR="00C151CE" w:rsidRPr="0017198B" w:rsidRDefault="00973D29" w:rsidP="00CA3657">
            <w:pPr>
              <w:pStyle w:val="Other0"/>
              <w:shd w:val="clear" w:color="auto" w:fill="auto"/>
              <w:ind w:firstLine="572"/>
              <w:jc w:val="both"/>
              <w:rPr>
                <w:color w:val="000000"/>
                <w:sz w:val="27"/>
                <w:szCs w:val="27"/>
                <w:lang w:val="ro-RO" w:eastAsia="ro-RO" w:bidi="ro-RO"/>
              </w:rPr>
            </w:pPr>
            <w:r w:rsidRPr="0017198B">
              <w:rPr>
                <w:color w:val="000000"/>
                <w:sz w:val="27"/>
                <w:szCs w:val="27"/>
                <w:lang w:val="ro-RO" w:eastAsia="ro-RO" w:bidi="ro-RO"/>
              </w:rPr>
              <w:t xml:space="preserve">Proiectul </w:t>
            </w:r>
            <w:r w:rsidR="00CA3657">
              <w:rPr>
                <w:color w:val="000000"/>
                <w:sz w:val="27"/>
                <w:szCs w:val="27"/>
                <w:lang w:val="ro-RO" w:eastAsia="ro-RO" w:bidi="ro-RO"/>
              </w:rPr>
              <w:t>urmează a fi</w:t>
            </w:r>
            <w:r w:rsidRPr="0017198B">
              <w:rPr>
                <w:color w:val="000000"/>
                <w:sz w:val="27"/>
                <w:szCs w:val="27"/>
                <w:lang w:val="ro-RO" w:eastAsia="ro-RO" w:bidi="ro-RO"/>
              </w:rPr>
              <w:t xml:space="preserve"> supus expertizei de compatibilitate în conformitate cu art. 36 din Legea nr. 100/2017 cu privire la actele normative</w:t>
            </w:r>
            <w:r w:rsidR="00FE5709">
              <w:rPr>
                <w:color w:val="000000"/>
                <w:sz w:val="27"/>
                <w:szCs w:val="27"/>
                <w:lang w:val="ro-RO" w:eastAsia="ro-RO" w:bidi="ro-RO"/>
              </w:rPr>
              <w:t>, efectuată de către Centrul de Armonizare a legislației</w:t>
            </w:r>
            <w:r w:rsidRPr="0017198B">
              <w:rPr>
                <w:color w:val="000000"/>
                <w:sz w:val="27"/>
                <w:szCs w:val="27"/>
                <w:lang w:val="ro-RO" w:eastAsia="ro-RO" w:bidi="ro-RO"/>
              </w:rPr>
              <w:t xml:space="preserve">. </w:t>
            </w:r>
          </w:p>
        </w:tc>
      </w:tr>
      <w:tr w:rsidR="00C151CE" w:rsidRPr="0017198B" w:rsidTr="00D81D4F">
        <w:tc>
          <w:tcPr>
            <w:tcW w:w="9570" w:type="dxa"/>
          </w:tcPr>
          <w:p w:rsidR="00C151CE" w:rsidRPr="0017198B" w:rsidRDefault="00C151CE" w:rsidP="00C837C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10. Constatările expertizei juridice</w:t>
            </w:r>
          </w:p>
        </w:tc>
      </w:tr>
      <w:tr w:rsidR="00C151CE" w:rsidRPr="0017198B" w:rsidTr="00D81D4F">
        <w:tc>
          <w:tcPr>
            <w:tcW w:w="9570" w:type="dxa"/>
          </w:tcPr>
          <w:p w:rsidR="00C151CE" w:rsidRPr="0017198B" w:rsidRDefault="00584FFD" w:rsidP="00D764D9">
            <w:pPr>
              <w:tabs>
                <w:tab w:val="left" w:pos="99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2060"/>
                <w:sz w:val="27"/>
                <w:szCs w:val="27"/>
              </w:rPr>
            </w:pPr>
            <w:r w:rsidRPr="0017198B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 xml:space="preserve">Proiectul urmează </w:t>
            </w:r>
            <w:r w:rsidR="00CA3657">
              <w:rPr>
                <w:rFonts w:ascii="Times New Roman" w:hAnsi="Times New Roman"/>
                <w:sz w:val="27"/>
                <w:szCs w:val="27"/>
                <w:lang w:eastAsia="ru-RU"/>
              </w:rPr>
              <w:t>va fi</w:t>
            </w:r>
            <w:r w:rsidRPr="0017198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supus expertizei juridice în corespundere cu art. 37 din Legea nr. 100/2017 cu privire la actele normative</w:t>
            </w:r>
            <w:r w:rsidR="00D764D9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, </w:t>
            </w:r>
            <w:r w:rsidR="00CA74C5">
              <w:rPr>
                <w:rFonts w:ascii="Times New Roman" w:hAnsi="Times New Roman"/>
                <w:sz w:val="27"/>
                <w:szCs w:val="27"/>
                <w:lang w:eastAsia="ru-RU"/>
              </w:rPr>
              <w:t>ce va fi efectuată de Ministerul Justiției</w:t>
            </w:r>
            <w:r w:rsidRPr="0017198B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</w:p>
        </w:tc>
      </w:tr>
      <w:tr w:rsidR="00C151CE" w:rsidRPr="0017198B" w:rsidTr="00D81D4F">
        <w:tc>
          <w:tcPr>
            <w:tcW w:w="9570" w:type="dxa"/>
          </w:tcPr>
          <w:p w:rsidR="00C151CE" w:rsidRPr="0017198B" w:rsidRDefault="00C151CE" w:rsidP="00C837C9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198B">
              <w:rPr>
                <w:rFonts w:ascii="Times New Roman" w:hAnsi="Times New Roman" w:cs="Times New Roman"/>
                <w:b/>
                <w:sz w:val="27"/>
                <w:szCs w:val="27"/>
              </w:rPr>
              <w:t>11. Constatările altor expertize</w:t>
            </w:r>
          </w:p>
        </w:tc>
      </w:tr>
      <w:tr w:rsidR="00C151CE" w:rsidRPr="0017198B" w:rsidTr="00861855">
        <w:trPr>
          <w:trHeight w:val="557"/>
        </w:trPr>
        <w:tc>
          <w:tcPr>
            <w:tcW w:w="9570" w:type="dxa"/>
          </w:tcPr>
          <w:p w:rsidR="00C151CE" w:rsidRPr="0017198B" w:rsidRDefault="00732FA6" w:rsidP="00F35626">
            <w:pPr>
              <w:pStyle w:val="BodyText"/>
              <w:ind w:firstLine="572"/>
              <w:jc w:val="both"/>
              <w:rPr>
                <w:b/>
                <w:sz w:val="27"/>
                <w:szCs w:val="27"/>
                <w:lang w:val="ro-MD" w:eastAsia="ru-RU"/>
              </w:rPr>
            </w:pPr>
            <w:r w:rsidRPr="0017198B">
              <w:rPr>
                <w:color w:val="000000" w:themeColor="text1"/>
                <w:sz w:val="27"/>
                <w:szCs w:val="27"/>
                <w:lang w:val="ro-MD"/>
              </w:rPr>
              <w:t xml:space="preserve">Analiza impactului de Reglementare efectuată la proiectul hotărârii Guvernului cu privire la aprobarea </w:t>
            </w:r>
            <w:r w:rsidR="0057690D" w:rsidRPr="00F35626">
              <w:rPr>
                <w:bCs/>
                <w:color w:val="000000" w:themeColor="text1"/>
                <w:sz w:val="27"/>
                <w:szCs w:val="27"/>
                <w:lang w:val="ro-MD" w:eastAsia="ro-RO"/>
              </w:rPr>
              <w:t>Cerințelor de calitate pentru pește și produsele din pește</w:t>
            </w:r>
            <w:r w:rsidRPr="0017198B">
              <w:rPr>
                <w:color w:val="000000" w:themeColor="text1"/>
                <w:sz w:val="27"/>
                <w:szCs w:val="27"/>
                <w:lang w:val="ro-MD"/>
              </w:rPr>
              <w:t xml:space="preserve">, </w:t>
            </w:r>
            <w:r w:rsidR="00F35626">
              <w:rPr>
                <w:color w:val="000000" w:themeColor="text1"/>
                <w:sz w:val="27"/>
                <w:szCs w:val="27"/>
                <w:lang w:val="ro-MD"/>
              </w:rPr>
              <w:t>urmează a fi</w:t>
            </w:r>
            <w:r w:rsidRPr="0017198B">
              <w:rPr>
                <w:color w:val="000000" w:themeColor="text1"/>
                <w:sz w:val="27"/>
                <w:szCs w:val="27"/>
                <w:lang w:val="ro-MD"/>
              </w:rPr>
              <w:t xml:space="preserve"> examinată în cadrul ședinței Grupului de lucru al Comisiei de Stat pentru Reglementarea Activității de Întreprinzător, cu susținerea condițion</w:t>
            </w:r>
            <w:r w:rsidR="00AC710E" w:rsidRPr="0017198B">
              <w:rPr>
                <w:color w:val="000000" w:themeColor="text1"/>
                <w:sz w:val="27"/>
                <w:szCs w:val="27"/>
                <w:lang w:val="ro-MD"/>
              </w:rPr>
              <w:t>ată a acestuia</w:t>
            </w:r>
            <w:r w:rsidRPr="0017198B">
              <w:rPr>
                <w:color w:val="000000" w:themeColor="text1"/>
                <w:sz w:val="27"/>
                <w:szCs w:val="27"/>
                <w:lang w:val="ro-MD"/>
              </w:rPr>
              <w:t xml:space="preserve">. </w:t>
            </w:r>
          </w:p>
        </w:tc>
      </w:tr>
    </w:tbl>
    <w:p w:rsidR="00486FEB" w:rsidRPr="0017198B" w:rsidRDefault="00486FEB" w:rsidP="00486FEB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B5B07" w:rsidRPr="0017198B" w:rsidRDefault="00FB5B07" w:rsidP="00486FEB">
      <w:pPr>
        <w:pStyle w:val="NoSpacing"/>
        <w:ind w:firstLine="426"/>
        <w:rPr>
          <w:rFonts w:ascii="Times New Roman" w:hAnsi="Times New Roman" w:cs="Times New Roman"/>
          <w:sz w:val="27"/>
          <w:szCs w:val="27"/>
        </w:rPr>
      </w:pPr>
    </w:p>
    <w:p w:rsidR="007B4275" w:rsidRPr="0017198B" w:rsidRDefault="007B4275" w:rsidP="00486FEB">
      <w:pPr>
        <w:pStyle w:val="NoSpacing"/>
        <w:ind w:firstLine="426"/>
        <w:rPr>
          <w:rFonts w:ascii="Times New Roman" w:hAnsi="Times New Roman" w:cs="Times New Roman"/>
          <w:sz w:val="27"/>
          <w:szCs w:val="27"/>
        </w:rPr>
      </w:pPr>
    </w:p>
    <w:p w:rsidR="00BD7590" w:rsidRPr="0017198B" w:rsidRDefault="00BD7590" w:rsidP="00486FEB">
      <w:pPr>
        <w:pStyle w:val="NoSpacing"/>
        <w:ind w:firstLine="426"/>
        <w:rPr>
          <w:rFonts w:ascii="Times New Roman" w:hAnsi="Times New Roman" w:cs="Times New Roman"/>
          <w:sz w:val="27"/>
          <w:szCs w:val="27"/>
        </w:rPr>
      </w:pPr>
    </w:p>
    <w:p w:rsidR="000A430A" w:rsidRPr="0034406D" w:rsidRDefault="00A85C85" w:rsidP="00F202C2">
      <w:pPr>
        <w:pStyle w:val="NoSpacing"/>
        <w:ind w:left="708"/>
        <w:rPr>
          <w:rFonts w:ascii="Times New Roman" w:hAnsi="Times New Roman" w:cs="Times New Roman"/>
          <w:b/>
          <w:sz w:val="27"/>
          <w:szCs w:val="27"/>
        </w:rPr>
      </w:pPr>
      <w:r w:rsidRPr="0017198B">
        <w:rPr>
          <w:rFonts w:ascii="Times New Roman" w:hAnsi="Times New Roman" w:cs="Times New Roman"/>
          <w:b/>
          <w:sz w:val="27"/>
          <w:szCs w:val="27"/>
        </w:rPr>
        <w:t>Secretar de Stat</w:t>
      </w:r>
      <w:r w:rsidR="00E367D2" w:rsidRPr="0017198B">
        <w:rPr>
          <w:rFonts w:ascii="Times New Roman" w:hAnsi="Times New Roman" w:cs="Times New Roman"/>
          <w:b/>
          <w:sz w:val="27"/>
          <w:szCs w:val="27"/>
        </w:rPr>
        <w:tab/>
      </w:r>
      <w:r w:rsidR="00F202C2" w:rsidRPr="0017198B">
        <w:rPr>
          <w:rFonts w:ascii="Times New Roman" w:hAnsi="Times New Roman" w:cs="Times New Roman"/>
          <w:b/>
          <w:sz w:val="27"/>
          <w:szCs w:val="27"/>
        </w:rPr>
        <w:tab/>
      </w:r>
      <w:r w:rsidR="00E367D2" w:rsidRPr="0017198B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E828DB" w:rsidRPr="001719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202C2" w:rsidRPr="0017198B">
        <w:rPr>
          <w:rFonts w:ascii="Times New Roman" w:hAnsi="Times New Roman" w:cs="Times New Roman"/>
          <w:b/>
          <w:sz w:val="27"/>
          <w:szCs w:val="27"/>
        </w:rPr>
        <w:tab/>
      </w:r>
      <w:r w:rsidR="007B4275" w:rsidRPr="0017198B">
        <w:rPr>
          <w:rFonts w:ascii="Times New Roman" w:hAnsi="Times New Roman" w:cs="Times New Roman"/>
          <w:b/>
          <w:sz w:val="27"/>
          <w:szCs w:val="27"/>
        </w:rPr>
        <w:tab/>
      </w:r>
      <w:r w:rsidR="007B4275" w:rsidRPr="0017198B">
        <w:rPr>
          <w:rFonts w:ascii="Times New Roman" w:hAnsi="Times New Roman" w:cs="Times New Roman"/>
          <w:b/>
          <w:sz w:val="27"/>
          <w:szCs w:val="27"/>
        </w:rPr>
        <w:tab/>
      </w:r>
      <w:r w:rsidR="00F202C2" w:rsidRPr="0017198B">
        <w:rPr>
          <w:rFonts w:ascii="Times New Roman" w:hAnsi="Times New Roman" w:cs="Times New Roman"/>
          <w:b/>
          <w:sz w:val="27"/>
          <w:szCs w:val="27"/>
        </w:rPr>
        <w:tab/>
      </w:r>
      <w:r w:rsidRPr="0017198B">
        <w:rPr>
          <w:rFonts w:ascii="Times New Roman" w:hAnsi="Times New Roman" w:cs="Times New Roman"/>
          <w:b/>
          <w:sz w:val="27"/>
          <w:szCs w:val="27"/>
        </w:rPr>
        <w:t>Iurie SCRIPNIC</w:t>
      </w:r>
    </w:p>
    <w:sectPr w:rsidR="000A430A" w:rsidRPr="0034406D" w:rsidSect="00400084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908E0"/>
    <w:multiLevelType w:val="hybridMultilevel"/>
    <w:tmpl w:val="6F7C6156"/>
    <w:lvl w:ilvl="0" w:tplc="7110CE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A1AD3"/>
    <w:multiLevelType w:val="hybridMultilevel"/>
    <w:tmpl w:val="305E1106"/>
    <w:lvl w:ilvl="0" w:tplc="B9407642">
      <w:start w:val="4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8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" w15:restartNumberingAfterBreak="0">
    <w:nsid w:val="4C966968"/>
    <w:multiLevelType w:val="hybridMultilevel"/>
    <w:tmpl w:val="60C27012"/>
    <w:lvl w:ilvl="0" w:tplc="79E82560">
      <w:start w:val="4"/>
      <w:numFmt w:val="bullet"/>
      <w:lvlText w:val="-"/>
      <w:lvlJc w:val="left"/>
      <w:pPr>
        <w:ind w:left="95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EB"/>
    <w:rsid w:val="000127F2"/>
    <w:rsid w:val="00016AA5"/>
    <w:rsid w:val="000262E0"/>
    <w:rsid w:val="0002761C"/>
    <w:rsid w:val="0003270B"/>
    <w:rsid w:val="00034C9B"/>
    <w:rsid w:val="0003558E"/>
    <w:rsid w:val="00035BC7"/>
    <w:rsid w:val="00051E7C"/>
    <w:rsid w:val="0006074F"/>
    <w:rsid w:val="00062419"/>
    <w:rsid w:val="000833E2"/>
    <w:rsid w:val="000A3406"/>
    <w:rsid w:val="000A3A4E"/>
    <w:rsid w:val="000A430A"/>
    <w:rsid w:val="000B4E9E"/>
    <w:rsid w:val="000D6E08"/>
    <w:rsid w:val="0010000D"/>
    <w:rsid w:val="00107210"/>
    <w:rsid w:val="00107725"/>
    <w:rsid w:val="00110F2F"/>
    <w:rsid w:val="00116568"/>
    <w:rsid w:val="001231A2"/>
    <w:rsid w:val="00144EA8"/>
    <w:rsid w:val="00162A5F"/>
    <w:rsid w:val="00162FFC"/>
    <w:rsid w:val="0016427A"/>
    <w:rsid w:val="0017198B"/>
    <w:rsid w:val="0017223F"/>
    <w:rsid w:val="001A5E50"/>
    <w:rsid w:val="001B2F54"/>
    <w:rsid w:val="001C256F"/>
    <w:rsid w:val="001D0E7E"/>
    <w:rsid w:val="001E5B54"/>
    <w:rsid w:val="00225F7A"/>
    <w:rsid w:val="00233411"/>
    <w:rsid w:val="00233E2C"/>
    <w:rsid w:val="002340E2"/>
    <w:rsid w:val="00241469"/>
    <w:rsid w:val="002473EA"/>
    <w:rsid w:val="00253CEA"/>
    <w:rsid w:val="00262E75"/>
    <w:rsid w:val="00263F07"/>
    <w:rsid w:val="00264461"/>
    <w:rsid w:val="00280960"/>
    <w:rsid w:val="00283665"/>
    <w:rsid w:val="00293C9D"/>
    <w:rsid w:val="002B417F"/>
    <w:rsid w:val="002B5BA6"/>
    <w:rsid w:val="002C018D"/>
    <w:rsid w:val="002C0A26"/>
    <w:rsid w:val="002C1A09"/>
    <w:rsid w:val="002C4D87"/>
    <w:rsid w:val="002F4294"/>
    <w:rsid w:val="00304449"/>
    <w:rsid w:val="003103A5"/>
    <w:rsid w:val="00327C6F"/>
    <w:rsid w:val="0034406D"/>
    <w:rsid w:val="00350C24"/>
    <w:rsid w:val="00354205"/>
    <w:rsid w:val="00370F45"/>
    <w:rsid w:val="00395A7F"/>
    <w:rsid w:val="003A52F4"/>
    <w:rsid w:val="003C27A3"/>
    <w:rsid w:val="003D637F"/>
    <w:rsid w:val="003E5369"/>
    <w:rsid w:val="003F27A5"/>
    <w:rsid w:val="00400084"/>
    <w:rsid w:val="00401DDF"/>
    <w:rsid w:val="00404DA4"/>
    <w:rsid w:val="00430806"/>
    <w:rsid w:val="00431AC6"/>
    <w:rsid w:val="00442B64"/>
    <w:rsid w:val="00450EA8"/>
    <w:rsid w:val="00455E2A"/>
    <w:rsid w:val="004633DA"/>
    <w:rsid w:val="00463B42"/>
    <w:rsid w:val="00465EC3"/>
    <w:rsid w:val="00473C83"/>
    <w:rsid w:val="00475573"/>
    <w:rsid w:val="00486FEB"/>
    <w:rsid w:val="00491E09"/>
    <w:rsid w:val="00493FFF"/>
    <w:rsid w:val="00496917"/>
    <w:rsid w:val="00496AF8"/>
    <w:rsid w:val="004A28AB"/>
    <w:rsid w:val="004C1277"/>
    <w:rsid w:val="004C1CDB"/>
    <w:rsid w:val="004C30B5"/>
    <w:rsid w:val="004C52A2"/>
    <w:rsid w:val="004D035B"/>
    <w:rsid w:val="004D044A"/>
    <w:rsid w:val="004E7716"/>
    <w:rsid w:val="005000B2"/>
    <w:rsid w:val="0050186F"/>
    <w:rsid w:val="00502E57"/>
    <w:rsid w:val="005357AD"/>
    <w:rsid w:val="00541C20"/>
    <w:rsid w:val="005570BB"/>
    <w:rsid w:val="00563F8B"/>
    <w:rsid w:val="00571BB5"/>
    <w:rsid w:val="005736F9"/>
    <w:rsid w:val="0057690D"/>
    <w:rsid w:val="00581E5B"/>
    <w:rsid w:val="0058460D"/>
    <w:rsid w:val="00584FFD"/>
    <w:rsid w:val="00586E32"/>
    <w:rsid w:val="00590D7A"/>
    <w:rsid w:val="00592F8C"/>
    <w:rsid w:val="005A6C93"/>
    <w:rsid w:val="005B0F0F"/>
    <w:rsid w:val="005D6D6E"/>
    <w:rsid w:val="005E014C"/>
    <w:rsid w:val="005E5D1D"/>
    <w:rsid w:val="005F432F"/>
    <w:rsid w:val="00613BCE"/>
    <w:rsid w:val="00630DB6"/>
    <w:rsid w:val="00635276"/>
    <w:rsid w:val="006445BE"/>
    <w:rsid w:val="00644CF9"/>
    <w:rsid w:val="00651AB5"/>
    <w:rsid w:val="00655D30"/>
    <w:rsid w:val="00657130"/>
    <w:rsid w:val="00673601"/>
    <w:rsid w:val="0068098E"/>
    <w:rsid w:val="006877C8"/>
    <w:rsid w:val="006954E9"/>
    <w:rsid w:val="006A3296"/>
    <w:rsid w:val="006A3833"/>
    <w:rsid w:val="006A5360"/>
    <w:rsid w:val="006A61AE"/>
    <w:rsid w:val="006D0D7F"/>
    <w:rsid w:val="006D1855"/>
    <w:rsid w:val="006E2D24"/>
    <w:rsid w:val="006E4FBB"/>
    <w:rsid w:val="00700062"/>
    <w:rsid w:val="007048A8"/>
    <w:rsid w:val="007106F4"/>
    <w:rsid w:val="00714EBC"/>
    <w:rsid w:val="007166B0"/>
    <w:rsid w:val="00732FA6"/>
    <w:rsid w:val="00746CB8"/>
    <w:rsid w:val="0075635E"/>
    <w:rsid w:val="00771B2A"/>
    <w:rsid w:val="0077528C"/>
    <w:rsid w:val="00775337"/>
    <w:rsid w:val="00776C34"/>
    <w:rsid w:val="007A3D4A"/>
    <w:rsid w:val="007A68E9"/>
    <w:rsid w:val="007A6F61"/>
    <w:rsid w:val="007B4275"/>
    <w:rsid w:val="007C4E53"/>
    <w:rsid w:val="007C54B6"/>
    <w:rsid w:val="007D0F8B"/>
    <w:rsid w:val="007E0829"/>
    <w:rsid w:val="007E2EDA"/>
    <w:rsid w:val="007E64FD"/>
    <w:rsid w:val="007E7003"/>
    <w:rsid w:val="007E7A6F"/>
    <w:rsid w:val="007F0028"/>
    <w:rsid w:val="007F3DCB"/>
    <w:rsid w:val="007F43C5"/>
    <w:rsid w:val="00816506"/>
    <w:rsid w:val="0081715B"/>
    <w:rsid w:val="0083546D"/>
    <w:rsid w:val="00843CE1"/>
    <w:rsid w:val="00844B37"/>
    <w:rsid w:val="00847435"/>
    <w:rsid w:val="00861855"/>
    <w:rsid w:val="00862533"/>
    <w:rsid w:val="00874DA3"/>
    <w:rsid w:val="00876D54"/>
    <w:rsid w:val="00877D4B"/>
    <w:rsid w:val="00891B62"/>
    <w:rsid w:val="008A5B0A"/>
    <w:rsid w:val="008A6D1F"/>
    <w:rsid w:val="008C4568"/>
    <w:rsid w:val="008D0D76"/>
    <w:rsid w:val="008D560C"/>
    <w:rsid w:val="008D7E8C"/>
    <w:rsid w:val="008E6EA8"/>
    <w:rsid w:val="008F0A61"/>
    <w:rsid w:val="008F6D8D"/>
    <w:rsid w:val="00901C37"/>
    <w:rsid w:val="0090772F"/>
    <w:rsid w:val="00913A0C"/>
    <w:rsid w:val="0091756A"/>
    <w:rsid w:val="009248D9"/>
    <w:rsid w:val="00931918"/>
    <w:rsid w:val="009570C0"/>
    <w:rsid w:val="00963667"/>
    <w:rsid w:val="00965497"/>
    <w:rsid w:val="00973D29"/>
    <w:rsid w:val="0098272B"/>
    <w:rsid w:val="00987E9B"/>
    <w:rsid w:val="009A0E0D"/>
    <w:rsid w:val="009A4AD6"/>
    <w:rsid w:val="009A5AD9"/>
    <w:rsid w:val="009E79B0"/>
    <w:rsid w:val="009E7FDB"/>
    <w:rsid w:val="009F73D7"/>
    <w:rsid w:val="00A07C67"/>
    <w:rsid w:val="00A23DF2"/>
    <w:rsid w:val="00A512FA"/>
    <w:rsid w:val="00A63EE0"/>
    <w:rsid w:val="00A64BF9"/>
    <w:rsid w:val="00A85C85"/>
    <w:rsid w:val="00A8639D"/>
    <w:rsid w:val="00A870DC"/>
    <w:rsid w:val="00A951A0"/>
    <w:rsid w:val="00A9689A"/>
    <w:rsid w:val="00AB1D1B"/>
    <w:rsid w:val="00AC710E"/>
    <w:rsid w:val="00AD3298"/>
    <w:rsid w:val="00AD4612"/>
    <w:rsid w:val="00AE4A04"/>
    <w:rsid w:val="00AF0598"/>
    <w:rsid w:val="00B02A6B"/>
    <w:rsid w:val="00B074B6"/>
    <w:rsid w:val="00B371A0"/>
    <w:rsid w:val="00B544B2"/>
    <w:rsid w:val="00B603E0"/>
    <w:rsid w:val="00B6612F"/>
    <w:rsid w:val="00B66D44"/>
    <w:rsid w:val="00B75824"/>
    <w:rsid w:val="00B8016C"/>
    <w:rsid w:val="00B87A89"/>
    <w:rsid w:val="00BA1D8C"/>
    <w:rsid w:val="00BB098B"/>
    <w:rsid w:val="00BB3028"/>
    <w:rsid w:val="00BB4BFA"/>
    <w:rsid w:val="00BC27E1"/>
    <w:rsid w:val="00BC5DA2"/>
    <w:rsid w:val="00BD1209"/>
    <w:rsid w:val="00BD7590"/>
    <w:rsid w:val="00BE7FB2"/>
    <w:rsid w:val="00C00D97"/>
    <w:rsid w:val="00C151CE"/>
    <w:rsid w:val="00C27B0A"/>
    <w:rsid w:val="00C32D2F"/>
    <w:rsid w:val="00C4505D"/>
    <w:rsid w:val="00C52E2B"/>
    <w:rsid w:val="00C52F9A"/>
    <w:rsid w:val="00C61643"/>
    <w:rsid w:val="00C6776C"/>
    <w:rsid w:val="00C77F1F"/>
    <w:rsid w:val="00C837C9"/>
    <w:rsid w:val="00CA3657"/>
    <w:rsid w:val="00CA3D58"/>
    <w:rsid w:val="00CA65A8"/>
    <w:rsid w:val="00CA74C5"/>
    <w:rsid w:val="00CB015E"/>
    <w:rsid w:val="00CB4017"/>
    <w:rsid w:val="00CB7C28"/>
    <w:rsid w:val="00CC2925"/>
    <w:rsid w:val="00CE220B"/>
    <w:rsid w:val="00CE3352"/>
    <w:rsid w:val="00CE44CF"/>
    <w:rsid w:val="00CE4E30"/>
    <w:rsid w:val="00CF4FFF"/>
    <w:rsid w:val="00D001F1"/>
    <w:rsid w:val="00D11F66"/>
    <w:rsid w:val="00D219D5"/>
    <w:rsid w:val="00D22AE1"/>
    <w:rsid w:val="00D33020"/>
    <w:rsid w:val="00D332E6"/>
    <w:rsid w:val="00D333DE"/>
    <w:rsid w:val="00D37F90"/>
    <w:rsid w:val="00D4097D"/>
    <w:rsid w:val="00D40CC0"/>
    <w:rsid w:val="00D472A1"/>
    <w:rsid w:val="00D51740"/>
    <w:rsid w:val="00D56AE3"/>
    <w:rsid w:val="00D764D9"/>
    <w:rsid w:val="00D810FA"/>
    <w:rsid w:val="00D81D4F"/>
    <w:rsid w:val="00D856B1"/>
    <w:rsid w:val="00DA3482"/>
    <w:rsid w:val="00DA3649"/>
    <w:rsid w:val="00DB19D7"/>
    <w:rsid w:val="00DB25E4"/>
    <w:rsid w:val="00DD6ACE"/>
    <w:rsid w:val="00DF0C38"/>
    <w:rsid w:val="00DF2E54"/>
    <w:rsid w:val="00DF5566"/>
    <w:rsid w:val="00DF5E14"/>
    <w:rsid w:val="00DF63A5"/>
    <w:rsid w:val="00E03919"/>
    <w:rsid w:val="00E2262C"/>
    <w:rsid w:val="00E265EC"/>
    <w:rsid w:val="00E31259"/>
    <w:rsid w:val="00E367D2"/>
    <w:rsid w:val="00E46302"/>
    <w:rsid w:val="00E47394"/>
    <w:rsid w:val="00E57802"/>
    <w:rsid w:val="00E6576A"/>
    <w:rsid w:val="00E674C9"/>
    <w:rsid w:val="00E80BDB"/>
    <w:rsid w:val="00E828DB"/>
    <w:rsid w:val="00E86DEF"/>
    <w:rsid w:val="00E93983"/>
    <w:rsid w:val="00E97EF3"/>
    <w:rsid w:val="00EA5D19"/>
    <w:rsid w:val="00EB15DE"/>
    <w:rsid w:val="00EB17CD"/>
    <w:rsid w:val="00EB277C"/>
    <w:rsid w:val="00EB75EA"/>
    <w:rsid w:val="00EC0124"/>
    <w:rsid w:val="00EC117F"/>
    <w:rsid w:val="00EC657D"/>
    <w:rsid w:val="00EC6634"/>
    <w:rsid w:val="00EE7F1D"/>
    <w:rsid w:val="00EF4971"/>
    <w:rsid w:val="00F10CFA"/>
    <w:rsid w:val="00F17130"/>
    <w:rsid w:val="00F202C2"/>
    <w:rsid w:val="00F31D6D"/>
    <w:rsid w:val="00F3249C"/>
    <w:rsid w:val="00F35626"/>
    <w:rsid w:val="00F45219"/>
    <w:rsid w:val="00F534ED"/>
    <w:rsid w:val="00F55F24"/>
    <w:rsid w:val="00F576A5"/>
    <w:rsid w:val="00F57A22"/>
    <w:rsid w:val="00F71E91"/>
    <w:rsid w:val="00F72214"/>
    <w:rsid w:val="00F94778"/>
    <w:rsid w:val="00F97851"/>
    <w:rsid w:val="00FB5B07"/>
    <w:rsid w:val="00FB6DA2"/>
    <w:rsid w:val="00FC275E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86292-7A44-4508-AF83-CBE7378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FEB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0">
    <w:name w:val="Font Style20"/>
    <w:basedOn w:val="DefaultParagraphFont"/>
    <w:uiPriority w:val="99"/>
    <w:rsid w:val="00486FEB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86FEB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48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86FEB"/>
    <w:rPr>
      <w:lang w:val="ro-RO"/>
    </w:rPr>
  </w:style>
  <w:style w:type="character" w:customStyle="1" w:styleId="2">
    <w:name w:val="Основной текст (2)"/>
    <w:basedOn w:val="DefaultParagraphFont"/>
    <w:rsid w:val="00486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docheader">
    <w:name w:val="doc_header"/>
    <w:basedOn w:val="DefaultParagraphFont"/>
    <w:rsid w:val="002B417F"/>
  </w:style>
  <w:style w:type="character" w:customStyle="1" w:styleId="1">
    <w:name w:val="Заголовок №1"/>
    <w:basedOn w:val="DefaultParagraphFont"/>
    <w:rsid w:val="007F0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o-RO" w:eastAsia="ro-RO" w:bidi="ro-RO"/>
    </w:rPr>
  </w:style>
  <w:style w:type="character" w:customStyle="1" w:styleId="20">
    <w:name w:val="Основной текст (2) + Курсив"/>
    <w:rsid w:val="005A6C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C151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EB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BC"/>
    <w:rPr>
      <w:rFonts w:ascii="Segoe UI" w:hAnsi="Segoe UI" w:cs="Segoe UI"/>
      <w:sz w:val="18"/>
      <w:szCs w:val="18"/>
      <w:lang w:val="ro-RO"/>
    </w:rPr>
  </w:style>
  <w:style w:type="character" w:customStyle="1" w:styleId="object">
    <w:name w:val="object"/>
    <w:basedOn w:val="DefaultParagraphFont"/>
    <w:rsid w:val="00144EA8"/>
  </w:style>
  <w:style w:type="paragraph" w:styleId="ListParagraph">
    <w:name w:val="List Paragraph"/>
    <w:basedOn w:val="Normal"/>
    <w:uiPriority w:val="34"/>
    <w:qFormat/>
    <w:rsid w:val="008F6D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4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644C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Other">
    <w:name w:val="Other_"/>
    <w:basedOn w:val="DefaultParagraphFont"/>
    <w:link w:val="Other0"/>
    <w:locked/>
    <w:rsid w:val="006E2D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6E2D2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BodyText">
    <w:name w:val="Body Text"/>
    <w:basedOn w:val="Normal"/>
    <w:link w:val="BodyTextChar"/>
    <w:unhideWhenUsed/>
    <w:qFormat/>
    <w:rsid w:val="006E2D2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BodyTextChar">
    <w:name w:val="Body Text Char"/>
    <w:basedOn w:val="DefaultParagraphFont"/>
    <w:link w:val="BodyText"/>
    <w:rsid w:val="006E2D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Style7">
    <w:name w:val="Style7"/>
    <w:basedOn w:val="Normal"/>
    <w:uiPriority w:val="99"/>
    <w:rsid w:val="00D33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s://maia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3</Pages>
  <Words>982</Words>
  <Characters>5698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Sandu</dc:creator>
  <cp:lastModifiedBy>1</cp:lastModifiedBy>
  <cp:revision>36</cp:revision>
  <cp:lastPrinted>2023-10-05T13:15:00Z</cp:lastPrinted>
  <dcterms:created xsi:type="dcterms:W3CDTF">2022-12-02T07:07:00Z</dcterms:created>
  <dcterms:modified xsi:type="dcterms:W3CDTF">2024-02-26T11:54:00Z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a1ab2528299a39d00a14f510c2be99f55d728546dc48069a695d146f801c00d7</vt:lpwstr>
  </property>
</Properties>
</file>