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4C27C" w14:textId="77777777" w:rsidR="005A6977" w:rsidRPr="00F22874" w:rsidRDefault="005A6977" w:rsidP="00F22874">
      <w:pPr>
        <w:spacing w:line="276" w:lineRule="auto"/>
        <w:jc w:val="center"/>
        <w:rPr>
          <w:rFonts w:ascii="Times New Roman" w:hAnsi="Times New Roman" w:cs="Times New Roman"/>
          <w:b/>
          <w:color w:val="000000" w:themeColor="text1"/>
          <w:sz w:val="24"/>
          <w:szCs w:val="24"/>
          <w:lang w:val="ro-RO"/>
        </w:rPr>
      </w:pPr>
      <w:r w:rsidRPr="00F22874">
        <w:rPr>
          <w:rFonts w:ascii="Times New Roman" w:hAnsi="Times New Roman" w:cs="Times New Roman"/>
          <w:b/>
          <w:color w:val="000000" w:themeColor="text1"/>
          <w:sz w:val="24"/>
          <w:szCs w:val="24"/>
          <w:lang w:val="ro-RO"/>
        </w:rPr>
        <w:t>NOTĂ INFORMATIVĂ</w:t>
      </w:r>
    </w:p>
    <w:p w14:paraId="2C05F6AD" w14:textId="19AED880" w:rsidR="005A6977" w:rsidRPr="00F22874" w:rsidRDefault="005A6977" w:rsidP="00F22874">
      <w:pPr>
        <w:spacing w:after="0" w:line="276" w:lineRule="auto"/>
        <w:jc w:val="center"/>
        <w:rPr>
          <w:rFonts w:ascii="Times New Roman" w:hAnsi="Times New Roman" w:cs="Times New Roman"/>
          <w:b/>
          <w:color w:val="000000" w:themeColor="text1"/>
          <w:sz w:val="24"/>
          <w:szCs w:val="24"/>
          <w:lang w:val="ro-RO"/>
        </w:rPr>
      </w:pPr>
      <w:r w:rsidRPr="00F22874">
        <w:rPr>
          <w:rFonts w:ascii="Times New Roman" w:hAnsi="Times New Roman" w:cs="Times New Roman"/>
          <w:b/>
          <w:color w:val="000000" w:themeColor="text1"/>
          <w:sz w:val="24"/>
          <w:szCs w:val="24"/>
          <w:lang w:val="ro-RO"/>
        </w:rPr>
        <w:t xml:space="preserve">la </w:t>
      </w:r>
      <w:r w:rsidR="00000D08" w:rsidRPr="00F22874">
        <w:rPr>
          <w:rFonts w:ascii="Times New Roman" w:hAnsi="Times New Roman" w:cs="Times New Roman"/>
          <w:b/>
          <w:color w:val="000000" w:themeColor="text1"/>
          <w:sz w:val="24"/>
          <w:szCs w:val="24"/>
          <w:lang w:val="ro-RO"/>
        </w:rPr>
        <w:t>proiectul h</w:t>
      </w:r>
      <w:r w:rsidR="00FC3B9B" w:rsidRPr="00F22874">
        <w:rPr>
          <w:rFonts w:ascii="Times New Roman" w:hAnsi="Times New Roman" w:cs="Times New Roman"/>
          <w:b/>
          <w:color w:val="000000" w:themeColor="text1"/>
          <w:sz w:val="24"/>
          <w:szCs w:val="24"/>
          <w:lang w:val="ro-RO"/>
        </w:rPr>
        <w:t>otărâ</w:t>
      </w:r>
      <w:r w:rsidR="00983422" w:rsidRPr="00F22874">
        <w:rPr>
          <w:rFonts w:ascii="Times New Roman" w:hAnsi="Times New Roman" w:cs="Times New Roman"/>
          <w:b/>
          <w:color w:val="000000" w:themeColor="text1"/>
          <w:sz w:val="24"/>
          <w:szCs w:val="24"/>
          <w:lang w:val="ro-RO"/>
        </w:rPr>
        <w:t>rii de Guvern</w:t>
      </w:r>
      <w:r w:rsidR="001622D3" w:rsidRPr="00F22874">
        <w:rPr>
          <w:rFonts w:ascii="Times New Roman" w:hAnsi="Times New Roman" w:cs="Times New Roman"/>
          <w:b/>
          <w:color w:val="000000" w:themeColor="text1"/>
          <w:sz w:val="24"/>
          <w:szCs w:val="24"/>
          <w:lang w:val="ro-RO"/>
        </w:rPr>
        <w:t xml:space="preserve"> </w:t>
      </w:r>
    </w:p>
    <w:p w14:paraId="6B18F41E" w14:textId="3C42DA2E" w:rsidR="00C95833" w:rsidRPr="00F22874" w:rsidRDefault="00C95833" w:rsidP="00F22874">
      <w:pPr>
        <w:spacing w:after="0" w:line="276" w:lineRule="auto"/>
        <w:jc w:val="center"/>
        <w:rPr>
          <w:rFonts w:ascii="Times New Roman" w:hAnsi="Times New Roman" w:cs="Times New Roman"/>
          <w:b/>
          <w:i/>
          <w:color w:val="000000" w:themeColor="text1"/>
          <w:sz w:val="24"/>
          <w:szCs w:val="24"/>
          <w:lang w:val="ro-RO"/>
        </w:rPr>
      </w:pPr>
      <w:r w:rsidRPr="00F22874">
        <w:rPr>
          <w:rFonts w:ascii="Times New Roman" w:hAnsi="Times New Roman" w:cs="Times New Roman"/>
          <w:b/>
          <w:i/>
          <w:color w:val="000000" w:themeColor="text1"/>
          <w:sz w:val="24"/>
          <w:szCs w:val="24"/>
          <w:lang w:val="ro-RO"/>
        </w:rPr>
        <w:t>c</w:t>
      </w:r>
      <w:r w:rsidRPr="00F22874">
        <w:rPr>
          <w:rFonts w:ascii="Times New Roman" w:eastAsia="Calibri" w:hAnsi="Times New Roman" w:cs="Times New Roman"/>
          <w:b/>
          <w:i/>
          <w:color w:val="000000"/>
          <w:sz w:val="24"/>
          <w:szCs w:val="24"/>
          <w:lang w:val="ro-RO"/>
        </w:rPr>
        <w:t xml:space="preserve">u privire </w:t>
      </w:r>
      <w:r w:rsidR="00B13853" w:rsidRPr="00F22874">
        <w:rPr>
          <w:rFonts w:ascii="Times New Roman" w:eastAsia="Calibri" w:hAnsi="Times New Roman" w:cs="Times New Roman"/>
          <w:b/>
          <w:i/>
          <w:color w:val="000000"/>
          <w:sz w:val="24"/>
          <w:szCs w:val="24"/>
          <w:lang w:val="ro-RO"/>
        </w:rPr>
        <w:t>la organizarea odihnei</w:t>
      </w:r>
      <w:r w:rsidRPr="00F22874">
        <w:rPr>
          <w:rFonts w:ascii="Times New Roman" w:eastAsia="Calibri" w:hAnsi="Times New Roman" w:cs="Times New Roman"/>
          <w:b/>
          <w:i/>
          <w:color w:val="000000"/>
          <w:sz w:val="24"/>
          <w:szCs w:val="24"/>
          <w:lang w:val="ro-RO"/>
        </w:rPr>
        <w:t xml:space="preserve"> copiilor și adolescenților în sezonul estival 202</w:t>
      </w:r>
      <w:r w:rsidR="008166D5">
        <w:rPr>
          <w:rFonts w:ascii="Times New Roman" w:eastAsia="Calibri" w:hAnsi="Times New Roman" w:cs="Times New Roman"/>
          <w:b/>
          <w:i/>
          <w:color w:val="000000"/>
          <w:sz w:val="24"/>
          <w:szCs w:val="24"/>
          <w:lang w:val="ro-RO"/>
        </w:rPr>
        <w:t>4</w:t>
      </w:r>
    </w:p>
    <w:p w14:paraId="366119FD" w14:textId="77777777" w:rsidR="005A6977" w:rsidRDefault="005A6977" w:rsidP="00F22874">
      <w:pPr>
        <w:spacing w:after="0" w:line="276" w:lineRule="auto"/>
        <w:rPr>
          <w:rFonts w:ascii="Times New Roman" w:hAnsi="Times New Roman" w:cs="Times New Roman"/>
          <w:color w:val="000000" w:themeColor="text1"/>
          <w:sz w:val="24"/>
          <w:szCs w:val="24"/>
          <w:lang w:val="ro-RO"/>
        </w:rPr>
      </w:pPr>
    </w:p>
    <w:p w14:paraId="1F4ABE96" w14:textId="77777777" w:rsidR="00A16C4A" w:rsidRPr="00F22874" w:rsidRDefault="00A16C4A" w:rsidP="00F22874">
      <w:pPr>
        <w:spacing w:after="0" w:line="276" w:lineRule="auto"/>
        <w:rPr>
          <w:rFonts w:ascii="Times New Roman" w:hAnsi="Times New Roman" w:cs="Times New Roman"/>
          <w:color w:val="000000" w:themeColor="text1"/>
          <w:sz w:val="24"/>
          <w:szCs w:val="24"/>
          <w:lang w:val="ro-RO"/>
        </w:rPr>
      </w:pPr>
    </w:p>
    <w:tbl>
      <w:tblPr>
        <w:tblStyle w:val="TableGrid"/>
        <w:tblW w:w="0" w:type="auto"/>
        <w:tblLook w:val="04A0" w:firstRow="1" w:lastRow="0" w:firstColumn="1" w:lastColumn="0" w:noHBand="0" w:noVBand="1"/>
      </w:tblPr>
      <w:tblGrid>
        <w:gridCol w:w="9747"/>
      </w:tblGrid>
      <w:tr w:rsidR="0003155F" w:rsidRPr="00F22874" w14:paraId="0B5870CB" w14:textId="77777777" w:rsidTr="0099364C">
        <w:trPr>
          <w:trHeight w:val="620"/>
        </w:trPr>
        <w:tc>
          <w:tcPr>
            <w:tcW w:w="9747" w:type="dxa"/>
            <w:shd w:val="clear" w:color="auto" w:fill="DBDBDB" w:themeFill="accent3" w:themeFillTint="66"/>
          </w:tcPr>
          <w:p w14:paraId="462EC56B" w14:textId="67C6610E" w:rsidR="005A6977" w:rsidRPr="00F22874" w:rsidRDefault="00F95A52" w:rsidP="00F22874">
            <w:pPr>
              <w:pStyle w:val="ListParagraph"/>
              <w:numPr>
                <w:ilvl w:val="0"/>
                <w:numId w:val="1"/>
              </w:numPr>
              <w:spacing w:line="276" w:lineRule="auto"/>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Denumirea autorului și</w:t>
            </w:r>
            <w:r w:rsidR="00B13853" w:rsidRPr="00F22874">
              <w:rPr>
                <w:rFonts w:ascii="Times New Roman" w:hAnsi="Times New Roman" w:cs="Times New Roman"/>
                <w:b/>
                <w:color w:val="000000" w:themeColor="text1"/>
                <w:sz w:val="24"/>
                <w:szCs w:val="24"/>
                <w:lang w:val="ro-RO"/>
              </w:rPr>
              <w:t>, după caz,</w:t>
            </w:r>
            <w:r w:rsidR="00CF6C96">
              <w:rPr>
                <w:rFonts w:ascii="Times New Roman" w:hAnsi="Times New Roman" w:cs="Times New Roman"/>
                <w:b/>
                <w:color w:val="000000" w:themeColor="text1"/>
                <w:sz w:val="24"/>
                <w:szCs w:val="24"/>
                <w:lang w:val="ro-RO"/>
              </w:rPr>
              <w:t xml:space="preserve"> a participanților </w:t>
            </w:r>
            <w:r w:rsidR="005A6977" w:rsidRPr="00F22874">
              <w:rPr>
                <w:rFonts w:ascii="Times New Roman" w:hAnsi="Times New Roman" w:cs="Times New Roman"/>
                <w:b/>
                <w:color w:val="000000" w:themeColor="text1"/>
                <w:sz w:val="24"/>
                <w:szCs w:val="24"/>
                <w:lang w:val="ro-RO"/>
              </w:rPr>
              <w:t>la elaborarea proiectului</w:t>
            </w:r>
          </w:p>
        </w:tc>
      </w:tr>
      <w:tr w:rsidR="0003155F" w:rsidRPr="00F22874" w14:paraId="21C4A30A" w14:textId="77777777" w:rsidTr="0099364C">
        <w:tc>
          <w:tcPr>
            <w:tcW w:w="9747" w:type="dxa"/>
          </w:tcPr>
          <w:p w14:paraId="5AEBC3D5" w14:textId="2F75B3F8" w:rsidR="00005ABD" w:rsidRPr="00F22874" w:rsidRDefault="00C95833" w:rsidP="00F22874">
            <w:pPr>
              <w:spacing w:line="276" w:lineRule="auto"/>
              <w:ind w:firstLine="427"/>
              <w:jc w:val="both"/>
              <w:rPr>
                <w:rFonts w:ascii="Times New Roman" w:hAnsi="Times New Roman" w:cs="Times New Roman"/>
                <w:color w:val="000000" w:themeColor="text1"/>
                <w:sz w:val="24"/>
                <w:szCs w:val="24"/>
                <w:lang w:val="ro-RO"/>
              </w:rPr>
            </w:pPr>
            <w:r w:rsidRPr="00F22874">
              <w:rPr>
                <w:rFonts w:ascii="Times New Roman" w:hAnsi="Times New Roman" w:cs="Times New Roman"/>
                <w:color w:val="000000" w:themeColor="text1"/>
                <w:sz w:val="24"/>
                <w:szCs w:val="24"/>
                <w:lang w:val="ro-RO"/>
              </w:rPr>
              <w:t xml:space="preserve">Proiectul </w:t>
            </w:r>
            <w:r w:rsidR="00B13853" w:rsidRPr="00F22874">
              <w:rPr>
                <w:rFonts w:ascii="Times New Roman" w:hAnsi="Times New Roman" w:cs="Times New Roman"/>
                <w:color w:val="000000" w:themeColor="text1"/>
                <w:sz w:val="24"/>
                <w:szCs w:val="24"/>
                <w:lang w:val="ro-RO"/>
              </w:rPr>
              <w:t>Hotărâ</w:t>
            </w:r>
            <w:r w:rsidRPr="00F22874">
              <w:rPr>
                <w:rFonts w:ascii="Times New Roman" w:hAnsi="Times New Roman" w:cs="Times New Roman"/>
                <w:color w:val="000000" w:themeColor="text1"/>
                <w:sz w:val="24"/>
                <w:szCs w:val="24"/>
                <w:lang w:val="ro-RO"/>
              </w:rPr>
              <w:t xml:space="preserve">rii Guvernului </w:t>
            </w:r>
            <w:r w:rsidRPr="00F22874">
              <w:rPr>
                <w:rFonts w:ascii="Times New Roman" w:eastAsia="Calibri" w:hAnsi="Times New Roman" w:cs="Times New Roman"/>
                <w:color w:val="000000"/>
                <w:sz w:val="24"/>
                <w:szCs w:val="24"/>
                <w:lang w:val="ro-RO"/>
              </w:rPr>
              <w:t>cu privire l</w:t>
            </w:r>
            <w:r w:rsidR="00B13853" w:rsidRPr="00F22874">
              <w:rPr>
                <w:rFonts w:ascii="Times New Roman" w:eastAsia="Calibri" w:hAnsi="Times New Roman" w:cs="Times New Roman"/>
                <w:color w:val="000000"/>
                <w:sz w:val="24"/>
                <w:szCs w:val="24"/>
                <w:lang w:val="ro-RO"/>
              </w:rPr>
              <w:t xml:space="preserve">a organizarea odihnei </w:t>
            </w:r>
            <w:r w:rsidRPr="00F22874">
              <w:rPr>
                <w:rFonts w:ascii="Times New Roman" w:eastAsia="Calibri" w:hAnsi="Times New Roman" w:cs="Times New Roman"/>
                <w:color w:val="000000"/>
                <w:sz w:val="24"/>
                <w:szCs w:val="24"/>
                <w:lang w:val="ro-RO"/>
              </w:rPr>
              <w:t>copiilor și adolescenților în sezonul estival 202</w:t>
            </w:r>
            <w:r w:rsidR="008166D5">
              <w:rPr>
                <w:rFonts w:ascii="Times New Roman" w:eastAsia="Calibri" w:hAnsi="Times New Roman" w:cs="Times New Roman"/>
                <w:color w:val="000000"/>
                <w:sz w:val="24"/>
                <w:szCs w:val="24"/>
                <w:lang w:val="ro-RO"/>
              </w:rPr>
              <w:t>4</w:t>
            </w:r>
            <w:r w:rsidRPr="00F22874">
              <w:rPr>
                <w:rFonts w:ascii="Times New Roman" w:hAnsi="Times New Roman" w:cs="Times New Roman"/>
                <w:color w:val="000000" w:themeColor="text1"/>
                <w:sz w:val="24"/>
                <w:szCs w:val="24"/>
                <w:lang w:val="ro-RO"/>
              </w:rPr>
              <w:t xml:space="preserve"> </w:t>
            </w:r>
            <w:r w:rsidR="005A6977" w:rsidRPr="00F22874">
              <w:rPr>
                <w:rFonts w:ascii="Times New Roman" w:hAnsi="Times New Roman" w:cs="Times New Roman"/>
                <w:color w:val="000000" w:themeColor="text1"/>
                <w:sz w:val="24"/>
                <w:szCs w:val="24"/>
                <w:lang w:val="ro-RO"/>
              </w:rPr>
              <w:t>este elaborat de către Ministerul Ed</w:t>
            </w:r>
            <w:r w:rsidR="00FD34E4" w:rsidRPr="00F22874">
              <w:rPr>
                <w:rFonts w:ascii="Times New Roman" w:hAnsi="Times New Roman" w:cs="Times New Roman"/>
                <w:color w:val="000000" w:themeColor="text1"/>
                <w:sz w:val="24"/>
                <w:szCs w:val="24"/>
                <w:lang w:val="ro-RO"/>
              </w:rPr>
              <w:t>ucației</w:t>
            </w:r>
            <w:r w:rsidR="004C20E6" w:rsidRPr="00F22874">
              <w:rPr>
                <w:rFonts w:ascii="Times New Roman" w:hAnsi="Times New Roman" w:cs="Times New Roman"/>
                <w:color w:val="000000" w:themeColor="text1"/>
                <w:sz w:val="24"/>
                <w:szCs w:val="24"/>
                <w:lang w:val="ro-RO"/>
              </w:rPr>
              <w:t xml:space="preserve"> și Cercetării.</w:t>
            </w:r>
          </w:p>
        </w:tc>
      </w:tr>
      <w:tr w:rsidR="0003155F" w:rsidRPr="00F22874" w14:paraId="595830E4" w14:textId="77777777" w:rsidTr="000A2453">
        <w:trPr>
          <w:trHeight w:val="429"/>
        </w:trPr>
        <w:tc>
          <w:tcPr>
            <w:tcW w:w="9747" w:type="dxa"/>
            <w:shd w:val="clear" w:color="auto" w:fill="DBDBDB" w:themeFill="accent3" w:themeFillTint="66"/>
          </w:tcPr>
          <w:p w14:paraId="0FAF7640" w14:textId="77777777" w:rsidR="005A6977" w:rsidRPr="00F22874" w:rsidRDefault="005A6977" w:rsidP="00F22874">
            <w:pPr>
              <w:pStyle w:val="ListParagraph"/>
              <w:numPr>
                <w:ilvl w:val="0"/>
                <w:numId w:val="1"/>
              </w:numPr>
              <w:spacing w:line="276" w:lineRule="auto"/>
              <w:jc w:val="both"/>
              <w:rPr>
                <w:rFonts w:ascii="Times New Roman" w:hAnsi="Times New Roman" w:cs="Times New Roman"/>
                <w:b/>
                <w:color w:val="000000" w:themeColor="text1"/>
                <w:sz w:val="24"/>
                <w:szCs w:val="24"/>
                <w:lang w:val="ro-RO"/>
              </w:rPr>
            </w:pPr>
            <w:r w:rsidRPr="00F22874">
              <w:rPr>
                <w:rFonts w:ascii="Times New Roman" w:hAnsi="Times New Roman" w:cs="Times New Roman"/>
                <w:b/>
                <w:color w:val="000000" w:themeColor="text1"/>
                <w:sz w:val="24"/>
                <w:szCs w:val="24"/>
                <w:lang w:val="ro-RO"/>
              </w:rPr>
              <w:t>Condițiile ce au impus elaborarea proiectului de act normativ și finalitățile urmărite</w:t>
            </w:r>
          </w:p>
        </w:tc>
      </w:tr>
      <w:tr w:rsidR="0003155F" w:rsidRPr="006E59D2" w14:paraId="7F698B47" w14:textId="77777777" w:rsidTr="0099364C">
        <w:tc>
          <w:tcPr>
            <w:tcW w:w="9747" w:type="dxa"/>
          </w:tcPr>
          <w:p w14:paraId="56314AEA" w14:textId="36B46BD6" w:rsidR="00211ABB" w:rsidRPr="00F22874" w:rsidRDefault="006E59D2" w:rsidP="00F22874">
            <w:pPr>
              <w:spacing w:line="276" w:lineRule="auto"/>
              <w:ind w:firstLine="427"/>
              <w:jc w:val="both"/>
              <w:rPr>
                <w:rFonts w:ascii="Times New Roman" w:eastAsia="Calibri" w:hAnsi="Times New Roman" w:cs="Times New Roman"/>
                <w:sz w:val="24"/>
                <w:szCs w:val="24"/>
                <w:lang w:val="ro-RO"/>
              </w:rPr>
            </w:pPr>
            <w:r>
              <w:rPr>
                <w:rFonts w:ascii="Times New Roman" w:hAnsi="Times New Roman" w:cs="Times New Roman"/>
                <w:color w:val="000000" w:themeColor="text1"/>
                <w:sz w:val="24"/>
                <w:szCs w:val="24"/>
                <w:lang w:val="ro-RO"/>
              </w:rPr>
              <w:t>Proiectul h</w:t>
            </w:r>
            <w:r w:rsidR="00FC3B9B" w:rsidRPr="00F22874">
              <w:rPr>
                <w:rFonts w:ascii="Times New Roman" w:hAnsi="Times New Roman" w:cs="Times New Roman"/>
                <w:color w:val="000000" w:themeColor="text1"/>
                <w:sz w:val="24"/>
                <w:szCs w:val="24"/>
                <w:lang w:val="ro-RO"/>
              </w:rPr>
              <w:t>otărâ</w:t>
            </w:r>
            <w:r w:rsidR="005A6977" w:rsidRPr="00F22874">
              <w:rPr>
                <w:rFonts w:ascii="Times New Roman" w:hAnsi="Times New Roman" w:cs="Times New Roman"/>
                <w:color w:val="000000" w:themeColor="text1"/>
                <w:sz w:val="24"/>
                <w:szCs w:val="24"/>
                <w:lang w:val="ro-RO"/>
              </w:rPr>
              <w:t xml:space="preserve">rii Guvernului </w:t>
            </w:r>
            <w:r w:rsidR="00601A4C" w:rsidRPr="00F22874">
              <w:rPr>
                <w:rFonts w:ascii="Times New Roman" w:hAnsi="Times New Roman" w:cs="Times New Roman"/>
                <w:color w:val="000000" w:themeColor="text1"/>
                <w:sz w:val="24"/>
                <w:szCs w:val="24"/>
                <w:lang w:val="ro-RO"/>
              </w:rPr>
              <w:t>cu pri</w:t>
            </w:r>
            <w:r w:rsidR="000456C6" w:rsidRPr="00F22874">
              <w:rPr>
                <w:rFonts w:ascii="Times New Roman" w:hAnsi="Times New Roman" w:cs="Times New Roman"/>
                <w:color w:val="000000" w:themeColor="text1"/>
                <w:sz w:val="24"/>
                <w:szCs w:val="24"/>
                <w:lang w:val="ro-RO"/>
              </w:rPr>
              <w:t xml:space="preserve">vire la </w:t>
            </w:r>
            <w:r w:rsidR="002B2CC0" w:rsidRPr="00F22874">
              <w:rPr>
                <w:rFonts w:ascii="Times New Roman" w:eastAsia="Calibri" w:hAnsi="Times New Roman" w:cs="Times New Roman"/>
                <w:color w:val="000000"/>
                <w:sz w:val="24"/>
                <w:szCs w:val="24"/>
                <w:lang w:val="ro-RO"/>
              </w:rPr>
              <w:t>organizarea odihnei</w:t>
            </w:r>
            <w:r w:rsidR="000456C6" w:rsidRPr="00F22874">
              <w:rPr>
                <w:rFonts w:ascii="Times New Roman" w:eastAsia="Calibri" w:hAnsi="Times New Roman" w:cs="Times New Roman"/>
                <w:color w:val="000000"/>
                <w:sz w:val="24"/>
                <w:szCs w:val="24"/>
                <w:lang w:val="ro-RO"/>
              </w:rPr>
              <w:t xml:space="preserve"> copiilor și adolescenților în sezonul estival 202</w:t>
            </w:r>
            <w:r w:rsidR="008166D5">
              <w:rPr>
                <w:rFonts w:ascii="Times New Roman" w:eastAsia="Calibri" w:hAnsi="Times New Roman" w:cs="Times New Roman"/>
                <w:color w:val="000000"/>
                <w:sz w:val="24"/>
                <w:szCs w:val="24"/>
                <w:lang w:val="ro-RO"/>
              </w:rPr>
              <w:t>4</w:t>
            </w:r>
            <w:r w:rsidR="00601A4C" w:rsidRPr="00F22874">
              <w:rPr>
                <w:rFonts w:ascii="Times New Roman" w:hAnsi="Times New Roman" w:cs="Times New Roman"/>
                <w:color w:val="000000" w:themeColor="text1"/>
                <w:sz w:val="24"/>
                <w:szCs w:val="24"/>
                <w:lang w:val="ro-RO"/>
              </w:rPr>
              <w:t xml:space="preserve"> </w:t>
            </w:r>
            <w:r w:rsidR="005A6977" w:rsidRPr="00F22874">
              <w:rPr>
                <w:rFonts w:ascii="Times New Roman" w:hAnsi="Times New Roman" w:cs="Times New Roman"/>
                <w:color w:val="000000" w:themeColor="text1"/>
                <w:sz w:val="24"/>
                <w:szCs w:val="24"/>
                <w:lang w:val="ro-RO"/>
              </w:rPr>
              <w:t xml:space="preserve">a fost elaborat </w:t>
            </w:r>
            <w:r w:rsidR="00D74085" w:rsidRPr="00F22874">
              <w:rPr>
                <w:rFonts w:ascii="Times New Roman" w:hAnsi="Times New Roman" w:cs="Times New Roman"/>
                <w:color w:val="000000" w:themeColor="text1"/>
                <w:sz w:val="24"/>
                <w:szCs w:val="24"/>
                <w:lang w:val="ro-RO"/>
              </w:rPr>
              <w:t>în scopul</w:t>
            </w:r>
            <w:r w:rsidR="00C659AB" w:rsidRPr="00F22874">
              <w:rPr>
                <w:rFonts w:ascii="Times New Roman" w:hAnsi="Times New Roman" w:cs="Times New Roman"/>
                <w:color w:val="000000" w:themeColor="text1"/>
                <w:sz w:val="24"/>
                <w:szCs w:val="24"/>
                <w:lang w:val="ro-RO"/>
              </w:rPr>
              <w:t xml:space="preserve"> organizării </w:t>
            </w:r>
            <w:r w:rsidR="00F22874">
              <w:rPr>
                <w:rFonts w:ascii="Times New Roman" w:hAnsi="Times New Roman" w:cs="Times New Roman"/>
                <w:color w:val="000000" w:themeColor="text1"/>
                <w:sz w:val="24"/>
                <w:szCs w:val="24"/>
                <w:lang w:val="ro-RO"/>
              </w:rPr>
              <w:t>o</w:t>
            </w:r>
            <w:r w:rsidR="000456C6" w:rsidRPr="00F22874">
              <w:rPr>
                <w:rFonts w:ascii="Times New Roman" w:eastAsia="Calibri" w:hAnsi="Times New Roman" w:cs="Times New Roman"/>
                <w:sz w:val="24"/>
                <w:szCs w:val="24"/>
                <w:lang w:val="ro-RO"/>
              </w:rPr>
              <w:t>dihnei, recreeri</w:t>
            </w:r>
            <w:r w:rsidR="00C659AB" w:rsidRPr="00F22874">
              <w:rPr>
                <w:rFonts w:ascii="Times New Roman" w:eastAsia="Calibri" w:hAnsi="Times New Roman" w:cs="Times New Roman"/>
                <w:sz w:val="24"/>
                <w:szCs w:val="24"/>
                <w:lang w:val="ro-RO"/>
              </w:rPr>
              <w:t>i și întremării</w:t>
            </w:r>
            <w:r w:rsidR="004C20E6" w:rsidRPr="00F22874">
              <w:rPr>
                <w:rFonts w:ascii="Times New Roman" w:eastAsia="Calibri" w:hAnsi="Times New Roman" w:cs="Times New Roman"/>
                <w:sz w:val="24"/>
                <w:szCs w:val="24"/>
                <w:lang w:val="ro-RO"/>
              </w:rPr>
              <w:t xml:space="preserve"> copiilor </w:t>
            </w:r>
            <w:proofErr w:type="spellStart"/>
            <w:r w:rsidR="004C20E6" w:rsidRPr="00F22874">
              <w:rPr>
                <w:rFonts w:ascii="Times New Roman" w:eastAsia="Calibri" w:hAnsi="Times New Roman" w:cs="Times New Roman"/>
                <w:sz w:val="24"/>
                <w:szCs w:val="24"/>
                <w:lang w:val="ro-RO"/>
              </w:rPr>
              <w:t>şi</w:t>
            </w:r>
            <w:proofErr w:type="spellEnd"/>
            <w:r w:rsidR="004C20E6" w:rsidRPr="00F22874">
              <w:rPr>
                <w:rFonts w:ascii="Times New Roman" w:eastAsia="Calibri" w:hAnsi="Times New Roman" w:cs="Times New Roman"/>
                <w:sz w:val="24"/>
                <w:szCs w:val="24"/>
                <w:lang w:val="ro-RO"/>
              </w:rPr>
              <w:t xml:space="preserve"> adolescenților î</w:t>
            </w:r>
            <w:r w:rsidR="00C659AB" w:rsidRPr="00F22874">
              <w:rPr>
                <w:rFonts w:ascii="Times New Roman" w:eastAsia="Calibri" w:hAnsi="Times New Roman" w:cs="Times New Roman"/>
                <w:sz w:val="24"/>
                <w:szCs w:val="24"/>
                <w:lang w:val="ro-RO"/>
              </w:rPr>
              <w:t xml:space="preserve">n timpul liber </w:t>
            </w:r>
            <w:proofErr w:type="spellStart"/>
            <w:r w:rsidR="00C659AB" w:rsidRPr="00F22874">
              <w:rPr>
                <w:rFonts w:ascii="Times New Roman" w:eastAsia="Calibri" w:hAnsi="Times New Roman" w:cs="Times New Roman"/>
                <w:sz w:val="24"/>
                <w:szCs w:val="24"/>
                <w:lang w:val="ro-RO"/>
              </w:rPr>
              <w:t>şi</w:t>
            </w:r>
            <w:proofErr w:type="spellEnd"/>
            <w:r w:rsidR="00C659AB" w:rsidRPr="00F22874">
              <w:rPr>
                <w:rFonts w:ascii="Times New Roman" w:eastAsia="Calibri" w:hAnsi="Times New Roman" w:cs="Times New Roman"/>
                <w:sz w:val="24"/>
                <w:szCs w:val="24"/>
                <w:lang w:val="ro-RO"/>
              </w:rPr>
              <w:t xml:space="preserve">/sau în </w:t>
            </w:r>
            <w:r w:rsidR="00F22874" w:rsidRPr="00F22874">
              <w:rPr>
                <w:rFonts w:ascii="Times New Roman" w:eastAsia="Calibri" w:hAnsi="Times New Roman" w:cs="Times New Roman"/>
                <w:sz w:val="24"/>
                <w:szCs w:val="24"/>
                <w:lang w:val="ro-RO"/>
              </w:rPr>
              <w:t>vacanța</w:t>
            </w:r>
            <w:r w:rsidR="000456C6" w:rsidRPr="00F22874">
              <w:rPr>
                <w:rFonts w:ascii="Times New Roman" w:eastAsia="Calibri" w:hAnsi="Times New Roman" w:cs="Times New Roman"/>
                <w:sz w:val="24"/>
                <w:szCs w:val="24"/>
                <w:lang w:val="ro-RO"/>
              </w:rPr>
              <w:t xml:space="preserve"> de vară, ori organizarea odihnei copiilor și adolescenților în vacanțe </w:t>
            </w:r>
            <w:r w:rsidR="004C20E6" w:rsidRPr="00F22874">
              <w:rPr>
                <w:rFonts w:ascii="Times New Roman" w:eastAsia="Calibri" w:hAnsi="Times New Roman" w:cs="Times New Roman"/>
                <w:sz w:val="24"/>
                <w:szCs w:val="24"/>
                <w:lang w:val="ro-RO"/>
              </w:rPr>
              <w:t xml:space="preserve">este una din principalele direcții ale politicii de stat și este considerată un atribut indispensabil al politicii sociale în raport cu tânăra generație. </w:t>
            </w:r>
          </w:p>
          <w:p w14:paraId="4EFDF33F" w14:textId="24EBA3EF" w:rsidR="004C20E6" w:rsidRPr="00F22874" w:rsidRDefault="006E59D2" w:rsidP="00F22874">
            <w:pPr>
              <w:spacing w:line="276" w:lineRule="auto"/>
              <w:ind w:firstLine="427"/>
              <w:jc w:val="both"/>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Organizarea</w:t>
            </w:r>
            <w:r w:rsidR="004C20E6" w:rsidRPr="00F22874">
              <w:rPr>
                <w:rFonts w:ascii="Times New Roman" w:eastAsia="Calibri" w:hAnsi="Times New Roman" w:cs="Times New Roman"/>
                <w:color w:val="000000"/>
                <w:sz w:val="24"/>
                <w:szCs w:val="24"/>
                <w:lang w:val="ro-RO"/>
              </w:rPr>
              <w:t xml:space="preserve"> odihnei, recreerii </w:t>
            </w:r>
            <w:proofErr w:type="spellStart"/>
            <w:r w:rsidR="004C20E6" w:rsidRPr="00F22874">
              <w:rPr>
                <w:rFonts w:ascii="Times New Roman" w:eastAsia="Calibri" w:hAnsi="Times New Roman" w:cs="Times New Roman"/>
                <w:color w:val="000000"/>
                <w:sz w:val="24"/>
                <w:szCs w:val="24"/>
                <w:lang w:val="ro-RO"/>
              </w:rPr>
              <w:t>şi</w:t>
            </w:r>
            <w:proofErr w:type="spellEnd"/>
            <w:r w:rsidR="004C20E6" w:rsidRPr="00F22874">
              <w:rPr>
                <w:rFonts w:ascii="Times New Roman" w:eastAsia="Calibri" w:hAnsi="Times New Roman" w:cs="Times New Roman"/>
                <w:color w:val="000000"/>
                <w:sz w:val="24"/>
                <w:szCs w:val="24"/>
                <w:lang w:val="ro-RO"/>
              </w:rPr>
              <w:t xml:space="preserve"> întremării cop</w:t>
            </w:r>
            <w:r w:rsidR="00C3592D" w:rsidRPr="00F22874">
              <w:rPr>
                <w:rFonts w:ascii="Times New Roman" w:eastAsia="Calibri" w:hAnsi="Times New Roman" w:cs="Times New Roman"/>
                <w:color w:val="000000"/>
                <w:sz w:val="24"/>
                <w:szCs w:val="24"/>
                <w:lang w:val="ro-RO"/>
              </w:rPr>
              <w:t>iilor/</w:t>
            </w:r>
            <w:proofErr w:type="spellStart"/>
            <w:r w:rsidR="00C3592D" w:rsidRPr="00F22874">
              <w:rPr>
                <w:rFonts w:ascii="Times New Roman" w:eastAsia="Calibri" w:hAnsi="Times New Roman" w:cs="Times New Roman"/>
                <w:color w:val="000000"/>
                <w:sz w:val="24"/>
                <w:szCs w:val="24"/>
                <w:lang w:val="ro-RO"/>
              </w:rPr>
              <w:t>adolescenţilor</w:t>
            </w:r>
            <w:proofErr w:type="spellEnd"/>
            <w:r w:rsidR="00C3592D" w:rsidRPr="00F22874">
              <w:rPr>
                <w:rFonts w:ascii="Times New Roman" w:eastAsia="Calibri" w:hAnsi="Times New Roman" w:cs="Times New Roman"/>
                <w:color w:val="000000"/>
                <w:sz w:val="24"/>
                <w:szCs w:val="24"/>
                <w:lang w:val="ro-RO"/>
              </w:rPr>
              <w:t xml:space="preserve"> în timpul</w:t>
            </w:r>
            <w:r w:rsidR="004C20E6" w:rsidRPr="00F22874">
              <w:rPr>
                <w:rFonts w:ascii="Times New Roman" w:eastAsia="Calibri" w:hAnsi="Times New Roman" w:cs="Times New Roman"/>
                <w:color w:val="000000"/>
                <w:sz w:val="24"/>
                <w:szCs w:val="24"/>
                <w:lang w:val="ro-RO"/>
              </w:rPr>
              <w:t xml:space="preserve"> liber </w:t>
            </w:r>
            <w:proofErr w:type="spellStart"/>
            <w:r w:rsidR="004C20E6" w:rsidRPr="00F22874">
              <w:rPr>
                <w:rFonts w:ascii="Times New Roman" w:eastAsia="Calibri" w:hAnsi="Times New Roman" w:cs="Times New Roman"/>
                <w:color w:val="000000"/>
                <w:sz w:val="24"/>
                <w:szCs w:val="24"/>
                <w:lang w:val="ro-RO"/>
              </w:rPr>
              <w:t>şi</w:t>
            </w:r>
            <w:proofErr w:type="spellEnd"/>
            <w:r w:rsidR="004C20E6" w:rsidRPr="00F22874">
              <w:rPr>
                <w:rFonts w:ascii="Times New Roman" w:eastAsia="Calibri" w:hAnsi="Times New Roman" w:cs="Times New Roman"/>
                <w:color w:val="000000"/>
                <w:sz w:val="24"/>
                <w:szCs w:val="24"/>
                <w:lang w:val="ro-RO"/>
              </w:rPr>
              <w:t xml:space="preserve">/sau în perioada </w:t>
            </w:r>
            <w:proofErr w:type="spellStart"/>
            <w:r w:rsidR="004C20E6" w:rsidRPr="00F22874">
              <w:rPr>
                <w:rFonts w:ascii="Times New Roman" w:eastAsia="Calibri" w:hAnsi="Times New Roman" w:cs="Times New Roman"/>
                <w:color w:val="000000"/>
                <w:sz w:val="24"/>
                <w:szCs w:val="24"/>
                <w:lang w:val="ro-RO"/>
              </w:rPr>
              <w:t>vacanţelor</w:t>
            </w:r>
            <w:proofErr w:type="spellEnd"/>
            <w:r w:rsidR="004C20E6" w:rsidRPr="00F22874">
              <w:rPr>
                <w:rFonts w:ascii="Times New Roman" w:eastAsia="Calibri" w:hAnsi="Times New Roman" w:cs="Times New Roman"/>
                <w:color w:val="000000"/>
                <w:sz w:val="24"/>
                <w:szCs w:val="24"/>
                <w:lang w:val="ro-RO"/>
              </w:rPr>
              <w:t xml:space="preserve"> contribuie semnificativ la asigurarea </w:t>
            </w:r>
            <w:proofErr w:type="spellStart"/>
            <w:r w:rsidR="004C20E6" w:rsidRPr="00F22874">
              <w:rPr>
                <w:rFonts w:ascii="Times New Roman" w:eastAsia="Calibri" w:hAnsi="Times New Roman" w:cs="Times New Roman"/>
                <w:color w:val="000000"/>
                <w:sz w:val="24"/>
                <w:szCs w:val="24"/>
                <w:lang w:val="ro-RO"/>
              </w:rPr>
              <w:t>protecţiei</w:t>
            </w:r>
            <w:proofErr w:type="spellEnd"/>
            <w:r w:rsidR="004C20E6" w:rsidRPr="00F22874">
              <w:rPr>
                <w:rFonts w:ascii="Times New Roman" w:eastAsia="Calibri" w:hAnsi="Times New Roman" w:cs="Times New Roman"/>
                <w:color w:val="000000"/>
                <w:sz w:val="24"/>
                <w:szCs w:val="24"/>
                <w:lang w:val="ro-RO"/>
              </w:rPr>
              <w:t xml:space="preserve"> eficiente a drepturilor copilului, </w:t>
            </w:r>
            <w:proofErr w:type="spellStart"/>
            <w:r w:rsidR="004C20E6" w:rsidRPr="00F22874">
              <w:rPr>
                <w:rFonts w:ascii="Times New Roman" w:eastAsia="Calibri" w:hAnsi="Times New Roman" w:cs="Times New Roman"/>
                <w:color w:val="000000"/>
                <w:sz w:val="24"/>
                <w:szCs w:val="24"/>
                <w:lang w:val="ro-RO"/>
              </w:rPr>
              <w:t>îmbunătăţirea</w:t>
            </w:r>
            <w:proofErr w:type="spellEnd"/>
            <w:r w:rsidR="004C20E6" w:rsidRPr="00F22874">
              <w:rPr>
                <w:rFonts w:ascii="Times New Roman" w:eastAsia="Calibri" w:hAnsi="Times New Roman" w:cs="Times New Roman"/>
                <w:color w:val="000000"/>
                <w:sz w:val="24"/>
                <w:szCs w:val="24"/>
                <w:lang w:val="ro-RO"/>
              </w:rPr>
              <w:t xml:space="preserve"> stării de sănătate a lor, diminuării numărului de </w:t>
            </w:r>
            <w:proofErr w:type="spellStart"/>
            <w:r w:rsidR="004C20E6" w:rsidRPr="00F22874">
              <w:rPr>
                <w:rFonts w:ascii="Times New Roman" w:eastAsia="Calibri" w:hAnsi="Times New Roman" w:cs="Times New Roman"/>
                <w:color w:val="000000"/>
                <w:sz w:val="24"/>
                <w:szCs w:val="24"/>
                <w:lang w:val="ro-RO"/>
              </w:rPr>
              <w:t>infracţiuni</w:t>
            </w:r>
            <w:proofErr w:type="spellEnd"/>
            <w:r w:rsidR="004C20E6" w:rsidRPr="00F22874">
              <w:rPr>
                <w:rFonts w:ascii="Times New Roman" w:eastAsia="Calibri" w:hAnsi="Times New Roman" w:cs="Times New Roman"/>
                <w:color w:val="000000"/>
                <w:sz w:val="24"/>
                <w:szCs w:val="24"/>
                <w:lang w:val="ro-RO"/>
              </w:rPr>
              <w:t xml:space="preserve"> </w:t>
            </w:r>
            <w:r w:rsidR="00F22874" w:rsidRPr="00F22874">
              <w:rPr>
                <w:rFonts w:ascii="Times New Roman" w:eastAsia="Calibri" w:hAnsi="Times New Roman" w:cs="Times New Roman"/>
                <w:color w:val="000000"/>
                <w:sz w:val="24"/>
                <w:szCs w:val="24"/>
                <w:lang w:val="ro-RO"/>
              </w:rPr>
              <w:t>săvârșite</w:t>
            </w:r>
            <w:r w:rsidR="004C20E6" w:rsidRPr="00F22874">
              <w:rPr>
                <w:rFonts w:ascii="Times New Roman" w:eastAsia="Calibri" w:hAnsi="Times New Roman" w:cs="Times New Roman"/>
                <w:color w:val="000000"/>
                <w:sz w:val="24"/>
                <w:szCs w:val="24"/>
                <w:lang w:val="ro-RO"/>
              </w:rPr>
              <w:t xml:space="preserve">, intensificării </w:t>
            </w:r>
            <w:r w:rsidR="00F22874" w:rsidRPr="00F22874">
              <w:rPr>
                <w:rFonts w:ascii="Times New Roman" w:eastAsia="Calibri" w:hAnsi="Times New Roman" w:cs="Times New Roman"/>
                <w:color w:val="000000"/>
                <w:sz w:val="24"/>
                <w:szCs w:val="24"/>
                <w:lang w:val="ro-RO"/>
              </w:rPr>
              <w:t>activităților</w:t>
            </w:r>
            <w:r w:rsidR="004C20E6" w:rsidRPr="00F22874">
              <w:rPr>
                <w:rFonts w:ascii="Times New Roman" w:eastAsia="Calibri" w:hAnsi="Times New Roman" w:cs="Times New Roman"/>
                <w:color w:val="000000"/>
                <w:sz w:val="24"/>
                <w:szCs w:val="24"/>
                <w:lang w:val="ro-RO"/>
              </w:rPr>
              <w:t xml:space="preserve"> de prevenire a </w:t>
            </w:r>
            <w:r w:rsidR="00F22874" w:rsidRPr="00F22874">
              <w:rPr>
                <w:rFonts w:ascii="Times New Roman" w:eastAsia="Calibri" w:hAnsi="Times New Roman" w:cs="Times New Roman"/>
                <w:color w:val="000000"/>
                <w:sz w:val="24"/>
                <w:szCs w:val="24"/>
                <w:lang w:val="ro-RO"/>
              </w:rPr>
              <w:t>infracțiunilor</w:t>
            </w:r>
            <w:bookmarkStart w:id="0" w:name="_GoBack"/>
            <w:bookmarkEnd w:id="0"/>
            <w:r w:rsidR="004C20E6" w:rsidRPr="00F22874">
              <w:rPr>
                <w:rFonts w:ascii="Times New Roman" w:eastAsia="Calibri" w:hAnsi="Times New Roman" w:cs="Times New Roman"/>
                <w:color w:val="000000"/>
                <w:sz w:val="24"/>
                <w:szCs w:val="24"/>
                <w:lang w:val="ro-RO"/>
              </w:rPr>
              <w:t xml:space="preserve">, a </w:t>
            </w:r>
            <w:proofErr w:type="spellStart"/>
            <w:r w:rsidR="004C20E6" w:rsidRPr="00F22874">
              <w:rPr>
                <w:rFonts w:ascii="Times New Roman" w:eastAsia="Calibri" w:hAnsi="Times New Roman" w:cs="Times New Roman"/>
                <w:color w:val="000000"/>
                <w:sz w:val="24"/>
                <w:szCs w:val="24"/>
                <w:lang w:val="ro-RO"/>
              </w:rPr>
              <w:t>violenţei</w:t>
            </w:r>
            <w:proofErr w:type="spellEnd"/>
            <w:r w:rsidR="004C20E6" w:rsidRPr="00F22874">
              <w:rPr>
                <w:rFonts w:ascii="Times New Roman" w:eastAsia="Calibri" w:hAnsi="Times New Roman" w:cs="Times New Roman"/>
                <w:color w:val="000000"/>
                <w:sz w:val="24"/>
                <w:szCs w:val="24"/>
                <w:lang w:val="ro-RO"/>
              </w:rPr>
              <w:t xml:space="preserve">, abuzului, neglijării </w:t>
            </w:r>
            <w:proofErr w:type="spellStart"/>
            <w:r w:rsidR="004C20E6" w:rsidRPr="00F22874">
              <w:rPr>
                <w:rFonts w:ascii="Times New Roman" w:eastAsia="Calibri" w:hAnsi="Times New Roman" w:cs="Times New Roman"/>
                <w:color w:val="000000"/>
                <w:sz w:val="24"/>
                <w:szCs w:val="24"/>
                <w:lang w:val="ro-RO"/>
              </w:rPr>
              <w:t>şi</w:t>
            </w:r>
            <w:proofErr w:type="spellEnd"/>
            <w:r w:rsidR="004C20E6" w:rsidRPr="00F22874">
              <w:rPr>
                <w:rFonts w:ascii="Times New Roman" w:eastAsia="Calibri" w:hAnsi="Times New Roman" w:cs="Times New Roman"/>
                <w:color w:val="000000"/>
                <w:sz w:val="24"/>
                <w:szCs w:val="24"/>
                <w:lang w:val="ro-RO"/>
              </w:rPr>
              <w:t xml:space="preserve"> exploatării copilului în d</w:t>
            </w:r>
            <w:r>
              <w:rPr>
                <w:rFonts w:ascii="Times New Roman" w:eastAsia="Calibri" w:hAnsi="Times New Roman" w:cs="Times New Roman"/>
                <w:color w:val="000000"/>
                <w:sz w:val="24"/>
                <w:szCs w:val="24"/>
                <w:lang w:val="ro-RO"/>
              </w:rPr>
              <w:t>iverse medii sociale</w:t>
            </w:r>
            <w:r w:rsidR="004C20E6" w:rsidRPr="00F22874">
              <w:rPr>
                <w:rFonts w:ascii="Times New Roman" w:eastAsia="Calibri" w:hAnsi="Times New Roman" w:cs="Times New Roman"/>
                <w:color w:val="000000"/>
                <w:sz w:val="24"/>
                <w:szCs w:val="24"/>
                <w:lang w:val="ro-RO"/>
              </w:rPr>
              <w:t>.</w:t>
            </w:r>
            <w:r w:rsidR="002F7EAC">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ro-RO"/>
              </w:rPr>
              <w:t>Totodată, organizarea odihnei copiilor/adolescenților în timpul liber</w:t>
            </w:r>
            <w:r w:rsidR="002F7EAC">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ro-RO"/>
              </w:rPr>
              <w:t>oferă un suport considerabil</w:t>
            </w:r>
            <w:r w:rsidR="002F7EAC" w:rsidRPr="002F7EAC">
              <w:rPr>
                <w:rFonts w:ascii="Times New Roman" w:eastAsia="Calibri" w:hAnsi="Times New Roman" w:cs="Times New Roman"/>
                <w:color w:val="000000"/>
                <w:sz w:val="24"/>
                <w:szCs w:val="24"/>
                <w:lang w:val="ro-RO"/>
              </w:rPr>
              <w:t xml:space="preserve"> familiei în organizarea eficientă a odihnei copiilor </w:t>
            </w:r>
            <w:r>
              <w:rPr>
                <w:rFonts w:ascii="Times New Roman" w:eastAsia="Calibri" w:hAnsi="Times New Roman" w:cs="Times New Roman"/>
                <w:color w:val="000000"/>
                <w:sz w:val="24"/>
                <w:szCs w:val="24"/>
                <w:lang w:val="ro-RO"/>
              </w:rPr>
              <w:t xml:space="preserve">lor </w:t>
            </w:r>
            <w:r w:rsidR="002F7EAC" w:rsidRPr="002F7EAC">
              <w:rPr>
                <w:rFonts w:ascii="Times New Roman" w:eastAsia="Calibri" w:hAnsi="Times New Roman" w:cs="Times New Roman"/>
                <w:color w:val="000000"/>
                <w:sz w:val="24"/>
                <w:szCs w:val="24"/>
                <w:lang w:val="ro-RO"/>
              </w:rPr>
              <w:t>în timpul liber, inclusiv în perioada vacanțelor.</w:t>
            </w:r>
          </w:p>
        </w:tc>
      </w:tr>
      <w:tr w:rsidR="00FC3373" w:rsidRPr="00F22874" w14:paraId="0609F367" w14:textId="77777777" w:rsidTr="00FC3373">
        <w:tc>
          <w:tcPr>
            <w:tcW w:w="9747" w:type="dxa"/>
            <w:shd w:val="clear" w:color="auto" w:fill="E7E6E6" w:themeFill="background2"/>
          </w:tcPr>
          <w:p w14:paraId="4656ABCF" w14:textId="0D6FE9AD" w:rsidR="00FC3373" w:rsidRPr="00F22874" w:rsidRDefault="00AD2C2A" w:rsidP="00F22874">
            <w:pPr>
              <w:pStyle w:val="ListParagraph"/>
              <w:numPr>
                <w:ilvl w:val="0"/>
                <w:numId w:val="1"/>
              </w:numPr>
              <w:spacing w:line="276" w:lineRule="auto"/>
              <w:jc w:val="both"/>
              <w:rPr>
                <w:rFonts w:ascii="Times New Roman" w:hAnsi="Times New Roman" w:cs="Times New Roman"/>
                <w:b/>
                <w:color w:val="000000" w:themeColor="text1"/>
                <w:sz w:val="24"/>
                <w:szCs w:val="24"/>
                <w:lang w:val="ro-RO"/>
              </w:rPr>
            </w:pPr>
            <w:r w:rsidRPr="00F22874">
              <w:rPr>
                <w:rFonts w:ascii="Times New Roman" w:hAnsi="Times New Roman" w:cs="Times New Roman"/>
                <w:b/>
                <w:color w:val="000000" w:themeColor="text1"/>
                <w:sz w:val="24"/>
                <w:szCs w:val="24"/>
                <w:lang w:val="ro-RO"/>
              </w:rPr>
              <w:t>Descrierea gradului de compatibilitate pentru proiectele care au ca scop armonizarea legislației naționale cu legislația Uniunii Europene</w:t>
            </w:r>
          </w:p>
        </w:tc>
      </w:tr>
      <w:tr w:rsidR="00FC3373" w:rsidRPr="00F22874" w14:paraId="48C08501" w14:textId="77777777" w:rsidTr="0099364C">
        <w:tc>
          <w:tcPr>
            <w:tcW w:w="9747" w:type="dxa"/>
          </w:tcPr>
          <w:p w14:paraId="04A1A841" w14:textId="66C120E2" w:rsidR="00FC3373" w:rsidRPr="00F22874" w:rsidRDefault="000D05CA" w:rsidP="00F22874">
            <w:pPr>
              <w:spacing w:line="276" w:lineRule="auto"/>
              <w:ind w:firstLine="427"/>
              <w:jc w:val="both"/>
              <w:rPr>
                <w:rFonts w:ascii="Times New Roman" w:hAnsi="Times New Roman" w:cs="Times New Roman"/>
                <w:color w:val="000000" w:themeColor="text1"/>
                <w:sz w:val="24"/>
                <w:szCs w:val="24"/>
                <w:lang w:val="ro-RO"/>
              </w:rPr>
            </w:pPr>
            <w:r w:rsidRPr="00F22874">
              <w:rPr>
                <w:rFonts w:ascii="Times New Roman" w:hAnsi="Times New Roman" w:cs="Times New Roman"/>
                <w:color w:val="000000" w:themeColor="text1"/>
                <w:sz w:val="24"/>
                <w:szCs w:val="24"/>
                <w:lang w:val="ro-RO"/>
              </w:rPr>
              <w:t>Proiectul nu conține norme de armonizare a legislației naționale cu legislația Uniunii Europene.</w:t>
            </w:r>
          </w:p>
        </w:tc>
      </w:tr>
      <w:tr w:rsidR="0003155F" w:rsidRPr="00F22874" w14:paraId="206CB751" w14:textId="77777777" w:rsidTr="0099364C">
        <w:tc>
          <w:tcPr>
            <w:tcW w:w="9747" w:type="dxa"/>
            <w:shd w:val="clear" w:color="auto" w:fill="DBDBDB" w:themeFill="accent3" w:themeFillTint="66"/>
          </w:tcPr>
          <w:p w14:paraId="0F11295E" w14:textId="77777777" w:rsidR="005A6977" w:rsidRPr="00F22874" w:rsidRDefault="005A6977" w:rsidP="00F22874">
            <w:pPr>
              <w:pStyle w:val="ListParagraph"/>
              <w:numPr>
                <w:ilvl w:val="0"/>
                <w:numId w:val="1"/>
              </w:numPr>
              <w:spacing w:line="276" w:lineRule="auto"/>
              <w:rPr>
                <w:rFonts w:ascii="Times New Roman" w:hAnsi="Times New Roman" w:cs="Times New Roman"/>
                <w:b/>
                <w:color w:val="000000" w:themeColor="text1"/>
                <w:sz w:val="24"/>
                <w:szCs w:val="24"/>
                <w:lang w:val="ro-RO"/>
              </w:rPr>
            </w:pPr>
            <w:r w:rsidRPr="00F22874">
              <w:rPr>
                <w:rFonts w:ascii="Times New Roman" w:hAnsi="Times New Roman" w:cs="Times New Roman"/>
                <w:b/>
                <w:color w:val="000000" w:themeColor="text1"/>
                <w:sz w:val="24"/>
                <w:szCs w:val="24"/>
                <w:lang w:val="ro-RO"/>
              </w:rPr>
              <w:t>Principalele prevederi ale proiectului și evidențierea elementelor noi</w:t>
            </w:r>
            <w:r w:rsidR="008D75E6" w:rsidRPr="00F22874">
              <w:rPr>
                <w:rFonts w:ascii="Times New Roman" w:hAnsi="Times New Roman" w:cs="Times New Roman"/>
                <w:b/>
                <w:color w:val="000000" w:themeColor="text1"/>
                <w:sz w:val="24"/>
                <w:szCs w:val="24"/>
                <w:lang w:val="ro-RO"/>
              </w:rPr>
              <w:br/>
            </w:r>
          </w:p>
        </w:tc>
      </w:tr>
      <w:tr w:rsidR="0003155F" w:rsidRPr="00F22874" w14:paraId="4D2DFC3F" w14:textId="77777777" w:rsidTr="0099364C">
        <w:tc>
          <w:tcPr>
            <w:tcW w:w="9747" w:type="dxa"/>
          </w:tcPr>
          <w:p w14:paraId="383141A2" w14:textId="66EE544B" w:rsidR="00A76841" w:rsidRPr="00F22874" w:rsidRDefault="00BB363C" w:rsidP="00F83D3C">
            <w:pPr>
              <w:spacing w:line="276" w:lineRule="auto"/>
              <w:ind w:firstLine="517"/>
              <w:jc w:val="both"/>
              <w:rPr>
                <w:rFonts w:ascii="Times New Roman" w:eastAsia="Calibri" w:hAnsi="Times New Roman" w:cs="Times New Roman"/>
                <w:color w:val="000000"/>
                <w:sz w:val="24"/>
                <w:szCs w:val="24"/>
                <w:lang w:val="ro-RO"/>
              </w:rPr>
            </w:pPr>
            <w:r w:rsidRPr="00F22874">
              <w:rPr>
                <w:rFonts w:ascii="Times New Roman" w:hAnsi="Times New Roman" w:cs="Times New Roman"/>
                <w:color w:val="000000" w:themeColor="text1"/>
                <w:sz w:val="24"/>
                <w:szCs w:val="24"/>
                <w:lang w:val="ro-RO"/>
              </w:rPr>
              <w:t>Principalele prevederi ale proiectului</w:t>
            </w:r>
            <w:r w:rsidR="00A76841" w:rsidRPr="00F22874">
              <w:rPr>
                <w:rFonts w:ascii="Times New Roman" w:hAnsi="Times New Roman" w:cs="Times New Roman"/>
                <w:color w:val="000000" w:themeColor="text1"/>
                <w:sz w:val="24"/>
                <w:szCs w:val="24"/>
                <w:lang w:val="ro-RO"/>
              </w:rPr>
              <w:t xml:space="preserve"> </w:t>
            </w:r>
            <w:r w:rsidR="00A76841" w:rsidRPr="00F22874">
              <w:rPr>
                <w:rFonts w:ascii="Times New Roman" w:eastAsia="Calibri" w:hAnsi="Times New Roman" w:cs="Times New Roman"/>
                <w:sz w:val="24"/>
                <w:szCs w:val="24"/>
                <w:lang w:val="ro-RO"/>
              </w:rPr>
              <w:t>Hotărârii Guvernului</w:t>
            </w:r>
            <w:r w:rsidR="00A76841" w:rsidRPr="00F22874">
              <w:rPr>
                <w:rFonts w:ascii="Times New Roman" w:eastAsia="Calibri" w:hAnsi="Times New Roman" w:cs="Times New Roman"/>
                <w:color w:val="000000"/>
                <w:sz w:val="24"/>
                <w:szCs w:val="24"/>
                <w:lang w:val="ro-RO"/>
              </w:rPr>
              <w:t xml:space="preserve"> cu privire la organizarea odihnei copiilor și adolescenți</w:t>
            </w:r>
            <w:r w:rsidR="005D5494" w:rsidRPr="00F22874">
              <w:rPr>
                <w:rFonts w:ascii="Times New Roman" w:eastAsia="Calibri" w:hAnsi="Times New Roman" w:cs="Times New Roman"/>
                <w:color w:val="000000"/>
                <w:sz w:val="24"/>
                <w:szCs w:val="24"/>
                <w:lang w:val="ro-RO"/>
              </w:rPr>
              <w:t>lor în sezonul estival 202</w:t>
            </w:r>
            <w:r w:rsidR="008166D5">
              <w:rPr>
                <w:rFonts w:ascii="Times New Roman" w:eastAsia="Calibri" w:hAnsi="Times New Roman" w:cs="Times New Roman"/>
                <w:color w:val="000000"/>
                <w:sz w:val="24"/>
                <w:szCs w:val="24"/>
                <w:lang w:val="ro-RO"/>
              </w:rPr>
              <w:t>4</w:t>
            </w:r>
            <w:r w:rsidR="005D5494" w:rsidRPr="00F22874">
              <w:rPr>
                <w:rFonts w:ascii="Times New Roman" w:eastAsia="Calibri" w:hAnsi="Times New Roman" w:cs="Times New Roman"/>
                <w:color w:val="000000"/>
                <w:sz w:val="24"/>
                <w:szCs w:val="24"/>
                <w:lang w:val="ro-RO"/>
              </w:rPr>
              <w:t xml:space="preserve"> vizează</w:t>
            </w:r>
            <w:r w:rsidR="00A76841" w:rsidRPr="00F22874">
              <w:rPr>
                <w:rFonts w:ascii="Times New Roman" w:eastAsia="Calibri" w:hAnsi="Times New Roman" w:cs="Times New Roman"/>
                <w:color w:val="000000"/>
                <w:sz w:val="24"/>
                <w:szCs w:val="24"/>
                <w:lang w:val="ro-RO"/>
              </w:rPr>
              <w:t>:</w:t>
            </w:r>
          </w:p>
          <w:p w14:paraId="4082DDED" w14:textId="3900FD7F" w:rsidR="00BE67D8" w:rsidRPr="00F22874" w:rsidRDefault="003A2B5D" w:rsidP="00F83D3C">
            <w:pPr>
              <w:shd w:val="clear" w:color="auto" w:fill="FFFFFF"/>
              <w:spacing w:line="276" w:lineRule="auto"/>
              <w:ind w:firstLine="517"/>
              <w:jc w:val="both"/>
              <w:rPr>
                <w:rFonts w:ascii="Times New Roman" w:eastAsia="Times New Roman" w:hAnsi="Times New Roman" w:cs="Times New Roman"/>
                <w:color w:val="000000"/>
                <w:sz w:val="24"/>
                <w:szCs w:val="24"/>
                <w:lang w:val="ro-RO"/>
              </w:rPr>
            </w:pPr>
            <w:r w:rsidRPr="00F22874">
              <w:rPr>
                <w:rFonts w:ascii="Times New Roman" w:eastAsia="Times New Roman" w:hAnsi="Times New Roman" w:cs="Times New Roman"/>
                <w:color w:val="000000"/>
                <w:sz w:val="24"/>
                <w:szCs w:val="24"/>
                <w:lang w:val="ro-RO"/>
              </w:rPr>
              <w:t>-</w:t>
            </w:r>
            <w:r w:rsidR="00BE67D8" w:rsidRPr="00F22874">
              <w:rPr>
                <w:rFonts w:ascii="Times New Roman" w:eastAsia="Times New Roman" w:hAnsi="Times New Roman" w:cs="Times New Roman"/>
                <w:color w:val="000000"/>
                <w:sz w:val="24"/>
                <w:szCs w:val="24"/>
                <w:lang w:val="ro-RO"/>
              </w:rPr>
              <w:t>responsabilitățile autorităților publice în procesul de organizare a odihnei copiilor (pregătirea taberelor de odihnă, dotarea acestora cu inventarul și utilajul necesar);</w:t>
            </w:r>
          </w:p>
          <w:p w14:paraId="7788B04D" w14:textId="77777777" w:rsidR="00BE67D8" w:rsidRPr="00F22874" w:rsidRDefault="00BE67D8" w:rsidP="00F83D3C">
            <w:pPr>
              <w:shd w:val="clear" w:color="auto" w:fill="FFFFFF"/>
              <w:spacing w:line="276" w:lineRule="auto"/>
              <w:ind w:firstLine="517"/>
              <w:jc w:val="both"/>
              <w:rPr>
                <w:rFonts w:ascii="Times New Roman" w:eastAsia="Times New Roman" w:hAnsi="Times New Roman" w:cs="Times New Roman"/>
                <w:color w:val="000000"/>
                <w:sz w:val="24"/>
                <w:szCs w:val="24"/>
                <w:lang w:val="ro-RO"/>
              </w:rPr>
            </w:pPr>
            <w:r w:rsidRPr="00F22874">
              <w:rPr>
                <w:rFonts w:ascii="Times New Roman" w:eastAsia="Times New Roman" w:hAnsi="Times New Roman" w:cs="Times New Roman"/>
                <w:color w:val="000000"/>
                <w:sz w:val="24"/>
                <w:szCs w:val="24"/>
                <w:lang w:val="ro-RO"/>
              </w:rPr>
              <w:t>- finanțarea taberelor de odihnă pentru copii și adolescenți (bugetul de stat, bugetele locale, mijloace achitate de părinți și din resursele alocate de întreprinderi, organizații și asociații);</w:t>
            </w:r>
          </w:p>
          <w:p w14:paraId="51E066B1" w14:textId="77777777" w:rsidR="00BE67D8" w:rsidRPr="00F22874" w:rsidRDefault="00BE67D8" w:rsidP="00F83D3C">
            <w:pPr>
              <w:shd w:val="clear" w:color="auto" w:fill="FFFFFF"/>
              <w:spacing w:line="276" w:lineRule="auto"/>
              <w:ind w:firstLine="517"/>
              <w:jc w:val="both"/>
              <w:rPr>
                <w:rFonts w:ascii="Times New Roman" w:eastAsia="Times New Roman" w:hAnsi="Times New Roman" w:cs="Times New Roman"/>
                <w:color w:val="000000"/>
                <w:sz w:val="24"/>
                <w:szCs w:val="24"/>
                <w:lang w:val="ro-RO"/>
              </w:rPr>
            </w:pPr>
            <w:r w:rsidRPr="00F22874">
              <w:rPr>
                <w:rFonts w:ascii="Times New Roman" w:eastAsia="Times New Roman" w:hAnsi="Times New Roman" w:cs="Times New Roman"/>
                <w:color w:val="000000"/>
                <w:sz w:val="24"/>
                <w:szCs w:val="24"/>
                <w:lang w:val="ro-RO"/>
              </w:rPr>
              <w:t>- procedura  de distribuire a biletelor de odihnă de către Casa Națională de Asigurări Sociale;</w:t>
            </w:r>
          </w:p>
          <w:p w14:paraId="28D083B9" w14:textId="7511039B" w:rsidR="00BE67D8" w:rsidRPr="00F22874" w:rsidRDefault="00BE67D8" w:rsidP="00F83D3C">
            <w:pPr>
              <w:shd w:val="clear" w:color="auto" w:fill="FFFFFF"/>
              <w:spacing w:line="276" w:lineRule="auto"/>
              <w:ind w:firstLine="517"/>
              <w:jc w:val="both"/>
              <w:rPr>
                <w:rFonts w:ascii="Times New Roman" w:eastAsia="Times New Roman" w:hAnsi="Times New Roman" w:cs="Times New Roman"/>
                <w:color w:val="000000"/>
                <w:sz w:val="24"/>
                <w:szCs w:val="24"/>
                <w:lang w:val="ro-RO"/>
              </w:rPr>
            </w:pPr>
            <w:r w:rsidRPr="00F22874">
              <w:rPr>
                <w:rFonts w:ascii="Times New Roman" w:eastAsia="Times New Roman" w:hAnsi="Times New Roman" w:cs="Times New Roman"/>
                <w:color w:val="000000"/>
                <w:sz w:val="24"/>
                <w:szCs w:val="24"/>
                <w:lang w:val="ro-RO"/>
              </w:rPr>
              <w:t>- acordarea biletelor de odihnă unor categorii de copii, din familiile beneficiare de ajutor social (se recomandă autorităților publice locale să acorde gratis 25% din numărul total de bilete acestor categorii</w:t>
            </w:r>
            <w:r w:rsidR="00F83D3C">
              <w:rPr>
                <w:rFonts w:ascii="Times New Roman" w:eastAsia="Times New Roman" w:hAnsi="Times New Roman" w:cs="Times New Roman"/>
                <w:color w:val="000000"/>
                <w:sz w:val="24"/>
                <w:szCs w:val="24"/>
                <w:lang w:val="ro-RO"/>
              </w:rPr>
              <w:t xml:space="preserve"> de copii)</w:t>
            </w:r>
            <w:r w:rsidRPr="00F22874">
              <w:rPr>
                <w:rFonts w:ascii="Times New Roman" w:eastAsia="Times New Roman" w:hAnsi="Times New Roman" w:cs="Times New Roman"/>
                <w:color w:val="000000"/>
                <w:sz w:val="24"/>
                <w:szCs w:val="24"/>
                <w:lang w:val="ro-RO"/>
              </w:rPr>
              <w:t>;</w:t>
            </w:r>
          </w:p>
          <w:p w14:paraId="32DEBBA7" w14:textId="0CA9153D" w:rsidR="00BE67D8" w:rsidRPr="00F22874" w:rsidRDefault="00BE67D8" w:rsidP="00F83D3C">
            <w:pPr>
              <w:shd w:val="clear" w:color="auto" w:fill="FFFFFF"/>
              <w:spacing w:line="276" w:lineRule="auto"/>
              <w:ind w:firstLine="517"/>
              <w:jc w:val="both"/>
              <w:rPr>
                <w:rFonts w:ascii="Times New Roman" w:eastAsia="Times New Roman" w:hAnsi="Times New Roman" w:cs="Times New Roman"/>
                <w:color w:val="000000"/>
                <w:sz w:val="24"/>
                <w:szCs w:val="24"/>
                <w:lang w:val="ro-RO"/>
              </w:rPr>
            </w:pPr>
            <w:r w:rsidRPr="00F22874">
              <w:rPr>
                <w:rFonts w:ascii="Times New Roman" w:eastAsia="Times New Roman" w:hAnsi="Times New Roman" w:cs="Times New Roman"/>
                <w:color w:val="000000"/>
                <w:sz w:val="24"/>
                <w:szCs w:val="24"/>
                <w:lang w:val="ro-RO"/>
              </w:rPr>
              <w:t>- numărul și beneficiarii biletelor de od</w:t>
            </w:r>
            <w:r w:rsidR="00F83D3C">
              <w:rPr>
                <w:rFonts w:ascii="Times New Roman" w:eastAsia="Times New Roman" w:hAnsi="Times New Roman" w:cs="Times New Roman"/>
                <w:color w:val="000000"/>
                <w:sz w:val="24"/>
                <w:szCs w:val="24"/>
                <w:lang w:val="ro-RO"/>
              </w:rPr>
              <w:t>ihnă</w:t>
            </w:r>
            <w:r w:rsidRPr="00F22874">
              <w:rPr>
                <w:rFonts w:ascii="Times New Roman" w:eastAsia="Times New Roman" w:hAnsi="Times New Roman" w:cs="Times New Roman"/>
                <w:color w:val="000000"/>
                <w:sz w:val="24"/>
                <w:szCs w:val="24"/>
                <w:lang w:val="ro-RO"/>
              </w:rPr>
              <w:t xml:space="preserve"> care vor fi achiziționate de către Ministerul Educației și Cercetării;</w:t>
            </w:r>
          </w:p>
          <w:p w14:paraId="25D1BCB4" w14:textId="30CE9253" w:rsidR="00BE67D8" w:rsidRPr="00F22874" w:rsidRDefault="00BE67D8" w:rsidP="00F83D3C">
            <w:pPr>
              <w:shd w:val="clear" w:color="auto" w:fill="FFFFFF"/>
              <w:spacing w:line="276" w:lineRule="auto"/>
              <w:ind w:firstLine="517"/>
              <w:jc w:val="both"/>
              <w:rPr>
                <w:rFonts w:ascii="Times New Roman" w:eastAsia="Times New Roman" w:hAnsi="Times New Roman" w:cs="Times New Roman"/>
                <w:color w:val="000000"/>
                <w:sz w:val="24"/>
                <w:szCs w:val="24"/>
                <w:lang w:val="ro-RO"/>
              </w:rPr>
            </w:pPr>
            <w:r w:rsidRPr="00F22874">
              <w:rPr>
                <w:rFonts w:ascii="Times New Roman" w:eastAsia="Times New Roman" w:hAnsi="Times New Roman" w:cs="Times New Roman"/>
                <w:color w:val="000000"/>
                <w:sz w:val="24"/>
                <w:szCs w:val="24"/>
                <w:lang w:val="ro-RO"/>
              </w:rPr>
              <w:t xml:space="preserve">- aprobarea costului orientativ pentru o zi în taberele de odihnă și întremare a copiilor și adolescenților, </w:t>
            </w:r>
            <w:r w:rsidR="00F83D3C">
              <w:rPr>
                <w:rFonts w:ascii="Times New Roman" w:eastAsia="Times New Roman" w:hAnsi="Times New Roman" w:cs="Times New Roman"/>
                <w:color w:val="000000"/>
                <w:sz w:val="24"/>
                <w:szCs w:val="24"/>
                <w:lang w:val="ro-RO"/>
              </w:rPr>
              <w:t>finanțată din bugetul de stat</w:t>
            </w:r>
            <w:r w:rsidR="00107C27" w:rsidRPr="00F22874">
              <w:rPr>
                <w:rFonts w:ascii="Times New Roman" w:eastAsia="Times New Roman" w:hAnsi="Times New Roman" w:cs="Times New Roman"/>
                <w:color w:val="000000"/>
                <w:sz w:val="24"/>
                <w:szCs w:val="24"/>
                <w:lang w:val="ro-RO"/>
              </w:rPr>
              <w:t>;</w:t>
            </w:r>
          </w:p>
          <w:p w14:paraId="4C7C07BE" w14:textId="7A8EC7EF" w:rsidR="00BE67D8" w:rsidRPr="00F22874" w:rsidRDefault="00BE67D8" w:rsidP="00F83D3C">
            <w:pPr>
              <w:shd w:val="clear" w:color="auto" w:fill="FFFFFF"/>
              <w:spacing w:line="276" w:lineRule="auto"/>
              <w:ind w:firstLine="517"/>
              <w:jc w:val="both"/>
              <w:rPr>
                <w:rFonts w:ascii="Times New Roman" w:eastAsia="Times New Roman" w:hAnsi="Times New Roman" w:cs="Times New Roman"/>
                <w:color w:val="000000"/>
                <w:sz w:val="24"/>
                <w:szCs w:val="24"/>
                <w:lang w:val="ro-RO"/>
              </w:rPr>
            </w:pPr>
            <w:r w:rsidRPr="00F22874">
              <w:rPr>
                <w:rFonts w:ascii="Times New Roman" w:eastAsia="Times New Roman" w:hAnsi="Times New Roman" w:cs="Times New Roman"/>
                <w:color w:val="000000"/>
                <w:sz w:val="24"/>
                <w:szCs w:val="24"/>
                <w:lang w:val="ro-RO"/>
              </w:rPr>
              <w:t>- aprobarea componenței nominale a Comisiei guvernamentale pentru organizarea și monitorizarea odihnei de vară pentru copii și adolescenți în sezonul estival 202</w:t>
            </w:r>
            <w:r w:rsidR="008166D5">
              <w:rPr>
                <w:rFonts w:ascii="Times New Roman" w:eastAsia="Times New Roman" w:hAnsi="Times New Roman" w:cs="Times New Roman"/>
                <w:color w:val="000000"/>
                <w:sz w:val="24"/>
                <w:szCs w:val="24"/>
                <w:lang w:val="ro-RO"/>
              </w:rPr>
              <w:t>4</w:t>
            </w:r>
            <w:r w:rsidRPr="00F22874">
              <w:rPr>
                <w:rFonts w:ascii="Times New Roman" w:eastAsia="Times New Roman" w:hAnsi="Times New Roman" w:cs="Times New Roman"/>
                <w:color w:val="000000"/>
                <w:sz w:val="24"/>
                <w:szCs w:val="24"/>
                <w:lang w:val="ro-RO"/>
              </w:rPr>
              <w:t>.   </w:t>
            </w:r>
          </w:p>
          <w:p w14:paraId="695DC3D0" w14:textId="6A9AA13F" w:rsidR="00005ABD" w:rsidRPr="00F22874" w:rsidRDefault="00760219" w:rsidP="00F83D3C">
            <w:pPr>
              <w:spacing w:line="276" w:lineRule="auto"/>
              <w:ind w:firstLine="517"/>
              <w:jc w:val="both"/>
              <w:rPr>
                <w:rFonts w:ascii="Times New Roman" w:hAnsi="Times New Roman" w:cs="Times New Roman"/>
                <w:color w:val="000000" w:themeColor="text1"/>
                <w:sz w:val="24"/>
                <w:szCs w:val="24"/>
                <w:lang w:val="ro-RO"/>
              </w:rPr>
            </w:pPr>
            <w:r w:rsidRPr="00F22874">
              <w:rPr>
                <w:rFonts w:ascii="Times New Roman" w:hAnsi="Times New Roman" w:cs="Times New Roman"/>
                <w:color w:val="000000" w:themeColor="text1"/>
                <w:sz w:val="24"/>
                <w:szCs w:val="24"/>
                <w:lang w:val="ro-RO"/>
              </w:rPr>
              <w:t>Reieși</w:t>
            </w:r>
            <w:r w:rsidR="003D044E" w:rsidRPr="00F22874">
              <w:rPr>
                <w:rFonts w:ascii="Times New Roman" w:hAnsi="Times New Roman" w:cs="Times New Roman"/>
                <w:color w:val="000000" w:themeColor="text1"/>
                <w:sz w:val="24"/>
                <w:szCs w:val="24"/>
                <w:lang w:val="ro-RO"/>
              </w:rPr>
              <w:t>nd din</w:t>
            </w:r>
            <w:r w:rsidR="000471EA" w:rsidRPr="00F22874">
              <w:rPr>
                <w:rFonts w:ascii="Times New Roman" w:hAnsi="Times New Roman" w:cs="Times New Roman"/>
                <w:color w:val="000000" w:themeColor="text1"/>
                <w:sz w:val="24"/>
                <w:szCs w:val="24"/>
                <w:lang w:val="ro-RO"/>
              </w:rPr>
              <w:t xml:space="preserve"> </w:t>
            </w:r>
            <w:r w:rsidR="0046236E">
              <w:rPr>
                <w:rFonts w:ascii="Times New Roman" w:hAnsi="Times New Roman" w:cs="Times New Roman"/>
                <w:color w:val="000000" w:themeColor="text1"/>
                <w:sz w:val="24"/>
                <w:szCs w:val="24"/>
                <w:lang w:val="ro-RO"/>
              </w:rPr>
              <w:t>termenul limită (31 mai</w:t>
            </w:r>
            <w:r w:rsidR="003E5BEB" w:rsidRPr="00F22874">
              <w:rPr>
                <w:rFonts w:ascii="Times New Roman" w:hAnsi="Times New Roman" w:cs="Times New Roman"/>
                <w:color w:val="000000" w:themeColor="text1"/>
                <w:sz w:val="24"/>
                <w:szCs w:val="24"/>
                <w:lang w:val="ro-RO"/>
              </w:rPr>
              <w:t xml:space="preserve"> 202</w:t>
            </w:r>
            <w:r w:rsidR="008166D5">
              <w:rPr>
                <w:rFonts w:ascii="Times New Roman" w:hAnsi="Times New Roman" w:cs="Times New Roman"/>
                <w:color w:val="000000" w:themeColor="text1"/>
                <w:sz w:val="24"/>
                <w:szCs w:val="24"/>
                <w:lang w:val="ro-RO"/>
              </w:rPr>
              <w:t>4</w:t>
            </w:r>
            <w:r w:rsidR="003E5BEB" w:rsidRPr="00F22874">
              <w:rPr>
                <w:rFonts w:ascii="Times New Roman" w:hAnsi="Times New Roman" w:cs="Times New Roman"/>
                <w:color w:val="000000" w:themeColor="text1"/>
                <w:sz w:val="24"/>
                <w:szCs w:val="24"/>
                <w:lang w:val="ro-RO"/>
              </w:rPr>
              <w:t xml:space="preserve">) stabilit pentru finalizarea </w:t>
            </w:r>
            <w:r w:rsidR="003E5BEB" w:rsidRPr="00F22874">
              <w:rPr>
                <w:rFonts w:ascii="Times New Roman" w:eastAsia="Calibri" w:hAnsi="Times New Roman" w:cs="Times New Roman"/>
                <w:color w:val="000000"/>
                <w:sz w:val="24"/>
                <w:szCs w:val="24"/>
                <w:lang w:val="ro-RO"/>
              </w:rPr>
              <w:t>lucrărilor de pregătire a taberelor de</w:t>
            </w:r>
            <w:r w:rsidR="00456DAE" w:rsidRPr="00F22874">
              <w:rPr>
                <w:rFonts w:ascii="Times New Roman" w:eastAsia="Calibri" w:hAnsi="Times New Roman" w:cs="Times New Roman"/>
                <w:color w:val="000000"/>
                <w:sz w:val="24"/>
                <w:szCs w:val="24"/>
                <w:lang w:val="ro-RO"/>
              </w:rPr>
              <w:t xml:space="preserve"> odihnă pentru copii </w:t>
            </w:r>
            <w:proofErr w:type="spellStart"/>
            <w:r w:rsidR="00456DAE" w:rsidRPr="00F22874">
              <w:rPr>
                <w:rFonts w:ascii="Times New Roman" w:eastAsia="Calibri" w:hAnsi="Times New Roman" w:cs="Times New Roman"/>
                <w:color w:val="000000"/>
                <w:sz w:val="24"/>
                <w:szCs w:val="24"/>
                <w:lang w:val="ro-RO"/>
              </w:rPr>
              <w:t>şi</w:t>
            </w:r>
            <w:proofErr w:type="spellEnd"/>
            <w:r w:rsidR="00456DAE" w:rsidRPr="00F22874">
              <w:rPr>
                <w:rFonts w:ascii="Times New Roman" w:eastAsia="Calibri" w:hAnsi="Times New Roman" w:cs="Times New Roman"/>
                <w:color w:val="000000"/>
                <w:sz w:val="24"/>
                <w:szCs w:val="24"/>
                <w:lang w:val="ro-RO"/>
              </w:rPr>
              <w:t xml:space="preserve"> </w:t>
            </w:r>
            <w:proofErr w:type="spellStart"/>
            <w:r w:rsidR="00456DAE" w:rsidRPr="00F22874">
              <w:rPr>
                <w:rFonts w:ascii="Times New Roman" w:eastAsia="Calibri" w:hAnsi="Times New Roman" w:cs="Times New Roman"/>
                <w:color w:val="000000"/>
                <w:sz w:val="24"/>
                <w:szCs w:val="24"/>
                <w:lang w:val="ro-RO"/>
              </w:rPr>
              <w:t>adolescenţi</w:t>
            </w:r>
            <w:proofErr w:type="spellEnd"/>
            <w:r w:rsidR="001A7A07" w:rsidRPr="00F22874">
              <w:rPr>
                <w:rFonts w:ascii="Times New Roman" w:eastAsia="Calibri" w:hAnsi="Times New Roman" w:cs="Times New Roman"/>
                <w:color w:val="000000"/>
                <w:sz w:val="24"/>
                <w:szCs w:val="24"/>
                <w:lang w:val="ro-RO"/>
              </w:rPr>
              <w:t xml:space="preserve"> și</w:t>
            </w:r>
            <w:r w:rsidR="003E5BEB" w:rsidRPr="00F22874">
              <w:rPr>
                <w:rFonts w:ascii="Times New Roman" w:eastAsia="Calibri" w:hAnsi="Times New Roman" w:cs="Times New Roman"/>
                <w:color w:val="000000"/>
                <w:sz w:val="24"/>
                <w:szCs w:val="24"/>
                <w:lang w:val="ro-RO"/>
              </w:rPr>
              <w:t xml:space="preserve"> a celor cu </w:t>
            </w:r>
            <w:r w:rsidR="001A7A07" w:rsidRPr="00F22874">
              <w:rPr>
                <w:rFonts w:ascii="Times New Roman" w:eastAsia="Calibri" w:hAnsi="Times New Roman" w:cs="Times New Roman"/>
                <w:color w:val="000000"/>
                <w:sz w:val="24"/>
                <w:szCs w:val="24"/>
                <w:lang w:val="ro-RO"/>
              </w:rPr>
              <w:t>sejur de zi</w:t>
            </w:r>
            <w:r w:rsidR="003E5BEB" w:rsidRPr="00F22874">
              <w:rPr>
                <w:rFonts w:ascii="Times New Roman" w:eastAsia="Calibri" w:hAnsi="Times New Roman" w:cs="Times New Roman"/>
                <w:color w:val="000000"/>
                <w:sz w:val="24"/>
                <w:szCs w:val="24"/>
                <w:lang w:val="ro-RO"/>
              </w:rPr>
              <w:t>,</w:t>
            </w:r>
            <w:r w:rsidR="001A7A07" w:rsidRPr="00F22874">
              <w:rPr>
                <w:rFonts w:ascii="Times New Roman" w:eastAsia="Calibri" w:hAnsi="Times New Roman" w:cs="Times New Roman"/>
                <w:color w:val="000000"/>
                <w:sz w:val="24"/>
                <w:szCs w:val="24"/>
                <w:lang w:val="ro-RO"/>
              </w:rPr>
              <w:t xml:space="preserve"> inclusiv </w:t>
            </w:r>
            <w:r w:rsidR="004C37F9" w:rsidRPr="00F22874">
              <w:rPr>
                <w:rFonts w:ascii="Times New Roman" w:eastAsia="Calibri" w:hAnsi="Times New Roman" w:cs="Times New Roman"/>
                <w:color w:val="000000"/>
                <w:sz w:val="24"/>
                <w:szCs w:val="24"/>
                <w:lang w:val="ro-RO"/>
              </w:rPr>
              <w:t>dotâ</w:t>
            </w:r>
            <w:r w:rsidR="003E5BEB" w:rsidRPr="00F22874">
              <w:rPr>
                <w:rFonts w:ascii="Times New Roman" w:eastAsia="Calibri" w:hAnsi="Times New Roman" w:cs="Times New Roman"/>
                <w:color w:val="000000"/>
                <w:sz w:val="24"/>
                <w:szCs w:val="24"/>
                <w:lang w:val="ro-RO"/>
              </w:rPr>
              <w:t xml:space="preserve">ndu-le cu </w:t>
            </w:r>
            <w:r w:rsidR="003E5BEB" w:rsidRPr="00F22874">
              <w:rPr>
                <w:rFonts w:ascii="Times New Roman" w:eastAsia="Calibri" w:hAnsi="Times New Roman" w:cs="Times New Roman"/>
                <w:color w:val="000000"/>
                <w:sz w:val="24"/>
                <w:szCs w:val="24"/>
                <w:lang w:val="ro-RO"/>
              </w:rPr>
              <w:lastRenderedPageBreak/>
              <w:t>inve</w:t>
            </w:r>
            <w:r w:rsidR="001A7A07" w:rsidRPr="00F22874">
              <w:rPr>
                <w:rFonts w:ascii="Times New Roman" w:eastAsia="Calibri" w:hAnsi="Times New Roman" w:cs="Times New Roman"/>
                <w:color w:val="000000"/>
                <w:sz w:val="24"/>
                <w:szCs w:val="24"/>
                <w:lang w:val="ro-RO"/>
              </w:rPr>
              <w:t xml:space="preserve">ntarul </w:t>
            </w:r>
            <w:proofErr w:type="spellStart"/>
            <w:r w:rsidR="001A7A07" w:rsidRPr="00F22874">
              <w:rPr>
                <w:rFonts w:ascii="Times New Roman" w:eastAsia="Calibri" w:hAnsi="Times New Roman" w:cs="Times New Roman"/>
                <w:color w:val="000000"/>
                <w:sz w:val="24"/>
                <w:szCs w:val="24"/>
                <w:lang w:val="ro-RO"/>
              </w:rPr>
              <w:t>şi</w:t>
            </w:r>
            <w:proofErr w:type="spellEnd"/>
            <w:r w:rsidR="001A7A07" w:rsidRPr="00F22874">
              <w:rPr>
                <w:rFonts w:ascii="Times New Roman" w:eastAsia="Calibri" w:hAnsi="Times New Roman" w:cs="Times New Roman"/>
                <w:color w:val="000000"/>
                <w:sz w:val="24"/>
                <w:szCs w:val="24"/>
                <w:lang w:val="ro-RO"/>
              </w:rPr>
              <w:t xml:space="preserve"> utilajul necesar</w:t>
            </w:r>
            <w:r w:rsidRPr="00F22874">
              <w:rPr>
                <w:rFonts w:ascii="Times New Roman" w:hAnsi="Times New Roman" w:cs="Times New Roman"/>
                <w:color w:val="000000" w:themeColor="text1"/>
                <w:sz w:val="24"/>
                <w:szCs w:val="24"/>
                <w:lang w:val="ro-RO"/>
              </w:rPr>
              <w:t xml:space="preserve">, se propune ca Hotărârea de Guvern să intre în vigoare la </w:t>
            </w:r>
            <w:r w:rsidR="003D044E" w:rsidRPr="00F22874">
              <w:rPr>
                <w:rFonts w:ascii="Times New Roman" w:hAnsi="Times New Roman" w:cs="Times New Roman"/>
                <w:color w:val="000000" w:themeColor="text1"/>
                <w:sz w:val="24"/>
                <w:szCs w:val="24"/>
                <w:lang w:val="ro-RO"/>
              </w:rPr>
              <w:t>data publicării în Monitorul Ofi</w:t>
            </w:r>
            <w:r w:rsidRPr="00F22874">
              <w:rPr>
                <w:rFonts w:ascii="Times New Roman" w:hAnsi="Times New Roman" w:cs="Times New Roman"/>
                <w:color w:val="000000" w:themeColor="text1"/>
                <w:sz w:val="24"/>
                <w:szCs w:val="24"/>
                <w:lang w:val="ro-RO"/>
              </w:rPr>
              <w:t>cial al Republicii Moldova.</w:t>
            </w:r>
          </w:p>
        </w:tc>
      </w:tr>
      <w:tr w:rsidR="0003155F" w:rsidRPr="00F22874" w14:paraId="514D7047" w14:textId="77777777" w:rsidTr="0099364C">
        <w:tc>
          <w:tcPr>
            <w:tcW w:w="9747" w:type="dxa"/>
            <w:shd w:val="clear" w:color="auto" w:fill="DBDBDB" w:themeFill="accent3" w:themeFillTint="66"/>
          </w:tcPr>
          <w:p w14:paraId="7832D620" w14:textId="77777777" w:rsidR="005A6977" w:rsidRPr="00F22874" w:rsidRDefault="005A6977" w:rsidP="00F22874">
            <w:pPr>
              <w:pStyle w:val="ListParagraph"/>
              <w:numPr>
                <w:ilvl w:val="0"/>
                <w:numId w:val="1"/>
              </w:numPr>
              <w:spacing w:line="276" w:lineRule="auto"/>
              <w:rPr>
                <w:rFonts w:ascii="Times New Roman" w:hAnsi="Times New Roman" w:cs="Times New Roman"/>
                <w:b/>
                <w:color w:val="000000" w:themeColor="text1"/>
                <w:sz w:val="24"/>
                <w:szCs w:val="24"/>
                <w:lang w:val="ro-RO"/>
              </w:rPr>
            </w:pPr>
            <w:r w:rsidRPr="00F22874">
              <w:rPr>
                <w:rFonts w:ascii="Times New Roman" w:hAnsi="Times New Roman" w:cs="Times New Roman"/>
                <w:b/>
                <w:color w:val="000000" w:themeColor="text1"/>
                <w:sz w:val="24"/>
                <w:szCs w:val="24"/>
                <w:lang w:val="ro-RO"/>
              </w:rPr>
              <w:lastRenderedPageBreak/>
              <w:t xml:space="preserve">Fundamentarea </w:t>
            </w:r>
            <w:proofErr w:type="spellStart"/>
            <w:r w:rsidRPr="00F22874">
              <w:rPr>
                <w:rFonts w:ascii="Times New Roman" w:hAnsi="Times New Roman" w:cs="Times New Roman"/>
                <w:b/>
                <w:color w:val="000000" w:themeColor="text1"/>
                <w:sz w:val="24"/>
                <w:szCs w:val="24"/>
                <w:lang w:val="ro-RO"/>
              </w:rPr>
              <w:t>economico</w:t>
            </w:r>
            <w:proofErr w:type="spellEnd"/>
            <w:r w:rsidRPr="00F22874">
              <w:rPr>
                <w:rFonts w:ascii="Times New Roman" w:hAnsi="Times New Roman" w:cs="Times New Roman"/>
                <w:b/>
                <w:color w:val="000000" w:themeColor="text1"/>
                <w:sz w:val="24"/>
                <w:szCs w:val="24"/>
                <w:lang w:val="ro-RO"/>
              </w:rPr>
              <w:t>-financiară</w:t>
            </w:r>
          </w:p>
        </w:tc>
      </w:tr>
      <w:tr w:rsidR="0003155F" w:rsidRPr="00F22874" w14:paraId="7FDDFB59" w14:textId="77777777" w:rsidTr="0099364C">
        <w:trPr>
          <w:trHeight w:val="483"/>
        </w:trPr>
        <w:tc>
          <w:tcPr>
            <w:tcW w:w="9747" w:type="dxa"/>
          </w:tcPr>
          <w:p w14:paraId="4787ED3C" w14:textId="1B7E02B4" w:rsidR="00583EA1" w:rsidRPr="00583EA1" w:rsidRDefault="00583EA1" w:rsidP="00A16C4A">
            <w:pPr>
              <w:spacing w:line="276" w:lineRule="auto"/>
              <w:ind w:firstLine="517"/>
              <w:jc w:val="both"/>
              <w:rPr>
                <w:rFonts w:ascii="Times New Roman" w:eastAsia="Times New Roman" w:hAnsi="Times New Roman" w:cs="Times New Roman"/>
                <w:sz w:val="24"/>
                <w:szCs w:val="24"/>
                <w:lang w:val="ro-RO" w:eastAsia="zh-CN"/>
              </w:rPr>
            </w:pPr>
            <w:r w:rsidRPr="00583EA1">
              <w:rPr>
                <w:rFonts w:ascii="Times New Roman" w:eastAsia="Times New Roman" w:hAnsi="Times New Roman" w:cs="Times New Roman"/>
                <w:sz w:val="24"/>
                <w:szCs w:val="24"/>
                <w:lang w:val="ro-RO" w:eastAsia="zh-CN"/>
              </w:rPr>
              <w:t xml:space="preserve">În </w:t>
            </w:r>
            <w:r w:rsidR="00F0614B">
              <w:rPr>
                <w:rFonts w:ascii="Times New Roman" w:eastAsia="Times New Roman" w:hAnsi="Times New Roman" w:cs="Times New Roman"/>
                <w:sz w:val="24"/>
                <w:szCs w:val="24"/>
                <w:lang w:val="ro-RO" w:eastAsia="zh-CN"/>
              </w:rPr>
              <w:t xml:space="preserve">baza </w:t>
            </w:r>
            <w:r w:rsidR="00885DAD">
              <w:rPr>
                <w:rFonts w:ascii="Times New Roman" w:eastAsia="Times New Roman" w:hAnsi="Times New Roman" w:cs="Times New Roman"/>
                <w:sz w:val="24"/>
                <w:szCs w:val="24"/>
                <w:lang w:val="ro-RO" w:eastAsia="zh-CN"/>
              </w:rPr>
              <w:t>calculelor</w:t>
            </w:r>
            <w:r w:rsidR="00F0614B">
              <w:rPr>
                <w:rFonts w:ascii="Times New Roman" w:eastAsia="Times New Roman" w:hAnsi="Times New Roman" w:cs="Times New Roman"/>
                <w:sz w:val="24"/>
                <w:szCs w:val="24"/>
                <w:lang w:val="ro-RO" w:eastAsia="zh-CN"/>
              </w:rPr>
              <w:t xml:space="preserve"> preliminare </w:t>
            </w:r>
            <w:r w:rsidR="00885DAD">
              <w:rPr>
                <w:rFonts w:ascii="Times New Roman" w:eastAsia="Times New Roman" w:hAnsi="Times New Roman" w:cs="Times New Roman"/>
                <w:sz w:val="24"/>
                <w:szCs w:val="24"/>
                <w:lang w:val="ro-RO" w:eastAsia="zh-CN"/>
              </w:rPr>
              <w:t>ale prognozei principalilor indicatori macroeconomici pentru anii 2023-2026</w:t>
            </w:r>
            <w:r w:rsidRPr="00583EA1">
              <w:rPr>
                <w:rFonts w:ascii="Times New Roman" w:eastAsia="Times New Roman" w:hAnsi="Times New Roman" w:cs="Times New Roman"/>
                <w:sz w:val="24"/>
                <w:szCs w:val="24"/>
                <w:lang w:val="ro-RO" w:eastAsia="zh-CN"/>
              </w:rPr>
              <w:t xml:space="preserve">, cheltuielile pentru odihna de vară au fost </w:t>
            </w:r>
            <w:r w:rsidR="004E6721">
              <w:rPr>
                <w:rFonts w:ascii="Times New Roman" w:eastAsia="Times New Roman" w:hAnsi="Times New Roman" w:cs="Times New Roman"/>
                <w:sz w:val="24"/>
                <w:szCs w:val="24"/>
                <w:lang w:val="ro-RO" w:eastAsia="zh-CN"/>
              </w:rPr>
              <w:t>ajustate</w:t>
            </w:r>
            <w:r w:rsidRPr="00583EA1">
              <w:rPr>
                <w:rFonts w:ascii="Times New Roman" w:eastAsia="Times New Roman" w:hAnsi="Times New Roman" w:cs="Times New Roman"/>
                <w:sz w:val="24"/>
                <w:szCs w:val="24"/>
                <w:lang w:val="ro-RO" w:eastAsia="zh-CN"/>
              </w:rPr>
              <w:t xml:space="preserve"> cu </w:t>
            </w:r>
            <w:r w:rsidR="003D7B6A">
              <w:rPr>
                <w:rFonts w:ascii="Times New Roman" w:eastAsia="Times New Roman" w:hAnsi="Times New Roman" w:cs="Times New Roman"/>
                <w:sz w:val="24"/>
                <w:szCs w:val="24"/>
                <w:lang w:val="ro-RO" w:eastAsia="zh-CN"/>
              </w:rPr>
              <w:t>0,98</w:t>
            </w:r>
            <w:r w:rsidRPr="00583EA1">
              <w:rPr>
                <w:rFonts w:ascii="Times New Roman" w:eastAsia="Times New Roman" w:hAnsi="Times New Roman" w:cs="Times New Roman"/>
                <w:sz w:val="24"/>
                <w:szCs w:val="24"/>
                <w:lang w:val="ro-RO" w:eastAsia="zh-CN"/>
              </w:rPr>
              <w:t>%. Prin urmare  se propune de a stabili costul maxim al unui bilet în taberele de vară pentru copii</w:t>
            </w:r>
            <w:r w:rsidR="00A37DE6">
              <w:rPr>
                <w:rFonts w:ascii="Times New Roman" w:eastAsia="Times New Roman" w:hAnsi="Times New Roman" w:cs="Times New Roman"/>
                <w:sz w:val="24"/>
                <w:szCs w:val="24"/>
                <w:lang w:val="ro-RO" w:eastAsia="zh-CN"/>
              </w:rPr>
              <w:t xml:space="preserve"> și adolescenți pentru anul 2024</w:t>
            </w:r>
            <w:r w:rsidRPr="00583EA1">
              <w:rPr>
                <w:rFonts w:ascii="Times New Roman" w:eastAsia="Times New Roman" w:hAnsi="Times New Roman" w:cs="Times New Roman"/>
                <w:sz w:val="24"/>
                <w:szCs w:val="24"/>
                <w:lang w:val="ro-RO" w:eastAsia="zh-CN"/>
              </w:rPr>
              <w:t xml:space="preserve"> cu o creștere de </w:t>
            </w:r>
            <w:r w:rsidR="003D7B6A">
              <w:rPr>
                <w:rFonts w:ascii="Times New Roman" w:eastAsia="Times New Roman" w:hAnsi="Times New Roman" w:cs="Times New Roman"/>
                <w:sz w:val="24"/>
                <w:szCs w:val="24"/>
                <w:lang w:val="ro-RO" w:eastAsia="zh-CN"/>
              </w:rPr>
              <w:t xml:space="preserve">0,98 </w:t>
            </w:r>
            <w:r w:rsidR="00A37DE6">
              <w:rPr>
                <w:rFonts w:ascii="Times New Roman" w:eastAsia="Times New Roman" w:hAnsi="Times New Roman" w:cs="Times New Roman"/>
                <w:sz w:val="24"/>
                <w:szCs w:val="24"/>
                <w:lang w:val="ro-RO" w:eastAsia="zh-CN"/>
              </w:rPr>
              <w:t>% față de anul 2023</w:t>
            </w:r>
            <w:r w:rsidRPr="00583EA1">
              <w:rPr>
                <w:rFonts w:ascii="Times New Roman" w:eastAsia="Times New Roman" w:hAnsi="Times New Roman" w:cs="Times New Roman"/>
                <w:sz w:val="24"/>
                <w:szCs w:val="24"/>
                <w:lang w:val="ro-RO" w:eastAsia="zh-CN"/>
              </w:rPr>
              <w:t>.</w:t>
            </w:r>
          </w:p>
          <w:p w14:paraId="44A4EB3E" w14:textId="4083D829" w:rsidR="00583EA1" w:rsidRPr="00583EA1" w:rsidRDefault="00583EA1" w:rsidP="00A16C4A">
            <w:pPr>
              <w:spacing w:line="276" w:lineRule="auto"/>
              <w:ind w:firstLine="517"/>
              <w:jc w:val="both"/>
              <w:rPr>
                <w:rFonts w:ascii="Times New Roman" w:eastAsia="Times New Roman" w:hAnsi="Times New Roman" w:cs="Times New Roman"/>
                <w:sz w:val="24"/>
                <w:szCs w:val="24"/>
                <w:lang w:val="ro-RO" w:eastAsia="zh-CN"/>
              </w:rPr>
            </w:pPr>
            <w:r w:rsidRPr="00583EA1">
              <w:rPr>
                <w:rFonts w:ascii="Times New Roman" w:eastAsia="Times New Roman" w:hAnsi="Times New Roman" w:cs="Times New Roman"/>
                <w:sz w:val="24"/>
                <w:szCs w:val="24"/>
                <w:lang w:val="ro-RO" w:eastAsia="zh-CN"/>
              </w:rPr>
              <w:t xml:space="preserve">Conform Legii bugetului asigurărilor </w:t>
            </w:r>
            <w:r w:rsidR="00A37DE6">
              <w:rPr>
                <w:rFonts w:ascii="Times New Roman" w:eastAsia="Times New Roman" w:hAnsi="Times New Roman" w:cs="Times New Roman"/>
                <w:sz w:val="24"/>
                <w:szCs w:val="24"/>
                <w:lang w:val="ro-RO" w:eastAsia="zh-CN"/>
              </w:rPr>
              <w:t>sociale de stat pentru anul 2024</w:t>
            </w:r>
            <w:r w:rsidR="00A20198">
              <w:rPr>
                <w:rFonts w:ascii="Times New Roman" w:eastAsia="Times New Roman" w:hAnsi="Times New Roman" w:cs="Times New Roman"/>
                <w:sz w:val="24"/>
                <w:szCs w:val="24"/>
                <w:lang w:val="ro-RO" w:eastAsia="zh-CN"/>
              </w:rPr>
              <w:t xml:space="preserve"> nr.419</w:t>
            </w:r>
            <w:r>
              <w:rPr>
                <w:rFonts w:ascii="Times New Roman" w:eastAsia="Times New Roman" w:hAnsi="Times New Roman" w:cs="Times New Roman"/>
                <w:sz w:val="24"/>
                <w:szCs w:val="24"/>
                <w:lang w:val="ro-RO" w:eastAsia="zh-CN"/>
              </w:rPr>
              <w:t>/</w:t>
            </w:r>
            <w:r w:rsidR="00A20198">
              <w:rPr>
                <w:rFonts w:ascii="Times New Roman" w:eastAsia="Times New Roman" w:hAnsi="Times New Roman" w:cs="Times New Roman"/>
                <w:sz w:val="24"/>
                <w:szCs w:val="24"/>
                <w:lang w:val="ro-RO" w:eastAsia="zh-CN"/>
              </w:rPr>
              <w:t>2023</w:t>
            </w:r>
            <w:r w:rsidRPr="00583EA1">
              <w:rPr>
                <w:rFonts w:ascii="Times New Roman" w:eastAsia="Times New Roman" w:hAnsi="Times New Roman" w:cs="Times New Roman"/>
                <w:sz w:val="24"/>
                <w:szCs w:val="24"/>
                <w:lang w:val="ro-RO" w:eastAsia="zh-CN"/>
              </w:rPr>
              <w:t xml:space="preserve">, pentru organizarea odihnei copiilor și adolescenților, în bugetul CNAS sunt planificate </w:t>
            </w:r>
            <w:r w:rsidR="00A20198">
              <w:rPr>
                <w:rFonts w:ascii="Times New Roman" w:eastAsia="Times New Roman" w:hAnsi="Times New Roman" w:cs="Times New Roman"/>
                <w:sz w:val="24"/>
                <w:szCs w:val="24"/>
                <w:lang w:val="ro-RO" w:eastAsia="zh-CN"/>
              </w:rPr>
              <w:t xml:space="preserve">11 </w:t>
            </w:r>
            <w:r w:rsidR="00A20198" w:rsidRPr="00A20198">
              <w:rPr>
                <w:rFonts w:ascii="Times New Roman" w:eastAsia="Times New Roman" w:hAnsi="Times New Roman" w:cs="Times New Roman"/>
                <w:sz w:val="24"/>
                <w:szCs w:val="24"/>
                <w:lang w:val="ro-RO" w:eastAsia="zh-CN"/>
              </w:rPr>
              <w:t>811.1</w:t>
            </w:r>
            <w:r w:rsidRPr="00A20198">
              <w:rPr>
                <w:rFonts w:ascii="Times New Roman" w:eastAsia="Times New Roman" w:hAnsi="Times New Roman" w:cs="Times New Roman"/>
                <w:sz w:val="24"/>
                <w:szCs w:val="24"/>
                <w:lang w:val="ro-RO" w:eastAsia="zh-CN"/>
              </w:rPr>
              <w:t xml:space="preserve"> mii lei.</w:t>
            </w:r>
          </w:p>
          <w:p w14:paraId="05E17834" w14:textId="4F0F9F06" w:rsidR="00583EA1" w:rsidRPr="00583EA1" w:rsidRDefault="00583EA1" w:rsidP="00A16C4A">
            <w:pPr>
              <w:spacing w:line="276" w:lineRule="auto"/>
              <w:ind w:firstLine="517"/>
              <w:jc w:val="both"/>
              <w:rPr>
                <w:rFonts w:ascii="Times New Roman" w:eastAsia="Times New Roman" w:hAnsi="Times New Roman" w:cs="Times New Roman"/>
                <w:sz w:val="24"/>
                <w:szCs w:val="24"/>
                <w:lang w:val="ro-RO" w:eastAsia="zh-CN"/>
              </w:rPr>
            </w:pPr>
            <w:r w:rsidRPr="00583EA1">
              <w:rPr>
                <w:rFonts w:ascii="Times New Roman" w:eastAsia="Times New Roman" w:hAnsi="Times New Roman" w:cs="Times New Roman"/>
                <w:sz w:val="24"/>
                <w:szCs w:val="24"/>
                <w:lang w:val="ro-RO" w:eastAsia="zh-CN"/>
              </w:rPr>
              <w:t>În bugetul Ministerului Educației</w:t>
            </w:r>
            <w:r w:rsidR="002773D2">
              <w:rPr>
                <w:rFonts w:ascii="Times New Roman" w:eastAsia="Times New Roman" w:hAnsi="Times New Roman" w:cs="Times New Roman"/>
                <w:sz w:val="24"/>
                <w:szCs w:val="24"/>
                <w:lang w:val="ro-RO" w:eastAsia="zh-CN"/>
              </w:rPr>
              <w:t xml:space="preserve"> și Cercetării, pentru anul 2024</w:t>
            </w:r>
            <w:r w:rsidRPr="00583EA1">
              <w:rPr>
                <w:rFonts w:ascii="Times New Roman" w:eastAsia="Times New Roman" w:hAnsi="Times New Roman" w:cs="Times New Roman"/>
                <w:sz w:val="24"/>
                <w:szCs w:val="24"/>
                <w:lang w:val="ro-RO" w:eastAsia="zh-CN"/>
              </w:rPr>
              <w:t>, conform Legii bu</w:t>
            </w:r>
            <w:r w:rsidR="002773D2">
              <w:rPr>
                <w:rFonts w:ascii="Times New Roman" w:eastAsia="Times New Roman" w:hAnsi="Times New Roman" w:cs="Times New Roman"/>
                <w:sz w:val="24"/>
                <w:szCs w:val="24"/>
                <w:lang w:val="ro-RO" w:eastAsia="zh-CN"/>
              </w:rPr>
              <w:t>getului de stat pentru anul 2024</w:t>
            </w:r>
            <w:r w:rsidR="00F0614B">
              <w:rPr>
                <w:rFonts w:ascii="Times New Roman" w:eastAsia="Times New Roman" w:hAnsi="Times New Roman" w:cs="Times New Roman"/>
                <w:sz w:val="24"/>
                <w:szCs w:val="24"/>
                <w:lang w:val="ro-RO" w:eastAsia="zh-CN"/>
              </w:rPr>
              <w:t>,</w:t>
            </w:r>
            <w:r w:rsidRPr="00583EA1">
              <w:rPr>
                <w:rFonts w:ascii="Times New Roman" w:eastAsia="Times New Roman" w:hAnsi="Times New Roman" w:cs="Times New Roman"/>
                <w:sz w:val="24"/>
                <w:szCs w:val="24"/>
                <w:lang w:val="ro-RO" w:eastAsia="zh-CN"/>
              </w:rPr>
              <w:t xml:space="preserve"> nr. </w:t>
            </w:r>
            <w:r w:rsidR="00A20198" w:rsidRPr="00A20198">
              <w:rPr>
                <w:rFonts w:ascii="Times New Roman" w:eastAsia="Times New Roman" w:hAnsi="Times New Roman" w:cs="Times New Roman"/>
                <w:sz w:val="24"/>
                <w:szCs w:val="24"/>
                <w:lang w:val="ro-RO" w:eastAsia="zh-CN"/>
              </w:rPr>
              <w:t>418/2023</w:t>
            </w:r>
            <w:r w:rsidRPr="00583EA1">
              <w:rPr>
                <w:rFonts w:ascii="Times New Roman" w:eastAsia="Times New Roman" w:hAnsi="Times New Roman" w:cs="Times New Roman"/>
                <w:sz w:val="24"/>
                <w:szCs w:val="24"/>
                <w:lang w:val="ro-RO" w:eastAsia="zh-CN"/>
              </w:rPr>
              <w:t>, pentru odihna copiilor și adolescenților sunt planificate 1910,0 mii lei.</w:t>
            </w:r>
          </w:p>
          <w:p w14:paraId="35CD0BBA" w14:textId="444AF208" w:rsidR="00583EA1" w:rsidRPr="00583EA1" w:rsidRDefault="00583EA1" w:rsidP="00A16C4A">
            <w:pPr>
              <w:shd w:val="clear" w:color="auto" w:fill="FFFFFF"/>
              <w:spacing w:line="276" w:lineRule="auto"/>
              <w:ind w:firstLine="517"/>
              <w:jc w:val="both"/>
              <w:rPr>
                <w:rFonts w:ascii="Times New Roman" w:eastAsia="Times New Roman" w:hAnsi="Times New Roman" w:cs="Times New Roman"/>
                <w:color w:val="000000"/>
                <w:sz w:val="24"/>
                <w:szCs w:val="24"/>
                <w:lang w:val="ro-RO"/>
              </w:rPr>
            </w:pPr>
            <w:r w:rsidRPr="00583EA1">
              <w:rPr>
                <w:rFonts w:ascii="Times New Roman" w:eastAsia="Times New Roman" w:hAnsi="Times New Roman" w:cs="Times New Roman"/>
                <w:sz w:val="24"/>
                <w:szCs w:val="24"/>
                <w:lang w:val="ro-RO" w:eastAsia="zh-CN"/>
              </w:rPr>
              <w:t xml:space="preserve">Totodată, </w:t>
            </w:r>
            <w:r w:rsidR="00A20198">
              <w:rPr>
                <w:rFonts w:ascii="Times New Roman" w:eastAsia="Times New Roman" w:hAnsi="Times New Roman" w:cs="Times New Roman"/>
                <w:color w:val="000000"/>
                <w:sz w:val="24"/>
                <w:szCs w:val="24"/>
                <w:lang w:val="ro-RO"/>
              </w:rPr>
              <w:t>pentru anul 2024</w:t>
            </w:r>
            <w:r w:rsidRPr="00583EA1">
              <w:rPr>
                <w:rFonts w:ascii="Times New Roman" w:eastAsia="Times New Roman" w:hAnsi="Times New Roman" w:cs="Times New Roman"/>
                <w:color w:val="000000"/>
                <w:sz w:val="24"/>
                <w:szCs w:val="24"/>
                <w:lang w:val="ro-RO"/>
              </w:rPr>
              <w:t xml:space="preserve">, din contul transferurilor cu destinație specială de la bugetul de stat către bugetele locale, sunt prevăzute mijloace financiare pentru organizarea odihnei de vară în mărime de </w:t>
            </w:r>
            <w:r w:rsidRPr="00A20198">
              <w:rPr>
                <w:rFonts w:ascii="Times New Roman" w:eastAsia="Times New Roman" w:hAnsi="Times New Roman" w:cs="Times New Roman"/>
                <w:sz w:val="24"/>
                <w:szCs w:val="24"/>
                <w:lang w:val="ro-RO"/>
              </w:rPr>
              <w:t>1</w:t>
            </w:r>
            <w:r w:rsidR="00A20198" w:rsidRPr="00A20198">
              <w:rPr>
                <w:rFonts w:ascii="Times New Roman" w:eastAsia="Times New Roman" w:hAnsi="Times New Roman" w:cs="Times New Roman"/>
                <w:sz w:val="24"/>
                <w:szCs w:val="24"/>
                <w:lang w:val="ro-RO"/>
              </w:rPr>
              <w:t>03 946,7</w:t>
            </w:r>
            <w:r w:rsidRPr="00A20198">
              <w:rPr>
                <w:rFonts w:ascii="Times New Roman" w:eastAsia="Times New Roman" w:hAnsi="Times New Roman" w:cs="Times New Roman"/>
                <w:sz w:val="24"/>
                <w:szCs w:val="24"/>
                <w:lang w:val="ro-RO"/>
              </w:rPr>
              <w:t xml:space="preserve"> mii lei. </w:t>
            </w:r>
            <w:r w:rsidRPr="00583EA1">
              <w:rPr>
                <w:rFonts w:ascii="Times New Roman" w:eastAsia="Times New Roman" w:hAnsi="Times New Roman" w:cs="Times New Roman"/>
                <w:color w:val="000000"/>
                <w:sz w:val="24"/>
                <w:szCs w:val="24"/>
                <w:lang w:val="ro-RO"/>
              </w:rPr>
              <w:t>În același timp, autoritățile publice locale, pot contribui cu mijloace financiare suplimentare pentru desfășurarea măsurii respective din contul veniturilor proprii, defalcărilor de la impozitele și taxele de stat, cât și alte surse permise de legislație.</w:t>
            </w:r>
          </w:p>
          <w:p w14:paraId="22D927F1" w14:textId="49F78ECE" w:rsidR="00801D21" w:rsidRPr="00F22874" w:rsidRDefault="00A2190A" w:rsidP="00A16C4A">
            <w:pPr>
              <w:spacing w:line="276" w:lineRule="auto"/>
              <w:ind w:firstLine="517"/>
              <w:jc w:val="both"/>
              <w:rPr>
                <w:rFonts w:ascii="Times New Roman" w:hAnsi="Times New Roman" w:cs="Times New Roman"/>
                <w:color w:val="000000" w:themeColor="text1"/>
                <w:sz w:val="24"/>
                <w:szCs w:val="24"/>
                <w:lang w:val="ro-RO"/>
              </w:rPr>
            </w:pPr>
            <w:r w:rsidRPr="00F22874">
              <w:rPr>
                <w:rFonts w:ascii="Times New Roman" w:hAnsi="Times New Roman" w:cs="Times New Roman"/>
                <w:color w:val="000000" w:themeColor="text1"/>
                <w:sz w:val="24"/>
                <w:szCs w:val="24"/>
                <w:lang w:val="ro-RO"/>
              </w:rPr>
              <w:t xml:space="preserve">Prezentul proiect </w:t>
            </w:r>
            <w:r w:rsidR="00601A4C" w:rsidRPr="00F22874">
              <w:rPr>
                <w:rFonts w:ascii="Times New Roman" w:hAnsi="Times New Roman" w:cs="Times New Roman"/>
                <w:color w:val="000000" w:themeColor="text1"/>
                <w:sz w:val="24"/>
                <w:szCs w:val="24"/>
                <w:lang w:val="ro-RO"/>
              </w:rPr>
              <w:t>nu ne</w:t>
            </w:r>
            <w:r w:rsidR="00EC4A34" w:rsidRPr="00F22874">
              <w:rPr>
                <w:rFonts w:ascii="Times New Roman" w:hAnsi="Times New Roman" w:cs="Times New Roman"/>
                <w:color w:val="000000" w:themeColor="text1"/>
                <w:sz w:val="24"/>
                <w:szCs w:val="24"/>
                <w:lang w:val="ro-RO"/>
              </w:rPr>
              <w:t xml:space="preserve">cesită </w:t>
            </w:r>
            <w:r w:rsidR="004E6721">
              <w:rPr>
                <w:rFonts w:ascii="Times New Roman" w:hAnsi="Times New Roman" w:cs="Times New Roman"/>
                <w:color w:val="000000" w:themeColor="text1"/>
                <w:sz w:val="24"/>
                <w:szCs w:val="24"/>
                <w:lang w:val="ro-RO"/>
              </w:rPr>
              <w:t>mijloace financiare</w:t>
            </w:r>
            <w:r w:rsidR="00EC4A34" w:rsidRPr="00F22874">
              <w:rPr>
                <w:rFonts w:ascii="Times New Roman" w:hAnsi="Times New Roman" w:cs="Times New Roman"/>
                <w:color w:val="000000" w:themeColor="text1"/>
                <w:sz w:val="24"/>
                <w:szCs w:val="24"/>
                <w:lang w:val="ro-RO"/>
              </w:rPr>
              <w:t xml:space="preserve"> suplimentare.</w:t>
            </w:r>
          </w:p>
        </w:tc>
      </w:tr>
      <w:tr w:rsidR="0003155F" w:rsidRPr="00F22874" w14:paraId="69EFE06D" w14:textId="77777777" w:rsidTr="0099364C">
        <w:trPr>
          <w:trHeight w:val="345"/>
        </w:trPr>
        <w:tc>
          <w:tcPr>
            <w:tcW w:w="9747" w:type="dxa"/>
            <w:shd w:val="clear" w:color="auto" w:fill="DBDBDB" w:themeFill="accent3" w:themeFillTint="66"/>
          </w:tcPr>
          <w:p w14:paraId="02008B62" w14:textId="77777777" w:rsidR="005A6977" w:rsidRPr="00F22874" w:rsidRDefault="005A6977" w:rsidP="00F22874">
            <w:pPr>
              <w:pStyle w:val="ListParagraph"/>
              <w:numPr>
                <w:ilvl w:val="0"/>
                <w:numId w:val="1"/>
              </w:numPr>
              <w:tabs>
                <w:tab w:val="left" w:pos="360"/>
              </w:tabs>
              <w:spacing w:line="276" w:lineRule="auto"/>
              <w:rPr>
                <w:rFonts w:ascii="Times New Roman" w:hAnsi="Times New Roman" w:cs="Times New Roman"/>
                <w:b/>
                <w:color w:val="000000" w:themeColor="text1"/>
                <w:sz w:val="24"/>
                <w:szCs w:val="24"/>
                <w:lang w:val="ro-RO"/>
              </w:rPr>
            </w:pPr>
            <w:r w:rsidRPr="00F22874">
              <w:rPr>
                <w:rFonts w:ascii="Times New Roman" w:hAnsi="Times New Roman" w:cs="Times New Roman"/>
                <w:b/>
                <w:color w:val="000000" w:themeColor="text1"/>
                <w:sz w:val="24"/>
                <w:szCs w:val="24"/>
                <w:lang w:val="ro-RO"/>
              </w:rPr>
              <w:t>Modul de încorporare a actului în cadrul normativ în vigoare</w:t>
            </w:r>
            <w:r w:rsidR="008D75E6" w:rsidRPr="00F22874">
              <w:rPr>
                <w:rFonts w:ascii="Times New Roman" w:hAnsi="Times New Roman" w:cs="Times New Roman"/>
                <w:b/>
                <w:color w:val="000000" w:themeColor="text1"/>
                <w:sz w:val="24"/>
                <w:szCs w:val="24"/>
                <w:lang w:val="ro-RO"/>
              </w:rPr>
              <w:br/>
            </w:r>
          </w:p>
        </w:tc>
      </w:tr>
      <w:tr w:rsidR="0003155F" w:rsidRPr="00F22874" w14:paraId="33F4CFFD" w14:textId="77777777" w:rsidTr="0099364C">
        <w:tc>
          <w:tcPr>
            <w:tcW w:w="9747" w:type="dxa"/>
          </w:tcPr>
          <w:p w14:paraId="3281ADC9" w14:textId="57F5B15D" w:rsidR="00DC1184" w:rsidRPr="00F22874" w:rsidRDefault="00CF35CE" w:rsidP="00F22874">
            <w:pPr>
              <w:spacing w:line="276" w:lineRule="auto"/>
              <w:ind w:firstLine="567"/>
              <w:jc w:val="both"/>
              <w:rPr>
                <w:rFonts w:ascii="Times New Roman" w:hAnsi="Times New Roman" w:cs="Times New Roman"/>
                <w:color w:val="000000" w:themeColor="text1"/>
                <w:sz w:val="24"/>
                <w:szCs w:val="24"/>
                <w:lang w:val="ro-RO"/>
              </w:rPr>
            </w:pPr>
            <w:r w:rsidRPr="00F22874">
              <w:rPr>
                <w:rFonts w:ascii="Times New Roman" w:hAnsi="Times New Roman" w:cs="Times New Roman"/>
                <w:color w:val="000000" w:themeColor="text1"/>
                <w:sz w:val="24"/>
                <w:szCs w:val="24"/>
                <w:lang w:val="ro-RO"/>
              </w:rPr>
              <w:t>Pentru implementarea prezentului proiect nu va fi necesară modificarea altor</w:t>
            </w:r>
            <w:r w:rsidR="00F22B34" w:rsidRPr="00F22874">
              <w:rPr>
                <w:rFonts w:ascii="Times New Roman" w:hAnsi="Times New Roman" w:cs="Times New Roman"/>
                <w:color w:val="000000" w:themeColor="text1"/>
                <w:sz w:val="24"/>
                <w:szCs w:val="24"/>
                <w:lang w:val="ro-RO"/>
              </w:rPr>
              <w:t xml:space="preserve"> </w:t>
            </w:r>
            <w:r w:rsidRPr="00F22874">
              <w:rPr>
                <w:rFonts w:ascii="Times New Roman" w:hAnsi="Times New Roman" w:cs="Times New Roman"/>
                <w:color w:val="000000" w:themeColor="text1"/>
                <w:sz w:val="24"/>
                <w:szCs w:val="24"/>
                <w:lang w:val="ro-RO"/>
              </w:rPr>
              <w:t>acte normative.</w:t>
            </w:r>
          </w:p>
        </w:tc>
      </w:tr>
      <w:tr w:rsidR="0003155F" w:rsidRPr="00F22874" w14:paraId="7A406757" w14:textId="77777777" w:rsidTr="0099364C">
        <w:tc>
          <w:tcPr>
            <w:tcW w:w="9747" w:type="dxa"/>
            <w:shd w:val="clear" w:color="auto" w:fill="DBDBDB" w:themeFill="accent3" w:themeFillTint="66"/>
          </w:tcPr>
          <w:p w14:paraId="51DBD9D3" w14:textId="77777777" w:rsidR="005A6977" w:rsidRPr="00F22874" w:rsidRDefault="005A6977" w:rsidP="00F22874">
            <w:pPr>
              <w:pStyle w:val="ListParagraph"/>
              <w:numPr>
                <w:ilvl w:val="0"/>
                <w:numId w:val="1"/>
              </w:numPr>
              <w:spacing w:line="276" w:lineRule="auto"/>
              <w:rPr>
                <w:rFonts w:ascii="Times New Roman" w:hAnsi="Times New Roman" w:cs="Times New Roman"/>
                <w:b/>
                <w:color w:val="000000" w:themeColor="text1"/>
                <w:sz w:val="24"/>
                <w:szCs w:val="24"/>
                <w:lang w:val="ro-RO"/>
              </w:rPr>
            </w:pPr>
            <w:r w:rsidRPr="00F22874">
              <w:rPr>
                <w:rFonts w:ascii="Times New Roman" w:hAnsi="Times New Roman" w:cs="Times New Roman"/>
                <w:b/>
                <w:color w:val="000000" w:themeColor="text1"/>
                <w:sz w:val="24"/>
                <w:szCs w:val="24"/>
                <w:lang w:val="ro-RO"/>
              </w:rPr>
              <w:t>Avizarea și consultarea publică a proiectului</w:t>
            </w:r>
            <w:r w:rsidR="008D75E6" w:rsidRPr="00F22874">
              <w:rPr>
                <w:rFonts w:ascii="Times New Roman" w:hAnsi="Times New Roman" w:cs="Times New Roman"/>
                <w:b/>
                <w:color w:val="000000" w:themeColor="text1"/>
                <w:sz w:val="24"/>
                <w:szCs w:val="24"/>
                <w:lang w:val="ro-RO"/>
              </w:rPr>
              <w:br/>
            </w:r>
          </w:p>
        </w:tc>
      </w:tr>
      <w:tr w:rsidR="00025894" w:rsidRPr="00F22874" w14:paraId="2F6E1F29" w14:textId="77777777" w:rsidTr="0099364C">
        <w:tc>
          <w:tcPr>
            <w:tcW w:w="9747" w:type="dxa"/>
          </w:tcPr>
          <w:p w14:paraId="13C95FD5" w14:textId="2775E94F" w:rsidR="00F83D3C" w:rsidRPr="001E46A7" w:rsidRDefault="00025894" w:rsidP="001E46A7">
            <w:pPr>
              <w:spacing w:line="276" w:lineRule="auto"/>
              <w:ind w:firstLine="517"/>
              <w:jc w:val="both"/>
              <w:rPr>
                <w:rFonts w:ascii="Times New Roman" w:hAnsi="Times New Roman" w:cs="Times New Roman"/>
                <w:color w:val="000000" w:themeColor="text1"/>
                <w:sz w:val="24"/>
                <w:szCs w:val="24"/>
                <w:lang w:val="ro-RO"/>
              </w:rPr>
            </w:pPr>
            <w:r w:rsidRPr="00F22874">
              <w:rPr>
                <w:rFonts w:ascii="Times New Roman" w:hAnsi="Times New Roman" w:cs="Times New Roman"/>
                <w:color w:val="000000" w:themeColor="text1"/>
                <w:sz w:val="24"/>
                <w:szCs w:val="24"/>
                <w:lang w:val="ro-RO"/>
              </w:rPr>
              <w:t>În scopul respect</w:t>
            </w:r>
            <w:r w:rsidR="00F810B7" w:rsidRPr="00F22874">
              <w:rPr>
                <w:rFonts w:ascii="Times New Roman" w:hAnsi="Times New Roman" w:cs="Times New Roman"/>
                <w:color w:val="000000" w:themeColor="text1"/>
                <w:sz w:val="24"/>
                <w:szCs w:val="24"/>
                <w:lang w:val="ro-RO"/>
              </w:rPr>
              <w:t>ării prevederilor</w:t>
            </w:r>
            <w:r w:rsidR="00FB405B" w:rsidRPr="00F22874">
              <w:rPr>
                <w:rFonts w:ascii="Times New Roman" w:hAnsi="Times New Roman" w:cs="Times New Roman"/>
                <w:color w:val="000000" w:themeColor="text1"/>
                <w:sz w:val="24"/>
                <w:szCs w:val="24"/>
                <w:lang w:val="ro-RO"/>
              </w:rPr>
              <w:t xml:space="preserve"> L</w:t>
            </w:r>
            <w:r w:rsidR="00764316" w:rsidRPr="00F22874">
              <w:rPr>
                <w:rFonts w:ascii="Times New Roman" w:hAnsi="Times New Roman" w:cs="Times New Roman"/>
                <w:color w:val="000000" w:themeColor="text1"/>
                <w:sz w:val="24"/>
                <w:szCs w:val="24"/>
                <w:lang w:val="ro-RO"/>
              </w:rPr>
              <w:t xml:space="preserve">egii nr.100/2017 </w:t>
            </w:r>
            <w:r w:rsidR="00764316" w:rsidRPr="00F22874">
              <w:rPr>
                <w:rFonts w:ascii="Times New Roman" w:hAnsi="Times New Roman" w:cs="Times New Roman"/>
                <w:i/>
                <w:color w:val="000000" w:themeColor="text1"/>
                <w:sz w:val="24"/>
                <w:szCs w:val="24"/>
                <w:lang w:val="ro-RO"/>
              </w:rPr>
              <w:t>cu privire la actele normative</w:t>
            </w:r>
            <w:r w:rsidR="005E6792" w:rsidRPr="00F22874">
              <w:rPr>
                <w:rFonts w:ascii="Times New Roman" w:hAnsi="Times New Roman" w:cs="Times New Roman"/>
                <w:color w:val="000000" w:themeColor="text1"/>
                <w:sz w:val="24"/>
                <w:szCs w:val="24"/>
                <w:lang w:val="ro-RO"/>
              </w:rPr>
              <w:t xml:space="preserve"> și</w:t>
            </w:r>
            <w:r w:rsidR="00F810B7" w:rsidRPr="00F22874">
              <w:rPr>
                <w:rFonts w:ascii="Times New Roman" w:hAnsi="Times New Roman" w:cs="Times New Roman"/>
                <w:color w:val="000000" w:themeColor="text1"/>
                <w:sz w:val="24"/>
                <w:szCs w:val="24"/>
                <w:lang w:val="ro-RO"/>
              </w:rPr>
              <w:t xml:space="preserve"> Legii nr. 239/</w:t>
            </w:r>
            <w:r w:rsidRPr="00F22874">
              <w:rPr>
                <w:rFonts w:ascii="Times New Roman" w:hAnsi="Times New Roman" w:cs="Times New Roman"/>
                <w:color w:val="000000" w:themeColor="text1"/>
                <w:sz w:val="24"/>
                <w:szCs w:val="24"/>
                <w:lang w:val="ro-RO"/>
              </w:rPr>
              <w:t xml:space="preserve">2008 </w:t>
            </w:r>
            <w:r w:rsidRPr="00F22874">
              <w:rPr>
                <w:rFonts w:ascii="Times New Roman" w:hAnsi="Times New Roman" w:cs="Times New Roman"/>
                <w:i/>
                <w:color w:val="000000" w:themeColor="text1"/>
                <w:sz w:val="24"/>
                <w:szCs w:val="24"/>
                <w:lang w:val="ro-RO"/>
              </w:rPr>
              <w:t xml:space="preserve">privind </w:t>
            </w:r>
            <w:r w:rsidR="008B2D82" w:rsidRPr="00F22874">
              <w:rPr>
                <w:rFonts w:ascii="Times New Roman" w:hAnsi="Times New Roman" w:cs="Times New Roman"/>
                <w:i/>
                <w:color w:val="000000" w:themeColor="text1"/>
                <w:sz w:val="24"/>
                <w:szCs w:val="24"/>
                <w:lang w:val="ro-RO"/>
              </w:rPr>
              <w:t>transparența</w:t>
            </w:r>
            <w:r w:rsidRPr="00F22874">
              <w:rPr>
                <w:rFonts w:ascii="Times New Roman" w:hAnsi="Times New Roman" w:cs="Times New Roman"/>
                <w:i/>
                <w:color w:val="000000" w:themeColor="text1"/>
                <w:sz w:val="24"/>
                <w:szCs w:val="24"/>
                <w:lang w:val="ro-RO"/>
              </w:rPr>
              <w:t xml:space="preserve"> în</w:t>
            </w:r>
            <w:r w:rsidR="00753595" w:rsidRPr="00F22874">
              <w:rPr>
                <w:rFonts w:ascii="Times New Roman" w:hAnsi="Times New Roman" w:cs="Times New Roman"/>
                <w:i/>
                <w:color w:val="000000" w:themeColor="text1"/>
                <w:sz w:val="24"/>
                <w:szCs w:val="24"/>
                <w:lang w:val="ro-RO"/>
              </w:rPr>
              <w:t xml:space="preserve"> procesul decizional</w:t>
            </w:r>
            <w:r w:rsidR="00753595" w:rsidRPr="00F22874">
              <w:rPr>
                <w:rFonts w:ascii="Times New Roman" w:hAnsi="Times New Roman" w:cs="Times New Roman"/>
                <w:color w:val="000000" w:themeColor="text1"/>
                <w:sz w:val="24"/>
                <w:szCs w:val="24"/>
                <w:lang w:val="ro-RO"/>
              </w:rPr>
              <w:t xml:space="preserve">, proiectul </w:t>
            </w:r>
            <w:r w:rsidR="00114F11" w:rsidRPr="00F22874">
              <w:rPr>
                <w:rFonts w:ascii="Times New Roman" w:hAnsi="Times New Roman" w:cs="Times New Roman"/>
                <w:color w:val="000000" w:themeColor="text1"/>
                <w:sz w:val="24"/>
                <w:szCs w:val="24"/>
                <w:lang w:val="ro-RO"/>
              </w:rPr>
              <w:t xml:space="preserve">și nota </w:t>
            </w:r>
            <w:r w:rsidR="00FE1426" w:rsidRPr="00F22874">
              <w:rPr>
                <w:rFonts w:ascii="Times New Roman" w:hAnsi="Times New Roman" w:cs="Times New Roman"/>
                <w:color w:val="000000" w:themeColor="text1"/>
                <w:sz w:val="24"/>
                <w:szCs w:val="24"/>
                <w:lang w:val="ro-RO"/>
              </w:rPr>
              <w:t>informativă au fost</w:t>
            </w:r>
            <w:r w:rsidR="00F22B34" w:rsidRPr="00F22874">
              <w:rPr>
                <w:rFonts w:ascii="Times New Roman" w:hAnsi="Times New Roman" w:cs="Times New Roman"/>
                <w:color w:val="000000" w:themeColor="text1"/>
                <w:sz w:val="24"/>
                <w:szCs w:val="24"/>
                <w:lang w:val="ro-RO"/>
              </w:rPr>
              <w:t xml:space="preserve"> plasat</w:t>
            </w:r>
            <w:r w:rsidR="00114F11" w:rsidRPr="00F22874">
              <w:rPr>
                <w:rFonts w:ascii="Times New Roman" w:hAnsi="Times New Roman" w:cs="Times New Roman"/>
                <w:color w:val="000000" w:themeColor="text1"/>
                <w:sz w:val="24"/>
                <w:szCs w:val="24"/>
                <w:lang w:val="ro-RO"/>
              </w:rPr>
              <w:t>e</w:t>
            </w:r>
            <w:r w:rsidR="00F22B34" w:rsidRPr="00F22874">
              <w:rPr>
                <w:rFonts w:ascii="Times New Roman" w:hAnsi="Times New Roman" w:cs="Times New Roman"/>
                <w:color w:val="000000" w:themeColor="text1"/>
                <w:sz w:val="24"/>
                <w:szCs w:val="24"/>
                <w:lang w:val="ro-RO"/>
              </w:rPr>
              <w:t xml:space="preserve"> pe </w:t>
            </w:r>
            <w:r w:rsidRPr="00F22874">
              <w:rPr>
                <w:rFonts w:ascii="Times New Roman" w:hAnsi="Times New Roman" w:cs="Times New Roman"/>
                <w:color w:val="000000" w:themeColor="text1"/>
                <w:sz w:val="24"/>
                <w:szCs w:val="24"/>
                <w:lang w:val="ro-RO"/>
              </w:rPr>
              <w:t xml:space="preserve">pagina web oficială a </w:t>
            </w:r>
            <w:r w:rsidR="00924E29" w:rsidRPr="00F22874">
              <w:rPr>
                <w:rFonts w:ascii="Times New Roman" w:hAnsi="Times New Roman" w:cs="Times New Roman"/>
                <w:color w:val="000000" w:themeColor="text1"/>
                <w:sz w:val="24"/>
                <w:szCs w:val="24"/>
                <w:lang w:val="ro-RO"/>
              </w:rPr>
              <w:t>Ministerului Educației</w:t>
            </w:r>
            <w:r w:rsidR="005A6977" w:rsidRPr="00F22874">
              <w:rPr>
                <w:rFonts w:ascii="Times New Roman" w:hAnsi="Times New Roman" w:cs="Times New Roman"/>
                <w:color w:val="000000" w:themeColor="text1"/>
                <w:sz w:val="24"/>
                <w:szCs w:val="24"/>
                <w:lang w:val="ro-RO"/>
              </w:rPr>
              <w:t xml:space="preserve"> și Cercetării </w:t>
            </w:r>
            <w:hyperlink r:id="rId8" w:history="1">
              <w:r w:rsidR="00801D21" w:rsidRPr="00F22874">
                <w:rPr>
                  <w:rStyle w:val="Hyperlink"/>
                  <w:rFonts w:ascii="Times New Roman" w:hAnsi="Times New Roman" w:cs="Times New Roman"/>
                  <w:sz w:val="24"/>
                  <w:szCs w:val="24"/>
                  <w:lang w:val="ro-RO"/>
                </w:rPr>
                <w:t>www.mec.gov.md</w:t>
              </w:r>
            </w:hyperlink>
            <w:r w:rsidR="00F810B7" w:rsidRPr="00F22874">
              <w:rPr>
                <w:rFonts w:ascii="Times New Roman" w:hAnsi="Times New Roman" w:cs="Times New Roman"/>
                <w:color w:val="000000" w:themeColor="text1"/>
                <w:sz w:val="24"/>
                <w:szCs w:val="24"/>
                <w:lang w:val="ro-RO"/>
              </w:rPr>
              <w:t xml:space="preserve">, </w:t>
            </w:r>
            <w:r w:rsidR="005A6977" w:rsidRPr="00F22874">
              <w:rPr>
                <w:rFonts w:ascii="Times New Roman" w:hAnsi="Times New Roman" w:cs="Times New Roman"/>
                <w:color w:val="000000" w:themeColor="text1"/>
                <w:sz w:val="24"/>
                <w:szCs w:val="24"/>
                <w:lang w:val="ro-RO"/>
              </w:rPr>
              <w:t xml:space="preserve">compartimentul Transparență, directoriul Transparență decizională, secțiunea Modul de participare. </w:t>
            </w:r>
          </w:p>
        </w:tc>
      </w:tr>
      <w:tr w:rsidR="00DE7F80" w:rsidRPr="00F22874" w14:paraId="5E28D112" w14:textId="77777777" w:rsidTr="00DE7F80">
        <w:tc>
          <w:tcPr>
            <w:tcW w:w="9747" w:type="dxa"/>
            <w:shd w:val="clear" w:color="auto" w:fill="D9D9D9" w:themeFill="background1" w:themeFillShade="D9"/>
          </w:tcPr>
          <w:p w14:paraId="51023E9C" w14:textId="2125BB1F" w:rsidR="00DE7F80" w:rsidRPr="00DE7F80" w:rsidRDefault="00DE7F80" w:rsidP="00DE7F80">
            <w:pPr>
              <w:pStyle w:val="ListParagraph"/>
              <w:numPr>
                <w:ilvl w:val="0"/>
                <w:numId w:val="1"/>
              </w:numPr>
              <w:spacing w:line="276" w:lineRule="auto"/>
              <w:jc w:val="both"/>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Constatările expertizei anticorupție</w:t>
            </w:r>
          </w:p>
        </w:tc>
      </w:tr>
      <w:tr w:rsidR="00DE7F80" w:rsidRPr="00F22874" w14:paraId="0FF5FDAB" w14:textId="77777777" w:rsidTr="00DE7F80">
        <w:tc>
          <w:tcPr>
            <w:tcW w:w="9747" w:type="dxa"/>
            <w:shd w:val="clear" w:color="auto" w:fill="FFFFFF" w:themeFill="background1"/>
          </w:tcPr>
          <w:p w14:paraId="5982F4CB" w14:textId="18C59CC3" w:rsidR="00DE7F80" w:rsidRPr="00785755" w:rsidRDefault="00DE7F80" w:rsidP="00DE7F80">
            <w:pPr>
              <w:pStyle w:val="ListParagraph"/>
              <w:spacing w:line="276" w:lineRule="auto"/>
              <w:jc w:val="both"/>
              <w:rPr>
                <w:rFonts w:ascii="Times New Roman" w:hAnsi="Times New Roman" w:cs="Times New Roman"/>
                <w:color w:val="000000" w:themeColor="text1"/>
                <w:sz w:val="24"/>
                <w:szCs w:val="24"/>
                <w:lang w:val="ro-RO"/>
              </w:rPr>
            </w:pPr>
            <w:r w:rsidRPr="00785755">
              <w:rPr>
                <w:rFonts w:ascii="Times New Roman" w:hAnsi="Times New Roman" w:cs="Times New Roman"/>
                <w:color w:val="000000" w:themeColor="text1"/>
                <w:sz w:val="24"/>
                <w:szCs w:val="24"/>
                <w:lang w:val="ro-RO"/>
              </w:rPr>
              <w:t>Urmează a fi supus expertizei anticorupție</w:t>
            </w:r>
            <w:r w:rsidR="00785755">
              <w:rPr>
                <w:rFonts w:ascii="Times New Roman" w:hAnsi="Times New Roman" w:cs="Times New Roman"/>
                <w:color w:val="000000" w:themeColor="text1"/>
                <w:sz w:val="24"/>
                <w:szCs w:val="24"/>
                <w:lang w:val="ro-RO"/>
              </w:rPr>
              <w:t>.</w:t>
            </w:r>
          </w:p>
        </w:tc>
      </w:tr>
      <w:tr w:rsidR="00785755" w:rsidRPr="00F22874" w14:paraId="349AB503" w14:textId="77777777" w:rsidTr="00785755">
        <w:tc>
          <w:tcPr>
            <w:tcW w:w="9747" w:type="dxa"/>
            <w:shd w:val="clear" w:color="auto" w:fill="D9D9D9" w:themeFill="background1" w:themeFillShade="D9"/>
          </w:tcPr>
          <w:p w14:paraId="7243F854" w14:textId="3CEB41B9" w:rsidR="00785755" w:rsidRPr="00785755" w:rsidRDefault="00785755" w:rsidP="00785755">
            <w:pPr>
              <w:pStyle w:val="ListParagraph"/>
              <w:numPr>
                <w:ilvl w:val="0"/>
                <w:numId w:val="1"/>
              </w:numPr>
              <w:spacing w:line="276" w:lineRule="auto"/>
              <w:jc w:val="both"/>
              <w:rPr>
                <w:rFonts w:ascii="Times New Roman" w:hAnsi="Times New Roman" w:cs="Times New Roman"/>
                <w:b/>
                <w:color w:val="000000" w:themeColor="text1"/>
                <w:sz w:val="24"/>
                <w:szCs w:val="24"/>
                <w:lang w:val="ro-RO"/>
              </w:rPr>
            </w:pPr>
            <w:r w:rsidRPr="00F22874">
              <w:rPr>
                <w:rFonts w:ascii="Times New Roman" w:hAnsi="Times New Roman" w:cs="Times New Roman"/>
                <w:b/>
                <w:color w:val="000000" w:themeColor="text1"/>
                <w:sz w:val="24"/>
                <w:szCs w:val="24"/>
                <w:lang w:val="ro-RO"/>
              </w:rPr>
              <w:t>Constatările expertizei de compatibilitate</w:t>
            </w:r>
          </w:p>
        </w:tc>
      </w:tr>
      <w:tr w:rsidR="00785755" w:rsidRPr="00F22874" w14:paraId="5CE1D19A" w14:textId="77777777" w:rsidTr="00DE7F80">
        <w:tc>
          <w:tcPr>
            <w:tcW w:w="9747" w:type="dxa"/>
            <w:shd w:val="clear" w:color="auto" w:fill="FFFFFF" w:themeFill="background1"/>
          </w:tcPr>
          <w:p w14:paraId="5A111865" w14:textId="1C586B56" w:rsidR="00785755" w:rsidRPr="00785755" w:rsidRDefault="00785755" w:rsidP="00785755">
            <w:pPr>
              <w:spacing w:line="276"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w:t>
            </w:r>
            <w:r w:rsidRPr="00F22874">
              <w:rPr>
                <w:rFonts w:ascii="Times New Roman" w:hAnsi="Times New Roman" w:cs="Times New Roman"/>
                <w:color w:val="000000" w:themeColor="text1"/>
                <w:sz w:val="24"/>
                <w:szCs w:val="24"/>
                <w:lang w:val="ro-RO"/>
              </w:rPr>
              <w:t>Proiectul nu necesită expertiza de compatibilitate, dat fiind faptul că nu prezintă relevanță Uniunii Europene.</w:t>
            </w:r>
          </w:p>
        </w:tc>
      </w:tr>
      <w:tr w:rsidR="00675AE9" w:rsidRPr="00F22874" w14:paraId="1550BD7A" w14:textId="77777777" w:rsidTr="00DE7F80">
        <w:tc>
          <w:tcPr>
            <w:tcW w:w="9747" w:type="dxa"/>
            <w:shd w:val="clear" w:color="auto" w:fill="D9D9D9" w:themeFill="background1" w:themeFillShade="D9"/>
          </w:tcPr>
          <w:p w14:paraId="5B77930A" w14:textId="03521AAB" w:rsidR="00675AE9" w:rsidRPr="00F22874" w:rsidRDefault="001E2ECD" w:rsidP="00F22874">
            <w:pPr>
              <w:pStyle w:val="ListParagraph"/>
              <w:numPr>
                <w:ilvl w:val="0"/>
                <w:numId w:val="1"/>
              </w:numPr>
              <w:spacing w:line="276" w:lineRule="auto"/>
              <w:jc w:val="both"/>
              <w:rPr>
                <w:rFonts w:ascii="Times New Roman" w:hAnsi="Times New Roman" w:cs="Times New Roman"/>
                <w:b/>
                <w:color w:val="000000" w:themeColor="text1"/>
                <w:sz w:val="24"/>
                <w:szCs w:val="24"/>
                <w:lang w:val="ro-RO"/>
              </w:rPr>
            </w:pPr>
            <w:r w:rsidRPr="00F22874">
              <w:rPr>
                <w:rFonts w:ascii="Times New Roman" w:hAnsi="Times New Roman" w:cs="Times New Roman"/>
                <w:b/>
                <w:color w:val="000000" w:themeColor="text1"/>
                <w:sz w:val="24"/>
                <w:szCs w:val="24"/>
                <w:lang w:val="ro-RO"/>
              </w:rPr>
              <w:t>Constatări</w:t>
            </w:r>
            <w:r w:rsidR="00785755">
              <w:rPr>
                <w:rFonts w:ascii="Times New Roman" w:hAnsi="Times New Roman" w:cs="Times New Roman"/>
                <w:b/>
                <w:color w:val="000000" w:themeColor="text1"/>
                <w:sz w:val="24"/>
                <w:szCs w:val="24"/>
                <w:lang w:val="ro-RO"/>
              </w:rPr>
              <w:t>le expertizei juridice</w:t>
            </w:r>
            <w:r w:rsidRPr="00F22874">
              <w:rPr>
                <w:rFonts w:ascii="Times New Roman" w:hAnsi="Times New Roman" w:cs="Times New Roman"/>
                <w:b/>
                <w:color w:val="000000" w:themeColor="text1"/>
                <w:sz w:val="24"/>
                <w:szCs w:val="24"/>
                <w:lang w:val="ro-RO"/>
              </w:rPr>
              <w:t xml:space="preserve"> </w:t>
            </w:r>
          </w:p>
        </w:tc>
      </w:tr>
      <w:tr w:rsidR="00675AE9" w:rsidRPr="00F22874" w14:paraId="1655A081" w14:textId="77777777" w:rsidTr="0099364C">
        <w:tc>
          <w:tcPr>
            <w:tcW w:w="9747" w:type="dxa"/>
          </w:tcPr>
          <w:p w14:paraId="6AA6A6B0" w14:textId="04D668C6" w:rsidR="00675AE9" w:rsidRPr="00F22874" w:rsidRDefault="00785755" w:rsidP="00F83D3C">
            <w:pPr>
              <w:spacing w:line="276" w:lineRule="auto"/>
              <w:ind w:firstLine="607"/>
              <w:jc w:val="both"/>
              <w:rPr>
                <w:rFonts w:ascii="Times New Roman" w:hAnsi="Times New Roman" w:cs="Times New Roman"/>
                <w:color w:val="000000" w:themeColor="text1"/>
                <w:sz w:val="24"/>
                <w:szCs w:val="24"/>
                <w:lang w:val="ro-RO"/>
              </w:rPr>
            </w:pPr>
            <w:r w:rsidRPr="00785755">
              <w:rPr>
                <w:rFonts w:ascii="Times New Roman" w:hAnsi="Times New Roman" w:cs="Times New Roman"/>
                <w:color w:val="000000" w:themeColor="text1"/>
                <w:sz w:val="24"/>
                <w:szCs w:val="24"/>
                <w:lang w:val="ro-RO"/>
              </w:rPr>
              <w:t>Urmează a fi supus expertizei</w:t>
            </w:r>
            <w:r>
              <w:rPr>
                <w:rFonts w:ascii="Times New Roman" w:hAnsi="Times New Roman" w:cs="Times New Roman"/>
                <w:color w:val="000000" w:themeColor="text1"/>
                <w:sz w:val="24"/>
                <w:szCs w:val="24"/>
                <w:lang w:val="ro-RO"/>
              </w:rPr>
              <w:t xml:space="preserve"> juridice.</w:t>
            </w:r>
          </w:p>
        </w:tc>
      </w:tr>
      <w:tr w:rsidR="00675AE9" w:rsidRPr="00F22874" w14:paraId="19D31036" w14:textId="77777777" w:rsidTr="00DE7F80">
        <w:tc>
          <w:tcPr>
            <w:tcW w:w="9747" w:type="dxa"/>
            <w:shd w:val="clear" w:color="auto" w:fill="D9D9D9" w:themeFill="background1" w:themeFillShade="D9"/>
          </w:tcPr>
          <w:p w14:paraId="0D192CA9" w14:textId="6D357EF0" w:rsidR="00675AE9" w:rsidRPr="00F22874" w:rsidRDefault="0079186D" w:rsidP="00F22874">
            <w:pPr>
              <w:pStyle w:val="ListParagraph"/>
              <w:numPr>
                <w:ilvl w:val="0"/>
                <w:numId w:val="1"/>
              </w:numPr>
              <w:spacing w:line="276" w:lineRule="auto"/>
              <w:jc w:val="both"/>
              <w:rPr>
                <w:rFonts w:ascii="Times New Roman" w:hAnsi="Times New Roman" w:cs="Times New Roman"/>
                <w:b/>
                <w:color w:val="000000" w:themeColor="text1"/>
                <w:sz w:val="24"/>
                <w:szCs w:val="24"/>
                <w:lang w:val="ro-RO"/>
              </w:rPr>
            </w:pPr>
            <w:r w:rsidRPr="00F22874">
              <w:rPr>
                <w:rFonts w:ascii="Times New Roman" w:hAnsi="Times New Roman" w:cs="Times New Roman"/>
                <w:b/>
                <w:color w:val="000000" w:themeColor="text1"/>
                <w:sz w:val="24"/>
                <w:szCs w:val="24"/>
                <w:lang w:val="ro-RO"/>
              </w:rPr>
              <w:t>Constatările altor expertize</w:t>
            </w:r>
          </w:p>
        </w:tc>
      </w:tr>
      <w:tr w:rsidR="00675AE9" w:rsidRPr="00F22874" w14:paraId="4E8AE854" w14:textId="77777777" w:rsidTr="0099364C">
        <w:tc>
          <w:tcPr>
            <w:tcW w:w="9747" w:type="dxa"/>
          </w:tcPr>
          <w:p w14:paraId="667FC3E4" w14:textId="4D25C61C" w:rsidR="00675AE9" w:rsidRPr="00F22874" w:rsidRDefault="0079186D" w:rsidP="00F83D3C">
            <w:pPr>
              <w:spacing w:line="276" w:lineRule="auto"/>
              <w:ind w:firstLine="607"/>
              <w:jc w:val="both"/>
              <w:rPr>
                <w:rFonts w:ascii="Times New Roman" w:hAnsi="Times New Roman" w:cs="Times New Roman"/>
                <w:color w:val="000000" w:themeColor="text1"/>
                <w:sz w:val="24"/>
                <w:szCs w:val="24"/>
                <w:lang w:val="ro-RO"/>
              </w:rPr>
            </w:pPr>
            <w:r w:rsidRPr="00F22874">
              <w:rPr>
                <w:rFonts w:ascii="Times New Roman" w:hAnsi="Times New Roman" w:cs="Times New Roman"/>
                <w:color w:val="000000" w:themeColor="text1"/>
                <w:sz w:val="24"/>
                <w:szCs w:val="24"/>
                <w:lang w:val="ro-RO"/>
              </w:rPr>
              <w:t>Proiectul nu necesită a fi expus altor expertize.</w:t>
            </w:r>
          </w:p>
        </w:tc>
      </w:tr>
    </w:tbl>
    <w:p w14:paraId="12890B49" w14:textId="77777777" w:rsidR="00C96568" w:rsidRDefault="00C96568" w:rsidP="00C96568">
      <w:pPr>
        <w:spacing w:after="0" w:line="276" w:lineRule="auto"/>
        <w:rPr>
          <w:rFonts w:ascii="Times New Roman" w:hAnsi="Times New Roman" w:cs="Times New Roman"/>
          <w:b/>
          <w:color w:val="000000" w:themeColor="text1"/>
          <w:sz w:val="24"/>
          <w:szCs w:val="24"/>
          <w:lang w:val="ro-RO"/>
        </w:rPr>
      </w:pPr>
    </w:p>
    <w:p w14:paraId="692E2E50" w14:textId="0CE79E9B" w:rsidR="00077E39" w:rsidRPr="001E46A7" w:rsidRDefault="008D75E6" w:rsidP="00C96568">
      <w:pPr>
        <w:spacing w:after="0" w:line="276" w:lineRule="auto"/>
        <w:jc w:val="center"/>
        <w:rPr>
          <w:rFonts w:ascii="Times New Roman" w:hAnsi="Times New Roman" w:cs="Times New Roman"/>
          <w:b/>
          <w:color w:val="000000" w:themeColor="text1"/>
          <w:sz w:val="24"/>
          <w:szCs w:val="24"/>
          <w:lang w:val="ro-RO"/>
        </w:rPr>
      </w:pPr>
      <w:r w:rsidRPr="00F22874">
        <w:rPr>
          <w:rFonts w:ascii="Times New Roman" w:hAnsi="Times New Roman" w:cs="Times New Roman"/>
          <w:b/>
          <w:color w:val="000000" w:themeColor="text1"/>
          <w:sz w:val="24"/>
          <w:szCs w:val="24"/>
          <w:lang w:val="ro-RO"/>
        </w:rPr>
        <w:br/>
      </w:r>
      <w:r w:rsidR="00025894" w:rsidRPr="00F22874">
        <w:rPr>
          <w:rFonts w:ascii="Times New Roman" w:hAnsi="Times New Roman" w:cs="Times New Roman"/>
          <w:b/>
          <w:color w:val="000000" w:themeColor="text1"/>
          <w:sz w:val="24"/>
          <w:szCs w:val="24"/>
          <w:lang w:val="ro-RO"/>
        </w:rPr>
        <w:t>M</w:t>
      </w:r>
      <w:r w:rsidR="00F44BB2" w:rsidRPr="00F22874">
        <w:rPr>
          <w:rFonts w:ascii="Times New Roman" w:hAnsi="Times New Roman" w:cs="Times New Roman"/>
          <w:b/>
          <w:color w:val="000000" w:themeColor="text1"/>
          <w:sz w:val="24"/>
          <w:szCs w:val="24"/>
          <w:lang w:val="ro-RO"/>
        </w:rPr>
        <w:t xml:space="preserve">inistru </w:t>
      </w:r>
      <w:r w:rsidR="005A6977" w:rsidRPr="00F22874">
        <w:rPr>
          <w:rFonts w:ascii="Times New Roman" w:hAnsi="Times New Roman" w:cs="Times New Roman"/>
          <w:b/>
          <w:color w:val="000000" w:themeColor="text1"/>
          <w:sz w:val="24"/>
          <w:szCs w:val="24"/>
          <w:lang w:val="ro-RO"/>
        </w:rPr>
        <w:t xml:space="preserve">                            </w:t>
      </w:r>
      <w:r w:rsidR="008A4B05" w:rsidRPr="00F22874">
        <w:rPr>
          <w:rFonts w:ascii="Times New Roman" w:hAnsi="Times New Roman" w:cs="Times New Roman"/>
          <w:b/>
          <w:color w:val="000000" w:themeColor="text1"/>
          <w:sz w:val="24"/>
          <w:szCs w:val="24"/>
          <w:lang w:val="ro-RO"/>
        </w:rPr>
        <w:tab/>
      </w:r>
      <w:r w:rsidR="008A4B05" w:rsidRPr="00F22874">
        <w:rPr>
          <w:rFonts w:ascii="Times New Roman" w:hAnsi="Times New Roman" w:cs="Times New Roman"/>
          <w:b/>
          <w:color w:val="000000" w:themeColor="text1"/>
          <w:sz w:val="24"/>
          <w:szCs w:val="24"/>
          <w:lang w:val="ro-RO"/>
        </w:rPr>
        <w:tab/>
      </w:r>
      <w:r w:rsidR="005A6977" w:rsidRPr="00F22874">
        <w:rPr>
          <w:rFonts w:ascii="Times New Roman" w:hAnsi="Times New Roman" w:cs="Times New Roman"/>
          <w:b/>
          <w:color w:val="000000" w:themeColor="text1"/>
          <w:sz w:val="24"/>
          <w:szCs w:val="24"/>
          <w:lang w:val="ro-RO"/>
        </w:rPr>
        <w:t xml:space="preserve">       </w:t>
      </w:r>
      <w:r w:rsidR="00B52CFF">
        <w:rPr>
          <w:rFonts w:ascii="Times New Roman" w:hAnsi="Times New Roman" w:cs="Times New Roman"/>
          <w:b/>
          <w:color w:val="000000" w:themeColor="text1"/>
          <w:sz w:val="24"/>
          <w:szCs w:val="24"/>
          <w:lang w:val="ro-RO"/>
        </w:rPr>
        <w:t>Dan PERCIUN</w:t>
      </w:r>
    </w:p>
    <w:p w14:paraId="16AC2B30" w14:textId="77777777" w:rsidR="000A0F25" w:rsidRDefault="000A0F25" w:rsidP="00F22874">
      <w:pPr>
        <w:spacing w:after="0" w:line="276" w:lineRule="auto"/>
        <w:rPr>
          <w:rFonts w:ascii="Times New Roman" w:eastAsia="Calibri" w:hAnsi="Times New Roman" w:cs="Times New Roman"/>
          <w:sz w:val="24"/>
          <w:szCs w:val="24"/>
          <w:lang w:val="ro-RO"/>
        </w:rPr>
      </w:pPr>
    </w:p>
    <w:p w14:paraId="117E32B3" w14:textId="77777777" w:rsidR="00A16C4A" w:rsidRDefault="00A16C4A" w:rsidP="001E46A7">
      <w:pPr>
        <w:spacing w:after="0" w:line="276" w:lineRule="auto"/>
        <w:rPr>
          <w:rFonts w:ascii="Times New Roman" w:eastAsia="Calibri" w:hAnsi="Times New Roman" w:cs="Times New Roman"/>
          <w:sz w:val="20"/>
          <w:szCs w:val="20"/>
          <w:lang w:val="ro-RO"/>
        </w:rPr>
      </w:pPr>
    </w:p>
    <w:p w14:paraId="36F4B0F7" w14:textId="77777777" w:rsidR="00A16C4A" w:rsidRDefault="00A16C4A" w:rsidP="001E46A7">
      <w:pPr>
        <w:spacing w:after="0" w:line="276" w:lineRule="auto"/>
        <w:rPr>
          <w:rFonts w:ascii="Times New Roman" w:eastAsia="Calibri" w:hAnsi="Times New Roman" w:cs="Times New Roman"/>
          <w:sz w:val="20"/>
          <w:szCs w:val="20"/>
          <w:lang w:val="ro-RO"/>
        </w:rPr>
      </w:pPr>
    </w:p>
    <w:p w14:paraId="6435D1B0" w14:textId="77777777" w:rsidR="00A16C4A" w:rsidRDefault="00A16C4A" w:rsidP="001E46A7">
      <w:pPr>
        <w:spacing w:after="0" w:line="276" w:lineRule="auto"/>
        <w:rPr>
          <w:rFonts w:ascii="Times New Roman" w:eastAsia="Calibri" w:hAnsi="Times New Roman" w:cs="Times New Roman"/>
          <w:sz w:val="20"/>
          <w:szCs w:val="20"/>
          <w:lang w:val="ro-RO"/>
        </w:rPr>
      </w:pPr>
    </w:p>
    <w:p w14:paraId="2C03E510" w14:textId="77777777" w:rsidR="00B87A49" w:rsidRDefault="00B87A49" w:rsidP="001E46A7">
      <w:pPr>
        <w:spacing w:after="0" w:line="276" w:lineRule="auto"/>
        <w:rPr>
          <w:rFonts w:ascii="Times New Roman" w:eastAsia="Calibri" w:hAnsi="Times New Roman" w:cs="Times New Roman"/>
          <w:sz w:val="20"/>
          <w:szCs w:val="20"/>
          <w:lang w:val="ro-RO"/>
        </w:rPr>
      </w:pPr>
    </w:p>
    <w:p w14:paraId="7D014A26" w14:textId="77777777" w:rsidR="00B87A49" w:rsidRDefault="00B87A49" w:rsidP="001E46A7">
      <w:pPr>
        <w:spacing w:after="0" w:line="276" w:lineRule="auto"/>
        <w:rPr>
          <w:rFonts w:ascii="Times New Roman" w:eastAsia="Calibri" w:hAnsi="Times New Roman" w:cs="Times New Roman"/>
          <w:sz w:val="20"/>
          <w:szCs w:val="20"/>
          <w:lang w:val="ro-RO"/>
        </w:rPr>
      </w:pPr>
    </w:p>
    <w:p w14:paraId="4DD6C43F" w14:textId="77777777" w:rsidR="00A16C4A" w:rsidRDefault="00A16C4A" w:rsidP="001E46A7">
      <w:pPr>
        <w:spacing w:after="0" w:line="276" w:lineRule="auto"/>
        <w:rPr>
          <w:rFonts w:ascii="Times New Roman" w:eastAsia="Calibri" w:hAnsi="Times New Roman" w:cs="Times New Roman"/>
          <w:sz w:val="20"/>
          <w:szCs w:val="20"/>
          <w:lang w:val="ro-RO"/>
        </w:rPr>
      </w:pPr>
    </w:p>
    <w:p w14:paraId="603C4831" w14:textId="2B60426C" w:rsidR="000A0F25" w:rsidRPr="000A0F25" w:rsidRDefault="003D16E0" w:rsidP="001E46A7">
      <w:pPr>
        <w:spacing w:after="0" w:line="276" w:lineRule="auto"/>
        <w:rPr>
          <w:rFonts w:ascii="Times New Roman" w:eastAsia="Calibri" w:hAnsi="Times New Roman" w:cs="Times New Roman"/>
          <w:sz w:val="20"/>
          <w:szCs w:val="20"/>
          <w:lang w:val="ro-RO"/>
        </w:rPr>
      </w:pPr>
      <w:r w:rsidRPr="000A0F25">
        <w:rPr>
          <w:rFonts w:ascii="Times New Roman" w:eastAsia="Calibri" w:hAnsi="Times New Roman" w:cs="Times New Roman"/>
          <w:sz w:val="20"/>
          <w:szCs w:val="20"/>
          <w:lang w:val="ro-RO"/>
        </w:rPr>
        <w:t>Executant: Viorica Marț</w:t>
      </w:r>
      <w:r w:rsidR="001E46A7" w:rsidRPr="000A0F25">
        <w:rPr>
          <w:rFonts w:ascii="Times New Roman" w:eastAsia="Calibri" w:hAnsi="Times New Roman" w:cs="Times New Roman"/>
          <w:sz w:val="20"/>
          <w:szCs w:val="20"/>
          <w:lang w:val="ro-RO"/>
        </w:rPr>
        <w:t xml:space="preserve"> </w:t>
      </w:r>
    </w:p>
    <w:p w14:paraId="58D9FACC" w14:textId="5068D18F" w:rsidR="001D1A2C" w:rsidRPr="000A0F25" w:rsidRDefault="003D16E0" w:rsidP="001E46A7">
      <w:pPr>
        <w:spacing w:after="0" w:line="276" w:lineRule="auto"/>
        <w:rPr>
          <w:rFonts w:ascii="Times New Roman" w:eastAsia="Calibri" w:hAnsi="Times New Roman" w:cs="Times New Roman"/>
          <w:sz w:val="20"/>
          <w:szCs w:val="20"/>
          <w:lang w:val="ro-RO"/>
        </w:rPr>
      </w:pPr>
      <w:r w:rsidRPr="000A0F25">
        <w:rPr>
          <w:rFonts w:ascii="Times New Roman" w:eastAsia="Calibri" w:hAnsi="Times New Roman" w:cs="Times New Roman"/>
          <w:sz w:val="20"/>
          <w:szCs w:val="20"/>
          <w:lang w:val="ro-RO"/>
        </w:rPr>
        <w:sym w:font="Wingdings" w:char="F028"/>
      </w:r>
      <w:r w:rsidRPr="000A0F25">
        <w:rPr>
          <w:rFonts w:ascii="Times New Roman" w:eastAsia="Times New Roman" w:hAnsi="Times New Roman" w:cs="Times New Roman"/>
          <w:sz w:val="20"/>
          <w:szCs w:val="20"/>
          <w:lang w:val="ro-RO" w:eastAsia="ru-RU"/>
        </w:rPr>
        <w:t xml:space="preserve"> 022-233-897</w:t>
      </w:r>
    </w:p>
    <w:sectPr w:rsidR="001D1A2C" w:rsidRPr="000A0F25" w:rsidSect="000A0F25">
      <w:footerReference w:type="default" r:id="rId9"/>
      <w:pgSz w:w="11906" w:h="16838" w:code="9"/>
      <w:pgMar w:top="540" w:right="566" w:bottom="9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BE25B" w14:textId="77777777" w:rsidR="000F45AF" w:rsidRDefault="000F45AF" w:rsidP="009139A1">
      <w:pPr>
        <w:spacing w:after="0" w:line="240" w:lineRule="auto"/>
      </w:pPr>
      <w:r>
        <w:separator/>
      </w:r>
    </w:p>
  </w:endnote>
  <w:endnote w:type="continuationSeparator" w:id="0">
    <w:p w14:paraId="55D113F5" w14:textId="77777777" w:rsidR="000F45AF" w:rsidRDefault="000F45AF" w:rsidP="00913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84074" w14:textId="77777777" w:rsidR="009139A1" w:rsidRDefault="009139A1">
    <w:pPr>
      <w:pStyle w:val="Footer"/>
      <w:jc w:val="right"/>
    </w:pPr>
  </w:p>
  <w:p w14:paraId="668D9CA5" w14:textId="77777777" w:rsidR="009139A1" w:rsidRDefault="00913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C951F" w14:textId="77777777" w:rsidR="000F45AF" w:rsidRDefault="000F45AF" w:rsidP="009139A1">
      <w:pPr>
        <w:spacing w:after="0" w:line="240" w:lineRule="auto"/>
      </w:pPr>
      <w:r>
        <w:separator/>
      </w:r>
    </w:p>
  </w:footnote>
  <w:footnote w:type="continuationSeparator" w:id="0">
    <w:p w14:paraId="616AC78A" w14:textId="77777777" w:rsidR="000F45AF" w:rsidRDefault="000F45AF" w:rsidP="009139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8571D"/>
    <w:multiLevelType w:val="hybridMultilevel"/>
    <w:tmpl w:val="5DEA3CE6"/>
    <w:lvl w:ilvl="0" w:tplc="98E29B28">
      <w:start w:val="1"/>
      <w:numFmt w:val="decimal"/>
      <w:lvlText w:val="%1."/>
      <w:lvlJc w:val="left"/>
      <w:pPr>
        <w:ind w:left="134" w:hanging="365"/>
      </w:pPr>
      <w:rPr>
        <w:rFonts w:ascii="Times New Roman" w:eastAsia="Times New Roman" w:hAnsi="Times New Roman" w:hint="default"/>
        <w:b/>
        <w:bCs/>
        <w:spacing w:val="1"/>
        <w:sz w:val="28"/>
        <w:szCs w:val="28"/>
      </w:rPr>
    </w:lvl>
    <w:lvl w:ilvl="1" w:tplc="C952DC12">
      <w:start w:val="1"/>
      <w:numFmt w:val="bullet"/>
      <w:lvlText w:val="•"/>
      <w:lvlJc w:val="left"/>
      <w:pPr>
        <w:ind w:left="1060" w:hanging="365"/>
      </w:pPr>
      <w:rPr>
        <w:rFonts w:hint="default"/>
      </w:rPr>
    </w:lvl>
    <w:lvl w:ilvl="2" w:tplc="3FECA264">
      <w:start w:val="1"/>
      <w:numFmt w:val="bullet"/>
      <w:lvlText w:val="•"/>
      <w:lvlJc w:val="left"/>
      <w:pPr>
        <w:ind w:left="1985" w:hanging="365"/>
      </w:pPr>
      <w:rPr>
        <w:rFonts w:hint="default"/>
      </w:rPr>
    </w:lvl>
    <w:lvl w:ilvl="3" w:tplc="3D8ED378">
      <w:start w:val="1"/>
      <w:numFmt w:val="bullet"/>
      <w:lvlText w:val="•"/>
      <w:lvlJc w:val="left"/>
      <w:pPr>
        <w:ind w:left="2910" w:hanging="365"/>
      </w:pPr>
      <w:rPr>
        <w:rFonts w:hint="default"/>
      </w:rPr>
    </w:lvl>
    <w:lvl w:ilvl="4" w:tplc="58F4EAA6">
      <w:start w:val="1"/>
      <w:numFmt w:val="bullet"/>
      <w:lvlText w:val="•"/>
      <w:lvlJc w:val="left"/>
      <w:pPr>
        <w:ind w:left="3835" w:hanging="365"/>
      </w:pPr>
      <w:rPr>
        <w:rFonts w:hint="default"/>
      </w:rPr>
    </w:lvl>
    <w:lvl w:ilvl="5" w:tplc="A52C26D8">
      <w:start w:val="1"/>
      <w:numFmt w:val="bullet"/>
      <w:lvlText w:val="•"/>
      <w:lvlJc w:val="left"/>
      <w:pPr>
        <w:ind w:left="4760" w:hanging="365"/>
      </w:pPr>
      <w:rPr>
        <w:rFonts w:hint="default"/>
      </w:rPr>
    </w:lvl>
    <w:lvl w:ilvl="6" w:tplc="A932927E">
      <w:start w:val="1"/>
      <w:numFmt w:val="bullet"/>
      <w:lvlText w:val="•"/>
      <w:lvlJc w:val="left"/>
      <w:pPr>
        <w:ind w:left="5685" w:hanging="365"/>
      </w:pPr>
      <w:rPr>
        <w:rFonts w:hint="default"/>
      </w:rPr>
    </w:lvl>
    <w:lvl w:ilvl="7" w:tplc="6F989128">
      <w:start w:val="1"/>
      <w:numFmt w:val="bullet"/>
      <w:lvlText w:val="•"/>
      <w:lvlJc w:val="left"/>
      <w:pPr>
        <w:ind w:left="6610" w:hanging="365"/>
      </w:pPr>
      <w:rPr>
        <w:rFonts w:hint="default"/>
      </w:rPr>
    </w:lvl>
    <w:lvl w:ilvl="8" w:tplc="2126F052">
      <w:start w:val="1"/>
      <w:numFmt w:val="bullet"/>
      <w:lvlText w:val="•"/>
      <w:lvlJc w:val="left"/>
      <w:pPr>
        <w:ind w:left="7536" w:hanging="365"/>
      </w:pPr>
      <w:rPr>
        <w:rFonts w:hint="default"/>
      </w:rPr>
    </w:lvl>
  </w:abstractNum>
  <w:abstractNum w:abstractNumId="1" w15:restartNumberingAfterBreak="0">
    <w:nsid w:val="14D3201E"/>
    <w:multiLevelType w:val="hybridMultilevel"/>
    <w:tmpl w:val="A8B47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D440BF"/>
    <w:multiLevelType w:val="hybridMultilevel"/>
    <w:tmpl w:val="57A27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C54595"/>
    <w:multiLevelType w:val="hybridMultilevel"/>
    <w:tmpl w:val="412EF6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7484A55"/>
    <w:multiLevelType w:val="hybridMultilevel"/>
    <w:tmpl w:val="AA3EA338"/>
    <w:lvl w:ilvl="0" w:tplc="B2CE0F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56444E"/>
    <w:multiLevelType w:val="hybridMultilevel"/>
    <w:tmpl w:val="1EE8FA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977"/>
    <w:rsid w:val="00000D08"/>
    <w:rsid w:val="00005ABD"/>
    <w:rsid w:val="0002060C"/>
    <w:rsid w:val="00021EC8"/>
    <w:rsid w:val="00022C40"/>
    <w:rsid w:val="00025894"/>
    <w:rsid w:val="00025B2C"/>
    <w:rsid w:val="0003155F"/>
    <w:rsid w:val="00035FAE"/>
    <w:rsid w:val="000456C6"/>
    <w:rsid w:val="000471EA"/>
    <w:rsid w:val="00050127"/>
    <w:rsid w:val="00077E39"/>
    <w:rsid w:val="000A0F25"/>
    <w:rsid w:val="000A2453"/>
    <w:rsid w:val="000A3872"/>
    <w:rsid w:val="000D05CA"/>
    <w:rsid w:val="000D612E"/>
    <w:rsid w:val="000E186A"/>
    <w:rsid w:val="000E41A3"/>
    <w:rsid w:val="000E7F0D"/>
    <w:rsid w:val="000F45AF"/>
    <w:rsid w:val="000F79F7"/>
    <w:rsid w:val="001011EA"/>
    <w:rsid w:val="00105121"/>
    <w:rsid w:val="00107C27"/>
    <w:rsid w:val="00110AAC"/>
    <w:rsid w:val="00114F11"/>
    <w:rsid w:val="0011736A"/>
    <w:rsid w:val="001232D9"/>
    <w:rsid w:val="00123607"/>
    <w:rsid w:val="001239D3"/>
    <w:rsid w:val="00125E8F"/>
    <w:rsid w:val="00132EEC"/>
    <w:rsid w:val="0013332C"/>
    <w:rsid w:val="00133A5A"/>
    <w:rsid w:val="00136656"/>
    <w:rsid w:val="0014554B"/>
    <w:rsid w:val="00155E34"/>
    <w:rsid w:val="00160416"/>
    <w:rsid w:val="001622D3"/>
    <w:rsid w:val="001727D3"/>
    <w:rsid w:val="00176412"/>
    <w:rsid w:val="00196ED0"/>
    <w:rsid w:val="001A7A07"/>
    <w:rsid w:val="001C45EC"/>
    <w:rsid w:val="001D1A2C"/>
    <w:rsid w:val="001D2277"/>
    <w:rsid w:val="001D2491"/>
    <w:rsid w:val="001E2ECD"/>
    <w:rsid w:val="001E46A7"/>
    <w:rsid w:val="001E72A9"/>
    <w:rsid w:val="0020403C"/>
    <w:rsid w:val="00211ABB"/>
    <w:rsid w:val="00213A42"/>
    <w:rsid w:val="00224E9E"/>
    <w:rsid w:val="00226E3E"/>
    <w:rsid w:val="0024232A"/>
    <w:rsid w:val="00263F23"/>
    <w:rsid w:val="002657AF"/>
    <w:rsid w:val="002773D2"/>
    <w:rsid w:val="00284C74"/>
    <w:rsid w:val="00285AB6"/>
    <w:rsid w:val="00286D8A"/>
    <w:rsid w:val="002A4944"/>
    <w:rsid w:val="002B2CC0"/>
    <w:rsid w:val="002C4B8A"/>
    <w:rsid w:val="002C7CFD"/>
    <w:rsid w:val="002D217D"/>
    <w:rsid w:val="002E08DE"/>
    <w:rsid w:val="002E3DCA"/>
    <w:rsid w:val="002F1D27"/>
    <w:rsid w:val="002F4D6E"/>
    <w:rsid w:val="002F7EAC"/>
    <w:rsid w:val="0030150D"/>
    <w:rsid w:val="00312841"/>
    <w:rsid w:val="00320339"/>
    <w:rsid w:val="003232CE"/>
    <w:rsid w:val="0034421F"/>
    <w:rsid w:val="00345E5E"/>
    <w:rsid w:val="00352F29"/>
    <w:rsid w:val="003575BD"/>
    <w:rsid w:val="00357B05"/>
    <w:rsid w:val="00366EDA"/>
    <w:rsid w:val="00371792"/>
    <w:rsid w:val="00380EBC"/>
    <w:rsid w:val="00382910"/>
    <w:rsid w:val="003914EE"/>
    <w:rsid w:val="003A1C6A"/>
    <w:rsid w:val="003A2B5D"/>
    <w:rsid w:val="003A539E"/>
    <w:rsid w:val="003B77C3"/>
    <w:rsid w:val="003D044E"/>
    <w:rsid w:val="003D16E0"/>
    <w:rsid w:val="003D34AA"/>
    <w:rsid w:val="003D7B6A"/>
    <w:rsid w:val="003E292E"/>
    <w:rsid w:val="003E5BEB"/>
    <w:rsid w:val="003E6CB7"/>
    <w:rsid w:val="003F7406"/>
    <w:rsid w:val="00401EE2"/>
    <w:rsid w:val="00410F08"/>
    <w:rsid w:val="00411F9F"/>
    <w:rsid w:val="00412AF9"/>
    <w:rsid w:val="00414277"/>
    <w:rsid w:val="0041482D"/>
    <w:rsid w:val="004207A4"/>
    <w:rsid w:val="00451A97"/>
    <w:rsid w:val="004543A5"/>
    <w:rsid w:val="00456DAE"/>
    <w:rsid w:val="0046236E"/>
    <w:rsid w:val="00471126"/>
    <w:rsid w:val="004726B7"/>
    <w:rsid w:val="004855E8"/>
    <w:rsid w:val="00490D36"/>
    <w:rsid w:val="004A7253"/>
    <w:rsid w:val="004B2B7F"/>
    <w:rsid w:val="004B3125"/>
    <w:rsid w:val="004B51E3"/>
    <w:rsid w:val="004B52DD"/>
    <w:rsid w:val="004C20E6"/>
    <w:rsid w:val="004C37F9"/>
    <w:rsid w:val="004D1B32"/>
    <w:rsid w:val="004D23F1"/>
    <w:rsid w:val="004D3388"/>
    <w:rsid w:val="004E572E"/>
    <w:rsid w:val="004E6721"/>
    <w:rsid w:val="004F131E"/>
    <w:rsid w:val="005001D4"/>
    <w:rsid w:val="00512467"/>
    <w:rsid w:val="00517760"/>
    <w:rsid w:val="00522DC1"/>
    <w:rsid w:val="00535966"/>
    <w:rsid w:val="0054032F"/>
    <w:rsid w:val="005409CC"/>
    <w:rsid w:val="00562191"/>
    <w:rsid w:val="0056548B"/>
    <w:rsid w:val="00580777"/>
    <w:rsid w:val="00583EA1"/>
    <w:rsid w:val="005A6977"/>
    <w:rsid w:val="005B215D"/>
    <w:rsid w:val="005C3D40"/>
    <w:rsid w:val="005D5494"/>
    <w:rsid w:val="005E2403"/>
    <w:rsid w:val="005E6792"/>
    <w:rsid w:val="005F3B97"/>
    <w:rsid w:val="005F5B45"/>
    <w:rsid w:val="00600A1D"/>
    <w:rsid w:val="00601A4C"/>
    <w:rsid w:val="006073A4"/>
    <w:rsid w:val="006146BA"/>
    <w:rsid w:val="006163DA"/>
    <w:rsid w:val="00621FC5"/>
    <w:rsid w:val="006252E0"/>
    <w:rsid w:val="0062571E"/>
    <w:rsid w:val="00626741"/>
    <w:rsid w:val="00646F55"/>
    <w:rsid w:val="00656313"/>
    <w:rsid w:val="0066722F"/>
    <w:rsid w:val="0067388C"/>
    <w:rsid w:val="00675AE9"/>
    <w:rsid w:val="0068133C"/>
    <w:rsid w:val="00687323"/>
    <w:rsid w:val="006A5BFC"/>
    <w:rsid w:val="006B110B"/>
    <w:rsid w:val="006B195A"/>
    <w:rsid w:val="006B6FD1"/>
    <w:rsid w:val="006D40F8"/>
    <w:rsid w:val="006E59D2"/>
    <w:rsid w:val="006E6C81"/>
    <w:rsid w:val="006F601E"/>
    <w:rsid w:val="0071348F"/>
    <w:rsid w:val="007134A3"/>
    <w:rsid w:val="0072019C"/>
    <w:rsid w:val="00740D39"/>
    <w:rsid w:val="00740EC6"/>
    <w:rsid w:val="007421F0"/>
    <w:rsid w:val="007519F1"/>
    <w:rsid w:val="00753490"/>
    <w:rsid w:val="00753595"/>
    <w:rsid w:val="007554CD"/>
    <w:rsid w:val="00760219"/>
    <w:rsid w:val="0076025C"/>
    <w:rsid w:val="00764316"/>
    <w:rsid w:val="007669D5"/>
    <w:rsid w:val="00784F36"/>
    <w:rsid w:val="00785432"/>
    <w:rsid w:val="00785755"/>
    <w:rsid w:val="0079186D"/>
    <w:rsid w:val="0079279F"/>
    <w:rsid w:val="007956D5"/>
    <w:rsid w:val="007A0F42"/>
    <w:rsid w:val="007D1514"/>
    <w:rsid w:val="007F32D8"/>
    <w:rsid w:val="007F4A72"/>
    <w:rsid w:val="00801D21"/>
    <w:rsid w:val="008166D5"/>
    <w:rsid w:val="00834A40"/>
    <w:rsid w:val="00836438"/>
    <w:rsid w:val="00855940"/>
    <w:rsid w:val="00860F83"/>
    <w:rsid w:val="008626EE"/>
    <w:rsid w:val="00864EC3"/>
    <w:rsid w:val="00865655"/>
    <w:rsid w:val="008660C1"/>
    <w:rsid w:val="00866FAE"/>
    <w:rsid w:val="00874D9B"/>
    <w:rsid w:val="00884B4C"/>
    <w:rsid w:val="00885DAD"/>
    <w:rsid w:val="00885F88"/>
    <w:rsid w:val="00892F89"/>
    <w:rsid w:val="0089559E"/>
    <w:rsid w:val="008A4B05"/>
    <w:rsid w:val="008A5902"/>
    <w:rsid w:val="008B2A29"/>
    <w:rsid w:val="008B2A84"/>
    <w:rsid w:val="008B2D82"/>
    <w:rsid w:val="008C1F30"/>
    <w:rsid w:val="008D75E6"/>
    <w:rsid w:val="008E56AB"/>
    <w:rsid w:val="008F3FAE"/>
    <w:rsid w:val="0090373E"/>
    <w:rsid w:val="00910C3F"/>
    <w:rsid w:val="009139A1"/>
    <w:rsid w:val="009223DD"/>
    <w:rsid w:val="00924E29"/>
    <w:rsid w:val="009272D3"/>
    <w:rsid w:val="00930282"/>
    <w:rsid w:val="00942F3C"/>
    <w:rsid w:val="00944330"/>
    <w:rsid w:val="00951BFD"/>
    <w:rsid w:val="009545B3"/>
    <w:rsid w:val="00956471"/>
    <w:rsid w:val="0096077D"/>
    <w:rsid w:val="00964E73"/>
    <w:rsid w:val="00972644"/>
    <w:rsid w:val="009829EA"/>
    <w:rsid w:val="00983422"/>
    <w:rsid w:val="00985306"/>
    <w:rsid w:val="0099364C"/>
    <w:rsid w:val="00993957"/>
    <w:rsid w:val="009A0DFA"/>
    <w:rsid w:val="009A6802"/>
    <w:rsid w:val="009B0E8F"/>
    <w:rsid w:val="009D2116"/>
    <w:rsid w:val="009E0171"/>
    <w:rsid w:val="009F238F"/>
    <w:rsid w:val="009F271B"/>
    <w:rsid w:val="00A02539"/>
    <w:rsid w:val="00A045A6"/>
    <w:rsid w:val="00A04CED"/>
    <w:rsid w:val="00A0637F"/>
    <w:rsid w:val="00A06896"/>
    <w:rsid w:val="00A161C2"/>
    <w:rsid w:val="00A16C4A"/>
    <w:rsid w:val="00A20198"/>
    <w:rsid w:val="00A2190A"/>
    <w:rsid w:val="00A257EF"/>
    <w:rsid w:val="00A332AF"/>
    <w:rsid w:val="00A34618"/>
    <w:rsid w:val="00A36EB1"/>
    <w:rsid w:val="00A37DE6"/>
    <w:rsid w:val="00A40967"/>
    <w:rsid w:val="00A43EEC"/>
    <w:rsid w:val="00A6000F"/>
    <w:rsid w:val="00A61877"/>
    <w:rsid w:val="00A66131"/>
    <w:rsid w:val="00A6677E"/>
    <w:rsid w:val="00A7202F"/>
    <w:rsid w:val="00A76841"/>
    <w:rsid w:val="00A76AC3"/>
    <w:rsid w:val="00A80870"/>
    <w:rsid w:val="00A86E22"/>
    <w:rsid w:val="00A878E3"/>
    <w:rsid w:val="00A94E35"/>
    <w:rsid w:val="00AA477C"/>
    <w:rsid w:val="00AB3DCC"/>
    <w:rsid w:val="00AC1A88"/>
    <w:rsid w:val="00AD2C2A"/>
    <w:rsid w:val="00AE294C"/>
    <w:rsid w:val="00AE4657"/>
    <w:rsid w:val="00AF3D2F"/>
    <w:rsid w:val="00B010CC"/>
    <w:rsid w:val="00B13853"/>
    <w:rsid w:val="00B14D17"/>
    <w:rsid w:val="00B2200A"/>
    <w:rsid w:val="00B22734"/>
    <w:rsid w:val="00B301FA"/>
    <w:rsid w:val="00B31967"/>
    <w:rsid w:val="00B3326F"/>
    <w:rsid w:val="00B359F7"/>
    <w:rsid w:val="00B47CF3"/>
    <w:rsid w:val="00B52CFF"/>
    <w:rsid w:val="00B82094"/>
    <w:rsid w:val="00B83A0C"/>
    <w:rsid w:val="00B85396"/>
    <w:rsid w:val="00B87A49"/>
    <w:rsid w:val="00B92B52"/>
    <w:rsid w:val="00B97BC0"/>
    <w:rsid w:val="00BB0B72"/>
    <w:rsid w:val="00BB0D73"/>
    <w:rsid w:val="00BB363C"/>
    <w:rsid w:val="00BC65EC"/>
    <w:rsid w:val="00BC7BF3"/>
    <w:rsid w:val="00BE41DB"/>
    <w:rsid w:val="00BE67D8"/>
    <w:rsid w:val="00C1256D"/>
    <w:rsid w:val="00C15397"/>
    <w:rsid w:val="00C21A46"/>
    <w:rsid w:val="00C3592D"/>
    <w:rsid w:val="00C43DF3"/>
    <w:rsid w:val="00C467A5"/>
    <w:rsid w:val="00C46B25"/>
    <w:rsid w:val="00C552B3"/>
    <w:rsid w:val="00C64714"/>
    <w:rsid w:val="00C652A5"/>
    <w:rsid w:val="00C659AB"/>
    <w:rsid w:val="00C77F89"/>
    <w:rsid w:val="00C816BF"/>
    <w:rsid w:val="00C828A2"/>
    <w:rsid w:val="00C82E82"/>
    <w:rsid w:val="00C84ADC"/>
    <w:rsid w:val="00C8790D"/>
    <w:rsid w:val="00C911F2"/>
    <w:rsid w:val="00C954D8"/>
    <w:rsid w:val="00C95833"/>
    <w:rsid w:val="00C96568"/>
    <w:rsid w:val="00CB502C"/>
    <w:rsid w:val="00CC0383"/>
    <w:rsid w:val="00CC3EFF"/>
    <w:rsid w:val="00CC5248"/>
    <w:rsid w:val="00CC7524"/>
    <w:rsid w:val="00CD796F"/>
    <w:rsid w:val="00CE0D5E"/>
    <w:rsid w:val="00CE1AD4"/>
    <w:rsid w:val="00CE24F1"/>
    <w:rsid w:val="00CE660D"/>
    <w:rsid w:val="00CF35CE"/>
    <w:rsid w:val="00CF6C96"/>
    <w:rsid w:val="00D02EB6"/>
    <w:rsid w:val="00D1770B"/>
    <w:rsid w:val="00D1773E"/>
    <w:rsid w:val="00D3009F"/>
    <w:rsid w:val="00D341B6"/>
    <w:rsid w:val="00D36043"/>
    <w:rsid w:val="00D65BDC"/>
    <w:rsid w:val="00D707D9"/>
    <w:rsid w:val="00D71D44"/>
    <w:rsid w:val="00D72373"/>
    <w:rsid w:val="00D74085"/>
    <w:rsid w:val="00D741F3"/>
    <w:rsid w:val="00DA0DAA"/>
    <w:rsid w:val="00DA7327"/>
    <w:rsid w:val="00DA755E"/>
    <w:rsid w:val="00DB1872"/>
    <w:rsid w:val="00DC1184"/>
    <w:rsid w:val="00DC1359"/>
    <w:rsid w:val="00DD741E"/>
    <w:rsid w:val="00DE28B9"/>
    <w:rsid w:val="00DE7F80"/>
    <w:rsid w:val="00DF3387"/>
    <w:rsid w:val="00DF5F5E"/>
    <w:rsid w:val="00E17016"/>
    <w:rsid w:val="00E21397"/>
    <w:rsid w:val="00E226D8"/>
    <w:rsid w:val="00E3309B"/>
    <w:rsid w:val="00E35209"/>
    <w:rsid w:val="00E36A93"/>
    <w:rsid w:val="00E505F5"/>
    <w:rsid w:val="00E53469"/>
    <w:rsid w:val="00E60755"/>
    <w:rsid w:val="00E63660"/>
    <w:rsid w:val="00EB77AD"/>
    <w:rsid w:val="00EC4A34"/>
    <w:rsid w:val="00EC557F"/>
    <w:rsid w:val="00EC75B5"/>
    <w:rsid w:val="00ED67B2"/>
    <w:rsid w:val="00F0552C"/>
    <w:rsid w:val="00F059C4"/>
    <w:rsid w:val="00F0614B"/>
    <w:rsid w:val="00F16D23"/>
    <w:rsid w:val="00F21CB5"/>
    <w:rsid w:val="00F22874"/>
    <w:rsid w:val="00F22B34"/>
    <w:rsid w:val="00F261B3"/>
    <w:rsid w:val="00F27F6D"/>
    <w:rsid w:val="00F329B9"/>
    <w:rsid w:val="00F32D8A"/>
    <w:rsid w:val="00F344A0"/>
    <w:rsid w:val="00F4285E"/>
    <w:rsid w:val="00F44BB2"/>
    <w:rsid w:val="00F77111"/>
    <w:rsid w:val="00F810B7"/>
    <w:rsid w:val="00F81270"/>
    <w:rsid w:val="00F81E01"/>
    <w:rsid w:val="00F83D3C"/>
    <w:rsid w:val="00F91FDD"/>
    <w:rsid w:val="00F95A52"/>
    <w:rsid w:val="00FA0274"/>
    <w:rsid w:val="00FA46D3"/>
    <w:rsid w:val="00FA6303"/>
    <w:rsid w:val="00FB1690"/>
    <w:rsid w:val="00FB405B"/>
    <w:rsid w:val="00FB66F8"/>
    <w:rsid w:val="00FC3373"/>
    <w:rsid w:val="00FC3B9B"/>
    <w:rsid w:val="00FC5173"/>
    <w:rsid w:val="00FD19CE"/>
    <w:rsid w:val="00FD34E4"/>
    <w:rsid w:val="00FE1426"/>
    <w:rsid w:val="00FE36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A0B4"/>
  <w15:docId w15:val="{C693B965-4D46-411A-B444-EA20E4A3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o-RO"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977"/>
    <w:pPr>
      <w:jc w:val="left"/>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977"/>
    <w:pPr>
      <w:spacing w:after="0" w:line="240" w:lineRule="auto"/>
      <w:jc w:val="left"/>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List Paragraph1,Абзац списка1,List Paragraph11,Абзац списка2"/>
    <w:basedOn w:val="Normal"/>
    <w:link w:val="ListParagraphChar"/>
    <w:uiPriority w:val="34"/>
    <w:qFormat/>
    <w:rsid w:val="005A6977"/>
    <w:pPr>
      <w:ind w:left="720"/>
      <w:contextualSpacing/>
    </w:pPr>
  </w:style>
  <w:style w:type="paragraph" w:customStyle="1" w:styleId="Default">
    <w:name w:val="Default"/>
    <w:rsid w:val="005A6977"/>
    <w:pPr>
      <w:autoSpaceDE w:val="0"/>
      <w:autoSpaceDN w:val="0"/>
      <w:adjustRightInd w:val="0"/>
      <w:spacing w:after="0" w:line="240" w:lineRule="auto"/>
      <w:jc w:val="left"/>
    </w:pPr>
    <w:rPr>
      <w:color w:val="000000"/>
      <w:lang w:val="ru-RU"/>
    </w:rPr>
  </w:style>
  <w:style w:type="character" w:customStyle="1" w:styleId="ListParagraphChar">
    <w:name w:val="List Paragraph Char"/>
    <w:aliases w:val="List Paragraph 1 Char,List Paragraph1 Char,Абзац списка1 Char,List Paragraph11 Char,Абзац списка2 Char"/>
    <w:basedOn w:val="DefaultParagraphFont"/>
    <w:link w:val="ListParagraph"/>
    <w:uiPriority w:val="34"/>
    <w:locked/>
    <w:rsid w:val="005A6977"/>
    <w:rPr>
      <w:rFonts w:asciiTheme="minorHAnsi" w:hAnsiTheme="minorHAnsi" w:cstheme="minorBidi"/>
      <w:sz w:val="22"/>
      <w:szCs w:val="22"/>
      <w:lang w:val="en-US"/>
    </w:rPr>
  </w:style>
  <w:style w:type="paragraph" w:styleId="BalloonText">
    <w:name w:val="Balloon Text"/>
    <w:basedOn w:val="Normal"/>
    <w:link w:val="BalloonTextChar"/>
    <w:uiPriority w:val="99"/>
    <w:semiHidden/>
    <w:unhideWhenUsed/>
    <w:rsid w:val="00C91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1F2"/>
    <w:rPr>
      <w:rFonts w:ascii="Segoe UI" w:hAnsi="Segoe UI" w:cs="Segoe UI"/>
      <w:sz w:val="18"/>
      <w:szCs w:val="18"/>
      <w:lang w:val="en-US"/>
    </w:rPr>
  </w:style>
  <w:style w:type="paragraph" w:styleId="Header">
    <w:name w:val="header"/>
    <w:basedOn w:val="Normal"/>
    <w:link w:val="HeaderChar"/>
    <w:uiPriority w:val="99"/>
    <w:unhideWhenUsed/>
    <w:rsid w:val="009139A1"/>
    <w:pPr>
      <w:tabs>
        <w:tab w:val="center" w:pos="4677"/>
        <w:tab w:val="right" w:pos="9355"/>
      </w:tabs>
      <w:spacing w:after="0" w:line="240" w:lineRule="auto"/>
    </w:pPr>
  </w:style>
  <w:style w:type="character" w:customStyle="1" w:styleId="HeaderChar">
    <w:name w:val="Header Char"/>
    <w:basedOn w:val="DefaultParagraphFont"/>
    <w:link w:val="Header"/>
    <w:uiPriority w:val="99"/>
    <w:rsid w:val="009139A1"/>
    <w:rPr>
      <w:rFonts w:asciiTheme="minorHAnsi" w:hAnsiTheme="minorHAnsi" w:cstheme="minorBidi"/>
      <w:sz w:val="22"/>
      <w:szCs w:val="22"/>
      <w:lang w:val="en-US"/>
    </w:rPr>
  </w:style>
  <w:style w:type="paragraph" w:styleId="Footer">
    <w:name w:val="footer"/>
    <w:basedOn w:val="Normal"/>
    <w:link w:val="FooterChar"/>
    <w:uiPriority w:val="99"/>
    <w:unhideWhenUsed/>
    <w:rsid w:val="009139A1"/>
    <w:pPr>
      <w:tabs>
        <w:tab w:val="center" w:pos="4677"/>
        <w:tab w:val="right" w:pos="9355"/>
      </w:tabs>
      <w:spacing w:after="0" w:line="240" w:lineRule="auto"/>
    </w:pPr>
  </w:style>
  <w:style w:type="character" w:customStyle="1" w:styleId="FooterChar">
    <w:name w:val="Footer Char"/>
    <w:basedOn w:val="DefaultParagraphFont"/>
    <w:link w:val="Footer"/>
    <w:uiPriority w:val="99"/>
    <w:rsid w:val="009139A1"/>
    <w:rPr>
      <w:rFonts w:asciiTheme="minorHAnsi" w:hAnsiTheme="minorHAnsi" w:cstheme="minorBidi"/>
      <w:sz w:val="22"/>
      <w:szCs w:val="22"/>
      <w:lang w:val="en-US"/>
    </w:rPr>
  </w:style>
  <w:style w:type="character" w:styleId="Hyperlink">
    <w:name w:val="Hyperlink"/>
    <w:basedOn w:val="DefaultParagraphFont"/>
    <w:uiPriority w:val="99"/>
    <w:unhideWhenUsed/>
    <w:rsid w:val="00F810B7"/>
    <w:rPr>
      <w:color w:val="0563C1" w:themeColor="hyperlink"/>
      <w:u w:val="single"/>
    </w:rPr>
  </w:style>
  <w:style w:type="paragraph" w:styleId="BodyText">
    <w:name w:val="Body Text"/>
    <w:basedOn w:val="Normal"/>
    <w:link w:val="BodyTextChar"/>
    <w:uiPriority w:val="1"/>
    <w:qFormat/>
    <w:rsid w:val="004B52DD"/>
    <w:pPr>
      <w:widowControl w:val="0"/>
      <w:spacing w:after="0" w:line="240" w:lineRule="auto"/>
      <w:ind w:left="842"/>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4B52DD"/>
    <w:rPr>
      <w:rFonts w:eastAsia="Times New Roman" w:cstheme="minorBidi"/>
      <w:sz w:val="28"/>
      <w:szCs w:val="28"/>
      <w:lang w:val="en-US"/>
    </w:rPr>
  </w:style>
  <w:style w:type="character" w:styleId="FootnoteReference">
    <w:name w:val="footnote reference"/>
    <w:basedOn w:val="DefaultParagraphFont"/>
    <w:uiPriority w:val="99"/>
    <w:unhideWhenUsed/>
    <w:rsid w:val="003A539E"/>
    <w:rPr>
      <w:vertAlign w:val="superscript"/>
    </w:rPr>
  </w:style>
  <w:style w:type="character" w:styleId="Emphasis">
    <w:name w:val="Emphasis"/>
    <w:qFormat/>
    <w:rsid w:val="00A257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22754">
      <w:bodyDiv w:val="1"/>
      <w:marLeft w:val="0"/>
      <w:marRight w:val="0"/>
      <w:marTop w:val="0"/>
      <w:marBottom w:val="0"/>
      <w:divBdr>
        <w:top w:val="none" w:sz="0" w:space="0" w:color="auto"/>
        <w:left w:val="none" w:sz="0" w:space="0" w:color="auto"/>
        <w:bottom w:val="none" w:sz="0" w:space="0" w:color="auto"/>
        <w:right w:val="none" w:sz="0" w:space="0" w:color="auto"/>
      </w:divBdr>
    </w:div>
    <w:div w:id="298148922">
      <w:bodyDiv w:val="1"/>
      <w:marLeft w:val="0"/>
      <w:marRight w:val="0"/>
      <w:marTop w:val="0"/>
      <w:marBottom w:val="0"/>
      <w:divBdr>
        <w:top w:val="none" w:sz="0" w:space="0" w:color="auto"/>
        <w:left w:val="none" w:sz="0" w:space="0" w:color="auto"/>
        <w:bottom w:val="none" w:sz="0" w:space="0" w:color="auto"/>
        <w:right w:val="none" w:sz="0" w:space="0" w:color="auto"/>
      </w:divBdr>
      <w:divsChild>
        <w:div w:id="988873096">
          <w:marLeft w:val="0"/>
          <w:marRight w:val="0"/>
          <w:marTop w:val="0"/>
          <w:marBottom w:val="0"/>
          <w:divBdr>
            <w:top w:val="none" w:sz="0" w:space="0" w:color="auto"/>
            <w:left w:val="none" w:sz="0" w:space="0" w:color="auto"/>
            <w:bottom w:val="none" w:sz="0" w:space="0" w:color="auto"/>
            <w:right w:val="none" w:sz="0" w:space="0" w:color="auto"/>
          </w:divBdr>
        </w:div>
        <w:div w:id="1320039394">
          <w:marLeft w:val="0"/>
          <w:marRight w:val="0"/>
          <w:marTop w:val="0"/>
          <w:marBottom w:val="0"/>
          <w:divBdr>
            <w:top w:val="none" w:sz="0" w:space="0" w:color="auto"/>
            <w:left w:val="none" w:sz="0" w:space="0" w:color="auto"/>
            <w:bottom w:val="none" w:sz="0" w:space="0" w:color="auto"/>
            <w:right w:val="none" w:sz="0" w:space="0" w:color="auto"/>
          </w:divBdr>
        </w:div>
        <w:div w:id="1983579403">
          <w:marLeft w:val="0"/>
          <w:marRight w:val="0"/>
          <w:marTop w:val="0"/>
          <w:marBottom w:val="0"/>
          <w:divBdr>
            <w:top w:val="none" w:sz="0" w:space="0" w:color="auto"/>
            <w:left w:val="none" w:sz="0" w:space="0" w:color="auto"/>
            <w:bottom w:val="none" w:sz="0" w:space="0" w:color="auto"/>
            <w:right w:val="none" w:sz="0" w:space="0" w:color="auto"/>
          </w:divBdr>
        </w:div>
        <w:div w:id="1904027885">
          <w:marLeft w:val="0"/>
          <w:marRight w:val="0"/>
          <w:marTop w:val="0"/>
          <w:marBottom w:val="0"/>
          <w:divBdr>
            <w:top w:val="none" w:sz="0" w:space="0" w:color="auto"/>
            <w:left w:val="none" w:sz="0" w:space="0" w:color="auto"/>
            <w:bottom w:val="none" w:sz="0" w:space="0" w:color="auto"/>
            <w:right w:val="none" w:sz="0" w:space="0" w:color="auto"/>
          </w:divBdr>
        </w:div>
      </w:divsChild>
    </w:div>
    <w:div w:id="350299707">
      <w:bodyDiv w:val="1"/>
      <w:marLeft w:val="0"/>
      <w:marRight w:val="0"/>
      <w:marTop w:val="0"/>
      <w:marBottom w:val="0"/>
      <w:divBdr>
        <w:top w:val="none" w:sz="0" w:space="0" w:color="auto"/>
        <w:left w:val="none" w:sz="0" w:space="0" w:color="auto"/>
        <w:bottom w:val="none" w:sz="0" w:space="0" w:color="auto"/>
        <w:right w:val="none" w:sz="0" w:space="0" w:color="auto"/>
      </w:divBdr>
      <w:divsChild>
        <w:div w:id="505100361">
          <w:marLeft w:val="0"/>
          <w:marRight w:val="0"/>
          <w:marTop w:val="0"/>
          <w:marBottom w:val="0"/>
          <w:divBdr>
            <w:top w:val="none" w:sz="0" w:space="0" w:color="auto"/>
            <w:left w:val="none" w:sz="0" w:space="0" w:color="auto"/>
            <w:bottom w:val="none" w:sz="0" w:space="0" w:color="auto"/>
            <w:right w:val="none" w:sz="0" w:space="0" w:color="auto"/>
          </w:divBdr>
        </w:div>
        <w:div w:id="1682589384">
          <w:marLeft w:val="0"/>
          <w:marRight w:val="0"/>
          <w:marTop w:val="0"/>
          <w:marBottom w:val="0"/>
          <w:divBdr>
            <w:top w:val="none" w:sz="0" w:space="0" w:color="auto"/>
            <w:left w:val="none" w:sz="0" w:space="0" w:color="auto"/>
            <w:bottom w:val="none" w:sz="0" w:space="0" w:color="auto"/>
            <w:right w:val="none" w:sz="0" w:space="0" w:color="auto"/>
          </w:divBdr>
        </w:div>
        <w:div w:id="2006935033">
          <w:marLeft w:val="0"/>
          <w:marRight w:val="0"/>
          <w:marTop w:val="0"/>
          <w:marBottom w:val="0"/>
          <w:divBdr>
            <w:top w:val="none" w:sz="0" w:space="0" w:color="auto"/>
            <w:left w:val="none" w:sz="0" w:space="0" w:color="auto"/>
            <w:bottom w:val="none" w:sz="0" w:space="0" w:color="auto"/>
            <w:right w:val="none" w:sz="0" w:space="0" w:color="auto"/>
          </w:divBdr>
        </w:div>
      </w:divsChild>
    </w:div>
    <w:div w:id="400255587">
      <w:bodyDiv w:val="1"/>
      <w:marLeft w:val="0"/>
      <w:marRight w:val="0"/>
      <w:marTop w:val="0"/>
      <w:marBottom w:val="0"/>
      <w:divBdr>
        <w:top w:val="none" w:sz="0" w:space="0" w:color="auto"/>
        <w:left w:val="none" w:sz="0" w:space="0" w:color="auto"/>
        <w:bottom w:val="none" w:sz="0" w:space="0" w:color="auto"/>
        <w:right w:val="none" w:sz="0" w:space="0" w:color="auto"/>
      </w:divBdr>
    </w:div>
    <w:div w:id="1418016420">
      <w:bodyDiv w:val="1"/>
      <w:marLeft w:val="0"/>
      <w:marRight w:val="0"/>
      <w:marTop w:val="0"/>
      <w:marBottom w:val="0"/>
      <w:divBdr>
        <w:top w:val="none" w:sz="0" w:space="0" w:color="auto"/>
        <w:left w:val="none" w:sz="0" w:space="0" w:color="auto"/>
        <w:bottom w:val="none" w:sz="0" w:space="0" w:color="auto"/>
        <w:right w:val="none" w:sz="0" w:space="0" w:color="auto"/>
      </w:divBdr>
    </w:div>
    <w:div w:id="1536040202">
      <w:bodyDiv w:val="1"/>
      <w:marLeft w:val="0"/>
      <w:marRight w:val="0"/>
      <w:marTop w:val="0"/>
      <w:marBottom w:val="0"/>
      <w:divBdr>
        <w:top w:val="none" w:sz="0" w:space="0" w:color="auto"/>
        <w:left w:val="none" w:sz="0" w:space="0" w:color="auto"/>
        <w:bottom w:val="none" w:sz="0" w:space="0" w:color="auto"/>
        <w:right w:val="none" w:sz="0" w:space="0" w:color="auto"/>
      </w:divBdr>
    </w:div>
    <w:div w:id="1905867045">
      <w:bodyDiv w:val="1"/>
      <w:marLeft w:val="0"/>
      <w:marRight w:val="0"/>
      <w:marTop w:val="0"/>
      <w:marBottom w:val="0"/>
      <w:divBdr>
        <w:top w:val="none" w:sz="0" w:space="0" w:color="auto"/>
        <w:left w:val="none" w:sz="0" w:space="0" w:color="auto"/>
        <w:bottom w:val="none" w:sz="0" w:space="0" w:color="auto"/>
        <w:right w:val="none" w:sz="0" w:space="0" w:color="auto"/>
      </w:divBdr>
    </w:div>
    <w:div w:id="1912084284">
      <w:bodyDiv w:val="1"/>
      <w:marLeft w:val="0"/>
      <w:marRight w:val="0"/>
      <w:marTop w:val="0"/>
      <w:marBottom w:val="0"/>
      <w:divBdr>
        <w:top w:val="none" w:sz="0" w:space="0" w:color="auto"/>
        <w:left w:val="none" w:sz="0" w:space="0" w:color="auto"/>
        <w:bottom w:val="none" w:sz="0" w:space="0" w:color="auto"/>
        <w:right w:val="none" w:sz="0" w:space="0" w:color="auto"/>
      </w:divBdr>
    </w:div>
    <w:div w:id="200639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c.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5B853-99EE-456F-A405-7B2884A45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890</Words>
  <Characters>5073</Characters>
  <Application>Microsoft Office Word</Application>
  <DocSecurity>0</DocSecurity>
  <Lines>42</Lines>
  <Paragraphs>11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CtrlSoft</Company>
  <LinksUpToDate>false</LinksUpToDate>
  <CharactersWithSpaces>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dc:creator>
  <cp:lastModifiedBy>PC</cp:lastModifiedBy>
  <cp:revision>19</cp:revision>
  <cp:lastPrinted>2024-02-08T13:28:00Z</cp:lastPrinted>
  <dcterms:created xsi:type="dcterms:W3CDTF">2024-02-05T12:45:00Z</dcterms:created>
  <dcterms:modified xsi:type="dcterms:W3CDTF">2024-02-13T07:08:00Z</dcterms:modified>
</cp:coreProperties>
</file>