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60C8B" w14:textId="77777777" w:rsidR="00667F45" w:rsidRDefault="00000000">
      <w:pPr>
        <w:tabs>
          <w:tab w:val="center" w:pos="6786"/>
        </w:tabs>
        <w:spacing w:after="0" w:line="240" w:lineRule="auto"/>
        <w:rPr>
          <w:b/>
          <w:i/>
          <w:sz w:val="20"/>
          <w:szCs w:val="20"/>
        </w:rPr>
      </w:pPr>
      <w:r>
        <w:rPr>
          <w:b/>
          <w:i/>
          <w:sz w:val="20"/>
          <w:szCs w:val="20"/>
        </w:rPr>
        <w:tab/>
        <w:t xml:space="preserve">Tabel cu propuneri pentru pachetele de </w:t>
      </w:r>
      <w:proofErr w:type="spellStart"/>
      <w:r>
        <w:rPr>
          <w:b/>
          <w:i/>
          <w:sz w:val="20"/>
          <w:szCs w:val="20"/>
        </w:rPr>
        <w:t>dereglementare</w:t>
      </w:r>
      <w:proofErr w:type="spellEnd"/>
      <w:r>
        <w:rPr>
          <w:b/>
          <w:i/>
          <w:sz w:val="20"/>
          <w:szCs w:val="20"/>
        </w:rPr>
        <w:t xml:space="preserve"> nr. 6 (</w:t>
      </w:r>
      <w:proofErr w:type="spellStart"/>
      <w:r>
        <w:rPr>
          <w:b/>
          <w:i/>
          <w:sz w:val="20"/>
          <w:szCs w:val="20"/>
        </w:rPr>
        <w:t>Hotărîri</w:t>
      </w:r>
      <w:proofErr w:type="spellEnd"/>
      <w:r>
        <w:rPr>
          <w:b/>
          <w:i/>
          <w:sz w:val="20"/>
          <w:szCs w:val="20"/>
        </w:rPr>
        <w:t xml:space="preserve"> de Guvern)</w:t>
      </w:r>
    </w:p>
    <w:p w14:paraId="525BE7CB" w14:textId="5A8B3A3F" w:rsidR="00667F45" w:rsidRDefault="00901BDA">
      <w:pPr>
        <w:tabs>
          <w:tab w:val="center" w:pos="6786"/>
        </w:tabs>
        <w:spacing w:after="0" w:line="240" w:lineRule="auto"/>
        <w:rPr>
          <w:b/>
          <w:i/>
          <w:sz w:val="20"/>
          <w:szCs w:val="20"/>
        </w:rPr>
      </w:pPr>
      <w:r>
        <w:rPr>
          <w:b/>
          <w:i/>
          <w:sz w:val="20"/>
          <w:szCs w:val="20"/>
        </w:rPr>
        <w:t>Data: 19.03.2024</w:t>
      </w:r>
    </w:p>
    <w:p w14:paraId="2AD83289" w14:textId="77777777" w:rsidR="00667F45" w:rsidRDefault="00667F45">
      <w:pPr>
        <w:tabs>
          <w:tab w:val="center" w:pos="6786"/>
        </w:tabs>
        <w:spacing w:after="0" w:line="240" w:lineRule="auto"/>
        <w:rPr>
          <w:b/>
          <w:i/>
          <w:sz w:val="20"/>
          <w:szCs w:val="20"/>
        </w:rPr>
      </w:pPr>
    </w:p>
    <w:tbl>
      <w:tblPr>
        <w:tblStyle w:val="a0"/>
        <w:tblW w:w="14787" w:type="dxa"/>
        <w:tblInd w:w="-57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5"/>
        <w:gridCol w:w="5892"/>
        <w:gridCol w:w="1710"/>
        <w:gridCol w:w="3690"/>
        <w:gridCol w:w="2790"/>
      </w:tblGrid>
      <w:tr w:rsidR="00D14BA4" w14:paraId="7A210E01" w14:textId="77777777" w:rsidTr="001D4F20">
        <w:trPr>
          <w:tblHeader/>
        </w:trPr>
        <w:tc>
          <w:tcPr>
            <w:tcW w:w="705" w:type="dxa"/>
            <w:tcBorders>
              <w:top w:val="single" w:sz="4" w:space="0" w:color="000000"/>
              <w:left w:val="single" w:sz="4" w:space="0" w:color="000000"/>
              <w:bottom w:val="single" w:sz="4" w:space="0" w:color="000000"/>
              <w:right w:val="single" w:sz="4" w:space="0" w:color="000000"/>
            </w:tcBorders>
            <w:shd w:val="clear" w:color="auto" w:fill="BDD7EE"/>
          </w:tcPr>
          <w:p w14:paraId="431778CD" w14:textId="77777777" w:rsidR="00D14BA4" w:rsidRDefault="00D14BA4">
            <w:pPr>
              <w:jc w:val="center"/>
              <w:rPr>
                <w:sz w:val="20"/>
                <w:szCs w:val="20"/>
              </w:rPr>
            </w:pPr>
            <w:r>
              <w:rPr>
                <w:sz w:val="20"/>
                <w:szCs w:val="20"/>
              </w:rPr>
              <w:t>Nr.</w:t>
            </w:r>
          </w:p>
        </w:tc>
        <w:tc>
          <w:tcPr>
            <w:tcW w:w="5892" w:type="dxa"/>
            <w:tcBorders>
              <w:top w:val="single" w:sz="4" w:space="0" w:color="000000"/>
              <w:left w:val="single" w:sz="4" w:space="0" w:color="000000"/>
              <w:bottom w:val="single" w:sz="4" w:space="0" w:color="000000"/>
              <w:right w:val="single" w:sz="4" w:space="0" w:color="000000"/>
            </w:tcBorders>
            <w:shd w:val="clear" w:color="auto" w:fill="BDD7EE"/>
          </w:tcPr>
          <w:p w14:paraId="768231CD" w14:textId="77777777" w:rsidR="00D14BA4" w:rsidRDefault="00D14BA4">
            <w:pPr>
              <w:jc w:val="center"/>
              <w:rPr>
                <w:b/>
                <w:sz w:val="20"/>
                <w:szCs w:val="20"/>
              </w:rPr>
            </w:pPr>
            <w:r>
              <w:rPr>
                <w:b/>
                <w:sz w:val="20"/>
                <w:szCs w:val="20"/>
              </w:rPr>
              <w:t>Problema/raționamentul intervenției</w:t>
            </w:r>
          </w:p>
        </w:tc>
        <w:tc>
          <w:tcPr>
            <w:tcW w:w="1710" w:type="dxa"/>
            <w:tcBorders>
              <w:top w:val="single" w:sz="4" w:space="0" w:color="000000"/>
              <w:left w:val="single" w:sz="4" w:space="0" w:color="000000"/>
              <w:bottom w:val="single" w:sz="4" w:space="0" w:color="000000"/>
              <w:right w:val="single" w:sz="4" w:space="0" w:color="000000"/>
            </w:tcBorders>
            <w:shd w:val="clear" w:color="auto" w:fill="BDD7EE"/>
          </w:tcPr>
          <w:p w14:paraId="7BBD83CC" w14:textId="77777777" w:rsidR="00D14BA4" w:rsidRDefault="00D14BA4">
            <w:pPr>
              <w:jc w:val="center"/>
              <w:rPr>
                <w:b/>
                <w:sz w:val="20"/>
                <w:szCs w:val="20"/>
              </w:rPr>
            </w:pPr>
            <w:r>
              <w:rPr>
                <w:b/>
                <w:sz w:val="20"/>
                <w:szCs w:val="20"/>
              </w:rPr>
              <w:t>Sursa</w:t>
            </w:r>
          </w:p>
        </w:tc>
        <w:tc>
          <w:tcPr>
            <w:tcW w:w="3690" w:type="dxa"/>
            <w:tcBorders>
              <w:top w:val="single" w:sz="4" w:space="0" w:color="000000"/>
              <w:left w:val="single" w:sz="4" w:space="0" w:color="000000"/>
              <w:bottom w:val="single" w:sz="4" w:space="0" w:color="000000"/>
              <w:right w:val="single" w:sz="4" w:space="0" w:color="000000"/>
            </w:tcBorders>
            <w:shd w:val="clear" w:color="auto" w:fill="BDD7EE"/>
          </w:tcPr>
          <w:p w14:paraId="307632E7" w14:textId="77777777" w:rsidR="00D14BA4" w:rsidRDefault="00D14BA4">
            <w:pPr>
              <w:jc w:val="center"/>
              <w:rPr>
                <w:b/>
                <w:sz w:val="20"/>
                <w:szCs w:val="20"/>
              </w:rPr>
            </w:pPr>
            <w:r>
              <w:rPr>
                <w:b/>
                <w:sz w:val="20"/>
                <w:szCs w:val="20"/>
              </w:rPr>
              <w:t>Soluția, modificări în acte normative</w:t>
            </w:r>
          </w:p>
        </w:tc>
        <w:tc>
          <w:tcPr>
            <w:tcW w:w="2790" w:type="dxa"/>
            <w:tcBorders>
              <w:top w:val="single" w:sz="4" w:space="0" w:color="000000"/>
              <w:left w:val="single" w:sz="4" w:space="0" w:color="000000"/>
              <w:bottom w:val="single" w:sz="4" w:space="0" w:color="000000"/>
              <w:right w:val="single" w:sz="4" w:space="0" w:color="000000"/>
            </w:tcBorders>
            <w:shd w:val="clear" w:color="auto" w:fill="BDD7EE"/>
          </w:tcPr>
          <w:p w14:paraId="418BA341" w14:textId="77777777" w:rsidR="00D14BA4" w:rsidRDefault="00D14BA4">
            <w:pPr>
              <w:jc w:val="center"/>
              <w:rPr>
                <w:b/>
                <w:sz w:val="20"/>
                <w:szCs w:val="20"/>
              </w:rPr>
            </w:pPr>
            <w:r>
              <w:rPr>
                <w:b/>
                <w:sz w:val="20"/>
                <w:szCs w:val="20"/>
              </w:rPr>
              <w:t>Impactul/rezultatul urmărit</w:t>
            </w:r>
          </w:p>
        </w:tc>
      </w:tr>
      <w:tr w:rsidR="00F7191C" w14:paraId="27E6BDFF" w14:textId="77777777" w:rsidTr="001D4F20">
        <w:trPr>
          <w:trHeight w:val="80"/>
        </w:trPr>
        <w:tc>
          <w:tcPr>
            <w:tcW w:w="14787" w:type="dxa"/>
            <w:gridSpan w:val="5"/>
            <w:tcBorders>
              <w:top w:val="single" w:sz="4" w:space="0" w:color="000000"/>
              <w:left w:val="single" w:sz="4" w:space="0" w:color="000000"/>
              <w:bottom w:val="single" w:sz="4" w:space="0" w:color="000000"/>
              <w:right w:val="single" w:sz="4" w:space="0" w:color="000000"/>
            </w:tcBorders>
          </w:tcPr>
          <w:p w14:paraId="372F2D39" w14:textId="77777777" w:rsidR="00F7191C" w:rsidRDefault="00F7191C" w:rsidP="004E4337">
            <w:pPr>
              <w:jc w:val="center"/>
              <w:rPr>
                <w:b/>
                <w:sz w:val="20"/>
                <w:szCs w:val="20"/>
              </w:rPr>
            </w:pPr>
            <w:r>
              <w:rPr>
                <w:b/>
                <w:sz w:val="20"/>
                <w:szCs w:val="20"/>
              </w:rPr>
              <w:t>DOMENIUL - RAPORTAREA PRIVIND MIȘCAREA REZERVELOR DE SUBSTANȚE MINERALE UTILE</w:t>
            </w:r>
          </w:p>
        </w:tc>
      </w:tr>
      <w:tr w:rsidR="00D14BA4" w14:paraId="2862AC1B"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724467BB" w14:textId="77777777" w:rsidR="00D14BA4" w:rsidRDefault="00D14BA4">
            <w:pPr>
              <w:numPr>
                <w:ilvl w:val="0"/>
                <w:numId w:val="1"/>
              </w:numPr>
              <w:pBdr>
                <w:top w:val="nil"/>
                <w:left w:val="nil"/>
                <w:bottom w:val="nil"/>
                <w:right w:val="nil"/>
                <w:between w:val="nil"/>
              </w:pBdr>
              <w:spacing w:after="0" w:line="240" w:lineRule="auto"/>
              <w:ind w:hanging="545"/>
              <w:rPr>
                <w:color w:val="000000"/>
                <w:sz w:val="20"/>
                <w:szCs w:val="20"/>
              </w:rPr>
            </w:pPr>
          </w:p>
        </w:tc>
        <w:tc>
          <w:tcPr>
            <w:tcW w:w="5892" w:type="dxa"/>
            <w:tcBorders>
              <w:top w:val="single" w:sz="4" w:space="0" w:color="000000"/>
              <w:left w:val="single" w:sz="4" w:space="0" w:color="000000"/>
              <w:bottom w:val="single" w:sz="4" w:space="0" w:color="000000"/>
              <w:right w:val="single" w:sz="4" w:space="0" w:color="000000"/>
            </w:tcBorders>
          </w:tcPr>
          <w:p w14:paraId="454C7748" w14:textId="77777777" w:rsidR="00D14BA4" w:rsidRDefault="00D14BA4">
            <w:pPr>
              <w:jc w:val="both"/>
              <w:rPr>
                <w:color w:val="000000"/>
                <w:sz w:val="20"/>
                <w:szCs w:val="20"/>
              </w:rPr>
            </w:pPr>
            <w:r>
              <w:rPr>
                <w:color w:val="000000"/>
                <w:sz w:val="20"/>
                <w:szCs w:val="20"/>
              </w:rPr>
              <w:t xml:space="preserve">Regulamentul cu privire la modul de prezentare de către beneficiarii subsolului a rapoartelor privind </w:t>
            </w:r>
            <w:proofErr w:type="spellStart"/>
            <w:r>
              <w:rPr>
                <w:color w:val="000000"/>
                <w:sz w:val="20"/>
                <w:szCs w:val="20"/>
              </w:rPr>
              <w:t>mişcarea</w:t>
            </w:r>
            <w:proofErr w:type="spellEnd"/>
            <w:r>
              <w:rPr>
                <w:color w:val="000000"/>
                <w:sz w:val="20"/>
                <w:szCs w:val="20"/>
              </w:rPr>
              <w:t xml:space="preserve"> rezervelor de </w:t>
            </w:r>
            <w:proofErr w:type="spellStart"/>
            <w:r>
              <w:rPr>
                <w:color w:val="000000"/>
                <w:sz w:val="20"/>
                <w:szCs w:val="20"/>
              </w:rPr>
              <w:t>substanţe</w:t>
            </w:r>
            <w:proofErr w:type="spellEnd"/>
            <w:r>
              <w:rPr>
                <w:color w:val="000000"/>
                <w:sz w:val="20"/>
                <w:szCs w:val="20"/>
              </w:rPr>
              <w:t xml:space="preserve"> minerale utile, aprobat prin Hotărârea Guvernului Nr. 1131 din 12.10.2016 prevede că agenții economici vor prezenta rapoartele către </w:t>
            </w:r>
            <w:proofErr w:type="spellStart"/>
            <w:r>
              <w:rPr>
                <w:color w:val="000000"/>
                <w:sz w:val="20"/>
                <w:szCs w:val="20"/>
              </w:rPr>
              <w:t>AGRM</w:t>
            </w:r>
            <w:proofErr w:type="spellEnd"/>
            <w:r>
              <w:rPr>
                <w:color w:val="000000"/>
                <w:sz w:val="20"/>
                <w:szCs w:val="20"/>
              </w:rPr>
              <w:t xml:space="preserve"> după coordonarea lor cu Direcția control geologic și resurse funciare a Inspectoratului pentru Protecția Mediului și </w:t>
            </w:r>
            <w:proofErr w:type="spellStart"/>
            <w:r>
              <w:rPr>
                <w:color w:val="000000"/>
                <w:sz w:val="20"/>
                <w:szCs w:val="20"/>
              </w:rPr>
              <w:t>Secţia</w:t>
            </w:r>
            <w:proofErr w:type="spellEnd"/>
            <w:r>
              <w:rPr>
                <w:color w:val="000000"/>
                <w:sz w:val="20"/>
                <w:szCs w:val="20"/>
              </w:rPr>
              <w:t xml:space="preserve"> Fondul de stat de </w:t>
            </w:r>
            <w:proofErr w:type="spellStart"/>
            <w:r>
              <w:rPr>
                <w:color w:val="000000"/>
                <w:sz w:val="20"/>
                <w:szCs w:val="20"/>
              </w:rPr>
              <w:t>informaţii</w:t>
            </w:r>
            <w:proofErr w:type="spellEnd"/>
            <w:r>
              <w:rPr>
                <w:color w:val="000000"/>
                <w:sz w:val="20"/>
                <w:szCs w:val="20"/>
              </w:rPr>
              <w:t xml:space="preserve"> privind subsolul din cadrul </w:t>
            </w:r>
            <w:proofErr w:type="spellStart"/>
            <w:r>
              <w:rPr>
                <w:color w:val="000000"/>
                <w:sz w:val="20"/>
                <w:szCs w:val="20"/>
              </w:rPr>
              <w:t>AGRM</w:t>
            </w:r>
            <w:proofErr w:type="spellEnd"/>
            <w:r>
              <w:rPr>
                <w:color w:val="000000"/>
                <w:sz w:val="20"/>
                <w:szCs w:val="20"/>
              </w:rPr>
              <w:t xml:space="preserve">. Impunerea agentului economic unor astfel de coordonări (semnături) e ceva inexplicabilă în ziua de azi. Așa modalitate de raportare a fost introdusă vreo 50 de ani în urmă și atunci posibil ea avea o logică sănătoasă. Acum când suntem în relații economice de piață, </w:t>
            </w:r>
            <w:proofErr w:type="spellStart"/>
            <w:r>
              <w:rPr>
                <w:color w:val="000000"/>
                <w:sz w:val="20"/>
                <w:szCs w:val="20"/>
              </w:rPr>
              <w:t>cînd</w:t>
            </w:r>
            <w:proofErr w:type="spellEnd"/>
            <w:r>
              <w:rPr>
                <w:color w:val="000000"/>
                <w:sz w:val="20"/>
                <w:szCs w:val="20"/>
              </w:rPr>
              <w:t xml:space="preserve"> majoritatea absolută a întreprinderilor sunt private, așa cerințe de coordonări constituie bariere în dezvoltare și birocrație. Agentul economic raportează anual către </w:t>
            </w:r>
            <w:proofErr w:type="spellStart"/>
            <w:r>
              <w:rPr>
                <w:color w:val="000000"/>
                <w:sz w:val="20"/>
                <w:szCs w:val="20"/>
              </w:rPr>
              <w:t>AGRM</w:t>
            </w:r>
            <w:proofErr w:type="spellEnd"/>
            <w:r>
              <w:rPr>
                <w:color w:val="000000"/>
                <w:sz w:val="20"/>
                <w:szCs w:val="20"/>
              </w:rPr>
              <w:t>. Ministrul Mediului în componența căruia intră Agenția Mediului, Inspectoratul pentru protecția mediului cu subdiviziunile sale, are posibilitatea să se folosească de aceste rapoarte.</w:t>
            </w:r>
          </w:p>
        </w:tc>
        <w:tc>
          <w:tcPr>
            <w:tcW w:w="1710" w:type="dxa"/>
            <w:tcBorders>
              <w:top w:val="single" w:sz="4" w:space="0" w:color="000000"/>
              <w:left w:val="single" w:sz="4" w:space="0" w:color="000000"/>
              <w:bottom w:val="single" w:sz="4" w:space="0" w:color="000000"/>
              <w:right w:val="single" w:sz="4" w:space="0" w:color="000000"/>
            </w:tcBorders>
          </w:tcPr>
          <w:p w14:paraId="5C4827DC" w14:textId="77777777" w:rsidR="001D1A64" w:rsidRDefault="00D14BA4">
            <w:pPr>
              <w:jc w:val="center"/>
              <w:rPr>
                <w:color w:val="000000"/>
                <w:sz w:val="20"/>
                <w:szCs w:val="20"/>
              </w:rPr>
            </w:pPr>
            <w:proofErr w:type="spellStart"/>
            <w:r>
              <w:rPr>
                <w:color w:val="000000"/>
                <w:sz w:val="20"/>
                <w:szCs w:val="20"/>
              </w:rPr>
              <w:t>Concernul</w:t>
            </w:r>
            <w:proofErr w:type="spellEnd"/>
          </w:p>
          <w:p w14:paraId="2188D2DC" w14:textId="36790882" w:rsidR="00D14BA4" w:rsidRDefault="00D14BA4">
            <w:pPr>
              <w:jc w:val="center"/>
              <w:rPr>
                <w:sz w:val="20"/>
                <w:szCs w:val="20"/>
              </w:rPr>
            </w:pPr>
            <w:r>
              <w:rPr>
                <w:color w:val="000000"/>
                <w:sz w:val="20"/>
                <w:szCs w:val="20"/>
              </w:rPr>
              <w:t>”</w:t>
            </w:r>
            <w:proofErr w:type="spellStart"/>
            <w:r>
              <w:rPr>
                <w:color w:val="000000"/>
                <w:sz w:val="20"/>
                <w:szCs w:val="20"/>
              </w:rPr>
              <w:t>INMACOM</w:t>
            </w:r>
            <w:proofErr w:type="spellEnd"/>
            <w:r>
              <w:rPr>
                <w:color w:val="000000"/>
                <w:sz w:val="20"/>
                <w:szCs w:val="20"/>
              </w:rPr>
              <w:t>”</w:t>
            </w:r>
          </w:p>
        </w:tc>
        <w:tc>
          <w:tcPr>
            <w:tcW w:w="3690" w:type="dxa"/>
            <w:tcBorders>
              <w:top w:val="single" w:sz="4" w:space="0" w:color="000000"/>
              <w:left w:val="single" w:sz="4" w:space="0" w:color="000000"/>
              <w:bottom w:val="single" w:sz="4" w:space="0" w:color="000000"/>
              <w:right w:val="single" w:sz="4" w:space="0" w:color="000000"/>
            </w:tcBorders>
          </w:tcPr>
          <w:sdt>
            <w:sdtPr>
              <w:tag w:val="goog_rdk_0"/>
              <w:id w:val="-845708951"/>
            </w:sdtPr>
            <w:sdtContent>
              <w:p w14:paraId="190E0343" w14:textId="77777777" w:rsidR="00D14BA4" w:rsidRPr="001713B8" w:rsidRDefault="00D14BA4">
                <w:pPr>
                  <w:jc w:val="both"/>
                </w:pPr>
                <w:r>
                  <w:rPr>
                    <w:sz w:val="20"/>
                    <w:szCs w:val="20"/>
                  </w:rPr>
                  <w:t>Simplificarea prezentării raportului către Agenția Geologie și Resurse Minerale, fiind excluse coordonările (semnăturile) prealabile.  Din Anexele nr.1 nr.2 și nr.3 la HG 1131/2016, de exclus pe toți subiecții care aplică semnăturile și de lăsat doar semnătura conducătorului întreprinderii.</w:t>
                </w:r>
              </w:p>
            </w:sdtContent>
          </w:sdt>
        </w:tc>
        <w:tc>
          <w:tcPr>
            <w:tcW w:w="2790" w:type="dxa"/>
            <w:tcBorders>
              <w:top w:val="single" w:sz="4" w:space="0" w:color="000000"/>
              <w:left w:val="single" w:sz="4" w:space="0" w:color="000000"/>
              <w:bottom w:val="single" w:sz="4" w:space="0" w:color="000000"/>
              <w:right w:val="single" w:sz="4" w:space="0" w:color="000000"/>
            </w:tcBorders>
          </w:tcPr>
          <w:p w14:paraId="499FE3CD" w14:textId="77777777" w:rsidR="00D14BA4" w:rsidRDefault="00D14BA4">
            <w:pPr>
              <w:jc w:val="both"/>
              <w:rPr>
                <w:sz w:val="20"/>
                <w:szCs w:val="20"/>
              </w:rPr>
            </w:pPr>
            <w:r>
              <w:rPr>
                <w:color w:val="000000"/>
                <w:sz w:val="20"/>
                <w:szCs w:val="20"/>
              </w:rPr>
              <w:t>Micșorarea costurilor pentru agenții economici.</w:t>
            </w:r>
          </w:p>
        </w:tc>
      </w:tr>
      <w:tr w:rsidR="00403D2C" w14:paraId="4FEB9780"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13697649" w14:textId="77777777" w:rsidR="00403D2C" w:rsidRDefault="00403D2C" w:rsidP="004E4337">
            <w:pPr>
              <w:jc w:val="center"/>
              <w:rPr>
                <w:b/>
                <w:sz w:val="20"/>
                <w:szCs w:val="20"/>
              </w:rPr>
            </w:pPr>
            <w:r>
              <w:rPr>
                <w:b/>
                <w:sz w:val="20"/>
                <w:szCs w:val="20"/>
              </w:rPr>
              <w:t>DOMENIUL - SIGURANȚA ALIMENTELOR</w:t>
            </w:r>
          </w:p>
        </w:tc>
      </w:tr>
      <w:tr w:rsidR="00D14BA4" w14:paraId="462644C8"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2D8FBBDC" w14:textId="77777777" w:rsidR="00D14BA4" w:rsidRDefault="00D14BA4">
            <w:pPr>
              <w:numPr>
                <w:ilvl w:val="0"/>
                <w:numId w:val="1"/>
              </w:numPr>
              <w:spacing w:line="240" w:lineRule="auto"/>
              <w:ind w:hanging="545"/>
              <w:rPr>
                <w:sz w:val="20"/>
                <w:szCs w:val="20"/>
              </w:rPr>
            </w:pPr>
          </w:p>
        </w:tc>
        <w:tc>
          <w:tcPr>
            <w:tcW w:w="5892" w:type="dxa"/>
            <w:tcBorders>
              <w:top w:val="single" w:sz="4" w:space="0" w:color="000000"/>
              <w:left w:val="single" w:sz="4" w:space="0" w:color="000000"/>
              <w:bottom w:val="single" w:sz="4" w:space="0" w:color="000000"/>
              <w:right w:val="single" w:sz="4" w:space="0" w:color="000000"/>
            </w:tcBorders>
          </w:tcPr>
          <w:p w14:paraId="7E269F6A" w14:textId="77777777" w:rsidR="00D14BA4" w:rsidRDefault="00D14BA4">
            <w:pPr>
              <w:jc w:val="both"/>
              <w:rPr>
                <w:sz w:val="20"/>
                <w:szCs w:val="20"/>
              </w:rPr>
            </w:pPr>
            <w:r>
              <w:rPr>
                <w:sz w:val="20"/>
                <w:szCs w:val="20"/>
              </w:rPr>
              <w:t xml:space="preserve">În conformitate cu pct. 34 din Regulamentul sanitar pentru </w:t>
            </w:r>
            <w:proofErr w:type="spellStart"/>
            <w:r>
              <w:rPr>
                <w:sz w:val="20"/>
                <w:szCs w:val="20"/>
              </w:rPr>
              <w:t>unităţile</w:t>
            </w:r>
            <w:proofErr w:type="spellEnd"/>
            <w:r>
              <w:rPr>
                <w:sz w:val="20"/>
                <w:szCs w:val="20"/>
              </w:rPr>
              <w:t xml:space="preserve"> comerciale care practică activitate de comerț cu produse alimentare aprobat prin anexa 4 la HG nr. 206/2023: ”</w:t>
            </w:r>
            <w:proofErr w:type="spellStart"/>
            <w:r>
              <w:rPr>
                <w:sz w:val="20"/>
                <w:szCs w:val="20"/>
              </w:rPr>
              <w:t>Pвinea</w:t>
            </w:r>
            <w:proofErr w:type="spellEnd"/>
            <w:r>
              <w:rPr>
                <w:sz w:val="20"/>
                <w:szCs w:val="20"/>
              </w:rPr>
              <w:t xml:space="preserve"> și produsele de panificație mici se comercializează doar ambalate și etichetate în conformitate cu Legea nr.279/2017 privind informarea consumatorului cu privire la produsele alimentare”.</w:t>
            </w:r>
          </w:p>
          <w:p w14:paraId="2ABEA410" w14:textId="77777777" w:rsidR="00D14BA4" w:rsidRDefault="00D14BA4">
            <w:pPr>
              <w:jc w:val="both"/>
              <w:rPr>
                <w:sz w:val="20"/>
                <w:szCs w:val="20"/>
              </w:rPr>
            </w:pPr>
            <w:r>
              <w:rPr>
                <w:sz w:val="20"/>
                <w:szCs w:val="20"/>
              </w:rPr>
              <w:t xml:space="preserve">Unitățile comerciale au în comerț atât pâine achiziționată de la producători (care este transportată fiind ambalată), cât și dispun de </w:t>
            </w:r>
            <w:r>
              <w:rPr>
                <w:sz w:val="20"/>
                <w:szCs w:val="20"/>
              </w:rPr>
              <w:lastRenderedPageBreak/>
              <w:t xml:space="preserve">propria sa producție de panificație, amplasată nemijlocit în punctele de vânzări (e.g. </w:t>
            </w:r>
            <w:proofErr w:type="spellStart"/>
            <w:r>
              <w:rPr>
                <w:sz w:val="20"/>
                <w:szCs w:val="20"/>
              </w:rPr>
              <w:t>ciabatta</w:t>
            </w:r>
            <w:proofErr w:type="spellEnd"/>
            <w:r>
              <w:rPr>
                <w:sz w:val="20"/>
                <w:szCs w:val="20"/>
              </w:rPr>
              <w:t xml:space="preserve">, </w:t>
            </w:r>
            <w:proofErr w:type="spellStart"/>
            <w:r>
              <w:rPr>
                <w:sz w:val="20"/>
                <w:szCs w:val="20"/>
              </w:rPr>
              <w:t>baguette</w:t>
            </w:r>
            <w:proofErr w:type="spellEnd"/>
            <w:r>
              <w:rPr>
                <w:sz w:val="20"/>
                <w:szCs w:val="20"/>
              </w:rPr>
              <w:t>, chifle).</w:t>
            </w:r>
          </w:p>
          <w:p w14:paraId="6EA8CBB5" w14:textId="77777777" w:rsidR="00D14BA4" w:rsidRDefault="00D14BA4">
            <w:pPr>
              <w:jc w:val="both"/>
              <w:rPr>
                <w:sz w:val="20"/>
                <w:szCs w:val="20"/>
              </w:rPr>
            </w:pPr>
            <w:r>
              <w:rPr>
                <w:sz w:val="20"/>
                <w:szCs w:val="20"/>
              </w:rPr>
              <w:t>Comercializarea producției de panificație proprii are loc în spații special amenajate, astfel încât, cumpărătorul de sine-stătător își aleg produsul și-l ambalează în ambalajul de consum special destinat acestor scopuri, având la dispoziție rechizitele pentru asigura igienei (mănuși plastic). Este incertă motivația, care a stat la baza aplicării unei asemenea restricții, prevăzute în pct.34 al Regulamentului.</w:t>
            </w:r>
          </w:p>
          <w:p w14:paraId="5C9BCD0C" w14:textId="77777777" w:rsidR="00D14BA4" w:rsidRDefault="00D14BA4">
            <w:pPr>
              <w:jc w:val="both"/>
              <w:rPr>
                <w:sz w:val="20"/>
                <w:szCs w:val="20"/>
              </w:rPr>
            </w:pPr>
            <w:r>
              <w:rPr>
                <w:sz w:val="20"/>
                <w:szCs w:val="20"/>
              </w:rPr>
              <w:t>Or, pâinea produsă la propria brutărie din incinta magazinului, urmând a fi ambalată preventiv până a fi plasată comercializării, în scurt timp își va pierde din proprietățile sale calitative, inclusiv exteriorul.</w:t>
            </w:r>
          </w:p>
          <w:p w14:paraId="60162D95" w14:textId="77777777" w:rsidR="00D14BA4" w:rsidRDefault="00D14BA4">
            <w:pPr>
              <w:jc w:val="both"/>
              <w:rPr>
                <w:sz w:val="20"/>
                <w:szCs w:val="20"/>
              </w:rPr>
            </w:pPr>
            <w:r>
              <w:rPr>
                <w:sz w:val="20"/>
                <w:szCs w:val="20"/>
              </w:rPr>
              <w:t>De asemenea, ambalarea imediată a produselor de panificație preparate pe loc, care sunt încă fierbinți, poate prezenta mai multe neajunsuri și defecte, atât din perspectiva calității produsului, cât și din punct de vedere al siguranței alimentare și a impactului asupra mediului. Vă prezentăm, în cele ce urmează câteva argumente principale:</w:t>
            </w:r>
          </w:p>
          <w:p w14:paraId="4DDFA05E" w14:textId="77777777" w:rsidR="00D14BA4" w:rsidRDefault="00D14BA4">
            <w:pPr>
              <w:jc w:val="both"/>
              <w:rPr>
                <w:sz w:val="20"/>
                <w:szCs w:val="20"/>
              </w:rPr>
            </w:pPr>
            <w:r>
              <w:rPr>
                <w:sz w:val="20"/>
                <w:szCs w:val="20"/>
              </w:rPr>
              <w:t xml:space="preserve">1. Deteriorarea calității produsului: Ambalarea produselor de panificație fierbinți poate cauza condens în interiorul ambalajului. Umiditatea excesivă afectează textura crustei (fără bariera unui ambalaj, crusta rămâne crocantă, iar miezul păstrează textura moale și pufoasă). Aromele, de asemenea, sunt mai bine conservate, oferind o experiență gustativă superioară. Ambalare </w:t>
            </w:r>
            <w:proofErr w:type="spellStart"/>
            <w:r>
              <w:rPr>
                <w:sz w:val="20"/>
                <w:szCs w:val="20"/>
              </w:rPr>
              <w:t>imdeiată</w:t>
            </w:r>
            <w:proofErr w:type="spellEnd"/>
            <w:r>
              <w:rPr>
                <w:sz w:val="20"/>
                <w:szCs w:val="20"/>
              </w:rPr>
              <w:t xml:space="preserve"> însă o va face mai puțin crocantă și, potențial, „înmuind” pâinea sau produsele de panificație mici. Aceasta poate afecta negativ experiența consumatorului și percepția asupra calității produsului.</w:t>
            </w:r>
          </w:p>
          <w:p w14:paraId="17181DED" w14:textId="77777777" w:rsidR="00D14BA4" w:rsidRDefault="00D14BA4">
            <w:pPr>
              <w:jc w:val="both"/>
              <w:rPr>
                <w:sz w:val="20"/>
                <w:szCs w:val="20"/>
              </w:rPr>
            </w:pPr>
            <w:r>
              <w:rPr>
                <w:sz w:val="20"/>
                <w:szCs w:val="20"/>
              </w:rPr>
              <w:t>2. Siguranța alimentară. Dezvoltarea bacteriilor în produsele de panificație care sunt ambalate în timp ce încă sunt fierbinți reprezintă o preocupare serioasă pentru siguranța alimentară.</w:t>
            </w:r>
          </w:p>
          <w:p w14:paraId="1340D688" w14:textId="77777777" w:rsidR="00D14BA4" w:rsidRDefault="00D14BA4">
            <w:pPr>
              <w:jc w:val="both"/>
              <w:rPr>
                <w:sz w:val="20"/>
                <w:szCs w:val="20"/>
              </w:rPr>
            </w:pPr>
            <w:r>
              <w:rPr>
                <w:sz w:val="20"/>
                <w:szCs w:val="20"/>
              </w:rPr>
              <w:lastRenderedPageBreak/>
              <w:t>Temperatura ridicată și umiditatea din ambalaj creează un mediu ideal pentru creșterea bacteriilor, unele dintre acestea putând fi periculoase pentru consumul uman. Factorii care pun în pericol siguranța alimentară:</w:t>
            </w:r>
          </w:p>
          <w:p w14:paraId="3972D32F" w14:textId="77777777" w:rsidR="00D14BA4" w:rsidRDefault="00D14BA4">
            <w:pPr>
              <w:jc w:val="both"/>
              <w:rPr>
                <w:sz w:val="20"/>
                <w:szCs w:val="20"/>
              </w:rPr>
            </w:pPr>
            <w:r>
              <w:rPr>
                <w:sz w:val="20"/>
                <w:szCs w:val="20"/>
              </w:rPr>
              <w:t>- Umiditate Ridicată. Condensul format în interiorul ambalajului, datorită ambalării produselor fierbinți, crește umiditatea, oferind un mediu propice pentru creșterea bacteriilor.</w:t>
            </w:r>
          </w:p>
          <w:p w14:paraId="051C7943" w14:textId="77777777" w:rsidR="00D14BA4" w:rsidRDefault="00D14BA4">
            <w:pPr>
              <w:jc w:val="both"/>
              <w:rPr>
                <w:sz w:val="20"/>
                <w:szCs w:val="20"/>
              </w:rPr>
            </w:pPr>
            <w:r>
              <w:rPr>
                <w:sz w:val="20"/>
                <w:szCs w:val="20"/>
              </w:rPr>
              <w:t xml:space="preserve">- Temperaturi Moderat de ridicate. Deși </w:t>
            </w:r>
            <w:proofErr w:type="spellStart"/>
            <w:r>
              <w:rPr>
                <w:sz w:val="20"/>
                <w:szCs w:val="20"/>
              </w:rPr>
              <w:t>pîinea</w:t>
            </w:r>
            <w:proofErr w:type="spellEnd"/>
            <w:r>
              <w:rPr>
                <w:sz w:val="20"/>
                <w:szCs w:val="20"/>
              </w:rPr>
              <w:t xml:space="preserve"> și produsele de panificație fierbinți vor începe să se răcească odată ambalate, ele pot rămâne pentru o perioadă într-un interval de temperatură care poate susține creșterea bacteriană. </w:t>
            </w:r>
          </w:p>
        </w:tc>
        <w:tc>
          <w:tcPr>
            <w:tcW w:w="1710" w:type="dxa"/>
            <w:tcBorders>
              <w:top w:val="single" w:sz="4" w:space="0" w:color="000000"/>
              <w:left w:val="single" w:sz="4" w:space="0" w:color="000000"/>
              <w:bottom w:val="single" w:sz="4" w:space="0" w:color="000000"/>
              <w:right w:val="single" w:sz="4" w:space="0" w:color="000000"/>
            </w:tcBorders>
          </w:tcPr>
          <w:p w14:paraId="3064A1E2" w14:textId="77777777" w:rsidR="00D14BA4" w:rsidRDefault="00D14BA4">
            <w:pPr>
              <w:jc w:val="center"/>
              <w:rPr>
                <w:sz w:val="18"/>
                <w:szCs w:val="18"/>
              </w:rPr>
            </w:pPr>
            <w:proofErr w:type="spellStart"/>
            <w:r>
              <w:rPr>
                <w:sz w:val="20"/>
                <w:szCs w:val="20"/>
              </w:rPr>
              <w:lastRenderedPageBreak/>
              <w:t>P</w:t>
            </w:r>
            <w:r>
              <w:rPr>
                <w:sz w:val="18"/>
                <w:szCs w:val="18"/>
              </w:rPr>
              <w:t>roBiz</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1FA32AD4" w14:textId="77777777" w:rsidR="00D14BA4" w:rsidRDefault="00D14BA4">
            <w:pPr>
              <w:jc w:val="both"/>
              <w:rPr>
                <w:sz w:val="20"/>
                <w:szCs w:val="20"/>
              </w:rPr>
            </w:pPr>
            <w:bookmarkStart w:id="0" w:name="_heading=h.icajcu8yeazg" w:colFirst="0" w:colLast="0"/>
            <w:bookmarkEnd w:id="0"/>
            <w:r>
              <w:rPr>
                <w:sz w:val="20"/>
                <w:szCs w:val="20"/>
              </w:rPr>
              <w:t>Pct. 34 din Regulament se va expune în redacție nouă:</w:t>
            </w:r>
          </w:p>
          <w:p w14:paraId="51AEC4AE" w14:textId="77777777" w:rsidR="00D14BA4" w:rsidRDefault="00D14BA4">
            <w:pPr>
              <w:jc w:val="both"/>
              <w:rPr>
                <w:sz w:val="20"/>
                <w:szCs w:val="20"/>
              </w:rPr>
            </w:pPr>
            <w:bookmarkStart w:id="1" w:name="_heading=h.vrl5qew9bxm3" w:colFirst="0" w:colLast="0"/>
            <w:bookmarkEnd w:id="1"/>
            <w:r>
              <w:rPr>
                <w:sz w:val="20"/>
                <w:szCs w:val="20"/>
              </w:rPr>
              <w:t xml:space="preserve">”Pâinea </w:t>
            </w:r>
            <w:proofErr w:type="spellStart"/>
            <w:r>
              <w:rPr>
                <w:sz w:val="20"/>
                <w:szCs w:val="20"/>
              </w:rPr>
              <w:t>şi</w:t>
            </w:r>
            <w:proofErr w:type="spellEnd"/>
            <w:r>
              <w:rPr>
                <w:sz w:val="20"/>
                <w:szCs w:val="20"/>
              </w:rPr>
              <w:t xml:space="preserve"> produsele de panificație se comercializează împachetate sau cu asigurarea posibilității de a fi împachetate de consumator conform cerințelor Legii Nr. 296/2017 privind cerințele generale de igienă a produselor alimentare. În calitate </w:t>
            </w:r>
            <w:r>
              <w:rPr>
                <w:sz w:val="20"/>
                <w:szCs w:val="20"/>
              </w:rPr>
              <w:lastRenderedPageBreak/>
              <w:t xml:space="preserve">de ambalaj/recipient pot fi folosite orice dispozitive, instalații, </w:t>
            </w:r>
            <w:proofErr w:type="spellStart"/>
            <w:r>
              <w:rPr>
                <w:sz w:val="20"/>
                <w:szCs w:val="20"/>
              </w:rPr>
              <w:t>spaţii</w:t>
            </w:r>
            <w:proofErr w:type="spellEnd"/>
            <w:r>
              <w:rPr>
                <w:sz w:val="20"/>
                <w:szCs w:val="20"/>
              </w:rPr>
              <w:t xml:space="preserve"> special amenajate, </w:t>
            </w:r>
            <w:proofErr w:type="spellStart"/>
            <w:r>
              <w:rPr>
                <w:sz w:val="20"/>
                <w:szCs w:val="20"/>
              </w:rPr>
              <w:t>coşuri</w:t>
            </w:r>
            <w:proofErr w:type="spellEnd"/>
            <w:r>
              <w:rPr>
                <w:sz w:val="20"/>
                <w:szCs w:val="20"/>
              </w:rPr>
              <w:t xml:space="preserve"> sau navete acoperite precum și alte obiecte, confecționate din materiale admise pentru contact cu produsele alimentare.”</w:t>
            </w:r>
          </w:p>
          <w:p w14:paraId="38BC33DC" w14:textId="77777777" w:rsidR="00D14BA4" w:rsidRDefault="00D14BA4">
            <w:pPr>
              <w:jc w:val="both"/>
              <w:rPr>
                <w:sz w:val="20"/>
                <w:szCs w:val="20"/>
              </w:rPr>
            </w:pPr>
            <w:bookmarkStart w:id="2" w:name="_heading=h.b4y8myu8xih1" w:colFirst="0" w:colLast="0"/>
            <w:bookmarkEnd w:id="2"/>
            <w:r>
              <w:rPr>
                <w:sz w:val="20"/>
                <w:szCs w:val="20"/>
              </w:rPr>
              <w:t>Regulamentul se va completa cu pct. 341 cu următorul cuprins: ”Etichetarea produselor alimentare se efectuează în conformitate cu Legea nr.279/2017 privind informarea consumatorului cu privire la produsele alimentare”.</w:t>
            </w:r>
          </w:p>
          <w:p w14:paraId="271E40F0" w14:textId="77777777" w:rsidR="00D14BA4" w:rsidRDefault="00D14BA4">
            <w:pPr>
              <w:jc w:val="both"/>
              <w:rPr>
                <w:sz w:val="20"/>
                <w:szCs w:val="20"/>
              </w:rPr>
            </w:pPr>
            <w:bookmarkStart w:id="3" w:name="_heading=h.gjdgxs" w:colFirst="0" w:colLast="0"/>
            <w:bookmarkEnd w:id="3"/>
          </w:p>
        </w:tc>
        <w:tc>
          <w:tcPr>
            <w:tcW w:w="2790" w:type="dxa"/>
            <w:tcBorders>
              <w:top w:val="single" w:sz="4" w:space="0" w:color="000000"/>
              <w:left w:val="single" w:sz="4" w:space="0" w:color="000000"/>
              <w:bottom w:val="single" w:sz="4" w:space="0" w:color="000000"/>
              <w:right w:val="single" w:sz="4" w:space="0" w:color="000000"/>
            </w:tcBorders>
          </w:tcPr>
          <w:p w14:paraId="4EADEBA3" w14:textId="77777777" w:rsidR="00D14BA4" w:rsidRDefault="00D14BA4">
            <w:pPr>
              <w:jc w:val="both"/>
              <w:rPr>
                <w:sz w:val="20"/>
                <w:szCs w:val="20"/>
              </w:rPr>
            </w:pPr>
            <w:r>
              <w:rPr>
                <w:sz w:val="20"/>
                <w:szCs w:val="20"/>
              </w:rPr>
              <w:lastRenderedPageBreak/>
              <w:t>Micșorarea costurilor pentru agenții economici.</w:t>
            </w:r>
          </w:p>
          <w:p w14:paraId="0135ABC1" w14:textId="77777777" w:rsidR="00D14BA4" w:rsidRDefault="00D14BA4">
            <w:pPr>
              <w:jc w:val="both"/>
              <w:rPr>
                <w:sz w:val="20"/>
                <w:szCs w:val="20"/>
              </w:rPr>
            </w:pPr>
            <w:r>
              <w:rPr>
                <w:sz w:val="20"/>
                <w:szCs w:val="20"/>
              </w:rPr>
              <w:t>Facilitarea diversificării producerii de produse și obținerii unor venituri complementare.</w:t>
            </w:r>
          </w:p>
          <w:p w14:paraId="030AAEEF" w14:textId="77777777" w:rsidR="00D14BA4" w:rsidRDefault="00D14BA4">
            <w:pPr>
              <w:jc w:val="both"/>
              <w:rPr>
                <w:sz w:val="20"/>
                <w:szCs w:val="20"/>
              </w:rPr>
            </w:pPr>
          </w:p>
        </w:tc>
      </w:tr>
      <w:tr w:rsidR="00403D2C" w14:paraId="1716560B"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440BE328" w14:textId="77777777" w:rsidR="00403D2C" w:rsidRDefault="00403D2C" w:rsidP="004E4337">
            <w:pPr>
              <w:jc w:val="center"/>
              <w:rPr>
                <w:b/>
                <w:sz w:val="20"/>
                <w:szCs w:val="20"/>
              </w:rPr>
            </w:pPr>
            <w:r>
              <w:rPr>
                <w:b/>
                <w:sz w:val="20"/>
                <w:szCs w:val="20"/>
              </w:rPr>
              <w:lastRenderedPageBreak/>
              <w:t>DOMENIUL – ACCES LA FINANȚE (CREDITARE)</w:t>
            </w:r>
          </w:p>
        </w:tc>
      </w:tr>
      <w:tr w:rsidR="00D14BA4" w14:paraId="03707AE3"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0B5EFAFE" w14:textId="77777777" w:rsidR="00D14BA4" w:rsidRDefault="00D14BA4">
            <w:pPr>
              <w:numPr>
                <w:ilvl w:val="0"/>
                <w:numId w:val="1"/>
              </w:numPr>
              <w:pBdr>
                <w:top w:val="nil"/>
                <w:left w:val="nil"/>
                <w:bottom w:val="nil"/>
                <w:right w:val="nil"/>
                <w:between w:val="nil"/>
              </w:pBdr>
              <w:spacing w:after="0" w:line="240" w:lineRule="auto"/>
              <w:ind w:hanging="545"/>
              <w:rPr>
                <w:color w:val="000000"/>
                <w:sz w:val="20"/>
                <w:szCs w:val="20"/>
              </w:rPr>
            </w:pPr>
          </w:p>
        </w:tc>
        <w:tc>
          <w:tcPr>
            <w:tcW w:w="5892" w:type="dxa"/>
            <w:tcBorders>
              <w:top w:val="single" w:sz="4" w:space="0" w:color="000000"/>
              <w:left w:val="single" w:sz="4" w:space="0" w:color="000000"/>
              <w:bottom w:val="single" w:sz="4" w:space="0" w:color="000000"/>
              <w:right w:val="single" w:sz="4" w:space="0" w:color="000000"/>
            </w:tcBorders>
          </w:tcPr>
          <w:p w14:paraId="55CF91B4" w14:textId="77777777" w:rsidR="00D14BA4" w:rsidRDefault="00D14BA4">
            <w:pPr>
              <w:jc w:val="both"/>
              <w:rPr>
                <w:color w:val="000000"/>
                <w:sz w:val="20"/>
                <w:szCs w:val="20"/>
              </w:rPr>
            </w:pPr>
            <w:r>
              <w:rPr>
                <w:color w:val="000000"/>
                <w:sz w:val="20"/>
                <w:szCs w:val="20"/>
              </w:rPr>
              <w:t>În Hotărârea Guvernului nr.210/2016 cu privire la Registrul garanțiilor reale mobiliare se prevede regula de bază - calitatea de registrator este incompatibilă cu calitatea de debitor sau creditor al creanței garantate. Totuși pentru băncile comerciale există excepția că aceasta pot fi concomitent și registrator gajist și creditor (dacă debitorul gajist este de acord). Această excepție nu se raportează și la organizațiile de creditare nebancară (</w:t>
            </w:r>
            <w:proofErr w:type="spellStart"/>
            <w:r>
              <w:rPr>
                <w:color w:val="000000"/>
                <w:sz w:val="20"/>
                <w:szCs w:val="20"/>
              </w:rPr>
              <w:t>OCN</w:t>
            </w:r>
            <w:proofErr w:type="spellEnd"/>
            <w:r>
              <w:rPr>
                <w:color w:val="000000"/>
                <w:sz w:val="20"/>
                <w:szCs w:val="20"/>
              </w:rPr>
              <w:t xml:space="preserve">), care la fel au rolul de registratori și prestează aceleași servicii de creditare ca și băncile. Astfel, spre deosebire de bănci, în multe cazuri </w:t>
            </w:r>
            <w:proofErr w:type="spellStart"/>
            <w:r>
              <w:rPr>
                <w:color w:val="000000"/>
                <w:sz w:val="20"/>
                <w:szCs w:val="20"/>
              </w:rPr>
              <w:t>OCN</w:t>
            </w:r>
            <w:proofErr w:type="spellEnd"/>
            <w:r>
              <w:rPr>
                <w:color w:val="000000"/>
                <w:sz w:val="20"/>
                <w:szCs w:val="20"/>
              </w:rPr>
              <w:t xml:space="preserve"> sunt obligați să apeleze suplimentar la servicii de registrator oferite de alte entități, ceea ce creează concurență neloială în raport cu băncile și în final creditul de la </w:t>
            </w:r>
            <w:proofErr w:type="spellStart"/>
            <w:r>
              <w:rPr>
                <w:color w:val="000000"/>
                <w:sz w:val="20"/>
                <w:szCs w:val="20"/>
              </w:rPr>
              <w:t>OCN</w:t>
            </w:r>
            <w:proofErr w:type="spellEnd"/>
            <w:r>
              <w:rPr>
                <w:color w:val="000000"/>
                <w:sz w:val="20"/>
                <w:szCs w:val="20"/>
              </w:rPr>
              <w:t xml:space="preserve"> este mai scump, </w:t>
            </w:r>
            <w:proofErr w:type="spellStart"/>
            <w:r>
              <w:rPr>
                <w:color w:val="000000"/>
                <w:sz w:val="20"/>
                <w:szCs w:val="20"/>
              </w:rPr>
              <w:t>decît</w:t>
            </w:r>
            <w:proofErr w:type="spellEnd"/>
            <w:r>
              <w:rPr>
                <w:color w:val="000000"/>
                <w:sz w:val="20"/>
                <w:szCs w:val="20"/>
              </w:rPr>
              <w:t xml:space="preserve"> de la bănci. </w:t>
            </w:r>
          </w:p>
        </w:tc>
        <w:tc>
          <w:tcPr>
            <w:tcW w:w="1710" w:type="dxa"/>
            <w:tcBorders>
              <w:top w:val="single" w:sz="4" w:space="0" w:color="000000"/>
              <w:left w:val="single" w:sz="4" w:space="0" w:color="000000"/>
              <w:bottom w:val="single" w:sz="4" w:space="0" w:color="000000"/>
              <w:right w:val="single" w:sz="4" w:space="0" w:color="000000"/>
            </w:tcBorders>
          </w:tcPr>
          <w:p w14:paraId="17157F69" w14:textId="77777777" w:rsidR="00D14BA4" w:rsidRDefault="00D14BA4">
            <w:pPr>
              <w:jc w:val="center"/>
              <w:rPr>
                <w:sz w:val="20"/>
                <w:szCs w:val="20"/>
              </w:rPr>
            </w:pPr>
            <w:proofErr w:type="spellStart"/>
            <w:r>
              <w:rPr>
                <w:sz w:val="20"/>
                <w:szCs w:val="20"/>
              </w:rPr>
              <w:t>AmCham</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2EC58A88" w14:textId="77777777" w:rsidR="00D14BA4" w:rsidRDefault="00D14BA4">
            <w:pPr>
              <w:jc w:val="both"/>
              <w:rPr>
                <w:sz w:val="20"/>
                <w:szCs w:val="20"/>
              </w:rPr>
            </w:pPr>
            <w:r>
              <w:rPr>
                <w:color w:val="000000"/>
                <w:sz w:val="20"/>
                <w:szCs w:val="20"/>
              </w:rPr>
              <w:t xml:space="preserve">Se propune ca excepția acordată băncilor să fie aplicată și pentru organizațiile de creditare, de </w:t>
            </w:r>
            <w:proofErr w:type="spellStart"/>
            <w:r>
              <w:rPr>
                <w:color w:val="000000"/>
                <w:sz w:val="20"/>
                <w:szCs w:val="20"/>
              </w:rPr>
              <w:t>rînd</w:t>
            </w:r>
            <w:proofErr w:type="spellEnd"/>
            <w:r>
              <w:rPr>
                <w:color w:val="000000"/>
                <w:sz w:val="20"/>
                <w:szCs w:val="20"/>
              </w:rPr>
              <w:t xml:space="preserve"> cu băncile. Adică de completat Hotărârea Guvernului nr.210/2016 cu privire la Registrul garanțiilor reale mobiliare, corespunzător expunerea pct. 28 în următoarea redacție: „28. Prin derogare de la prevederile pct. 27 al prezentului Regulament băncile </w:t>
            </w:r>
            <w:r>
              <w:rPr>
                <w:i/>
                <w:color w:val="000000"/>
                <w:sz w:val="20"/>
                <w:szCs w:val="20"/>
                <w:u w:val="single"/>
              </w:rPr>
              <w:t>și organizațiile de creditare nebancară</w:t>
            </w:r>
            <w:r>
              <w:rPr>
                <w:color w:val="000000"/>
                <w:sz w:val="20"/>
                <w:szCs w:val="20"/>
              </w:rPr>
              <w:t xml:space="preserve"> pot avea concomitent calitatea de registrator și creditor gajist, dacă debitorul gajist și-a exprimat acordul în scris în acest sens.</w:t>
            </w:r>
          </w:p>
        </w:tc>
        <w:tc>
          <w:tcPr>
            <w:tcW w:w="2790" w:type="dxa"/>
            <w:tcBorders>
              <w:top w:val="single" w:sz="4" w:space="0" w:color="000000"/>
              <w:left w:val="single" w:sz="4" w:space="0" w:color="000000"/>
              <w:bottom w:val="single" w:sz="4" w:space="0" w:color="000000"/>
              <w:right w:val="single" w:sz="4" w:space="0" w:color="000000"/>
            </w:tcBorders>
          </w:tcPr>
          <w:p w14:paraId="6B603D66" w14:textId="77777777" w:rsidR="00D14BA4" w:rsidRDefault="00D14BA4">
            <w:pPr>
              <w:jc w:val="both"/>
              <w:rPr>
                <w:sz w:val="20"/>
                <w:szCs w:val="20"/>
              </w:rPr>
            </w:pPr>
            <w:r>
              <w:rPr>
                <w:sz w:val="20"/>
                <w:szCs w:val="20"/>
              </w:rPr>
              <w:t>Facilitarea activității pentru organizațiile de creditare nebancară, eliminarea distorsionărilor de concurență cu băncile comerciale, scăderea costului final al creditului acordat de organizațiile de creditare nebancară.</w:t>
            </w:r>
          </w:p>
        </w:tc>
      </w:tr>
      <w:tr w:rsidR="0060771F" w14:paraId="55CC6B5C"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06CF3261" w14:textId="77777777" w:rsidR="0060771F" w:rsidRDefault="0060771F" w:rsidP="004E4337">
            <w:pPr>
              <w:jc w:val="center"/>
              <w:rPr>
                <w:b/>
                <w:sz w:val="20"/>
                <w:szCs w:val="20"/>
              </w:rPr>
            </w:pPr>
            <w:r>
              <w:rPr>
                <w:b/>
                <w:sz w:val="20"/>
                <w:szCs w:val="20"/>
              </w:rPr>
              <w:t>DOMENIUL – PRELUCRAREA DATELOR CU CARACTER PERSONAL</w:t>
            </w:r>
          </w:p>
        </w:tc>
      </w:tr>
      <w:tr w:rsidR="00D14BA4" w14:paraId="0D539719"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3B65C94B" w14:textId="77777777" w:rsidR="00D14BA4" w:rsidRDefault="00D14BA4">
            <w:pPr>
              <w:numPr>
                <w:ilvl w:val="0"/>
                <w:numId w:val="1"/>
              </w:numPr>
              <w:pBdr>
                <w:top w:val="nil"/>
                <w:left w:val="nil"/>
                <w:bottom w:val="nil"/>
                <w:right w:val="nil"/>
                <w:between w:val="nil"/>
              </w:pBdr>
              <w:spacing w:after="0" w:line="240" w:lineRule="auto"/>
              <w:ind w:hanging="545"/>
              <w:rPr>
                <w:color w:val="000000"/>
                <w:sz w:val="20"/>
                <w:szCs w:val="20"/>
              </w:rPr>
            </w:pPr>
            <w:bookmarkStart w:id="4" w:name="_heading=h.30j0zll" w:colFirst="0" w:colLast="0"/>
            <w:bookmarkEnd w:id="4"/>
          </w:p>
        </w:tc>
        <w:tc>
          <w:tcPr>
            <w:tcW w:w="5892" w:type="dxa"/>
            <w:tcBorders>
              <w:top w:val="single" w:sz="4" w:space="0" w:color="000000"/>
              <w:left w:val="single" w:sz="4" w:space="0" w:color="000000"/>
              <w:bottom w:val="single" w:sz="4" w:space="0" w:color="000000"/>
              <w:right w:val="single" w:sz="4" w:space="0" w:color="000000"/>
            </w:tcBorders>
          </w:tcPr>
          <w:p w14:paraId="4AE8291F" w14:textId="77777777" w:rsidR="00D14BA4" w:rsidRDefault="00D14BA4">
            <w:pPr>
              <w:jc w:val="both"/>
              <w:rPr>
                <w:color w:val="000000"/>
                <w:sz w:val="20"/>
                <w:szCs w:val="20"/>
              </w:rPr>
            </w:pPr>
            <w:r>
              <w:rPr>
                <w:color w:val="000000"/>
                <w:sz w:val="20"/>
                <w:szCs w:val="20"/>
              </w:rPr>
              <w:t xml:space="preserve">În contextul adoptării Legii nr. 175/2021 pentru modificarea unor acte normative (așa-numita lege „pentru digitalizarea economiei naționale”). Prin intermediul legii nr. 175/2021, alin. (4) al art. 30 din </w:t>
            </w:r>
            <w:r>
              <w:rPr>
                <w:color w:val="000000"/>
                <w:sz w:val="20"/>
                <w:szCs w:val="20"/>
              </w:rPr>
              <w:lastRenderedPageBreak/>
              <w:t xml:space="preserve">Legea nr. 133/2011 privind protecția datelor cu caracter personal a fost abrogat. Acest alineat prevedea că cerințele față de asigurarea securității datelor cu caracter personal la prelucrarea acestora în cadrul sistemelor informaționale de date cu caracter personal se stabilesc de Guvern (i.e. prin intermediul hotărârii Guvernului nr. 1123/2010). Pe de altă parte, aceeași lege a creat unele dintre premisele incipiente pentru implementarea în legislația națională a principiului responsabilității și răspunderii operatorilor pentru prelucrarea datelor cu caracter personal, așa cum aceste reguli sunt prevăzute în Regulamentul (UE) 2016/679 privind protecția persoanelor fizice în ceea ce privește prelucrarea datelor cu caracter personal și privind libera circulație a acestor date. Deoarece hotărârea Guvernului nr. 1123/2010 nu a fost abrogată în termenul indicat în Legea nr. 175/2010 (de 6 luni), operatorii sunt în continuare ținuți de respectarea acesteia, fapt ce contravine dispozițiilor noii legi și scopului urmărit la promovarea ei. Totodată HG nr.1123/2010 pune în aplicare Legea nr.17 din 2007, care la </w:t>
            </w:r>
            <w:proofErr w:type="spellStart"/>
            <w:r>
              <w:rPr>
                <w:color w:val="000000"/>
                <w:sz w:val="20"/>
                <w:szCs w:val="20"/>
              </w:rPr>
              <w:t>rîndul</w:t>
            </w:r>
            <w:proofErr w:type="spellEnd"/>
            <w:r>
              <w:rPr>
                <w:color w:val="000000"/>
                <w:sz w:val="20"/>
                <w:szCs w:val="20"/>
              </w:rPr>
              <w:t xml:space="preserve"> ei a fost abrogată încă în anul 2012.</w:t>
            </w:r>
          </w:p>
        </w:tc>
        <w:tc>
          <w:tcPr>
            <w:tcW w:w="1710" w:type="dxa"/>
            <w:tcBorders>
              <w:top w:val="single" w:sz="4" w:space="0" w:color="000000"/>
              <w:left w:val="single" w:sz="4" w:space="0" w:color="000000"/>
              <w:bottom w:val="single" w:sz="4" w:space="0" w:color="000000"/>
              <w:right w:val="single" w:sz="4" w:space="0" w:color="000000"/>
            </w:tcBorders>
          </w:tcPr>
          <w:p w14:paraId="477E7329" w14:textId="77777777" w:rsidR="00D14BA4" w:rsidRDefault="00D14BA4">
            <w:pPr>
              <w:jc w:val="center"/>
              <w:rPr>
                <w:sz w:val="20"/>
                <w:szCs w:val="20"/>
              </w:rPr>
            </w:pPr>
            <w:proofErr w:type="spellStart"/>
            <w:r>
              <w:rPr>
                <w:sz w:val="20"/>
                <w:szCs w:val="20"/>
              </w:rPr>
              <w:lastRenderedPageBreak/>
              <w:t>Amcham</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5914D11F" w14:textId="77777777" w:rsidR="00D14BA4" w:rsidRDefault="00D14BA4">
            <w:pPr>
              <w:jc w:val="both"/>
              <w:rPr>
                <w:sz w:val="20"/>
                <w:szCs w:val="20"/>
              </w:rPr>
            </w:pPr>
            <w:r>
              <w:rPr>
                <w:color w:val="000000"/>
                <w:sz w:val="20"/>
                <w:szCs w:val="20"/>
              </w:rPr>
              <w:t xml:space="preserve">Abrogarea hotărârii Guvernului nr. 1123/2010 privind aprobarea Cerințelor față de asigurarea securității datelor cu </w:t>
            </w:r>
            <w:r>
              <w:rPr>
                <w:color w:val="000000"/>
                <w:sz w:val="20"/>
                <w:szCs w:val="20"/>
              </w:rPr>
              <w:lastRenderedPageBreak/>
              <w:t>caracter personal la prelucrarea acestora în cadrul sistemelor informaționale de date cu caracter personal</w:t>
            </w:r>
          </w:p>
        </w:tc>
        <w:tc>
          <w:tcPr>
            <w:tcW w:w="2790" w:type="dxa"/>
            <w:tcBorders>
              <w:top w:val="single" w:sz="4" w:space="0" w:color="000000"/>
              <w:left w:val="single" w:sz="4" w:space="0" w:color="000000"/>
              <w:bottom w:val="single" w:sz="4" w:space="0" w:color="000000"/>
              <w:right w:val="single" w:sz="4" w:space="0" w:color="000000"/>
            </w:tcBorders>
          </w:tcPr>
          <w:p w14:paraId="0EA77B51" w14:textId="77777777" w:rsidR="00D14BA4" w:rsidRDefault="00D14BA4">
            <w:pPr>
              <w:jc w:val="both"/>
              <w:rPr>
                <w:sz w:val="20"/>
                <w:szCs w:val="20"/>
              </w:rPr>
            </w:pPr>
            <w:r>
              <w:rPr>
                <w:sz w:val="20"/>
                <w:szCs w:val="20"/>
              </w:rPr>
              <w:lastRenderedPageBreak/>
              <w:t xml:space="preserve">Propunerea are scopul de racordare cadrului subsidiar cu modificările din lege, dar și </w:t>
            </w:r>
            <w:r>
              <w:rPr>
                <w:sz w:val="20"/>
                <w:szCs w:val="20"/>
              </w:rPr>
              <w:lastRenderedPageBreak/>
              <w:t xml:space="preserve">asigură evitarea posibilelor abuzuri sau excese în controlul de stat din domeniul protecției datelor cu caracter </w:t>
            </w:r>
            <w:proofErr w:type="spellStart"/>
            <w:r>
              <w:rPr>
                <w:sz w:val="20"/>
                <w:szCs w:val="20"/>
              </w:rPr>
              <w:t>persoanal</w:t>
            </w:r>
            <w:proofErr w:type="spellEnd"/>
            <w:r>
              <w:rPr>
                <w:sz w:val="20"/>
                <w:szCs w:val="20"/>
              </w:rPr>
              <w:t>.</w:t>
            </w:r>
          </w:p>
        </w:tc>
      </w:tr>
      <w:tr w:rsidR="0060771F" w14:paraId="5FC86346"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06C21C68" w14:textId="77777777" w:rsidR="0060771F" w:rsidRDefault="0060771F" w:rsidP="004E4337">
            <w:pPr>
              <w:jc w:val="center"/>
              <w:rPr>
                <w:b/>
                <w:sz w:val="20"/>
                <w:szCs w:val="20"/>
              </w:rPr>
            </w:pPr>
            <w:r>
              <w:rPr>
                <w:b/>
                <w:sz w:val="20"/>
                <w:szCs w:val="20"/>
              </w:rPr>
              <w:lastRenderedPageBreak/>
              <w:t>DOMENIUL – COMERȚ ȘI PROTECȚIA CONSUMATORILOR</w:t>
            </w:r>
          </w:p>
        </w:tc>
      </w:tr>
      <w:tr w:rsidR="00D14BA4" w14:paraId="4B3E27D4"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5E812F15" w14:textId="77777777" w:rsidR="00D14BA4" w:rsidRDefault="00D14BA4">
            <w:pPr>
              <w:numPr>
                <w:ilvl w:val="0"/>
                <w:numId w:val="1"/>
              </w:numPr>
              <w:pBdr>
                <w:top w:val="nil"/>
                <w:left w:val="nil"/>
                <w:bottom w:val="nil"/>
                <w:right w:val="nil"/>
                <w:between w:val="nil"/>
              </w:pBdr>
              <w:spacing w:after="0" w:line="240" w:lineRule="auto"/>
              <w:ind w:hanging="545"/>
              <w:rPr>
                <w:color w:val="000000"/>
                <w:sz w:val="20"/>
                <w:szCs w:val="20"/>
              </w:rPr>
            </w:pPr>
          </w:p>
        </w:tc>
        <w:tc>
          <w:tcPr>
            <w:tcW w:w="5892" w:type="dxa"/>
            <w:tcBorders>
              <w:top w:val="single" w:sz="4" w:space="0" w:color="000000"/>
              <w:left w:val="single" w:sz="4" w:space="0" w:color="000000"/>
              <w:bottom w:val="single" w:sz="4" w:space="0" w:color="000000"/>
              <w:right w:val="single" w:sz="4" w:space="0" w:color="000000"/>
            </w:tcBorders>
          </w:tcPr>
          <w:p w14:paraId="1CF81624" w14:textId="77777777" w:rsidR="00D14BA4" w:rsidRDefault="00D14BA4">
            <w:pPr>
              <w:jc w:val="both"/>
              <w:rPr>
                <w:sz w:val="20"/>
                <w:szCs w:val="20"/>
              </w:rPr>
            </w:pPr>
            <w:r>
              <w:rPr>
                <w:sz w:val="20"/>
                <w:szCs w:val="20"/>
              </w:rPr>
              <w:t xml:space="preserve">Proiectul de lege, aprobat prin HG nr.1 din 10 ianuarie 2024, pentru modificarea unor acte normative (facilitarea activității mediului de afaceri IV) </w:t>
            </w:r>
          </w:p>
          <w:p w14:paraId="747630ED" w14:textId="77777777" w:rsidR="00D14BA4" w:rsidRDefault="00D14BA4">
            <w:pPr>
              <w:jc w:val="both"/>
              <w:rPr>
                <w:color w:val="000000"/>
                <w:sz w:val="20"/>
                <w:szCs w:val="20"/>
                <w:highlight w:val="white"/>
              </w:rPr>
            </w:pPr>
            <w:r>
              <w:rPr>
                <w:sz w:val="20"/>
                <w:szCs w:val="20"/>
              </w:rPr>
              <w:t>[</w:t>
            </w:r>
            <w:hyperlink r:id="rId6">
              <w:r>
                <w:rPr>
                  <w:color w:val="0563C1"/>
                  <w:sz w:val="20"/>
                  <w:szCs w:val="20"/>
                  <w:u w:val="single"/>
                </w:rPr>
                <w:t>https://www.parlament.md/ProcesulLegislativ/Proiectedeactenormative/tabid/61/LegislativId/6825/language/ro-RO/Default.aspx</w:t>
              </w:r>
            </w:hyperlink>
            <w:r>
              <w:rPr>
                <w:sz w:val="20"/>
                <w:szCs w:val="20"/>
              </w:rPr>
              <w:t>] vine să modifice Legea nr.105/2003, să excludă Registrul de reclamații ca și modalitate obligatorie de recepționare și înregistrare a reclamațiilor de la consumatori. Ca urmare a modificărilor, se impune racordarea cadrului normativ subsidiar.</w:t>
            </w:r>
          </w:p>
        </w:tc>
        <w:tc>
          <w:tcPr>
            <w:tcW w:w="1710" w:type="dxa"/>
            <w:tcBorders>
              <w:top w:val="single" w:sz="4" w:space="0" w:color="000000"/>
              <w:left w:val="single" w:sz="4" w:space="0" w:color="000000"/>
              <w:bottom w:val="single" w:sz="4" w:space="0" w:color="000000"/>
              <w:right w:val="single" w:sz="4" w:space="0" w:color="000000"/>
            </w:tcBorders>
          </w:tcPr>
          <w:p w14:paraId="753FE9BB" w14:textId="77777777" w:rsidR="00D14BA4" w:rsidRDefault="00D14BA4">
            <w:pPr>
              <w:jc w:val="center"/>
              <w:rPr>
                <w:color w:val="000000"/>
                <w:sz w:val="20"/>
                <w:szCs w:val="20"/>
                <w:highlight w:val="white"/>
              </w:rPr>
            </w:pPr>
            <w:proofErr w:type="spellStart"/>
            <w:r>
              <w:rPr>
                <w:sz w:val="20"/>
                <w:szCs w:val="20"/>
                <w:highlight w:val="white"/>
              </w:rPr>
              <w:t>Consecon</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2FF6B208" w14:textId="77777777" w:rsidR="00D14BA4" w:rsidRDefault="00D14BA4">
            <w:pPr>
              <w:jc w:val="both"/>
              <w:rPr>
                <w:sz w:val="20"/>
                <w:szCs w:val="20"/>
              </w:rPr>
            </w:pPr>
            <w:r>
              <w:rPr>
                <w:color w:val="000000"/>
                <w:sz w:val="20"/>
                <w:szCs w:val="20"/>
              </w:rPr>
              <w:t xml:space="preserve">Abrogarea </w:t>
            </w:r>
            <w:proofErr w:type="spellStart"/>
            <w:r>
              <w:rPr>
                <w:color w:val="000000"/>
                <w:sz w:val="20"/>
                <w:szCs w:val="20"/>
              </w:rPr>
              <w:t>Hotărîrii</w:t>
            </w:r>
            <w:proofErr w:type="spellEnd"/>
            <w:r>
              <w:rPr>
                <w:color w:val="000000"/>
                <w:sz w:val="20"/>
                <w:szCs w:val="20"/>
              </w:rPr>
              <w:t xml:space="preserve"> de Guvern nr.1141 din 04-10-2006 pentru aprobarea Regulamentului cu privire la modul de gestionare a Registrului de </w:t>
            </w:r>
            <w:proofErr w:type="spellStart"/>
            <w:r>
              <w:rPr>
                <w:color w:val="000000"/>
                <w:sz w:val="20"/>
                <w:szCs w:val="20"/>
              </w:rPr>
              <w:t>reclamaţii</w:t>
            </w:r>
            <w:proofErr w:type="spellEnd"/>
            <w:r>
              <w:rPr>
                <w:color w:val="000000"/>
                <w:sz w:val="20"/>
                <w:szCs w:val="20"/>
              </w:rPr>
              <w:t>, urmare a modificărilor din lege.</w:t>
            </w:r>
          </w:p>
        </w:tc>
        <w:tc>
          <w:tcPr>
            <w:tcW w:w="2790" w:type="dxa"/>
            <w:tcBorders>
              <w:top w:val="single" w:sz="4" w:space="0" w:color="000000"/>
              <w:left w:val="single" w:sz="4" w:space="0" w:color="000000"/>
              <w:bottom w:val="single" w:sz="4" w:space="0" w:color="000000"/>
              <w:right w:val="single" w:sz="4" w:space="0" w:color="000000"/>
            </w:tcBorders>
          </w:tcPr>
          <w:p w14:paraId="2618A391" w14:textId="77777777" w:rsidR="00D14BA4" w:rsidRDefault="00D14BA4">
            <w:pPr>
              <w:jc w:val="both"/>
              <w:rPr>
                <w:sz w:val="20"/>
                <w:szCs w:val="20"/>
              </w:rPr>
            </w:pPr>
            <w:r>
              <w:rPr>
                <w:sz w:val="20"/>
                <w:szCs w:val="20"/>
              </w:rPr>
              <w:t>Propunerea are scopul de racordare cadrului subsidiar cu modificările din lege, dar și asigură evitarea posibilelor abuzuri sau excese în controlul de stat din domeniul protecției consumatorului.</w:t>
            </w:r>
          </w:p>
        </w:tc>
      </w:tr>
      <w:tr w:rsidR="0060771F" w14:paraId="336C6BD3"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50038E06" w14:textId="77777777" w:rsidR="0060771F" w:rsidRDefault="0060771F" w:rsidP="004E4337">
            <w:pPr>
              <w:jc w:val="center"/>
              <w:rPr>
                <w:b/>
                <w:sz w:val="20"/>
                <w:szCs w:val="20"/>
              </w:rPr>
            </w:pPr>
            <w:r>
              <w:rPr>
                <w:b/>
                <w:sz w:val="20"/>
                <w:szCs w:val="20"/>
              </w:rPr>
              <w:t>DOMENIUL - ACHIZIȚII PUBLICE</w:t>
            </w:r>
          </w:p>
        </w:tc>
      </w:tr>
      <w:tr w:rsidR="00D14BA4" w14:paraId="25B5BB79"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17007FC8" w14:textId="77777777" w:rsidR="00D14BA4" w:rsidRDefault="00D14BA4">
            <w:pPr>
              <w:numPr>
                <w:ilvl w:val="0"/>
                <w:numId w:val="1"/>
              </w:numPr>
              <w:pBdr>
                <w:top w:val="nil"/>
                <w:left w:val="nil"/>
                <w:bottom w:val="nil"/>
                <w:right w:val="nil"/>
                <w:between w:val="nil"/>
              </w:pBdr>
              <w:spacing w:after="0" w:line="240" w:lineRule="auto"/>
              <w:ind w:hanging="545"/>
              <w:rPr>
                <w:color w:val="000000"/>
                <w:sz w:val="20"/>
                <w:szCs w:val="20"/>
              </w:rPr>
            </w:pPr>
          </w:p>
        </w:tc>
        <w:tc>
          <w:tcPr>
            <w:tcW w:w="5892" w:type="dxa"/>
            <w:tcBorders>
              <w:top w:val="single" w:sz="4" w:space="0" w:color="000000"/>
              <w:left w:val="single" w:sz="4" w:space="0" w:color="000000"/>
              <w:bottom w:val="single" w:sz="4" w:space="0" w:color="000000"/>
              <w:right w:val="single" w:sz="4" w:space="0" w:color="000000"/>
            </w:tcBorders>
          </w:tcPr>
          <w:p w14:paraId="0932E95C" w14:textId="77777777" w:rsidR="00D14BA4" w:rsidRDefault="00D14BA4">
            <w:pPr>
              <w:jc w:val="both"/>
              <w:rPr>
                <w:sz w:val="20"/>
                <w:szCs w:val="20"/>
              </w:rPr>
            </w:pPr>
            <w:r>
              <w:rPr>
                <w:sz w:val="20"/>
                <w:szCs w:val="20"/>
              </w:rPr>
              <w:t>Proiectul de lege, aprobat prin HG nr.1 din 10 ianuarie 2024, pentru modificarea unor acte normative (facilitarea activității mediului de afaceri IV) [</w:t>
            </w:r>
            <w:hyperlink r:id="rId7">
              <w:r>
                <w:rPr>
                  <w:color w:val="0563C1"/>
                  <w:sz w:val="20"/>
                  <w:szCs w:val="20"/>
                  <w:u w:val="single"/>
                </w:rPr>
                <w:t>https://www.parlament.md/ProcesulLegislativ/Proiectedeactenormative/tabid/61/LegislativId/6825/language/ro-RO/Default.aspx</w:t>
              </w:r>
            </w:hyperlink>
            <w:r>
              <w:rPr>
                <w:sz w:val="20"/>
                <w:szCs w:val="20"/>
              </w:rPr>
              <w:t>] vine să completeze art.56 alin.(3) din Legea nr.131/2015 cu textul „</w:t>
            </w:r>
            <w:r>
              <w:rPr>
                <w:color w:val="000000"/>
                <w:sz w:val="20"/>
                <w:szCs w:val="20"/>
                <w:highlight w:val="white"/>
              </w:rPr>
              <w:t xml:space="preserve">sau о bursă de mărfuri, în condițiile stabilite de Guvern;”. Prin aceste modificări </w:t>
            </w:r>
            <w:r>
              <w:rPr>
                <w:sz w:val="20"/>
                <w:szCs w:val="20"/>
              </w:rPr>
              <w:t xml:space="preserve">se urmărește acordarea posibilității ca, într-un </w:t>
            </w:r>
            <w:proofErr w:type="spellStart"/>
            <w:r>
              <w:rPr>
                <w:sz w:val="20"/>
                <w:szCs w:val="20"/>
              </w:rPr>
              <w:t>rînd</w:t>
            </w:r>
            <w:proofErr w:type="spellEnd"/>
            <w:r>
              <w:rPr>
                <w:sz w:val="20"/>
                <w:szCs w:val="20"/>
              </w:rPr>
              <w:t xml:space="preserve"> de situații limitate, achizițiile publice să poată fi realizate și prin intermediul burselor de mărfuri, implicit utilizând procedura de negociere fără publicarea prealabilă a unui anunț de participare.</w:t>
            </w:r>
          </w:p>
          <w:p w14:paraId="012F2FC3" w14:textId="77777777" w:rsidR="00D14BA4" w:rsidRDefault="00D14BA4">
            <w:pPr>
              <w:jc w:val="both"/>
              <w:rPr>
                <w:sz w:val="20"/>
                <w:szCs w:val="20"/>
              </w:rPr>
            </w:pPr>
            <w:r>
              <w:rPr>
                <w:sz w:val="20"/>
                <w:szCs w:val="20"/>
              </w:rPr>
              <w:t xml:space="preserve">În acest context, în termeni proximi sunt necesare completările de rigoare în </w:t>
            </w:r>
            <w:proofErr w:type="spellStart"/>
            <w:r>
              <w:rPr>
                <w:sz w:val="20"/>
                <w:szCs w:val="20"/>
              </w:rPr>
              <w:t>Hotărîrea</w:t>
            </w:r>
            <w:proofErr w:type="spellEnd"/>
            <w:r>
              <w:rPr>
                <w:sz w:val="20"/>
                <w:szCs w:val="20"/>
              </w:rPr>
              <w:t xml:space="preserve"> de Guvern nr. 599/2020 pentru aprobarea Regulamentului cu privire la achizițiile publice folosind procedura de negociere cu scopul de a pune în aplicare modificările în lege (pachet 4) în raport cu achiziții prin intermediul burselor de mărfuri și a indica modul în care aceste achiziții pot fi realizate.</w:t>
            </w:r>
          </w:p>
        </w:tc>
        <w:tc>
          <w:tcPr>
            <w:tcW w:w="1710" w:type="dxa"/>
            <w:tcBorders>
              <w:top w:val="single" w:sz="4" w:space="0" w:color="000000"/>
              <w:left w:val="single" w:sz="4" w:space="0" w:color="000000"/>
              <w:bottom w:val="single" w:sz="4" w:space="0" w:color="000000"/>
              <w:right w:val="single" w:sz="4" w:space="0" w:color="000000"/>
            </w:tcBorders>
          </w:tcPr>
          <w:p w14:paraId="0A480E4E" w14:textId="77777777" w:rsidR="00D14BA4" w:rsidRDefault="00D14BA4">
            <w:pPr>
              <w:jc w:val="center"/>
              <w:rPr>
                <w:color w:val="000000"/>
                <w:sz w:val="20"/>
                <w:szCs w:val="20"/>
                <w:highlight w:val="white"/>
              </w:rPr>
            </w:pPr>
            <w:proofErr w:type="spellStart"/>
            <w:r>
              <w:rPr>
                <w:color w:val="000000"/>
                <w:sz w:val="20"/>
                <w:szCs w:val="20"/>
                <w:highlight w:val="white"/>
              </w:rPr>
              <w:t>Consecon</w:t>
            </w:r>
            <w:proofErr w:type="spellEnd"/>
          </w:p>
        </w:tc>
        <w:tc>
          <w:tcPr>
            <w:tcW w:w="3690" w:type="dxa"/>
            <w:tcBorders>
              <w:top w:val="single" w:sz="4" w:space="0" w:color="000000"/>
              <w:left w:val="single" w:sz="4" w:space="0" w:color="000000"/>
              <w:bottom w:val="single" w:sz="4" w:space="0" w:color="000000"/>
              <w:right w:val="single" w:sz="4" w:space="0" w:color="000000"/>
            </w:tcBorders>
          </w:tcPr>
          <w:p w14:paraId="09597E3D" w14:textId="77777777" w:rsidR="00D14BA4" w:rsidRDefault="00D14BA4">
            <w:pPr>
              <w:jc w:val="both"/>
              <w:rPr>
                <w:sz w:val="20"/>
                <w:szCs w:val="20"/>
              </w:rPr>
            </w:pPr>
            <w:r>
              <w:rPr>
                <w:sz w:val="20"/>
                <w:szCs w:val="20"/>
              </w:rPr>
              <w:t xml:space="preserve">În special sunt necesare modificări la pct.130 (3) din HG nr. 599/2020 pentru ca acesta să fie racordat la modificările din lege, adică pe </w:t>
            </w:r>
            <w:proofErr w:type="spellStart"/>
            <w:r>
              <w:rPr>
                <w:sz w:val="20"/>
                <w:szCs w:val="20"/>
              </w:rPr>
              <w:t>lîngă</w:t>
            </w:r>
            <w:proofErr w:type="spellEnd"/>
            <w:r>
              <w:rPr>
                <w:sz w:val="20"/>
                <w:szCs w:val="20"/>
              </w:rPr>
              <w:t xml:space="preserve"> „bursa de materii prime” să fie completat cu textul „sau o bursă de mărfuri”.</w:t>
            </w:r>
          </w:p>
          <w:p w14:paraId="494C961B" w14:textId="77777777" w:rsidR="00D14BA4" w:rsidRDefault="00D14BA4">
            <w:pPr>
              <w:jc w:val="both"/>
              <w:rPr>
                <w:color w:val="000000"/>
                <w:sz w:val="20"/>
                <w:szCs w:val="20"/>
                <w:highlight w:val="white"/>
              </w:rPr>
            </w:pPr>
            <w:r>
              <w:rPr>
                <w:sz w:val="20"/>
                <w:szCs w:val="20"/>
              </w:rPr>
              <w:t xml:space="preserve">Complementar pot fi incluse prevederi suplimentare pentru evitarea unor riscuri de evitare a procedurii obișnuite de licitație din partea autorităților. Cel puțin posibilitatea de achiziție nemijlocit prin bursă poate fi </w:t>
            </w:r>
            <w:proofErr w:type="spellStart"/>
            <w:r>
              <w:rPr>
                <w:sz w:val="20"/>
                <w:szCs w:val="20"/>
              </w:rPr>
              <w:t>restrînsă</w:t>
            </w:r>
            <w:proofErr w:type="spellEnd"/>
            <w:r>
              <w:rPr>
                <w:sz w:val="20"/>
                <w:szCs w:val="20"/>
              </w:rPr>
              <w:t xml:space="preserve"> la situațiile de la pct.128 1) și 2), adică să poată fi accesata bursa numai după ce o licitație a eșuat sau în situație de maximă urgență. Alternativ, achizițiile nemijlocit prin bursă ar putea fi limitate la o listă limitată de produse care ar putea fi inclusă în anexă la HG nr.599/2020 sau ar putea însăși Ministerul Finanțelor să o aprobe prin ordin, în </w:t>
            </w:r>
            <w:proofErr w:type="spellStart"/>
            <w:r>
              <w:rPr>
                <w:sz w:val="20"/>
                <w:szCs w:val="20"/>
              </w:rPr>
              <w:t>Hotărîrea</w:t>
            </w:r>
            <w:proofErr w:type="spellEnd"/>
            <w:r>
              <w:rPr>
                <w:sz w:val="20"/>
                <w:szCs w:val="20"/>
              </w:rPr>
              <w:t xml:space="preserve"> să fie doar indicată împuternicirea în cauză. </w:t>
            </w:r>
          </w:p>
        </w:tc>
        <w:tc>
          <w:tcPr>
            <w:tcW w:w="2790" w:type="dxa"/>
            <w:tcBorders>
              <w:top w:val="single" w:sz="4" w:space="0" w:color="000000"/>
              <w:left w:val="single" w:sz="4" w:space="0" w:color="000000"/>
              <w:bottom w:val="single" w:sz="4" w:space="0" w:color="000000"/>
              <w:right w:val="single" w:sz="4" w:space="0" w:color="000000"/>
            </w:tcBorders>
          </w:tcPr>
          <w:p w14:paraId="1A2764E3" w14:textId="77777777" w:rsidR="00D14BA4" w:rsidRDefault="00D14BA4">
            <w:pPr>
              <w:jc w:val="both"/>
              <w:rPr>
                <w:sz w:val="20"/>
                <w:szCs w:val="20"/>
              </w:rPr>
            </w:pPr>
            <w:r>
              <w:rPr>
                <w:sz w:val="20"/>
                <w:szCs w:val="20"/>
              </w:rPr>
              <w:t xml:space="preserve">Se urmărește punerea în aplicare a modificărilor promovate la Legea nr.131/2015, prin care se urmărește acordarea posibilității ca, într-un </w:t>
            </w:r>
            <w:proofErr w:type="spellStart"/>
            <w:r>
              <w:rPr>
                <w:sz w:val="20"/>
                <w:szCs w:val="20"/>
              </w:rPr>
              <w:t>rînd</w:t>
            </w:r>
            <w:proofErr w:type="spellEnd"/>
            <w:r>
              <w:rPr>
                <w:sz w:val="20"/>
                <w:szCs w:val="20"/>
              </w:rPr>
              <w:t xml:space="preserve"> de situații limitate, achizițiile publice să poată fi realizate și prin intermediul burselor de mărfuri, ceea ce va aduce un aport considerabil în privința diversității mărfurilor ce pot fi achiziționate și posibilitatea de a obține mărfuri mai calitative la prețuri mai atractive pentru autorități, din altă perspectivă posibilitatea mai multor </w:t>
            </w:r>
            <w:proofErr w:type="spellStart"/>
            <w:r>
              <w:rPr>
                <w:sz w:val="20"/>
                <w:szCs w:val="20"/>
              </w:rPr>
              <w:t>vînzători</w:t>
            </w:r>
            <w:proofErr w:type="spellEnd"/>
            <w:r>
              <w:rPr>
                <w:sz w:val="20"/>
                <w:szCs w:val="20"/>
              </w:rPr>
              <w:t xml:space="preserve"> să-și </w:t>
            </w:r>
            <w:proofErr w:type="spellStart"/>
            <w:r>
              <w:rPr>
                <w:sz w:val="20"/>
                <w:szCs w:val="20"/>
              </w:rPr>
              <w:t>vîndă</w:t>
            </w:r>
            <w:proofErr w:type="spellEnd"/>
            <w:r>
              <w:rPr>
                <w:sz w:val="20"/>
                <w:szCs w:val="20"/>
              </w:rPr>
              <w:t xml:space="preserve"> marfa.</w:t>
            </w:r>
          </w:p>
        </w:tc>
      </w:tr>
      <w:tr w:rsidR="00091D9E" w14:paraId="34489B83"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410D3F77" w14:textId="77777777" w:rsidR="00091D9E" w:rsidRDefault="00091D9E" w:rsidP="004E4337">
            <w:pPr>
              <w:jc w:val="center"/>
              <w:rPr>
                <w:b/>
                <w:sz w:val="20"/>
                <w:szCs w:val="20"/>
              </w:rPr>
            </w:pPr>
            <w:r>
              <w:rPr>
                <w:b/>
                <w:sz w:val="20"/>
                <w:szCs w:val="20"/>
              </w:rPr>
              <w:t>DOMENIUL- CONSTRUCȚII ȘI URBANISM</w:t>
            </w:r>
          </w:p>
        </w:tc>
      </w:tr>
      <w:tr w:rsidR="00D14BA4" w14:paraId="77CC058B" w14:textId="77777777" w:rsidTr="001D4F20">
        <w:trPr>
          <w:trHeight w:val="6038"/>
        </w:trPr>
        <w:tc>
          <w:tcPr>
            <w:tcW w:w="705" w:type="dxa"/>
            <w:tcBorders>
              <w:top w:val="single" w:sz="4" w:space="0" w:color="000000"/>
              <w:left w:val="single" w:sz="4" w:space="0" w:color="000000"/>
              <w:bottom w:val="single" w:sz="4" w:space="0" w:color="000000"/>
              <w:right w:val="single" w:sz="4" w:space="0" w:color="000000"/>
            </w:tcBorders>
          </w:tcPr>
          <w:p w14:paraId="77626BD8" w14:textId="77777777" w:rsidR="00D14BA4" w:rsidRDefault="00D14BA4" w:rsidP="00987C03">
            <w:pPr>
              <w:widowControl w:val="0"/>
              <w:numPr>
                <w:ilvl w:val="0"/>
                <w:numId w:val="1"/>
              </w:numPr>
              <w:pBdr>
                <w:top w:val="nil"/>
                <w:left w:val="nil"/>
                <w:bottom w:val="nil"/>
                <w:right w:val="nil"/>
                <w:between w:val="nil"/>
              </w:pBdr>
              <w:spacing w:after="0" w:line="240" w:lineRule="auto"/>
              <w:ind w:hanging="545"/>
              <w:rPr>
                <w:sz w:val="20"/>
                <w:szCs w:val="20"/>
              </w:rPr>
            </w:pPr>
            <w:r>
              <w:rPr>
                <w:sz w:val="20"/>
                <w:szCs w:val="20"/>
              </w:rPr>
              <w:lastRenderedPageBreak/>
              <w:t>6.</w:t>
            </w:r>
          </w:p>
        </w:tc>
        <w:tc>
          <w:tcPr>
            <w:tcW w:w="5892" w:type="dxa"/>
            <w:tcBorders>
              <w:top w:val="single" w:sz="4" w:space="0" w:color="000000"/>
              <w:left w:val="single" w:sz="4" w:space="0" w:color="000000"/>
              <w:bottom w:val="single" w:sz="4" w:space="0" w:color="000000"/>
              <w:right w:val="single" w:sz="4" w:space="0" w:color="000000"/>
            </w:tcBorders>
          </w:tcPr>
          <w:p w14:paraId="15D034C2" w14:textId="77777777" w:rsidR="00D14BA4" w:rsidRDefault="00D14BA4" w:rsidP="000978C7">
            <w:pPr>
              <w:jc w:val="both"/>
              <w:rPr>
                <w:sz w:val="20"/>
                <w:szCs w:val="20"/>
              </w:rPr>
            </w:pPr>
            <w:r>
              <w:rPr>
                <w:sz w:val="20"/>
                <w:szCs w:val="20"/>
              </w:rPr>
              <w:t xml:space="preserve">Conform ultimilor modificări la </w:t>
            </w:r>
            <w:proofErr w:type="spellStart"/>
            <w:r>
              <w:rPr>
                <w:sz w:val="20"/>
                <w:szCs w:val="20"/>
              </w:rPr>
              <w:t>Hotărîrea</w:t>
            </w:r>
            <w:proofErr w:type="spellEnd"/>
            <w:r>
              <w:rPr>
                <w:sz w:val="20"/>
                <w:szCs w:val="20"/>
              </w:rPr>
              <w:t xml:space="preserve"> de Guvern nr.285/1996 cu privire la aprobarea Regulamentului de recepție a construcțiilor </w:t>
            </w:r>
            <w:proofErr w:type="spellStart"/>
            <w:r>
              <w:rPr>
                <w:sz w:val="20"/>
                <w:szCs w:val="20"/>
              </w:rPr>
              <w:t>şi</w:t>
            </w:r>
            <w:proofErr w:type="spellEnd"/>
            <w:r>
              <w:rPr>
                <w:sz w:val="20"/>
                <w:szCs w:val="20"/>
              </w:rPr>
              <w:t xml:space="preserve"> instalațiilor aferente, s-a inclus obligația ca toate procesele-verbale de recepție să fie exclusive în formă electronica. Acest fapt creează incomodități pentru mai mulți antreprenori și specialiști în construcții care fie nu dețin semnătură electronica sau au dificultăți în utilizare. Prevederile actuale sunt expuse în următorul mod:</w:t>
            </w:r>
            <w:r w:rsidRPr="000978C7">
              <w:rPr>
                <w:sz w:val="20"/>
                <w:szCs w:val="20"/>
              </w:rPr>
              <w:t xml:space="preserve">53. Procesele-verbale se semnează exclusiv cu aplicarea semnăturii </w:t>
            </w:r>
            <w:proofErr w:type="spellStart"/>
            <w:r w:rsidRPr="000978C7">
              <w:rPr>
                <w:sz w:val="20"/>
                <w:szCs w:val="20"/>
              </w:rPr>
              <w:t>electronice.Se</w:t>
            </w:r>
            <w:proofErr w:type="spellEnd"/>
            <w:r w:rsidRPr="000978C7">
              <w:rPr>
                <w:sz w:val="20"/>
                <w:szCs w:val="20"/>
              </w:rPr>
              <w:t xml:space="preserve"> admite semnătura olografă pentru membrii comisiei de recepție doar în cazul clădirilor de locuit, pentru una sau două familii, și al anexelor gospodărești ale acestora, unde investitorii sunt persoane fizice care nu dețin semnătura electronică.</w:t>
            </w:r>
          </w:p>
        </w:tc>
        <w:tc>
          <w:tcPr>
            <w:tcW w:w="1710" w:type="dxa"/>
            <w:tcBorders>
              <w:top w:val="single" w:sz="4" w:space="0" w:color="000000"/>
              <w:left w:val="single" w:sz="4" w:space="0" w:color="000000"/>
              <w:bottom w:val="single" w:sz="4" w:space="0" w:color="000000"/>
              <w:right w:val="single" w:sz="4" w:space="0" w:color="000000"/>
            </w:tcBorders>
          </w:tcPr>
          <w:p w14:paraId="6F84B08B" w14:textId="77777777" w:rsidR="00D14BA4" w:rsidRDefault="00D14BA4" w:rsidP="00987C03">
            <w:pPr>
              <w:widowControl w:val="0"/>
              <w:jc w:val="center"/>
              <w:rPr>
                <w:color w:val="000000"/>
                <w:sz w:val="20"/>
                <w:szCs w:val="20"/>
                <w:highlight w:val="white"/>
              </w:rPr>
            </w:pPr>
          </w:p>
        </w:tc>
        <w:tc>
          <w:tcPr>
            <w:tcW w:w="3690" w:type="dxa"/>
            <w:tcBorders>
              <w:top w:val="single" w:sz="4" w:space="0" w:color="000000"/>
              <w:left w:val="single" w:sz="4" w:space="0" w:color="000000"/>
              <w:bottom w:val="single" w:sz="4" w:space="0" w:color="000000"/>
              <w:right w:val="single" w:sz="4" w:space="0" w:color="000000"/>
            </w:tcBorders>
          </w:tcPr>
          <w:p w14:paraId="5075BBEE" w14:textId="77777777" w:rsidR="00D14BA4" w:rsidRDefault="00D14BA4" w:rsidP="00987C03">
            <w:pPr>
              <w:widowControl w:val="0"/>
              <w:spacing w:after="0" w:line="240" w:lineRule="auto"/>
              <w:jc w:val="both"/>
              <w:rPr>
                <w:sz w:val="20"/>
                <w:szCs w:val="20"/>
              </w:rPr>
            </w:pPr>
            <w:r>
              <w:rPr>
                <w:sz w:val="20"/>
                <w:szCs w:val="20"/>
              </w:rPr>
              <w:t xml:space="preserve">Modificări propuse la </w:t>
            </w:r>
            <w:proofErr w:type="spellStart"/>
            <w:r>
              <w:rPr>
                <w:sz w:val="20"/>
                <w:szCs w:val="20"/>
              </w:rPr>
              <w:t>Hotărîrea</w:t>
            </w:r>
            <w:proofErr w:type="spellEnd"/>
            <w:r>
              <w:rPr>
                <w:sz w:val="20"/>
                <w:szCs w:val="20"/>
              </w:rPr>
              <w:t xml:space="preserve"> de Guvern nr.285/1996 cu privire la aprobarea Regulamentului de </w:t>
            </w:r>
            <w:proofErr w:type="spellStart"/>
            <w:r>
              <w:rPr>
                <w:sz w:val="20"/>
                <w:szCs w:val="20"/>
              </w:rPr>
              <w:t>recepţie</w:t>
            </w:r>
            <w:proofErr w:type="spellEnd"/>
            <w:r>
              <w:rPr>
                <w:sz w:val="20"/>
                <w:szCs w:val="20"/>
              </w:rPr>
              <w:t xml:space="preserve"> a </w:t>
            </w:r>
            <w:proofErr w:type="spellStart"/>
            <w:r>
              <w:rPr>
                <w:sz w:val="20"/>
                <w:szCs w:val="20"/>
              </w:rPr>
              <w:t>construcţiilor</w:t>
            </w:r>
            <w:proofErr w:type="spellEnd"/>
            <w:r>
              <w:rPr>
                <w:sz w:val="20"/>
                <w:szCs w:val="20"/>
              </w:rPr>
              <w:t xml:space="preserve"> </w:t>
            </w:r>
            <w:proofErr w:type="spellStart"/>
            <w:r>
              <w:rPr>
                <w:sz w:val="20"/>
                <w:szCs w:val="20"/>
              </w:rPr>
              <w:t>şi</w:t>
            </w:r>
            <w:proofErr w:type="spellEnd"/>
            <w:r>
              <w:rPr>
                <w:sz w:val="20"/>
                <w:szCs w:val="20"/>
              </w:rPr>
              <w:t xml:space="preserve"> </w:t>
            </w:r>
            <w:proofErr w:type="spellStart"/>
            <w:r>
              <w:rPr>
                <w:sz w:val="20"/>
                <w:szCs w:val="20"/>
              </w:rPr>
              <w:t>instalaţiilor</w:t>
            </w:r>
            <w:proofErr w:type="spellEnd"/>
            <w:r>
              <w:rPr>
                <w:sz w:val="20"/>
                <w:szCs w:val="20"/>
              </w:rPr>
              <w:t xml:space="preserve"> aferente: </w:t>
            </w:r>
          </w:p>
          <w:p w14:paraId="4FB787FB" w14:textId="77777777" w:rsidR="00D14BA4" w:rsidRDefault="00D14BA4" w:rsidP="00987C03">
            <w:pPr>
              <w:widowControl w:val="0"/>
              <w:spacing w:after="0" w:line="240" w:lineRule="auto"/>
              <w:jc w:val="both"/>
              <w:rPr>
                <w:sz w:val="20"/>
                <w:szCs w:val="20"/>
              </w:rPr>
            </w:pPr>
            <w:r>
              <w:rPr>
                <w:sz w:val="20"/>
                <w:szCs w:val="20"/>
              </w:rPr>
              <w:t>53. Procesele-verbale se semnează exclusiv cu aplicarea semnăturii electronice. În situația în care un membru a comisiei de recepție nu deține sau nu poate aplica semnătură electronică, acesta împuternicește o persoană terță, în temeiul unei procuri, sau registratorul, în temeiul unui act de împuternicire în forma stabilită de Instituția Publică „Cadastrul Bunurilor Imobile”, să aplice semnătura electronică în numele membrului comisiei în cauză. Faptul aplicării semnăturii electronice în temeiul împuternicirii se consemnează în procesul-verbal de recepție finală.</w:t>
            </w:r>
          </w:p>
          <w:p w14:paraId="4EE87EF3" w14:textId="77777777" w:rsidR="00D14BA4" w:rsidRDefault="00D14BA4" w:rsidP="00987C03">
            <w:pPr>
              <w:widowControl w:val="0"/>
              <w:spacing w:after="0" w:line="240" w:lineRule="auto"/>
              <w:jc w:val="both"/>
              <w:rPr>
                <w:sz w:val="20"/>
                <w:szCs w:val="20"/>
              </w:rPr>
            </w:pPr>
            <w:r>
              <w:rPr>
                <w:sz w:val="20"/>
                <w:szCs w:val="20"/>
              </w:rPr>
              <w:t>Se admite semnarea proceselor-verbale cu semnătură olografă de către toți membrii comisiei de recepție:</w:t>
            </w:r>
          </w:p>
          <w:p w14:paraId="485B1727" w14:textId="77777777" w:rsidR="00D14BA4" w:rsidRDefault="00D14BA4" w:rsidP="00987C03">
            <w:pPr>
              <w:widowControl w:val="0"/>
              <w:spacing w:after="0" w:line="240" w:lineRule="auto"/>
              <w:jc w:val="both"/>
              <w:rPr>
                <w:sz w:val="20"/>
                <w:szCs w:val="20"/>
              </w:rPr>
            </w:pPr>
            <w:r>
              <w:rPr>
                <w:sz w:val="20"/>
                <w:szCs w:val="20"/>
              </w:rPr>
              <w:t>- în cazul clădirilor de locuit, pentru una sau două familii, și al anexelor gospodărești ale acestora, unde investitorii sunt persoane fizice care nu dețin semnătura electronica</w:t>
            </w:r>
          </w:p>
          <w:p w14:paraId="69941C11" w14:textId="77777777" w:rsidR="00D14BA4" w:rsidRDefault="00D14BA4" w:rsidP="00987C03">
            <w:pPr>
              <w:widowControl w:val="0"/>
              <w:spacing w:after="0" w:line="240" w:lineRule="auto"/>
              <w:jc w:val="both"/>
              <w:rPr>
                <w:sz w:val="20"/>
                <w:szCs w:val="20"/>
              </w:rPr>
            </w:pPr>
            <w:r>
              <w:rPr>
                <w:sz w:val="20"/>
                <w:szCs w:val="20"/>
              </w:rPr>
              <w:t xml:space="preserve">- dacă procesele-verbale au fost elaborate și procedura de semnare a acestora a început </w:t>
            </w:r>
            <w:proofErr w:type="spellStart"/>
            <w:r>
              <w:rPr>
                <w:sz w:val="20"/>
                <w:szCs w:val="20"/>
              </w:rPr>
              <w:t>pînă</w:t>
            </w:r>
            <w:proofErr w:type="spellEnd"/>
            <w:r>
              <w:rPr>
                <w:sz w:val="20"/>
                <w:szCs w:val="20"/>
              </w:rPr>
              <w:t xml:space="preserve"> la 26 august 2023.</w:t>
            </w:r>
          </w:p>
        </w:tc>
        <w:tc>
          <w:tcPr>
            <w:tcW w:w="2790" w:type="dxa"/>
            <w:tcBorders>
              <w:top w:val="single" w:sz="4" w:space="0" w:color="000000"/>
              <w:left w:val="single" w:sz="4" w:space="0" w:color="000000"/>
              <w:bottom w:val="single" w:sz="4" w:space="0" w:color="000000"/>
              <w:right w:val="single" w:sz="4" w:space="0" w:color="000000"/>
            </w:tcBorders>
          </w:tcPr>
          <w:p w14:paraId="72059D67" w14:textId="77777777" w:rsidR="00D14BA4" w:rsidRDefault="00D14BA4" w:rsidP="00987C03">
            <w:pPr>
              <w:widowControl w:val="0"/>
              <w:jc w:val="both"/>
              <w:rPr>
                <w:sz w:val="20"/>
                <w:szCs w:val="20"/>
              </w:rPr>
            </w:pPr>
            <w:r>
              <w:rPr>
                <w:sz w:val="20"/>
                <w:szCs w:val="20"/>
              </w:rPr>
              <w:t xml:space="preserve">Eliminarea barierelor pentru investiții în lucrări de construcții, implicita darea în exploatare a lucrărilor efectuate. </w:t>
            </w:r>
          </w:p>
        </w:tc>
      </w:tr>
      <w:tr w:rsidR="00D14BA4" w14:paraId="2B2C34F4"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68FD943D"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r>
              <w:rPr>
                <w:sz w:val="20"/>
                <w:szCs w:val="20"/>
              </w:rPr>
              <w:t>7.</w:t>
            </w:r>
          </w:p>
        </w:tc>
        <w:tc>
          <w:tcPr>
            <w:tcW w:w="5892" w:type="dxa"/>
            <w:tcBorders>
              <w:top w:val="single" w:sz="4" w:space="0" w:color="000000"/>
              <w:left w:val="single" w:sz="4" w:space="0" w:color="000000"/>
              <w:bottom w:val="single" w:sz="4" w:space="0" w:color="000000"/>
              <w:right w:val="single" w:sz="4" w:space="0" w:color="000000"/>
            </w:tcBorders>
          </w:tcPr>
          <w:p w14:paraId="632CD3FB" w14:textId="77777777" w:rsidR="00D14BA4" w:rsidRDefault="00D14BA4">
            <w:pPr>
              <w:jc w:val="both"/>
              <w:rPr>
                <w:sz w:val="20"/>
                <w:szCs w:val="20"/>
              </w:rPr>
            </w:pPr>
            <w:r>
              <w:rPr>
                <w:sz w:val="20"/>
                <w:szCs w:val="20"/>
              </w:rPr>
              <w:t xml:space="preserve">În domeniul controlului calității în construcții, se constată o serie de </w:t>
            </w:r>
            <w:proofErr w:type="spellStart"/>
            <w:r>
              <w:rPr>
                <w:sz w:val="20"/>
                <w:szCs w:val="20"/>
              </w:rPr>
              <w:t>plîngeri</w:t>
            </w:r>
            <w:proofErr w:type="spellEnd"/>
            <w:r>
              <w:rPr>
                <w:sz w:val="20"/>
                <w:szCs w:val="20"/>
              </w:rPr>
              <w:t xml:space="preserve"> pe modul de desfășurare a controlului asupra utilizării </w:t>
            </w:r>
            <w:proofErr w:type="spellStart"/>
            <w:r>
              <w:rPr>
                <w:sz w:val="20"/>
                <w:szCs w:val="20"/>
              </w:rPr>
              <w:t>investiţiilor</w:t>
            </w:r>
            <w:proofErr w:type="spellEnd"/>
            <w:r>
              <w:rPr>
                <w:sz w:val="20"/>
                <w:szCs w:val="20"/>
              </w:rPr>
              <w:t xml:space="preserve"> publice în </w:t>
            </w:r>
            <w:proofErr w:type="spellStart"/>
            <w:r>
              <w:rPr>
                <w:sz w:val="20"/>
                <w:szCs w:val="20"/>
              </w:rPr>
              <w:t>construcţii</w:t>
            </w:r>
            <w:proofErr w:type="spellEnd"/>
            <w:r>
              <w:rPr>
                <w:sz w:val="20"/>
                <w:szCs w:val="20"/>
              </w:rPr>
              <w:t xml:space="preserve">, desfășurat conform HG nr.360/1996, care în mod direct nu ține de agenții economici, însă într-un final modul de efectuare a controlului afectează substanțial executorii </w:t>
            </w:r>
            <w:r>
              <w:rPr>
                <w:sz w:val="20"/>
                <w:szCs w:val="20"/>
              </w:rPr>
              <w:lastRenderedPageBreak/>
              <w:t xml:space="preserve">lucrărilor în construcții desfășurate în baza investițiilor publice. Acest proces de control, fiind reglementat lacunar și cu devieri de la principiile de bază în reglementarea controlului de stat, este reclamat de persoanele controlate ca și control desfășurat cu abuzuri și intervenții disproporționate din partea organului de control. </w:t>
            </w:r>
            <w:proofErr w:type="spellStart"/>
            <w:r>
              <w:rPr>
                <w:sz w:val="20"/>
                <w:szCs w:val="20"/>
              </w:rPr>
              <w:t>Luînd</w:t>
            </w:r>
            <w:proofErr w:type="spellEnd"/>
            <w:r>
              <w:rPr>
                <w:sz w:val="20"/>
                <w:szCs w:val="20"/>
              </w:rPr>
              <w:t xml:space="preserve"> în calcul că acest tip de control într-un final are impact și asupra agenților economici implicați, este important ca prevederile HG în cauză să fie racordate la principiile și mecanismele prevăzute de Legea nr.131/2012.</w:t>
            </w:r>
          </w:p>
        </w:tc>
        <w:tc>
          <w:tcPr>
            <w:tcW w:w="1710" w:type="dxa"/>
            <w:tcBorders>
              <w:top w:val="single" w:sz="4" w:space="0" w:color="000000"/>
              <w:left w:val="single" w:sz="4" w:space="0" w:color="000000"/>
              <w:bottom w:val="single" w:sz="4" w:space="0" w:color="000000"/>
              <w:right w:val="single" w:sz="4" w:space="0" w:color="000000"/>
            </w:tcBorders>
          </w:tcPr>
          <w:p w14:paraId="49CD2CA2" w14:textId="77777777" w:rsidR="00D14BA4" w:rsidRDefault="00D14BA4">
            <w:pPr>
              <w:jc w:val="center"/>
              <w:rPr>
                <w:color w:val="000000"/>
                <w:sz w:val="20"/>
                <w:szCs w:val="20"/>
                <w:highlight w:val="white"/>
              </w:rPr>
            </w:pPr>
          </w:p>
        </w:tc>
        <w:tc>
          <w:tcPr>
            <w:tcW w:w="3690" w:type="dxa"/>
            <w:tcBorders>
              <w:top w:val="single" w:sz="4" w:space="0" w:color="000000"/>
              <w:left w:val="single" w:sz="4" w:space="0" w:color="000000"/>
              <w:bottom w:val="single" w:sz="4" w:space="0" w:color="000000"/>
              <w:right w:val="single" w:sz="4" w:space="0" w:color="000000"/>
            </w:tcBorders>
          </w:tcPr>
          <w:p w14:paraId="5F3624A2" w14:textId="77777777" w:rsidR="00D14BA4" w:rsidRDefault="00D14BA4">
            <w:pPr>
              <w:spacing w:after="0"/>
              <w:jc w:val="both"/>
              <w:rPr>
                <w:sz w:val="20"/>
                <w:szCs w:val="20"/>
              </w:rPr>
            </w:pPr>
            <w:r>
              <w:rPr>
                <w:sz w:val="20"/>
                <w:szCs w:val="20"/>
              </w:rPr>
              <w:t>Se propune ca pct.1 din anexa nr.3 din HG nr.360/1996 să fie completat cu următoare frază:</w:t>
            </w:r>
          </w:p>
          <w:p w14:paraId="3B283644" w14:textId="77777777" w:rsidR="00D14BA4" w:rsidRDefault="00D14BA4">
            <w:pPr>
              <w:spacing w:after="0"/>
              <w:jc w:val="both"/>
              <w:rPr>
                <w:sz w:val="20"/>
                <w:szCs w:val="20"/>
              </w:rPr>
            </w:pPr>
            <w:r>
              <w:rPr>
                <w:sz w:val="20"/>
                <w:szCs w:val="20"/>
              </w:rPr>
              <w:t xml:space="preserve">„În procesul controlului asupra utilizării investițiilor publice în construcții, </w:t>
            </w:r>
            <w:r>
              <w:rPr>
                <w:sz w:val="20"/>
                <w:szCs w:val="20"/>
              </w:rPr>
              <w:lastRenderedPageBreak/>
              <w:t>obținerea documentelor și informațiilor necesare de la agenți economici, prin solicitare directă sau prin vizite de control, se efectuează în conformitate cu prevederile Legii nr.131/2012 privind controlul de stat asupra activității de întreprinzător.”</w:t>
            </w:r>
          </w:p>
          <w:p w14:paraId="10B69943" w14:textId="77777777" w:rsidR="00D14BA4" w:rsidRDefault="00D14BA4">
            <w:pPr>
              <w:jc w:val="both"/>
              <w:rPr>
                <w:sz w:val="20"/>
                <w:szCs w:val="20"/>
              </w:rPr>
            </w:pPr>
          </w:p>
        </w:tc>
        <w:tc>
          <w:tcPr>
            <w:tcW w:w="2790" w:type="dxa"/>
            <w:tcBorders>
              <w:top w:val="single" w:sz="4" w:space="0" w:color="000000"/>
              <w:left w:val="single" w:sz="4" w:space="0" w:color="000000"/>
              <w:bottom w:val="single" w:sz="4" w:space="0" w:color="000000"/>
              <w:right w:val="single" w:sz="4" w:space="0" w:color="000000"/>
            </w:tcBorders>
          </w:tcPr>
          <w:p w14:paraId="4822488D" w14:textId="77777777" w:rsidR="00D14BA4" w:rsidRDefault="00D14BA4">
            <w:pPr>
              <w:jc w:val="both"/>
              <w:rPr>
                <w:sz w:val="20"/>
                <w:szCs w:val="20"/>
              </w:rPr>
            </w:pPr>
            <w:r>
              <w:rPr>
                <w:sz w:val="20"/>
                <w:szCs w:val="20"/>
              </w:rPr>
              <w:lastRenderedPageBreak/>
              <w:t xml:space="preserve">Eliminarea abuzurilor în controlul de stat  asupra utilizării investițiilor publice în construcții în raport cu agenții economici care au executat </w:t>
            </w:r>
            <w:r>
              <w:rPr>
                <w:sz w:val="20"/>
                <w:szCs w:val="20"/>
              </w:rPr>
              <w:lastRenderedPageBreak/>
              <w:t xml:space="preserve">lucrarea sau au fost subcontractați pentru lucrări specifice la un obiect de interes public. </w:t>
            </w:r>
          </w:p>
        </w:tc>
      </w:tr>
      <w:tr w:rsidR="004C448E" w14:paraId="760BD1D9" w14:textId="77777777" w:rsidTr="001D4F20">
        <w:trPr>
          <w:trHeight w:val="37"/>
        </w:trPr>
        <w:tc>
          <w:tcPr>
            <w:tcW w:w="14787" w:type="dxa"/>
            <w:gridSpan w:val="5"/>
            <w:tcBorders>
              <w:top w:val="single" w:sz="4" w:space="0" w:color="000000"/>
              <w:left w:val="single" w:sz="4" w:space="0" w:color="000000"/>
              <w:bottom w:val="single" w:sz="4" w:space="0" w:color="000000"/>
              <w:right w:val="single" w:sz="4" w:space="0" w:color="000000"/>
            </w:tcBorders>
          </w:tcPr>
          <w:p w14:paraId="720CF47A" w14:textId="77777777" w:rsidR="004C448E" w:rsidRDefault="004C448E" w:rsidP="004E4337">
            <w:pPr>
              <w:jc w:val="center"/>
              <w:rPr>
                <w:b/>
                <w:sz w:val="20"/>
                <w:szCs w:val="20"/>
              </w:rPr>
            </w:pPr>
            <w:r>
              <w:rPr>
                <w:b/>
                <w:sz w:val="20"/>
                <w:szCs w:val="20"/>
              </w:rPr>
              <w:lastRenderedPageBreak/>
              <w:t>DOMENIUL – ACTIVITATEA PARTICULARĂ DE DETECTIV ȘI PAZĂ</w:t>
            </w:r>
          </w:p>
        </w:tc>
      </w:tr>
      <w:tr w:rsidR="00D14BA4" w14:paraId="1792BACF"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76484E4F"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p>
        </w:tc>
        <w:tc>
          <w:tcPr>
            <w:tcW w:w="5892" w:type="dxa"/>
            <w:tcBorders>
              <w:top w:val="single" w:sz="4" w:space="0" w:color="000000"/>
              <w:left w:val="single" w:sz="4" w:space="0" w:color="000000"/>
              <w:bottom w:val="single" w:sz="4" w:space="0" w:color="000000"/>
              <w:right w:val="single" w:sz="4" w:space="0" w:color="000000"/>
            </w:tcBorders>
          </w:tcPr>
          <w:p w14:paraId="4EF1197F" w14:textId="77777777" w:rsidR="00D14BA4" w:rsidRDefault="00D14BA4">
            <w:pPr>
              <w:jc w:val="both"/>
              <w:rPr>
                <w:sz w:val="20"/>
                <w:szCs w:val="20"/>
              </w:rPr>
            </w:pPr>
            <w:r>
              <w:rPr>
                <w:sz w:val="20"/>
                <w:szCs w:val="20"/>
              </w:rPr>
              <w:t xml:space="preserve">Avizarea ”proiectelor” – adică documentației tehnice  este efectuată de către un organ de politie (nespecializat în domeniul construcții), înainte de conectare la pază a imobilelor clienților. </w:t>
            </w:r>
          </w:p>
          <w:p w14:paraId="126BED17" w14:textId="77777777" w:rsidR="00D14BA4" w:rsidRDefault="00D14BA4">
            <w:pPr>
              <w:jc w:val="both"/>
              <w:rPr>
                <w:sz w:val="20"/>
                <w:szCs w:val="20"/>
              </w:rPr>
            </w:pPr>
            <w:r>
              <w:rPr>
                <w:sz w:val="20"/>
                <w:szCs w:val="20"/>
              </w:rPr>
              <w:t xml:space="preserve">Hotărârea Guvernului nr. 667 din 08.07.2005 cu privire la măsurile de realizare a Legii nr. 283-XV din 4 iulie 2003 privind activitatea particulară de detectiv </w:t>
            </w:r>
            <w:proofErr w:type="spellStart"/>
            <w:r>
              <w:rPr>
                <w:sz w:val="20"/>
                <w:szCs w:val="20"/>
              </w:rPr>
              <w:t>şi</w:t>
            </w:r>
            <w:proofErr w:type="spellEnd"/>
            <w:r>
              <w:rPr>
                <w:sz w:val="20"/>
                <w:szCs w:val="20"/>
              </w:rPr>
              <w:t xml:space="preserve"> de pază conține prevederi de trimitere la </w:t>
            </w:r>
            <w:proofErr w:type="spellStart"/>
            <w:r>
              <w:rPr>
                <w:sz w:val="20"/>
                <w:szCs w:val="20"/>
              </w:rPr>
              <w:t>NCM</w:t>
            </w:r>
            <w:proofErr w:type="spellEnd"/>
            <w:r>
              <w:rPr>
                <w:sz w:val="20"/>
                <w:szCs w:val="20"/>
              </w:rPr>
              <w:t xml:space="preserve"> A. 07.02-99. Este prevăzut, că modul de primire, examinare, coordonare </w:t>
            </w:r>
            <w:proofErr w:type="spellStart"/>
            <w:r>
              <w:rPr>
                <w:sz w:val="20"/>
                <w:szCs w:val="20"/>
              </w:rPr>
              <w:t>şi</w:t>
            </w:r>
            <w:proofErr w:type="spellEnd"/>
            <w:r>
              <w:rPr>
                <w:sz w:val="20"/>
                <w:szCs w:val="20"/>
              </w:rPr>
              <w:t xml:space="preserve"> aprobare a </w:t>
            </w:r>
            <w:proofErr w:type="spellStart"/>
            <w:r>
              <w:rPr>
                <w:sz w:val="20"/>
                <w:szCs w:val="20"/>
              </w:rPr>
              <w:t>documentaţiei</w:t>
            </w:r>
            <w:proofErr w:type="spellEnd"/>
            <w:r>
              <w:rPr>
                <w:sz w:val="20"/>
                <w:szCs w:val="20"/>
              </w:rPr>
              <w:t xml:space="preserve"> de proiect </w:t>
            </w:r>
            <w:proofErr w:type="spellStart"/>
            <w:r>
              <w:rPr>
                <w:sz w:val="20"/>
                <w:szCs w:val="20"/>
              </w:rPr>
              <w:t>şi</w:t>
            </w:r>
            <w:proofErr w:type="spellEnd"/>
            <w:r>
              <w:rPr>
                <w:sz w:val="20"/>
                <w:szCs w:val="20"/>
              </w:rPr>
              <w:t xml:space="preserve"> deviz trebuie să corespundă cu </w:t>
            </w:r>
            <w:proofErr w:type="spellStart"/>
            <w:r>
              <w:rPr>
                <w:sz w:val="20"/>
                <w:szCs w:val="20"/>
              </w:rPr>
              <w:t>NCM</w:t>
            </w:r>
            <w:proofErr w:type="spellEnd"/>
            <w:r>
              <w:rPr>
                <w:sz w:val="20"/>
                <w:szCs w:val="20"/>
              </w:rPr>
              <w:t xml:space="preserve"> A. 07.02-99 (p.3 al anexei 6). Acest normativ se referă la construcții, dar nu la echipamente și sisteme de pază și acest normativ nu poate fi invocat. </w:t>
            </w:r>
          </w:p>
          <w:p w14:paraId="51733790" w14:textId="77777777" w:rsidR="00D14BA4" w:rsidRDefault="00D14BA4">
            <w:pPr>
              <w:jc w:val="both"/>
              <w:rPr>
                <w:sz w:val="20"/>
                <w:szCs w:val="20"/>
              </w:rPr>
            </w:pPr>
            <w:r>
              <w:rPr>
                <w:sz w:val="20"/>
                <w:szCs w:val="20"/>
              </w:rPr>
              <w:t>În aceste condiții, prestarea serviciului este amânat pe un termen nedeterminat, deoarece un termen de aprobare legea nu prevede, iar consumatorul în vederea prezentelor cerințe, nu poate beneficia de pază pe această perioadă nedeterminată fiindu-i încălcate drepturile la o prestație promptă.</w:t>
            </w:r>
          </w:p>
        </w:tc>
        <w:tc>
          <w:tcPr>
            <w:tcW w:w="1710" w:type="dxa"/>
            <w:tcBorders>
              <w:top w:val="single" w:sz="4" w:space="0" w:color="000000"/>
              <w:left w:val="single" w:sz="4" w:space="0" w:color="000000"/>
              <w:bottom w:val="single" w:sz="4" w:space="0" w:color="000000"/>
              <w:right w:val="single" w:sz="4" w:space="0" w:color="000000"/>
            </w:tcBorders>
          </w:tcPr>
          <w:p w14:paraId="4C276F98" w14:textId="77777777" w:rsidR="00D14BA4" w:rsidRDefault="00D14BA4">
            <w:pPr>
              <w:spacing w:after="0" w:line="240" w:lineRule="auto"/>
              <w:jc w:val="center"/>
              <w:rPr>
                <w:color w:val="000000"/>
                <w:sz w:val="20"/>
                <w:szCs w:val="20"/>
                <w:highlight w:val="white"/>
              </w:rPr>
            </w:pPr>
            <w:proofErr w:type="spellStart"/>
            <w:r>
              <w:rPr>
                <w:color w:val="000000"/>
                <w:sz w:val="20"/>
                <w:szCs w:val="20"/>
                <w:highlight w:val="white"/>
              </w:rPr>
              <w:t>APSPPD</w:t>
            </w:r>
            <w:proofErr w:type="spellEnd"/>
            <w:r>
              <w:rPr>
                <w:color w:val="000000"/>
                <w:sz w:val="20"/>
                <w:szCs w:val="20"/>
                <w:highlight w:val="white"/>
              </w:rPr>
              <w:t xml:space="preserve"> RM</w:t>
            </w:r>
          </w:p>
        </w:tc>
        <w:tc>
          <w:tcPr>
            <w:tcW w:w="3690" w:type="dxa"/>
            <w:tcBorders>
              <w:top w:val="single" w:sz="4" w:space="0" w:color="000000"/>
              <w:left w:val="single" w:sz="4" w:space="0" w:color="000000"/>
              <w:bottom w:val="single" w:sz="4" w:space="0" w:color="000000"/>
              <w:right w:val="single" w:sz="4" w:space="0" w:color="000000"/>
            </w:tcBorders>
          </w:tcPr>
          <w:p w14:paraId="1FF103B8" w14:textId="77777777" w:rsidR="00D14BA4" w:rsidRDefault="00D14BA4">
            <w:pPr>
              <w:spacing w:after="0"/>
              <w:jc w:val="both"/>
              <w:rPr>
                <w:sz w:val="20"/>
                <w:szCs w:val="20"/>
              </w:rPr>
            </w:pPr>
            <w:r>
              <w:rPr>
                <w:sz w:val="20"/>
                <w:szCs w:val="20"/>
              </w:rPr>
              <w:t xml:space="preserve">Se propune modificarea Hotărârii de Guvern </w:t>
            </w:r>
            <w:proofErr w:type="spellStart"/>
            <w:r>
              <w:rPr>
                <w:sz w:val="20"/>
                <w:szCs w:val="20"/>
              </w:rPr>
              <w:t>R.M</w:t>
            </w:r>
            <w:proofErr w:type="spellEnd"/>
            <w:r>
              <w:rPr>
                <w:sz w:val="20"/>
                <w:szCs w:val="20"/>
              </w:rPr>
              <w:t xml:space="preserve">. nr. 667 din 08.07.2005 cu privire la măsurile de realizare a Legii nr. 283-XV din 4 iulie 2003 privind activitatea particulară de detectiv </w:t>
            </w:r>
            <w:proofErr w:type="spellStart"/>
            <w:r>
              <w:rPr>
                <w:sz w:val="20"/>
                <w:szCs w:val="20"/>
              </w:rPr>
              <w:t>şi</w:t>
            </w:r>
            <w:proofErr w:type="spellEnd"/>
            <w:r>
              <w:rPr>
                <w:sz w:val="20"/>
                <w:szCs w:val="20"/>
              </w:rPr>
              <w:t xml:space="preserve"> de pază după cum urmează:</w:t>
            </w:r>
          </w:p>
          <w:p w14:paraId="7C287A17" w14:textId="77777777" w:rsidR="00D14BA4" w:rsidRDefault="00D14BA4">
            <w:pPr>
              <w:spacing w:after="0"/>
              <w:jc w:val="both"/>
              <w:rPr>
                <w:sz w:val="20"/>
                <w:szCs w:val="20"/>
              </w:rPr>
            </w:pPr>
          </w:p>
          <w:p w14:paraId="37E0B2CD" w14:textId="77777777" w:rsidR="00D14BA4" w:rsidRDefault="00D14BA4">
            <w:pPr>
              <w:spacing w:after="0"/>
              <w:jc w:val="both"/>
              <w:rPr>
                <w:sz w:val="20"/>
                <w:szCs w:val="20"/>
              </w:rPr>
            </w:pPr>
            <w:r>
              <w:rPr>
                <w:sz w:val="20"/>
                <w:szCs w:val="20"/>
              </w:rPr>
              <w:t xml:space="preserve">La Anexa nr. 6 la Hotărârea Guvernului nr. 667 din 8 iulie 2005 ”Normele metodologice </w:t>
            </w:r>
            <w:proofErr w:type="spellStart"/>
            <w:r>
              <w:rPr>
                <w:sz w:val="20"/>
                <w:szCs w:val="20"/>
              </w:rPr>
              <w:t>şi</w:t>
            </w:r>
            <w:proofErr w:type="spellEnd"/>
            <w:r>
              <w:rPr>
                <w:sz w:val="20"/>
                <w:szCs w:val="20"/>
              </w:rPr>
              <w:t xml:space="preserve"> tehnice de proiectare </w:t>
            </w:r>
            <w:proofErr w:type="spellStart"/>
            <w:r>
              <w:rPr>
                <w:sz w:val="20"/>
                <w:szCs w:val="20"/>
              </w:rPr>
              <w:t>şi</w:t>
            </w:r>
            <w:proofErr w:type="spellEnd"/>
            <w:r>
              <w:rPr>
                <w:sz w:val="20"/>
                <w:szCs w:val="20"/>
              </w:rPr>
              <w:t xml:space="preserve"> montare a sistemelor de alarmare împotriva efracției” punctul 3 se abrogă.</w:t>
            </w:r>
          </w:p>
          <w:p w14:paraId="4238326C" w14:textId="77777777" w:rsidR="00D14BA4" w:rsidRDefault="00D14BA4">
            <w:pPr>
              <w:spacing w:after="0"/>
              <w:jc w:val="both"/>
              <w:rPr>
                <w:sz w:val="20"/>
                <w:szCs w:val="20"/>
              </w:rPr>
            </w:pPr>
            <w:r>
              <w:rPr>
                <w:sz w:val="20"/>
                <w:szCs w:val="20"/>
              </w:rPr>
              <w:t>Nu este necesar de modificat p. 3, deoarece este p. 7, care face trimitere la anexa 1</w:t>
            </w:r>
          </w:p>
          <w:p w14:paraId="00F32BCF" w14:textId="77777777" w:rsidR="00D14BA4" w:rsidRDefault="00D14BA4">
            <w:pPr>
              <w:spacing w:after="0"/>
              <w:jc w:val="both"/>
              <w:rPr>
                <w:sz w:val="20"/>
                <w:szCs w:val="20"/>
              </w:rPr>
            </w:pPr>
          </w:p>
        </w:tc>
        <w:tc>
          <w:tcPr>
            <w:tcW w:w="2790" w:type="dxa"/>
            <w:tcBorders>
              <w:top w:val="single" w:sz="4" w:space="0" w:color="000000"/>
              <w:left w:val="single" w:sz="4" w:space="0" w:color="000000"/>
              <w:bottom w:val="single" w:sz="4" w:space="0" w:color="000000"/>
              <w:right w:val="single" w:sz="4" w:space="0" w:color="000000"/>
            </w:tcBorders>
          </w:tcPr>
          <w:p w14:paraId="0BE45E1F" w14:textId="77777777" w:rsidR="00D14BA4" w:rsidRDefault="00D14BA4">
            <w:pPr>
              <w:jc w:val="both"/>
              <w:rPr>
                <w:sz w:val="20"/>
                <w:szCs w:val="20"/>
              </w:rPr>
            </w:pPr>
            <w:r>
              <w:rPr>
                <w:sz w:val="20"/>
                <w:szCs w:val="20"/>
              </w:rPr>
              <w:t>Eliminarea unor bariere birocratice nejustificate și micșorarea costurilor pentru agenții economici.</w:t>
            </w:r>
          </w:p>
        </w:tc>
      </w:tr>
      <w:tr w:rsidR="000A7D2B" w14:paraId="4BDE8C6D" w14:textId="77777777" w:rsidTr="001D4F20">
        <w:trPr>
          <w:trHeight w:val="200"/>
        </w:trPr>
        <w:tc>
          <w:tcPr>
            <w:tcW w:w="14787" w:type="dxa"/>
            <w:gridSpan w:val="5"/>
            <w:tcBorders>
              <w:top w:val="single" w:sz="4" w:space="0" w:color="000000"/>
              <w:left w:val="single" w:sz="4" w:space="0" w:color="000000"/>
              <w:bottom w:val="single" w:sz="4" w:space="0" w:color="000000"/>
              <w:right w:val="single" w:sz="4" w:space="0" w:color="000000"/>
            </w:tcBorders>
          </w:tcPr>
          <w:p w14:paraId="7100EF05" w14:textId="77777777" w:rsidR="000A7D2B" w:rsidRDefault="000A7D2B" w:rsidP="004E4337">
            <w:pPr>
              <w:jc w:val="center"/>
              <w:rPr>
                <w:b/>
                <w:color w:val="000000"/>
                <w:sz w:val="20"/>
                <w:szCs w:val="20"/>
              </w:rPr>
            </w:pPr>
            <w:r>
              <w:rPr>
                <w:b/>
                <w:sz w:val="20"/>
                <w:szCs w:val="20"/>
              </w:rPr>
              <w:t>DOMENIUL COMERȚ AMĂNUNTUL PRODUSE PETROLIERE</w:t>
            </w:r>
          </w:p>
        </w:tc>
      </w:tr>
      <w:tr w:rsidR="00D14BA4" w14:paraId="3A56019D"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5879F243"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r>
              <w:rPr>
                <w:sz w:val="20"/>
                <w:szCs w:val="20"/>
              </w:rPr>
              <w:t>8.</w:t>
            </w:r>
          </w:p>
        </w:tc>
        <w:tc>
          <w:tcPr>
            <w:tcW w:w="5892" w:type="dxa"/>
            <w:tcBorders>
              <w:top w:val="single" w:sz="5" w:space="0" w:color="000000"/>
              <w:left w:val="single" w:sz="5" w:space="0" w:color="000000"/>
              <w:bottom w:val="single" w:sz="5" w:space="0" w:color="000000"/>
              <w:right w:val="single" w:sz="5" w:space="0" w:color="000000"/>
            </w:tcBorders>
            <w:tcMar>
              <w:left w:w="100" w:type="dxa"/>
              <w:right w:w="100" w:type="dxa"/>
            </w:tcMar>
          </w:tcPr>
          <w:p w14:paraId="594FE089" w14:textId="77777777" w:rsidR="00D14BA4" w:rsidRDefault="00D14BA4">
            <w:pPr>
              <w:pBdr>
                <w:top w:val="nil"/>
                <w:left w:val="nil"/>
                <w:bottom w:val="nil"/>
                <w:right w:val="nil"/>
                <w:between w:val="nil"/>
              </w:pBdr>
              <w:jc w:val="both"/>
              <w:rPr>
                <w:sz w:val="20"/>
                <w:szCs w:val="20"/>
              </w:rPr>
            </w:pPr>
            <w:r>
              <w:rPr>
                <w:sz w:val="20"/>
                <w:szCs w:val="20"/>
              </w:rPr>
              <w:t xml:space="preserve">Implementarea conceptului ”auto-servire” la Stațiile de Alimentare cu Combustibil. Posibilitatea de auto-servire (self-service) la alimentarea </w:t>
            </w:r>
            <w:r>
              <w:rPr>
                <w:sz w:val="20"/>
                <w:szCs w:val="20"/>
              </w:rPr>
              <w:lastRenderedPageBreak/>
              <w:t>cu carburanți a clienților în stațiile de distribuție carburanți este actualmente inexistentă în RM. Conform p.51 din Regulamentul la HG 1117/2002 despre aprobarea Regulamentului de comercializare cu amănuntul a produselor petroliere, în cel mai permisiv caz, clientul poate alimenta de sine stătător, dar sub supravegherea operatorului, ceea ce înseamnă că operatorul stației de alimentare cu carburanți trebuie să fie prezent la fața locului. În consecință, indicarea de societatea petrolieră că clientul trebuie să se alimenteze de sine stătător (fără operator) poate duce la plângeri de la consumatori și sancțiuni (inclusiv regulatorii) pentru nerespectarea condițiilor de licențiere / legislației privind comercializarea cu amănuntul a produselor petroliere.</w:t>
            </w:r>
          </w:p>
          <w:p w14:paraId="6865CCB2" w14:textId="77777777" w:rsidR="00D14BA4" w:rsidRDefault="00D14BA4">
            <w:pPr>
              <w:pBdr>
                <w:top w:val="nil"/>
                <w:left w:val="nil"/>
                <w:bottom w:val="nil"/>
                <w:right w:val="nil"/>
                <w:between w:val="nil"/>
              </w:pBdr>
              <w:jc w:val="both"/>
              <w:rPr>
                <w:sz w:val="20"/>
                <w:szCs w:val="20"/>
              </w:rPr>
            </w:pPr>
            <w:r>
              <w:rPr>
                <w:sz w:val="20"/>
                <w:szCs w:val="20"/>
              </w:rPr>
              <w:t xml:space="preserve">O astfel de limitare nu se regăsește în UE și alte state din regiune (e.g. Ucraina). Clientul trebuie să poată alimenta de sine stătător și fără supravegherea operatorului (e.g. în temeiul unor pași afișați la pompă), iar societatea petrolieră trebuie să dispună de un remediu juridic în temeiul căruia să arate clientului, că, conform regulilor din stație, alimentare o face însuși clientul (fără participarea operatorului).  </w:t>
            </w:r>
          </w:p>
          <w:p w14:paraId="246ABC35" w14:textId="77777777" w:rsidR="00D14BA4" w:rsidRDefault="00D14BA4">
            <w:pPr>
              <w:pBdr>
                <w:top w:val="nil"/>
                <w:left w:val="nil"/>
                <w:bottom w:val="nil"/>
                <w:right w:val="nil"/>
                <w:between w:val="nil"/>
              </w:pBdr>
              <w:jc w:val="both"/>
              <w:rPr>
                <w:sz w:val="20"/>
                <w:szCs w:val="20"/>
              </w:rPr>
            </w:pPr>
            <w:r>
              <w:rPr>
                <w:sz w:val="20"/>
                <w:szCs w:val="20"/>
              </w:rPr>
              <w:t xml:space="preserve">La fel, menționăm că, actuala redacție a normei face imposibilă comercializarea produselor petroliere în orice recipient de plastic, fapt care afectează mai ales consumatorii casnici, care au nevoie de produse petroliere in cantități mici destinate pentru a fi utilizate la diverse activități în gospodărie (de exemplu </w:t>
            </w:r>
            <w:proofErr w:type="spellStart"/>
            <w:r>
              <w:rPr>
                <w:sz w:val="20"/>
                <w:szCs w:val="20"/>
              </w:rPr>
              <w:t>motocoasa</w:t>
            </w:r>
            <w:proofErr w:type="spellEnd"/>
            <w:r>
              <w:rPr>
                <w:sz w:val="20"/>
                <w:szCs w:val="20"/>
              </w:rPr>
              <w:t xml:space="preserve"> pentru tăierea ierbii, crengilor etc.).</w:t>
            </w:r>
          </w:p>
          <w:p w14:paraId="2DC2F42E" w14:textId="77777777" w:rsidR="00D14BA4" w:rsidRDefault="00D14BA4">
            <w:pPr>
              <w:pBdr>
                <w:top w:val="nil"/>
                <w:left w:val="nil"/>
                <w:bottom w:val="nil"/>
                <w:right w:val="nil"/>
                <w:between w:val="nil"/>
              </w:pBdr>
              <w:jc w:val="both"/>
              <w:rPr>
                <w:sz w:val="20"/>
                <w:szCs w:val="20"/>
              </w:rPr>
            </w:pPr>
            <w:r>
              <w:rPr>
                <w:sz w:val="20"/>
                <w:szCs w:val="20"/>
              </w:rPr>
              <w:t>Nu putem trece cu vederea și faptul că majoritatea rezervoarelor mașinilor noi sunt fabricate la fel din plastic și respectiv alimentarea produselor petroliere în canistră de plastic nu prezintă nici un pericol de explozie sau diminuare a calității produselor petroliere.</w:t>
            </w:r>
          </w:p>
        </w:tc>
        <w:tc>
          <w:tcPr>
            <w:tcW w:w="1710" w:type="dxa"/>
            <w:tcBorders>
              <w:top w:val="single" w:sz="5" w:space="0" w:color="000000"/>
              <w:left w:val="nil"/>
              <w:bottom w:val="single" w:sz="5" w:space="0" w:color="000000"/>
              <w:right w:val="single" w:sz="5" w:space="0" w:color="000000"/>
            </w:tcBorders>
            <w:tcMar>
              <w:left w:w="100" w:type="dxa"/>
              <w:right w:w="100" w:type="dxa"/>
            </w:tcMar>
          </w:tcPr>
          <w:p w14:paraId="2B1E41A8" w14:textId="77777777" w:rsidR="00D14BA4" w:rsidRDefault="00D14BA4">
            <w:pPr>
              <w:jc w:val="both"/>
              <w:rPr>
                <w:sz w:val="20"/>
                <w:szCs w:val="20"/>
              </w:rPr>
            </w:pPr>
            <w:r>
              <w:rPr>
                <w:sz w:val="20"/>
                <w:szCs w:val="20"/>
              </w:rPr>
              <w:lastRenderedPageBreak/>
              <w:t>FIA</w:t>
            </w:r>
          </w:p>
        </w:tc>
        <w:tc>
          <w:tcPr>
            <w:tcW w:w="3690" w:type="dxa"/>
            <w:tcBorders>
              <w:top w:val="single" w:sz="5" w:space="0" w:color="000000"/>
              <w:left w:val="nil"/>
              <w:bottom w:val="single" w:sz="5" w:space="0" w:color="000000"/>
              <w:right w:val="single" w:sz="5" w:space="0" w:color="000000"/>
            </w:tcBorders>
            <w:tcMar>
              <w:left w:w="100" w:type="dxa"/>
              <w:right w:w="100" w:type="dxa"/>
            </w:tcMar>
          </w:tcPr>
          <w:p w14:paraId="42C9A5AB" w14:textId="77777777" w:rsidR="00D14BA4" w:rsidRDefault="00D14BA4">
            <w:pPr>
              <w:pBdr>
                <w:top w:val="nil"/>
                <w:left w:val="nil"/>
                <w:bottom w:val="nil"/>
                <w:right w:val="nil"/>
                <w:between w:val="nil"/>
              </w:pBdr>
              <w:spacing w:after="0"/>
              <w:jc w:val="both"/>
              <w:rPr>
                <w:rFonts w:ascii="Times New Roman" w:eastAsia="Times New Roman" w:hAnsi="Times New Roman" w:cs="Times New Roman"/>
                <w:sz w:val="20"/>
                <w:szCs w:val="20"/>
              </w:rPr>
            </w:pPr>
            <w:r>
              <w:rPr>
                <w:sz w:val="20"/>
                <w:szCs w:val="20"/>
              </w:rPr>
              <w:t xml:space="preserve">Modificarea HG 1117/2002 despre aprobarea Regulamentului de </w:t>
            </w:r>
            <w:r>
              <w:rPr>
                <w:sz w:val="20"/>
                <w:szCs w:val="20"/>
              </w:rPr>
              <w:lastRenderedPageBreak/>
              <w:t>comercializare cu amănuntul a produselor petroliere prin includerea unei norme, conform căreia societatea petrolieră este în drept să decidă de sine stătător mecanismul în temeiul căruia clienții să efectueze alimentarea în stația sa de distribuție carburanți (inclusiv, fără participarea/supravegherea operatorului). La fel se propune modificări pentru a permite livrarea produselor petroliere în ambalajul (canistre metalice sau plastice special destinate acestui scop) cumpărătorului. Respectiv se va stabili că se interzice livrarea produselor petroliere principale în ambalaj de sticlă sau oricare alt recipient nedestinat pentru aceasta.</w:t>
            </w:r>
          </w:p>
          <w:p w14:paraId="4CE57094" w14:textId="77777777" w:rsidR="00D14BA4" w:rsidRDefault="00D14BA4">
            <w:pPr>
              <w:spacing w:after="0"/>
              <w:jc w:val="both"/>
              <w:rPr>
                <w:rFonts w:ascii="Times New Roman" w:eastAsia="Times New Roman" w:hAnsi="Times New Roman" w:cs="Times New Roman"/>
                <w:sz w:val="20"/>
                <w:szCs w:val="20"/>
              </w:rPr>
            </w:pPr>
          </w:p>
        </w:tc>
        <w:tc>
          <w:tcPr>
            <w:tcW w:w="2790" w:type="dxa"/>
            <w:tcBorders>
              <w:top w:val="single" w:sz="5" w:space="0" w:color="000000"/>
              <w:left w:val="nil"/>
              <w:bottom w:val="single" w:sz="5" w:space="0" w:color="000000"/>
              <w:right w:val="single" w:sz="5" w:space="0" w:color="000000"/>
            </w:tcBorders>
            <w:tcMar>
              <w:left w:w="100" w:type="dxa"/>
              <w:right w:w="100" w:type="dxa"/>
            </w:tcMar>
          </w:tcPr>
          <w:p w14:paraId="191CC758" w14:textId="77777777" w:rsidR="00D14BA4" w:rsidRDefault="00D14BA4">
            <w:pPr>
              <w:jc w:val="both"/>
              <w:rPr>
                <w:rFonts w:ascii="Times New Roman" w:eastAsia="Times New Roman" w:hAnsi="Times New Roman" w:cs="Times New Roman"/>
                <w:sz w:val="20"/>
                <w:szCs w:val="20"/>
                <w:highlight w:val="white"/>
              </w:rPr>
            </w:pPr>
            <w:r>
              <w:rPr>
                <w:sz w:val="20"/>
                <w:szCs w:val="20"/>
              </w:rPr>
              <w:lastRenderedPageBreak/>
              <w:t xml:space="preserve">Acest amendament va simplifica activitatea pentru  </w:t>
            </w:r>
            <w:r>
              <w:rPr>
                <w:sz w:val="20"/>
                <w:szCs w:val="20"/>
              </w:rPr>
              <w:lastRenderedPageBreak/>
              <w:t>mediul afaceri din domeniul comercializării produselor petroliere prin oferirea unei flexibilități în mecanismul de alimentare cu petrol în stațiile de alimentare.</w:t>
            </w:r>
          </w:p>
        </w:tc>
      </w:tr>
      <w:tr w:rsidR="000A7D2B" w14:paraId="336F287E" w14:textId="77777777" w:rsidTr="001D4F20">
        <w:trPr>
          <w:trHeight w:val="200"/>
        </w:trPr>
        <w:tc>
          <w:tcPr>
            <w:tcW w:w="14787" w:type="dxa"/>
            <w:gridSpan w:val="5"/>
            <w:tcBorders>
              <w:top w:val="single" w:sz="4" w:space="0" w:color="000000"/>
              <w:left w:val="single" w:sz="4" w:space="0" w:color="000000"/>
              <w:bottom w:val="single" w:sz="4" w:space="0" w:color="000000"/>
              <w:right w:val="single" w:sz="4" w:space="0" w:color="000000"/>
            </w:tcBorders>
          </w:tcPr>
          <w:p w14:paraId="7B4C2688" w14:textId="77777777" w:rsidR="000A7D2B" w:rsidRDefault="000A7D2B" w:rsidP="004E4337">
            <w:pPr>
              <w:jc w:val="center"/>
              <w:rPr>
                <w:b/>
                <w:sz w:val="20"/>
                <w:szCs w:val="20"/>
              </w:rPr>
            </w:pPr>
            <w:r>
              <w:rPr>
                <w:b/>
                <w:sz w:val="20"/>
                <w:szCs w:val="20"/>
              </w:rPr>
              <w:lastRenderedPageBreak/>
              <w:t>DOMENIUL - SĂNĂTATE ȘI SECURITATE ÎN MUNCĂ</w:t>
            </w:r>
          </w:p>
        </w:tc>
      </w:tr>
      <w:tr w:rsidR="00D14BA4" w14:paraId="6D745275"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400FCE51"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r>
              <w:rPr>
                <w:sz w:val="20"/>
                <w:szCs w:val="20"/>
              </w:rPr>
              <w:lastRenderedPageBreak/>
              <w:t>9.</w:t>
            </w:r>
          </w:p>
        </w:tc>
        <w:tc>
          <w:tcPr>
            <w:tcW w:w="58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96ACEEB" w14:textId="77777777" w:rsidR="00D14BA4" w:rsidRDefault="00D14BA4">
            <w:pPr>
              <w:jc w:val="both"/>
              <w:rPr>
                <w:sz w:val="20"/>
                <w:szCs w:val="20"/>
              </w:rPr>
            </w:pPr>
            <w:r>
              <w:rPr>
                <w:sz w:val="20"/>
                <w:szCs w:val="20"/>
              </w:rPr>
              <w:t xml:space="preserve">La moment în legislație persistă anumite acte normative ”învechite” care au un impact negativ asupra mediului de afaceri. Astfel, în vigoare sunt Normele pentru elaborarea și realizarea măsurilor de protecție a muncii nr. 40/2001, ale Ministerului Muncii și Protecției Sociale (Monitorul Oficial Nr. 33-35 art. 70), însă acest act normativ în viziunea noastră a devenit desuet în contextul aprobării prin Hotărârea Guvernului nr. 906/2020 a Cerințelor minime de securitate și sănătate pentru utilizarea de către lucrători a echipamentelor individuale de protecție la locul de muncă. Odată cu aprobarea acestor Cerințe minime, Normele nr. 40/2001, în ceea ce privește Criteriile de acordare gratuită a echipamentului individual de </w:t>
            </w:r>
            <w:proofErr w:type="spellStart"/>
            <w:r>
              <w:rPr>
                <w:sz w:val="20"/>
                <w:szCs w:val="20"/>
              </w:rPr>
              <w:t>protecţie</w:t>
            </w:r>
            <w:proofErr w:type="spellEnd"/>
            <w:r>
              <w:rPr>
                <w:sz w:val="20"/>
                <w:szCs w:val="20"/>
              </w:rPr>
              <w:t xml:space="preserve"> </w:t>
            </w:r>
            <w:proofErr w:type="spellStart"/>
            <w:r>
              <w:rPr>
                <w:sz w:val="20"/>
                <w:szCs w:val="20"/>
              </w:rPr>
              <w:t>şi</w:t>
            </w:r>
            <w:proofErr w:type="spellEnd"/>
            <w:r>
              <w:rPr>
                <w:sz w:val="20"/>
                <w:szCs w:val="20"/>
              </w:rPr>
              <w:t xml:space="preserve"> de lucru, nu se mai aplică. Confederația Națională a Patronatului din Republica Moldova a solicitat abrogarea Normelor nr. 40 din 16.08.2001, pentru elaborarea </w:t>
            </w:r>
            <w:proofErr w:type="spellStart"/>
            <w:r>
              <w:rPr>
                <w:sz w:val="20"/>
                <w:szCs w:val="20"/>
              </w:rPr>
              <w:t>şi</w:t>
            </w:r>
            <w:proofErr w:type="spellEnd"/>
            <w:r>
              <w:rPr>
                <w:sz w:val="20"/>
                <w:szCs w:val="20"/>
              </w:rPr>
              <w:t xml:space="preserve"> realizarea măsurilor de </w:t>
            </w:r>
            <w:proofErr w:type="spellStart"/>
            <w:r>
              <w:rPr>
                <w:sz w:val="20"/>
                <w:szCs w:val="20"/>
              </w:rPr>
              <w:t>protecţie</w:t>
            </w:r>
            <w:proofErr w:type="spellEnd"/>
            <w:r>
              <w:rPr>
                <w:sz w:val="20"/>
                <w:szCs w:val="20"/>
              </w:rPr>
              <w:t xml:space="preserve"> a muncii, aprobate de Ministrul muncii și protecției sociale, sau amendarea acestora în așa mod ca Normele respective să nu fie obligatorii, dar să aibă caracter de recomandare. Potrivit </w:t>
            </w:r>
            <w:proofErr w:type="spellStart"/>
            <w:r>
              <w:rPr>
                <w:sz w:val="20"/>
                <w:szCs w:val="20"/>
              </w:rPr>
              <w:t>CNPM</w:t>
            </w:r>
            <w:proofErr w:type="spellEnd"/>
            <w:r>
              <w:rPr>
                <w:sz w:val="20"/>
                <w:szCs w:val="20"/>
              </w:rPr>
              <w:t xml:space="preserve"> Normele 40/2001 la capitolul Criteriile de acordare gratuită a </w:t>
            </w:r>
            <w:proofErr w:type="spellStart"/>
            <w:r>
              <w:rPr>
                <w:sz w:val="20"/>
                <w:szCs w:val="20"/>
              </w:rPr>
              <w:t>alimentaţiei</w:t>
            </w:r>
            <w:proofErr w:type="spellEnd"/>
            <w:r>
              <w:rPr>
                <w:sz w:val="20"/>
                <w:szCs w:val="20"/>
              </w:rPr>
              <w:t xml:space="preserve"> de </w:t>
            </w:r>
            <w:proofErr w:type="spellStart"/>
            <w:r>
              <w:rPr>
                <w:sz w:val="20"/>
                <w:szCs w:val="20"/>
              </w:rPr>
              <w:t>protecţie</w:t>
            </w:r>
            <w:proofErr w:type="spellEnd"/>
            <w:r>
              <w:rPr>
                <w:sz w:val="20"/>
                <w:szCs w:val="20"/>
              </w:rPr>
              <w:t xml:space="preserve"> </w:t>
            </w:r>
            <w:proofErr w:type="spellStart"/>
            <w:r>
              <w:rPr>
                <w:sz w:val="20"/>
                <w:szCs w:val="20"/>
              </w:rPr>
              <w:t>şi</w:t>
            </w:r>
            <w:proofErr w:type="spellEnd"/>
            <w:r>
              <w:rPr>
                <w:sz w:val="20"/>
                <w:szCs w:val="20"/>
              </w:rPr>
              <w:t xml:space="preserve"> a preparatelor vitaminoase, contravin principiilor generale de securitate și sănătate în muncă prevăzute de Legea securității și sănătății în muncă nr. 186/2008 și anume: prevenirea riscurilor profesionale, </w:t>
            </w:r>
            <w:proofErr w:type="spellStart"/>
            <w:r>
              <w:rPr>
                <w:sz w:val="20"/>
                <w:szCs w:val="20"/>
              </w:rPr>
              <w:t>protecţia</w:t>
            </w:r>
            <w:proofErr w:type="spellEnd"/>
            <w:r>
              <w:rPr>
                <w:sz w:val="20"/>
                <w:szCs w:val="20"/>
              </w:rPr>
              <w:t xml:space="preserve"> lucrătorilor la locul de muncă, eliminarea factorilor de risc </w:t>
            </w:r>
            <w:proofErr w:type="spellStart"/>
            <w:r>
              <w:rPr>
                <w:sz w:val="20"/>
                <w:szCs w:val="20"/>
              </w:rPr>
              <w:t>şi</w:t>
            </w:r>
            <w:proofErr w:type="spellEnd"/>
            <w:r>
              <w:rPr>
                <w:sz w:val="20"/>
                <w:szCs w:val="20"/>
              </w:rPr>
              <w:t xml:space="preserve"> de accidentare. La fel, rațiile alimentare prevăzute în Normele nr. 40/2001 nu sunt actuale și relevante și nicidecum nu asigură prevenirea riscurilor și protecția salariatului. Un subiect important îl constituie suprapunerea rațiilor alimentare prevăzute de Normele 40/2001 și sistemele de alimentare aplicate de companii. Conform prevederilor actuale întreprinderile care oferă tichete de masă sau asigură alimentare centralizată salariaților săi trebuie să ofere și alimentație de protecție, ceea ce constituie un dublu efort financiar, în special în condiția interdicției înlocuirii alimentației de </w:t>
            </w:r>
            <w:proofErr w:type="spellStart"/>
            <w:r>
              <w:rPr>
                <w:sz w:val="20"/>
                <w:szCs w:val="20"/>
              </w:rPr>
              <w:t>protecţie</w:t>
            </w:r>
            <w:proofErr w:type="spellEnd"/>
            <w:r>
              <w:rPr>
                <w:sz w:val="20"/>
                <w:szCs w:val="20"/>
              </w:rPr>
              <w:t xml:space="preserve"> </w:t>
            </w:r>
            <w:proofErr w:type="spellStart"/>
            <w:r>
              <w:rPr>
                <w:sz w:val="20"/>
                <w:szCs w:val="20"/>
              </w:rPr>
              <w:t>şi</w:t>
            </w:r>
            <w:proofErr w:type="spellEnd"/>
            <w:r>
              <w:rPr>
                <w:sz w:val="20"/>
                <w:szCs w:val="20"/>
              </w:rPr>
              <w:t xml:space="preserve"> a preparatelor vitaminoase prin plata în bani sau în mărfuri.</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190F0E0" w14:textId="77777777" w:rsidR="00D14BA4" w:rsidRDefault="00D14BA4">
            <w:pPr>
              <w:jc w:val="both"/>
              <w:rPr>
                <w:sz w:val="20"/>
                <w:szCs w:val="20"/>
              </w:rPr>
            </w:pPr>
            <w:proofErr w:type="spellStart"/>
            <w:r>
              <w:rPr>
                <w:sz w:val="20"/>
                <w:szCs w:val="20"/>
              </w:rPr>
              <w:t>CNPM</w:t>
            </w:r>
            <w:proofErr w:type="spellEnd"/>
          </w:p>
        </w:tc>
        <w:tc>
          <w:tcPr>
            <w:tcW w:w="36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075A39B" w14:textId="77777777" w:rsidR="00D14BA4" w:rsidRDefault="00D14BA4">
            <w:pPr>
              <w:jc w:val="both"/>
              <w:rPr>
                <w:sz w:val="20"/>
                <w:szCs w:val="20"/>
              </w:rPr>
            </w:pPr>
            <w:r>
              <w:rPr>
                <w:sz w:val="20"/>
                <w:szCs w:val="20"/>
              </w:rPr>
              <w:t>Abrogarea Normelor pentru elaborarea și realizarea măsurilor de protecție a muncii nr. 40/2001, ale Ministerului Muncii și Protecției Sociale (Monitorul Oficial Nr. 33-35 art. 70)</w:t>
            </w:r>
          </w:p>
        </w:tc>
        <w:tc>
          <w:tcPr>
            <w:tcW w:w="27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7C12502A" w14:textId="77777777" w:rsidR="00D14BA4" w:rsidRDefault="00D14BA4">
            <w:pPr>
              <w:jc w:val="both"/>
              <w:rPr>
                <w:sz w:val="20"/>
                <w:szCs w:val="20"/>
              </w:rPr>
            </w:pPr>
            <w:r>
              <w:rPr>
                <w:sz w:val="20"/>
                <w:szCs w:val="20"/>
              </w:rPr>
              <w:t>Abrogarea unui act desuet care impune o povară administrativă nejustificată pentru agenții economici.</w:t>
            </w:r>
          </w:p>
        </w:tc>
      </w:tr>
      <w:tr w:rsidR="000A7D2B" w:rsidRPr="001D4F20" w14:paraId="611E5FA5" w14:textId="77777777" w:rsidTr="001D4F20">
        <w:trPr>
          <w:trHeight w:val="200"/>
        </w:trPr>
        <w:tc>
          <w:tcPr>
            <w:tcW w:w="14787" w:type="dxa"/>
            <w:gridSpan w:val="5"/>
            <w:tcBorders>
              <w:top w:val="single" w:sz="4" w:space="0" w:color="000000"/>
              <w:left w:val="single" w:sz="4" w:space="0" w:color="000000"/>
              <w:bottom w:val="single" w:sz="4" w:space="0" w:color="000000"/>
              <w:right w:val="single" w:sz="4" w:space="0" w:color="000000"/>
            </w:tcBorders>
          </w:tcPr>
          <w:p w14:paraId="3B8E6751" w14:textId="77777777" w:rsidR="000A7D2B" w:rsidRDefault="000A7D2B" w:rsidP="001D4F20">
            <w:pPr>
              <w:pBdr>
                <w:top w:val="nil"/>
                <w:left w:val="nil"/>
                <w:bottom w:val="nil"/>
                <w:right w:val="nil"/>
                <w:between w:val="nil"/>
              </w:pBdr>
              <w:jc w:val="center"/>
              <w:rPr>
                <w:b/>
                <w:sz w:val="20"/>
                <w:szCs w:val="20"/>
              </w:rPr>
            </w:pPr>
            <w:r>
              <w:rPr>
                <w:b/>
                <w:sz w:val="20"/>
                <w:szCs w:val="20"/>
              </w:rPr>
              <w:lastRenderedPageBreak/>
              <w:t>DOMENIUL TURISMULUI (Case rurale)</w:t>
            </w:r>
          </w:p>
        </w:tc>
      </w:tr>
      <w:tr w:rsidR="00D14BA4" w14:paraId="3C3AC9BE"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595F421E"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r>
              <w:rPr>
                <w:sz w:val="20"/>
                <w:szCs w:val="20"/>
              </w:rPr>
              <w:t>10.</w:t>
            </w:r>
          </w:p>
        </w:tc>
        <w:tc>
          <w:tcPr>
            <w:tcW w:w="58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367860D3" w14:textId="77777777" w:rsidR="00D14BA4" w:rsidRDefault="00D14BA4">
            <w:pPr>
              <w:pBdr>
                <w:top w:val="nil"/>
                <w:left w:val="nil"/>
                <w:bottom w:val="nil"/>
                <w:right w:val="nil"/>
                <w:between w:val="nil"/>
              </w:pBdr>
              <w:jc w:val="both"/>
              <w:rPr>
                <w:sz w:val="20"/>
                <w:szCs w:val="20"/>
              </w:rPr>
            </w:pPr>
            <w:r>
              <w:rPr>
                <w:sz w:val="20"/>
                <w:szCs w:val="20"/>
              </w:rPr>
              <w:t>Pe 29 februarie 2024 Parlamentul a adoptat proiectul de lege, aprobat prin HG nr.1 din 10 ianuarie 2024, pentru modificarea unor acte normative (facilitarea activității mediului de afaceri IV)</w:t>
            </w:r>
          </w:p>
          <w:p w14:paraId="43275605" w14:textId="77777777" w:rsidR="00D14BA4" w:rsidRDefault="00D14BA4">
            <w:pPr>
              <w:pBdr>
                <w:top w:val="nil"/>
                <w:left w:val="nil"/>
                <w:bottom w:val="nil"/>
                <w:right w:val="nil"/>
                <w:between w:val="nil"/>
              </w:pBdr>
              <w:jc w:val="both"/>
              <w:rPr>
                <w:sz w:val="20"/>
                <w:szCs w:val="20"/>
              </w:rPr>
            </w:pPr>
            <w:r>
              <w:rPr>
                <w:sz w:val="20"/>
                <w:szCs w:val="20"/>
              </w:rPr>
              <w:t>[https://www.parlament.md/ProcesulLegislativ/Proiectedeactenormative/tabid/61/LegislativId/6825/language/ro-RO/Default.aspx].  Legea nr.37/2024 a modificat Legea nr.352/2006 privind organizarea și desfășurarea activității turistice în Republica Moldova în special definiția de ”Casă rurală” din care sa eliminat limitările de activitate legate de numărul de camere, de turiști și asortimentul de produse alimentare care pot fi servite. Astfel definiție de casă rurală a fost expusă în redacție nouă:  ”structură de cazare turistică și, după caz, de alimentare, organizată în baza unei sau a mai multor case și/sau construcții ce aparțin unei gospodării, deținute în proprietate privată în aceeași localitate rurală, care se prezintă în stil arhitectural tradițional (regional, zonal sau local) și care ilustrează turiștilor viața rurală autentică. Alimentația turiștilor la casa rurală se asigură inclusiv cu produse din producția proprie, crescute în gospodăriile din localitate ori din localitățile din preajmă;”.</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71BCFB6" w14:textId="77777777" w:rsidR="00D14BA4" w:rsidRDefault="00D14BA4">
            <w:pPr>
              <w:pBdr>
                <w:top w:val="nil"/>
                <w:left w:val="nil"/>
                <w:bottom w:val="nil"/>
                <w:right w:val="nil"/>
                <w:between w:val="nil"/>
              </w:pBdr>
              <w:jc w:val="both"/>
              <w:rPr>
                <w:sz w:val="20"/>
                <w:szCs w:val="20"/>
              </w:rPr>
            </w:pPr>
            <w:proofErr w:type="spellStart"/>
            <w:r>
              <w:rPr>
                <w:sz w:val="20"/>
                <w:szCs w:val="20"/>
              </w:rPr>
              <w:t>Consecon</w:t>
            </w:r>
            <w:proofErr w:type="spellEnd"/>
          </w:p>
        </w:tc>
        <w:tc>
          <w:tcPr>
            <w:tcW w:w="36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0FC6769" w14:textId="77777777" w:rsidR="00D14BA4" w:rsidRDefault="00D14BA4">
            <w:pPr>
              <w:pBdr>
                <w:top w:val="nil"/>
                <w:left w:val="nil"/>
                <w:bottom w:val="nil"/>
                <w:right w:val="nil"/>
                <w:between w:val="nil"/>
              </w:pBdr>
              <w:jc w:val="both"/>
              <w:rPr>
                <w:sz w:val="20"/>
                <w:szCs w:val="20"/>
              </w:rPr>
            </w:pPr>
            <w:r>
              <w:rPr>
                <w:sz w:val="20"/>
                <w:szCs w:val="20"/>
              </w:rPr>
              <w:t xml:space="preserve">Se propune modificarea noțiunii ”casă rurală” din Normele metodologice </w:t>
            </w:r>
            <w:proofErr w:type="spellStart"/>
            <w:r>
              <w:rPr>
                <w:sz w:val="20"/>
                <w:szCs w:val="20"/>
              </w:rPr>
              <w:t>şi</w:t>
            </w:r>
            <w:proofErr w:type="spellEnd"/>
            <w:r>
              <w:rPr>
                <w:sz w:val="20"/>
                <w:szCs w:val="20"/>
              </w:rPr>
              <w:t xml:space="preserve"> criteriilor de clasificare a structurilor de primire turistică cu funcțiuni de cazare </w:t>
            </w:r>
            <w:proofErr w:type="spellStart"/>
            <w:r>
              <w:rPr>
                <w:sz w:val="20"/>
                <w:szCs w:val="20"/>
              </w:rPr>
              <w:t>şi</w:t>
            </w:r>
            <w:proofErr w:type="spellEnd"/>
            <w:r>
              <w:rPr>
                <w:sz w:val="20"/>
                <w:szCs w:val="20"/>
              </w:rPr>
              <w:t xml:space="preserve"> de servire a mesei nr. 643/2003 în conformitate cu redacția din Legea nr.37/2024 (Pachetul de </w:t>
            </w:r>
            <w:proofErr w:type="spellStart"/>
            <w:r>
              <w:rPr>
                <w:sz w:val="20"/>
                <w:szCs w:val="20"/>
              </w:rPr>
              <w:t>de</w:t>
            </w:r>
            <w:proofErr w:type="spellEnd"/>
            <w:r>
              <w:rPr>
                <w:sz w:val="20"/>
                <w:szCs w:val="20"/>
              </w:rPr>
              <w:t xml:space="preserve"> reglementare </w:t>
            </w:r>
            <w:proofErr w:type="spellStart"/>
            <w:r>
              <w:rPr>
                <w:sz w:val="20"/>
                <w:szCs w:val="20"/>
              </w:rPr>
              <w:t>nr.IV</w:t>
            </w:r>
            <w:proofErr w:type="spellEnd"/>
            <w:r>
              <w:rPr>
                <w:sz w:val="20"/>
                <w:szCs w:val="20"/>
              </w:rPr>
              <w:t>)</w:t>
            </w:r>
          </w:p>
        </w:tc>
        <w:tc>
          <w:tcPr>
            <w:tcW w:w="27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4E180F5F" w14:textId="77777777" w:rsidR="00D14BA4" w:rsidRDefault="00D14BA4">
            <w:pPr>
              <w:pBdr>
                <w:top w:val="nil"/>
                <w:left w:val="nil"/>
                <w:bottom w:val="nil"/>
                <w:right w:val="nil"/>
                <w:between w:val="nil"/>
              </w:pBdr>
              <w:jc w:val="both"/>
              <w:rPr>
                <w:sz w:val="20"/>
                <w:szCs w:val="20"/>
              </w:rPr>
            </w:pPr>
            <w:r>
              <w:rPr>
                <w:sz w:val="20"/>
                <w:szCs w:val="20"/>
              </w:rPr>
              <w:t>Se urmărește punerea în aplicare a modificărilor promovate la Legea nr.352/2006, prin care se urmărește dezvoltarea activității turistice ale caselor rurale prin eliminarea din cadrul legal secundar a limitărilor legate de numărul de camere, de turiști și sortimentul de produse alimentare care pot fi servite.</w:t>
            </w:r>
          </w:p>
        </w:tc>
      </w:tr>
      <w:tr w:rsidR="000A7D2B" w:rsidRPr="001D4F20" w14:paraId="52CC8FBF" w14:textId="77777777" w:rsidTr="001D4F20">
        <w:trPr>
          <w:trHeight w:val="200"/>
        </w:trPr>
        <w:tc>
          <w:tcPr>
            <w:tcW w:w="14787" w:type="dxa"/>
            <w:gridSpan w:val="5"/>
            <w:tcBorders>
              <w:top w:val="single" w:sz="4" w:space="0" w:color="000000"/>
              <w:left w:val="single" w:sz="4" w:space="0" w:color="000000"/>
              <w:bottom w:val="single" w:sz="4" w:space="0" w:color="000000"/>
              <w:right w:val="single" w:sz="4" w:space="0" w:color="000000"/>
            </w:tcBorders>
          </w:tcPr>
          <w:p w14:paraId="58A87CE7" w14:textId="77777777" w:rsidR="000A7D2B" w:rsidRDefault="000A7D2B" w:rsidP="001D4F20">
            <w:pPr>
              <w:jc w:val="center"/>
              <w:rPr>
                <w:b/>
                <w:sz w:val="20"/>
                <w:szCs w:val="20"/>
              </w:rPr>
            </w:pPr>
            <w:r>
              <w:rPr>
                <w:b/>
                <w:sz w:val="20"/>
                <w:szCs w:val="20"/>
              </w:rPr>
              <w:t xml:space="preserve">DOMENIUL INSTRUIRE </w:t>
            </w:r>
            <w:proofErr w:type="spellStart"/>
            <w:r>
              <w:rPr>
                <w:b/>
                <w:sz w:val="20"/>
                <w:szCs w:val="20"/>
              </w:rPr>
              <w:t>SSM</w:t>
            </w:r>
            <w:proofErr w:type="spellEnd"/>
          </w:p>
        </w:tc>
      </w:tr>
      <w:tr w:rsidR="00D14BA4" w14:paraId="2AF17B8D"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3E481C57"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r>
              <w:rPr>
                <w:sz w:val="20"/>
                <w:szCs w:val="20"/>
              </w:rPr>
              <w:t>11.</w:t>
            </w:r>
          </w:p>
        </w:tc>
        <w:tc>
          <w:tcPr>
            <w:tcW w:w="58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6F73FE82" w14:textId="77777777" w:rsidR="00D14BA4" w:rsidRDefault="00D14BA4">
            <w:pPr>
              <w:pBdr>
                <w:top w:val="nil"/>
                <w:left w:val="nil"/>
                <w:bottom w:val="nil"/>
                <w:right w:val="nil"/>
                <w:between w:val="nil"/>
              </w:pBdr>
              <w:jc w:val="both"/>
              <w:rPr>
                <w:sz w:val="20"/>
                <w:szCs w:val="20"/>
              </w:rPr>
            </w:pPr>
            <w:r>
              <w:rPr>
                <w:sz w:val="20"/>
                <w:szCs w:val="20"/>
              </w:rPr>
              <w:t>Pe 29 februarie 2024 Parlamentul a adoptat proiectul de lege, aprobat prin HG nr.1 din 10 ianuarie 2024, pentru modificarea unor acte normative (facilitarea activității mediului de afaceri IV)</w:t>
            </w:r>
          </w:p>
          <w:p w14:paraId="4FF7B750" w14:textId="77777777" w:rsidR="00D14BA4" w:rsidRDefault="00D14BA4">
            <w:pPr>
              <w:pBdr>
                <w:top w:val="nil"/>
                <w:left w:val="nil"/>
                <w:bottom w:val="nil"/>
                <w:right w:val="nil"/>
                <w:between w:val="nil"/>
              </w:pBdr>
              <w:jc w:val="both"/>
              <w:rPr>
                <w:sz w:val="20"/>
                <w:szCs w:val="20"/>
              </w:rPr>
            </w:pPr>
            <w:r>
              <w:rPr>
                <w:sz w:val="20"/>
                <w:szCs w:val="20"/>
              </w:rPr>
              <w:t xml:space="preserve">[https://www.parlament.md/ProcesulLegislativ/Proiectedeactenormative/tabid/61/LegislativId/6825/language/ro-RO/Default.aspx]. Prin legea dată a fost modificat articolul 17 din Legea securității și sănătății în muncă nr. 186/2008 care a modificat periodicitatea pentru unele categorii de angajați să obțină instruirea </w:t>
            </w:r>
            <w:proofErr w:type="spellStart"/>
            <w:r>
              <w:rPr>
                <w:sz w:val="20"/>
                <w:szCs w:val="20"/>
              </w:rPr>
              <w:t>SSM</w:t>
            </w:r>
            <w:proofErr w:type="spellEnd"/>
            <w:r>
              <w:rPr>
                <w:sz w:val="20"/>
                <w:szCs w:val="20"/>
              </w:rPr>
              <w:t xml:space="preserve">. Astfel pentru funcționarii administrativi, instruirea periodică se va efectua la </w:t>
            </w:r>
            <w:r>
              <w:rPr>
                <w:sz w:val="20"/>
                <w:szCs w:val="20"/>
              </w:rPr>
              <w:lastRenderedPageBreak/>
              <w:t xml:space="preserve">intervale ce nu vor depăși 12 luni (anterior 6 luni).  Pentru conducătorii locurilor de muncă, a specialiștilor și a reprezentanților lucrătorilor se efectuează cel puțin o dată în 36 de luni (ca anterior). Însă nou pentru lucrătorii desemnați este că instruirea se efectuează îndată după numirea lor în funcțiile respective și periodic, cel puțin o dată în 60 de luni, la cursuri de instruire realizate de serviciile externe de protecție și prevenire. Și cel mai important amendament ține de Instruirea conducătorilor de unități, în cazul în care și-au asumat atribuțiile lucrătorilor desemnați, care doar odată după numirea lor în funcțiile respective și ulterior în cazul în </w:t>
            </w:r>
            <w:proofErr w:type="spellStart"/>
            <w:r>
              <w:rPr>
                <w:sz w:val="20"/>
                <w:szCs w:val="20"/>
              </w:rPr>
              <w:t>care:a</w:t>
            </w:r>
            <w:proofErr w:type="spellEnd"/>
            <w:r>
              <w:rPr>
                <w:sz w:val="20"/>
                <w:szCs w:val="20"/>
              </w:rPr>
              <w:t>) au fost identificate noi pericole sau riscuri pentru sănătate la locurile de muncă; b) au avut loc modificări semnificative în legislația care reglementează sănătatea și securitatea în muncă; c) s-au produs accidente de muncă la unitate.</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405C17" w14:textId="77777777" w:rsidR="00D14BA4" w:rsidRDefault="00D14BA4">
            <w:pPr>
              <w:pBdr>
                <w:top w:val="nil"/>
                <w:left w:val="nil"/>
                <w:bottom w:val="nil"/>
                <w:right w:val="nil"/>
                <w:between w:val="nil"/>
              </w:pBdr>
              <w:jc w:val="both"/>
              <w:rPr>
                <w:sz w:val="20"/>
                <w:szCs w:val="20"/>
              </w:rPr>
            </w:pPr>
            <w:proofErr w:type="spellStart"/>
            <w:r>
              <w:rPr>
                <w:sz w:val="20"/>
                <w:szCs w:val="20"/>
              </w:rPr>
              <w:lastRenderedPageBreak/>
              <w:t>Consecon</w:t>
            </w:r>
            <w:proofErr w:type="spellEnd"/>
          </w:p>
        </w:tc>
        <w:tc>
          <w:tcPr>
            <w:tcW w:w="36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5919CB00" w14:textId="77777777" w:rsidR="00D14BA4" w:rsidRDefault="00D14BA4">
            <w:pPr>
              <w:pBdr>
                <w:top w:val="nil"/>
                <w:left w:val="nil"/>
                <w:bottom w:val="nil"/>
                <w:right w:val="nil"/>
                <w:between w:val="nil"/>
              </w:pBdr>
              <w:jc w:val="both"/>
              <w:rPr>
                <w:sz w:val="20"/>
                <w:szCs w:val="20"/>
              </w:rPr>
            </w:pPr>
            <w:r>
              <w:rPr>
                <w:sz w:val="20"/>
                <w:szCs w:val="20"/>
              </w:rPr>
              <w:t xml:space="preserve">Se propune modificarea cadrului secundar și anume cu Regulamentul privind modul de organizare a </w:t>
            </w:r>
            <w:proofErr w:type="spellStart"/>
            <w:r>
              <w:rPr>
                <w:sz w:val="20"/>
                <w:szCs w:val="20"/>
              </w:rPr>
              <w:t>activităţilor</w:t>
            </w:r>
            <w:proofErr w:type="spellEnd"/>
            <w:r>
              <w:rPr>
                <w:sz w:val="20"/>
                <w:szCs w:val="20"/>
              </w:rPr>
              <w:t xml:space="preserve"> de </w:t>
            </w:r>
            <w:proofErr w:type="spellStart"/>
            <w:r>
              <w:rPr>
                <w:sz w:val="20"/>
                <w:szCs w:val="20"/>
              </w:rPr>
              <w:t>protecţie</w:t>
            </w:r>
            <w:proofErr w:type="spellEnd"/>
            <w:r>
              <w:rPr>
                <w:sz w:val="20"/>
                <w:szCs w:val="20"/>
              </w:rPr>
              <w:t xml:space="preserve"> a lucrătorilor la locul de muncă </w:t>
            </w:r>
            <w:proofErr w:type="spellStart"/>
            <w:r>
              <w:rPr>
                <w:sz w:val="20"/>
                <w:szCs w:val="20"/>
              </w:rPr>
              <w:t>şi</w:t>
            </w:r>
            <w:proofErr w:type="spellEnd"/>
            <w:r>
              <w:rPr>
                <w:sz w:val="20"/>
                <w:szCs w:val="20"/>
              </w:rPr>
              <w:t xml:space="preserve"> prevenire a riscurilor profesionale aprobat prin HG nr. 95/2009 în vederea ajustării la amendamentele efectuate la Legea nr.186/2008 introduse prin Legea nr.37/2024</w:t>
            </w:r>
          </w:p>
          <w:p w14:paraId="4D8DA786" w14:textId="77777777" w:rsidR="00D14BA4" w:rsidRDefault="00D14BA4">
            <w:pPr>
              <w:pBdr>
                <w:top w:val="nil"/>
                <w:left w:val="nil"/>
                <w:bottom w:val="nil"/>
                <w:right w:val="nil"/>
                <w:between w:val="nil"/>
              </w:pBdr>
              <w:jc w:val="both"/>
              <w:rPr>
                <w:sz w:val="20"/>
                <w:szCs w:val="20"/>
              </w:rPr>
            </w:pPr>
            <w:r>
              <w:rPr>
                <w:sz w:val="20"/>
                <w:szCs w:val="20"/>
              </w:rPr>
              <w:lastRenderedPageBreak/>
              <w:t xml:space="preserve"> </w:t>
            </w:r>
          </w:p>
          <w:p w14:paraId="4E60A86E" w14:textId="77777777" w:rsidR="00D14BA4" w:rsidRDefault="00D14BA4">
            <w:pPr>
              <w:pBdr>
                <w:top w:val="nil"/>
                <w:left w:val="nil"/>
                <w:bottom w:val="nil"/>
                <w:right w:val="nil"/>
                <w:between w:val="nil"/>
              </w:pBdr>
              <w:jc w:val="both"/>
              <w:rPr>
                <w:sz w:val="20"/>
                <w:szCs w:val="20"/>
              </w:rPr>
            </w:pPr>
            <w:r>
              <w:rPr>
                <w:sz w:val="20"/>
                <w:szCs w:val="20"/>
              </w:rPr>
              <w:t xml:space="preserve"> </w:t>
            </w:r>
          </w:p>
        </w:tc>
        <w:tc>
          <w:tcPr>
            <w:tcW w:w="27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D2A5B40" w14:textId="77777777" w:rsidR="00D14BA4" w:rsidRDefault="00D14BA4">
            <w:pPr>
              <w:pBdr>
                <w:top w:val="nil"/>
                <w:left w:val="nil"/>
                <w:bottom w:val="nil"/>
                <w:right w:val="nil"/>
                <w:between w:val="nil"/>
              </w:pBdr>
              <w:jc w:val="both"/>
              <w:rPr>
                <w:sz w:val="20"/>
                <w:szCs w:val="20"/>
              </w:rPr>
            </w:pPr>
            <w:r>
              <w:rPr>
                <w:sz w:val="20"/>
                <w:szCs w:val="20"/>
              </w:rPr>
              <w:lastRenderedPageBreak/>
              <w:t xml:space="preserve">Se urmărește punerea în aplicare a modificărilor promovate la Legea nr.186/2008, prin care s-a extins periodicitatea efectuării instruirilor </w:t>
            </w:r>
            <w:proofErr w:type="spellStart"/>
            <w:r>
              <w:rPr>
                <w:sz w:val="20"/>
                <w:szCs w:val="20"/>
              </w:rPr>
              <w:t>SSM</w:t>
            </w:r>
            <w:proofErr w:type="spellEnd"/>
            <w:r>
              <w:rPr>
                <w:sz w:val="20"/>
                <w:szCs w:val="20"/>
              </w:rPr>
              <w:t xml:space="preserve"> pentru conducătorii de unități (odată la </w:t>
            </w:r>
            <w:proofErr w:type="spellStart"/>
            <w:r>
              <w:rPr>
                <w:sz w:val="20"/>
                <w:szCs w:val="20"/>
              </w:rPr>
              <w:t>începutulul</w:t>
            </w:r>
            <w:proofErr w:type="spellEnd"/>
            <w:r>
              <w:rPr>
                <w:sz w:val="20"/>
                <w:szCs w:val="20"/>
              </w:rPr>
              <w:t xml:space="preserve"> activității și valabil pe viață) și lucrătorii desemnați care vor efectua instruirea dată </w:t>
            </w:r>
            <w:r>
              <w:rPr>
                <w:sz w:val="20"/>
                <w:szCs w:val="20"/>
              </w:rPr>
              <w:lastRenderedPageBreak/>
              <w:t>nu în 36 de luni ci odată în 60 de luni. Aceste amendamente vor diminua din costurile administrative (reducere de timp și costuri).</w:t>
            </w:r>
          </w:p>
        </w:tc>
      </w:tr>
      <w:tr w:rsidR="001D4F20" w:rsidRPr="00124551" w14:paraId="7CE8C331" w14:textId="77777777" w:rsidTr="001D4F20">
        <w:trPr>
          <w:trHeight w:val="200"/>
        </w:trPr>
        <w:tc>
          <w:tcPr>
            <w:tcW w:w="14787" w:type="dxa"/>
            <w:gridSpan w:val="5"/>
            <w:tcBorders>
              <w:top w:val="single" w:sz="4" w:space="0" w:color="000000"/>
              <w:left w:val="single" w:sz="4" w:space="0" w:color="000000"/>
              <w:bottom w:val="single" w:sz="4" w:space="0" w:color="000000"/>
              <w:right w:val="single" w:sz="4" w:space="0" w:color="000000"/>
            </w:tcBorders>
          </w:tcPr>
          <w:p w14:paraId="185B2D62" w14:textId="77777777" w:rsidR="001D4F20" w:rsidRDefault="001D4F20" w:rsidP="00124551">
            <w:pPr>
              <w:jc w:val="center"/>
              <w:rPr>
                <w:b/>
                <w:sz w:val="20"/>
                <w:szCs w:val="20"/>
              </w:rPr>
            </w:pPr>
            <w:r>
              <w:rPr>
                <w:b/>
                <w:sz w:val="20"/>
                <w:szCs w:val="20"/>
              </w:rPr>
              <w:lastRenderedPageBreak/>
              <w:t>DOMENIUL CONTROL DE STAT (MARELE STAT MAJOR)</w:t>
            </w:r>
          </w:p>
        </w:tc>
      </w:tr>
      <w:tr w:rsidR="00D14BA4" w14:paraId="5D691C99" w14:textId="77777777" w:rsidTr="001D4F20">
        <w:trPr>
          <w:trHeight w:val="37"/>
        </w:trPr>
        <w:tc>
          <w:tcPr>
            <w:tcW w:w="705" w:type="dxa"/>
            <w:tcBorders>
              <w:top w:val="single" w:sz="4" w:space="0" w:color="000000"/>
              <w:left w:val="single" w:sz="4" w:space="0" w:color="000000"/>
              <w:bottom w:val="single" w:sz="4" w:space="0" w:color="000000"/>
              <w:right w:val="single" w:sz="4" w:space="0" w:color="000000"/>
            </w:tcBorders>
          </w:tcPr>
          <w:p w14:paraId="3B3874F9" w14:textId="77777777" w:rsidR="00D14BA4" w:rsidRDefault="00D14BA4">
            <w:pPr>
              <w:numPr>
                <w:ilvl w:val="0"/>
                <w:numId w:val="1"/>
              </w:numPr>
              <w:pBdr>
                <w:top w:val="nil"/>
                <w:left w:val="nil"/>
                <w:bottom w:val="nil"/>
                <w:right w:val="nil"/>
                <w:between w:val="nil"/>
              </w:pBdr>
              <w:spacing w:after="0" w:line="240" w:lineRule="auto"/>
              <w:ind w:hanging="545"/>
              <w:rPr>
                <w:sz w:val="20"/>
                <w:szCs w:val="20"/>
              </w:rPr>
            </w:pPr>
            <w:r>
              <w:rPr>
                <w:sz w:val="20"/>
                <w:szCs w:val="20"/>
              </w:rPr>
              <w:t>12.</w:t>
            </w:r>
          </w:p>
        </w:tc>
        <w:tc>
          <w:tcPr>
            <w:tcW w:w="5892" w:type="dxa"/>
            <w:tcBorders>
              <w:top w:val="single" w:sz="5" w:space="0" w:color="000000"/>
              <w:left w:val="single" w:sz="5" w:space="0" w:color="000000"/>
              <w:bottom w:val="single" w:sz="5" w:space="0" w:color="000000"/>
              <w:right w:val="single" w:sz="5" w:space="0" w:color="000000"/>
            </w:tcBorders>
            <w:tcMar>
              <w:top w:w="0" w:type="dxa"/>
              <w:left w:w="100" w:type="dxa"/>
              <w:bottom w:w="0" w:type="dxa"/>
              <w:right w:w="100" w:type="dxa"/>
            </w:tcMar>
          </w:tcPr>
          <w:p w14:paraId="7FEC3C03" w14:textId="77777777" w:rsidR="00D14BA4" w:rsidRDefault="00D14BA4">
            <w:pPr>
              <w:pBdr>
                <w:top w:val="nil"/>
                <w:left w:val="nil"/>
                <w:bottom w:val="nil"/>
                <w:right w:val="nil"/>
                <w:between w:val="nil"/>
              </w:pBdr>
              <w:jc w:val="both"/>
              <w:rPr>
                <w:sz w:val="20"/>
                <w:szCs w:val="20"/>
              </w:rPr>
            </w:pPr>
            <w:r>
              <w:rPr>
                <w:sz w:val="20"/>
                <w:szCs w:val="20"/>
              </w:rPr>
              <w:t xml:space="preserve">Pe parcursul ultimilor ani de către Guvernul RM s-au efectuat mai multe reforme legate de optimizarea mecanismului de efectuare a controlului de stat creând un cadru legal special. La fel pe parcursul acestor reforme s-a propus restrângerea numărului organelor de control inițial (anii 2010) de la 60 la 33 și ulterior până la 13 (în 2019). Lista organelor care sunt împuternicite cu drept de control de stat este anexată la Legea nr.131/2012 privind controlul de stat a activității de întreprinzător. În acest context urmare analizei legislației din domeniul apărării naționale și anume a Regulamentului privind activitatea administrativ-militară </w:t>
            </w:r>
            <w:proofErr w:type="spellStart"/>
            <w:r>
              <w:rPr>
                <w:sz w:val="20"/>
                <w:szCs w:val="20"/>
              </w:rPr>
              <w:t>şi</w:t>
            </w:r>
            <w:proofErr w:type="spellEnd"/>
            <w:r>
              <w:rPr>
                <w:sz w:val="20"/>
                <w:szCs w:val="20"/>
              </w:rPr>
              <w:t xml:space="preserve"> efectivul-limită al organelor administrativ-militare se atestă anumite atribuții pentru Marele Stat Major de a efectua control la agenții economici: privind modul de îndeplinire a obligațiunilor ce le revin, pentru punerea în aplicare a documentelor primite de la centrul militar, în ceea ce privește completarea cu resurse materiale; a  legalității procesului de mobilizare la locul de muncă; privind îndeplinirea de către </w:t>
            </w:r>
            <w:proofErr w:type="spellStart"/>
            <w:r>
              <w:rPr>
                <w:sz w:val="20"/>
                <w:szCs w:val="20"/>
              </w:rPr>
              <w:t>autorităţile</w:t>
            </w:r>
            <w:proofErr w:type="spellEnd"/>
            <w:r>
              <w:rPr>
                <w:sz w:val="20"/>
                <w:szCs w:val="20"/>
              </w:rPr>
              <w:t xml:space="preserve"> publice locale, </w:t>
            </w:r>
            <w:proofErr w:type="spellStart"/>
            <w:r>
              <w:rPr>
                <w:sz w:val="20"/>
                <w:szCs w:val="20"/>
              </w:rPr>
              <w:t>instituţiile</w:t>
            </w:r>
            <w:proofErr w:type="spellEnd"/>
            <w:r>
              <w:rPr>
                <w:sz w:val="20"/>
                <w:szCs w:val="20"/>
              </w:rPr>
              <w:t xml:space="preserve"> publice </w:t>
            </w:r>
            <w:proofErr w:type="spellStart"/>
            <w:r>
              <w:rPr>
                <w:sz w:val="20"/>
                <w:szCs w:val="20"/>
              </w:rPr>
              <w:t>şi</w:t>
            </w:r>
            <w:proofErr w:type="spellEnd"/>
            <w:r>
              <w:rPr>
                <w:sz w:val="20"/>
                <w:szCs w:val="20"/>
              </w:rPr>
              <w:t xml:space="preserve"> </w:t>
            </w:r>
            <w:proofErr w:type="spellStart"/>
            <w:r>
              <w:rPr>
                <w:sz w:val="20"/>
                <w:szCs w:val="20"/>
              </w:rPr>
              <w:t>agenţii</w:t>
            </w:r>
            <w:proofErr w:type="spellEnd"/>
            <w:r>
              <w:rPr>
                <w:sz w:val="20"/>
                <w:szCs w:val="20"/>
              </w:rPr>
              <w:t xml:space="preserve"> economici a măsurilor din domeniul administrativ – </w:t>
            </w:r>
            <w:r>
              <w:rPr>
                <w:sz w:val="20"/>
                <w:szCs w:val="20"/>
              </w:rPr>
              <w:lastRenderedPageBreak/>
              <w:t>militar. Astfel, Marele Stat Major nu este inclus în anexa Legii nr. 131/2012 și respectiv nu poate efectua control de stat la agenții economici.</w:t>
            </w:r>
          </w:p>
        </w:tc>
        <w:tc>
          <w:tcPr>
            <w:tcW w:w="171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24C72AD7" w14:textId="77777777" w:rsidR="00D14BA4" w:rsidRDefault="00D14BA4">
            <w:pPr>
              <w:pBdr>
                <w:top w:val="nil"/>
                <w:left w:val="nil"/>
                <w:bottom w:val="nil"/>
                <w:right w:val="nil"/>
                <w:between w:val="nil"/>
              </w:pBdr>
              <w:jc w:val="both"/>
              <w:rPr>
                <w:sz w:val="20"/>
                <w:szCs w:val="20"/>
              </w:rPr>
            </w:pPr>
            <w:proofErr w:type="spellStart"/>
            <w:r>
              <w:rPr>
                <w:sz w:val="20"/>
                <w:szCs w:val="20"/>
              </w:rPr>
              <w:lastRenderedPageBreak/>
              <w:t>Consecon</w:t>
            </w:r>
            <w:proofErr w:type="spellEnd"/>
          </w:p>
        </w:tc>
        <w:tc>
          <w:tcPr>
            <w:tcW w:w="36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07C33561" w14:textId="77777777" w:rsidR="00D14BA4" w:rsidRDefault="00D14BA4">
            <w:pPr>
              <w:pBdr>
                <w:top w:val="nil"/>
                <w:left w:val="nil"/>
                <w:bottom w:val="nil"/>
                <w:right w:val="nil"/>
                <w:between w:val="nil"/>
              </w:pBdr>
              <w:jc w:val="both"/>
              <w:rPr>
                <w:sz w:val="20"/>
                <w:szCs w:val="20"/>
              </w:rPr>
            </w:pPr>
            <w:r>
              <w:rPr>
                <w:sz w:val="20"/>
                <w:szCs w:val="20"/>
              </w:rPr>
              <w:t xml:space="preserve">Modificarea HG pentru aprobarea Regulamentului privind activitatea administrativ-militară </w:t>
            </w:r>
            <w:proofErr w:type="spellStart"/>
            <w:r>
              <w:rPr>
                <w:sz w:val="20"/>
                <w:szCs w:val="20"/>
              </w:rPr>
              <w:t>şi</w:t>
            </w:r>
            <w:proofErr w:type="spellEnd"/>
            <w:r>
              <w:rPr>
                <w:sz w:val="20"/>
                <w:szCs w:val="20"/>
              </w:rPr>
              <w:t xml:space="preserve"> efectivul-limită al organelor administrativ-militare nr. 77  din  31.01.2001 prin eliminarea atribuțiilor de control de stat de către Marele Stat Major asupra agenților economici.</w:t>
            </w:r>
          </w:p>
        </w:tc>
        <w:tc>
          <w:tcPr>
            <w:tcW w:w="2790" w:type="dxa"/>
            <w:tcBorders>
              <w:top w:val="single" w:sz="5" w:space="0" w:color="000000"/>
              <w:left w:val="nil"/>
              <w:bottom w:val="single" w:sz="5" w:space="0" w:color="000000"/>
              <w:right w:val="single" w:sz="5" w:space="0" w:color="000000"/>
            </w:tcBorders>
            <w:tcMar>
              <w:top w:w="0" w:type="dxa"/>
              <w:left w:w="100" w:type="dxa"/>
              <w:bottom w:w="0" w:type="dxa"/>
              <w:right w:w="100" w:type="dxa"/>
            </w:tcMar>
          </w:tcPr>
          <w:p w14:paraId="66E37159" w14:textId="77777777" w:rsidR="00D14BA4" w:rsidRDefault="00D14BA4">
            <w:pPr>
              <w:pBdr>
                <w:top w:val="nil"/>
                <w:left w:val="nil"/>
                <w:bottom w:val="nil"/>
                <w:right w:val="nil"/>
                <w:between w:val="nil"/>
              </w:pBdr>
              <w:jc w:val="both"/>
              <w:rPr>
                <w:sz w:val="20"/>
                <w:szCs w:val="20"/>
              </w:rPr>
            </w:pPr>
            <w:r>
              <w:rPr>
                <w:sz w:val="20"/>
                <w:szCs w:val="20"/>
              </w:rPr>
              <w:t>Eliminarea vizitelor de control nejustificate, ceea ce va micșora povara administrativă agenților economici.</w:t>
            </w:r>
          </w:p>
        </w:tc>
      </w:tr>
    </w:tbl>
    <w:p w14:paraId="247AF6B8" w14:textId="77777777" w:rsidR="00667F45" w:rsidRDefault="00667F45">
      <w:pPr>
        <w:spacing w:after="0" w:line="240" w:lineRule="auto"/>
        <w:rPr>
          <w:sz w:val="20"/>
          <w:szCs w:val="20"/>
        </w:rPr>
      </w:pPr>
    </w:p>
    <w:p w14:paraId="1C57C238" w14:textId="77777777" w:rsidR="00667F45" w:rsidRDefault="00667F45"/>
    <w:sectPr w:rsidR="00667F45">
      <w:pgSz w:w="16838" w:h="11906" w:orient="landscape"/>
      <w:pgMar w:top="1440" w:right="1440" w:bottom="1440" w:left="1440"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F7416FD"/>
    <w:multiLevelType w:val="multilevel"/>
    <w:tmpl w:val="59743D66"/>
    <w:lvl w:ilvl="0">
      <w:start w:val="1"/>
      <w:numFmt w:val="decimal"/>
      <w:lvlText w:val="%1."/>
      <w:lvlJc w:val="left"/>
      <w:pPr>
        <w:ind w:left="720" w:hanging="360"/>
      </w:pPr>
      <w:rPr>
        <w:b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12602591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67F45"/>
    <w:rsid w:val="00073FF8"/>
    <w:rsid w:val="00091D9E"/>
    <w:rsid w:val="000978C7"/>
    <w:rsid w:val="000A7D2B"/>
    <w:rsid w:val="00124551"/>
    <w:rsid w:val="001713B8"/>
    <w:rsid w:val="001D1A64"/>
    <w:rsid w:val="001D4F20"/>
    <w:rsid w:val="00403D2C"/>
    <w:rsid w:val="004C448E"/>
    <w:rsid w:val="0060771F"/>
    <w:rsid w:val="00667F45"/>
    <w:rsid w:val="007A1308"/>
    <w:rsid w:val="00901BDA"/>
    <w:rsid w:val="00987C03"/>
    <w:rsid w:val="00D14BA4"/>
    <w:rsid w:val="00D22247"/>
    <w:rsid w:val="00F253F1"/>
    <w:rsid w:val="00F7191C"/>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CA821B"/>
  <w15:docId w15:val="{5E06949D-527A-48AE-81F9-C47D4D84E9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ro-RO" w:eastAsia="zh-CN" w:bidi="ar-SA"/>
      </w:rPr>
    </w:rPrDefault>
    <w:pPrDefault>
      <w:pPr>
        <w:spacing w:after="160" w:line="25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2754B"/>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character" w:styleId="Hyperlink">
    <w:name w:val="Hyperlink"/>
    <w:basedOn w:val="DefaultParagraphFont"/>
    <w:uiPriority w:val="99"/>
    <w:semiHidden/>
    <w:unhideWhenUsed/>
    <w:rsid w:val="00F2754B"/>
    <w:rPr>
      <w:color w:val="0563C1" w:themeColor="hyperlink"/>
      <w:u w:val="single"/>
    </w:rPr>
  </w:style>
  <w:style w:type="paragraph" w:styleId="ListParagraph">
    <w:name w:val="List Paragraph"/>
    <w:basedOn w:val="Normal"/>
    <w:uiPriority w:val="34"/>
    <w:qFormat/>
    <w:rsid w:val="00F2754B"/>
    <w:pPr>
      <w:ind w:left="720"/>
      <w:contextualSpacing/>
    </w:p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www.parlament.md/ProcesulLegislativ/Proiectedeactenormative/tabid/61/LegislativId/6825/language/ro-RO/Default.aspx"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www.parlament.md/ProcesulLegislativ/Proiectedeactenormative/tabid/61/LegislativId/6825/language/ro-RO/Default.aspx"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1kaCifUJqtMJnRc8F4UjUvjrig==">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</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13</TotalTime>
  <Pages>12</Pages>
  <Words>4420</Words>
  <Characters>25198</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29559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Nicolae</dc:creator>
  <cp:lastModifiedBy>Roman Ladus</cp:lastModifiedBy>
  <cp:revision>3</cp:revision>
  <dcterms:created xsi:type="dcterms:W3CDTF">2024-03-19T07:30:00Z</dcterms:created>
  <dcterms:modified xsi:type="dcterms:W3CDTF">2024-03-19T07:51:00Z</dcterms:modified>
</cp:coreProperties>
</file>