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30" w:rsidRDefault="00F17130" w:rsidP="00F17130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4406D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:rsidR="00CE0D26" w:rsidRDefault="00CE0D26" w:rsidP="00CE0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</w:t>
      </w:r>
      <w:r w:rsidRPr="00E3724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u privire la modificarea unor hotărâri </w:t>
      </w:r>
      <w:r w:rsid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</w:t>
      </w:r>
      <w:r w:rsidRPr="00E3724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Guvern </w:t>
      </w:r>
    </w:p>
    <w:p w:rsidR="00CE0D26" w:rsidRPr="00DC6CBD" w:rsidRDefault="00132C5E" w:rsidP="00132C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C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(</w:t>
      </w:r>
      <w:r w:rsidR="00034905" w:rsidRPr="00DC6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o-RO"/>
        </w:rPr>
        <w:t>privind sucurile, gemurile și alte produse similare destinate consumului uman</w:t>
      </w:r>
      <w:r w:rsidRPr="00DC6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o-RO"/>
        </w:rPr>
        <w:t>)</w:t>
      </w:r>
    </w:p>
    <w:tbl>
      <w:tblPr>
        <w:tblStyle w:val="TableGrid"/>
        <w:tblW w:w="4754" w:type="pct"/>
        <w:tblInd w:w="392" w:type="dxa"/>
        <w:tblLook w:val="04A0" w:firstRow="1" w:lastRow="0" w:firstColumn="1" w:lastColumn="0" w:noHBand="0" w:noVBand="1"/>
      </w:tblPr>
      <w:tblGrid>
        <w:gridCol w:w="9638"/>
      </w:tblGrid>
      <w:tr w:rsidR="00486FEB" w:rsidRPr="005E77C0" w:rsidTr="00D32281">
        <w:tc>
          <w:tcPr>
            <w:tcW w:w="5000" w:type="pct"/>
          </w:tcPr>
          <w:p w:rsidR="00486FEB" w:rsidRPr="005E77C0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  <w:r w:rsidR="000B4E9E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Autorii proiectului</w:t>
            </w:r>
          </w:p>
        </w:tc>
      </w:tr>
      <w:tr w:rsidR="00486FEB" w:rsidRPr="005E77C0" w:rsidTr="00D32281">
        <w:tc>
          <w:tcPr>
            <w:tcW w:w="5000" w:type="pct"/>
          </w:tcPr>
          <w:p w:rsidR="00486FEB" w:rsidRPr="005E77C0" w:rsidRDefault="00486FEB" w:rsidP="00EE23E6">
            <w:pPr>
              <w:spacing w:after="0"/>
              <w:ind w:firstLine="572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Ministerul Agriculturii</w:t>
            </w:r>
            <w:r w:rsidR="00A8639D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și Industriei Alimentare</w:t>
            </w:r>
          </w:p>
        </w:tc>
      </w:tr>
      <w:tr w:rsidR="00486FEB" w:rsidRPr="005E77C0" w:rsidTr="00D32281">
        <w:tc>
          <w:tcPr>
            <w:tcW w:w="5000" w:type="pct"/>
          </w:tcPr>
          <w:p w:rsidR="00486FEB" w:rsidRPr="005E77C0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  <w:r w:rsidR="000B4E9E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E31259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Condițiile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ce au impus elaborarea proiectului de act normativ </w:t>
            </w:r>
            <w:r w:rsidR="00370F45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și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370F45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finalitățile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urmărite</w:t>
            </w:r>
          </w:p>
        </w:tc>
      </w:tr>
      <w:tr w:rsidR="00486FEB" w:rsidRPr="005E77C0" w:rsidTr="00D32281">
        <w:trPr>
          <w:trHeight w:val="991"/>
        </w:trPr>
        <w:tc>
          <w:tcPr>
            <w:tcW w:w="5000" w:type="pct"/>
          </w:tcPr>
          <w:p w:rsidR="00D472A1" w:rsidRPr="005E77C0" w:rsidRDefault="00BE75B7" w:rsidP="00E82E10">
            <w:pPr>
              <w:spacing w:after="0" w:line="276" w:lineRule="auto"/>
              <w:ind w:firstLine="57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Odată cu modificarea și/sau abrogarea unor acte normative precum: Legea nr. 78/2004 privind produsele alimentare, Hotărârea Guvernului nr. 1469/2004 privind aprobarea Nomenclatorului produselor din domeniul reglementat, supuse certificării conformității obligatorii, a Legii nr. 420/2006 privind activitatea de reglementare tehnică, care sunt substituite cu Legea nr. 306/2018 privind siguranța alimentelor,</w:t>
            </w:r>
            <w:r w:rsidR="00E82E10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cu modificările ulterioare,</w:t>
            </w: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prin urmare, a apărut necesitatea de operare a unor modificări în textul Hotărârii de Guvern nr. 216/2008 cu privire la aprobarea Reglementării tehnice “Gemuri, jeleuri, dulcețuri, piureuri și alte produse similare” </w:t>
            </w:r>
            <w:r w:rsidR="00E82E10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și în textul Hotărârii Guvernului nr. 1111/2010 cu privire la aprobarea Reglementării tehnice „Sucuri </w:t>
            </w:r>
            <w:r w:rsidR="00034905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și</w:t>
            </w:r>
            <w:r w:rsidR="00E82E10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anumite produse similare destinate consumului uman”, </w:t>
            </w: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în vederea aducerii în concordanță cu prevederile actelor normative în vigoare, precum și cu cerințele actuale aferente produselor solicitate pe piață</w:t>
            </w:r>
            <w:r w:rsidR="00E82E10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. </w:t>
            </w:r>
          </w:p>
        </w:tc>
      </w:tr>
      <w:tr w:rsidR="00A23DF2" w:rsidRPr="005E77C0" w:rsidTr="00D32281">
        <w:tc>
          <w:tcPr>
            <w:tcW w:w="5000" w:type="pct"/>
          </w:tcPr>
          <w:p w:rsidR="00A23DF2" w:rsidRPr="005E77C0" w:rsidRDefault="00A23DF2" w:rsidP="00A23DF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  <w:r w:rsidR="000B4E9E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Descrierea gradului de compatibilitate pentru proiectele care au ca scop armonizarea </w:t>
            </w:r>
            <w:r w:rsidR="00401DDF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legislației</w:t>
            </w: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01DDF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naționale</w:t>
            </w: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cu </w:t>
            </w:r>
            <w:r w:rsidR="00401DDF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legislația</w:t>
            </w: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Uniunii Europene</w:t>
            </w:r>
          </w:p>
        </w:tc>
      </w:tr>
      <w:tr w:rsidR="00A23DF2" w:rsidRPr="005E77C0" w:rsidTr="00D32281">
        <w:tc>
          <w:tcPr>
            <w:tcW w:w="5000" w:type="pct"/>
          </w:tcPr>
          <w:p w:rsidR="00980184" w:rsidRDefault="007C1919" w:rsidP="00C75C18">
            <w:pPr>
              <w:pStyle w:val="NoSpacing"/>
              <w:ind w:firstLine="57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919">
              <w:rPr>
                <w:rFonts w:ascii="Times New Roman" w:hAnsi="Times New Roman" w:cs="Times New Roman"/>
                <w:sz w:val="27"/>
                <w:szCs w:val="27"/>
              </w:rPr>
              <w:t xml:space="preserve">Proiectul național a fost elaborat în cadrul angajamentelor asumate prin Acordul de Asociere RM-UE, în vederea implementării </w:t>
            </w:r>
            <w:r w:rsidR="00C75C18">
              <w:rPr>
                <w:rFonts w:ascii="Times New Roman" w:hAnsi="Times New Roman" w:cs="Times New Roman"/>
                <w:sz w:val="27"/>
                <w:szCs w:val="27"/>
              </w:rPr>
              <w:t xml:space="preserve">punctului 112 din </w:t>
            </w:r>
            <w:r w:rsidR="00C75C18" w:rsidRPr="00C75C18">
              <w:rPr>
                <w:rFonts w:ascii="Times New Roman" w:hAnsi="Times New Roman" w:cs="Times New Roman"/>
                <w:sz w:val="27"/>
                <w:szCs w:val="27"/>
              </w:rPr>
              <w:t>Planului de acțiuni</w:t>
            </w:r>
            <w:r w:rsidR="00C75C1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75C18" w:rsidRPr="00C75C18">
              <w:rPr>
                <w:rFonts w:ascii="Times New Roman" w:hAnsi="Times New Roman" w:cs="Times New Roman"/>
                <w:sz w:val="27"/>
                <w:szCs w:val="27"/>
              </w:rPr>
              <w:t>al Guvernului pentru anul 2024</w:t>
            </w:r>
            <w:r w:rsidRPr="007C1919">
              <w:rPr>
                <w:rFonts w:ascii="Times New Roman" w:hAnsi="Times New Roman" w:cs="Times New Roman"/>
                <w:sz w:val="27"/>
                <w:szCs w:val="27"/>
              </w:rPr>
              <w:t xml:space="preserve">, din </w:t>
            </w:r>
            <w:r w:rsidR="00980184">
              <w:rPr>
                <w:rFonts w:ascii="Times New Roman" w:hAnsi="Times New Roman" w:cs="Times New Roman"/>
                <w:sz w:val="27"/>
                <w:szCs w:val="27"/>
              </w:rPr>
              <w:t>Compartimentul</w:t>
            </w:r>
            <w:r w:rsidRPr="007C1919">
              <w:rPr>
                <w:rFonts w:ascii="Times New Roman" w:hAnsi="Times New Roman" w:cs="Times New Roman"/>
                <w:sz w:val="27"/>
                <w:szCs w:val="27"/>
              </w:rPr>
              <w:t xml:space="preserve"> – Agricultura și </w:t>
            </w:r>
            <w:r w:rsidR="00980184">
              <w:rPr>
                <w:rFonts w:ascii="Times New Roman" w:hAnsi="Times New Roman" w:cs="Times New Roman"/>
                <w:sz w:val="27"/>
                <w:szCs w:val="27"/>
              </w:rPr>
              <w:t>industrie alimentară</w:t>
            </w:r>
            <w:r w:rsidRPr="007C191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0C0F3D" w:rsidRPr="005E77C0" w:rsidRDefault="007C1919" w:rsidP="00C53F64">
            <w:pPr>
              <w:pStyle w:val="NoSpacing"/>
              <w:ind w:firstLine="57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1919">
              <w:rPr>
                <w:rFonts w:ascii="Times New Roman" w:hAnsi="Times New Roman" w:cs="Times New Roman"/>
                <w:sz w:val="27"/>
                <w:szCs w:val="27"/>
              </w:rPr>
              <w:t>În acest context, proiectul nominalizat urmează să fie operate modificări la două hotărâri de Guvern</w:t>
            </w:r>
            <w:r w:rsidR="00980184">
              <w:rPr>
                <w:rFonts w:ascii="Times New Roman" w:hAnsi="Times New Roman" w:cs="Times New Roman"/>
                <w:sz w:val="27"/>
                <w:szCs w:val="27"/>
              </w:rPr>
              <w:t>, prin aducerea în concordanță</w:t>
            </w:r>
            <w:r w:rsidR="000C0F3D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80184">
              <w:rPr>
                <w:rFonts w:ascii="Times New Roman" w:hAnsi="Times New Roman" w:cs="Times New Roman"/>
                <w:sz w:val="27"/>
                <w:szCs w:val="27"/>
              </w:rPr>
              <w:t xml:space="preserve">cu </w:t>
            </w:r>
            <w:r w:rsidR="000C0F3D" w:rsidRPr="005E77C0">
              <w:rPr>
                <w:rFonts w:ascii="Times New Roman" w:hAnsi="Times New Roman" w:cs="Times New Roman"/>
                <w:sz w:val="27"/>
                <w:szCs w:val="27"/>
              </w:rPr>
              <w:t>prevederil</w:t>
            </w:r>
            <w:r w:rsidR="00980184">
              <w:rPr>
                <w:rFonts w:ascii="Times New Roman" w:hAnsi="Times New Roman" w:cs="Times New Roman"/>
                <w:sz w:val="27"/>
                <w:szCs w:val="27"/>
              </w:rPr>
              <w:t>e</w:t>
            </w:r>
            <w:r w:rsidR="000C0F3D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următoarel</w:t>
            </w:r>
            <w:r w:rsidR="00980184">
              <w:rPr>
                <w:rFonts w:ascii="Times New Roman" w:hAnsi="Times New Roman" w:cs="Times New Roman"/>
                <w:sz w:val="27"/>
                <w:szCs w:val="27"/>
              </w:rPr>
              <w:t xml:space="preserve">or </w:t>
            </w:r>
            <w:r w:rsidR="000C0F3D" w:rsidRPr="005E77C0">
              <w:rPr>
                <w:rFonts w:ascii="Times New Roman" w:hAnsi="Times New Roman" w:cs="Times New Roman"/>
                <w:sz w:val="27"/>
                <w:szCs w:val="27"/>
              </w:rPr>
              <w:t>acte normative UE:</w:t>
            </w:r>
          </w:p>
          <w:p w:rsidR="00590D7A" w:rsidRPr="005E77C0" w:rsidRDefault="000C0F3D" w:rsidP="00C53F64">
            <w:pPr>
              <w:pStyle w:val="NoSpacing"/>
              <w:ind w:firstLine="57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1. Î</w:t>
            </w:r>
            <w:r w:rsidR="007602BE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n vederea </w:t>
            </w:r>
            <w:r w:rsidR="00C53F64" w:rsidRPr="005E77C0">
              <w:rPr>
                <w:rFonts w:ascii="Times New Roman" w:hAnsi="Times New Roman" w:cs="Times New Roman"/>
                <w:sz w:val="27"/>
                <w:szCs w:val="27"/>
              </w:rPr>
              <w:t>Reglementării tehnice “Gemuri, jeleuri, dulcețuri, piureuri și alte produse similare”</w:t>
            </w:r>
            <w:r w:rsidR="00590D7A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transpune</w:t>
            </w:r>
            <w:r w:rsidR="007D0F8B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parțial</w:t>
            </w:r>
            <w:r w:rsidR="00590D7A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prevederile următoar</w:t>
            </w:r>
            <w:r w:rsidR="00C53F64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ei Directive: </w:t>
            </w:r>
          </w:p>
          <w:p w:rsidR="00590D7A" w:rsidRPr="005E77C0" w:rsidRDefault="00DC6CBD" w:rsidP="00DC6CBD">
            <w:pPr>
              <w:pStyle w:val="NoSpacing"/>
              <w:numPr>
                <w:ilvl w:val="0"/>
                <w:numId w:val="2"/>
              </w:numPr>
              <w:ind w:left="34" w:firstLine="3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6CBD">
              <w:rPr>
                <w:rStyle w:val="2"/>
                <w:rFonts w:eastAsiaTheme="majorEastAsia"/>
                <w:sz w:val="27"/>
                <w:szCs w:val="27"/>
              </w:rPr>
              <w:t xml:space="preserve">transpune parțial (transpune art. 1, art. 2, Anexa I, Anexa II și Anexa III) </w:t>
            </w:r>
            <w:r w:rsidR="00C53F64" w:rsidRPr="005E77C0">
              <w:rPr>
                <w:rStyle w:val="2"/>
                <w:rFonts w:eastAsiaTheme="majorEastAsia"/>
                <w:sz w:val="27"/>
                <w:szCs w:val="27"/>
              </w:rPr>
              <w:t>Directiva 2001/113/CE a Consiliului din 20 decembrie 2001 privind gemurile, jeleurile și marmeladele de fructe, precum și piureul de castane îndulcit destinate alimentației umane, mod</w:t>
            </w:r>
            <w:r w:rsidR="000C0F3D" w:rsidRPr="005E77C0">
              <w:rPr>
                <w:rStyle w:val="2"/>
                <w:rFonts w:eastAsiaTheme="majorEastAsia"/>
                <w:sz w:val="27"/>
                <w:szCs w:val="27"/>
              </w:rPr>
              <w:t xml:space="preserve">ificat ultima dată în anul 2013; </w:t>
            </w:r>
          </w:p>
          <w:p w:rsidR="000C0F3D" w:rsidRPr="005E77C0" w:rsidRDefault="000C0F3D" w:rsidP="000C0F3D">
            <w:pPr>
              <w:pStyle w:val="NoSpacing"/>
              <w:ind w:left="5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 xml:space="preserve">2. În vederea Reglementării </w:t>
            </w: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cu privire la aprobarea Reglementării tehnice „Sucuri și anumite produse similare destinate consumului uman”: </w:t>
            </w:r>
          </w:p>
          <w:p w:rsidR="007C1919" w:rsidRDefault="000C0F3D" w:rsidP="00DC6CBD">
            <w:pPr>
              <w:pStyle w:val="NoSpacing"/>
              <w:ind w:left="5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- </w:t>
            </w:r>
            <w:r w:rsidR="00DC6CBD" w:rsidRPr="00DC6CBD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transpune parțial (transpune art. 3, art. 4, ar</w:t>
            </w:r>
            <w:r w:rsidR="00DC6CBD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t. 6, Anexa I, Anexa, II, Anexa </w:t>
            </w:r>
            <w:r w:rsidR="00DC6CBD" w:rsidRPr="00DC6CBD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III, Anexa IV și Anexa V)</w:t>
            </w:r>
            <w:r w:rsidR="00DC6CBD" w:rsidRPr="00DC6CBD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Directiva 2001/112/CE a Consiliului din 20 decembrie 2001 privind sucurile de fructe și anumite produse similare destinate consumului uman, publicat în Jurnalul Oficial al Uniunii Europene L 010 12.1.2002, p. 58, așa cum a fost modificată ultima dată prin Regulamentul Delegat (UE) nr. 1040/2014 al Comisiei din 25 iulie 2014 de modificare a Directivei 2001/112/CE a Consiliului privind sucurile de fructe și anumite produse similare destinate consumului uman, în vederea adaptării la progresele tehnice a a</w:t>
            </w:r>
            <w:r w:rsidR="00697731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nexei I la respectiva directivă.</w:t>
            </w:r>
            <w:bookmarkStart w:id="0" w:name="_GoBack"/>
            <w:bookmarkEnd w:id="0"/>
          </w:p>
          <w:p w:rsidR="00215A30" w:rsidRPr="00215A30" w:rsidRDefault="00215A30" w:rsidP="00215A30">
            <w:pPr>
              <w:pStyle w:val="NoSpacing"/>
              <w:ind w:left="5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  <w:r w:rsidRPr="00215A3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Întru respectarea art.31 din Legea nr.100/2017, ca urmare a transpunerii actelor</w:t>
            </w:r>
          </w:p>
          <w:p w:rsidR="00215A30" w:rsidRPr="00215A30" w:rsidRDefault="00215A30" w:rsidP="00215A30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  <w:r w:rsidRPr="00215A3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lastRenderedPageBreak/>
              <w:t>UE menționate supra, au fost întocmite tab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 xml:space="preserve">elele de concordanță. Gradul de </w:t>
            </w:r>
            <w:r w:rsidRPr="00215A3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compatibilitate a proiectului nominalizat cu prevederile legislației Uniunii Europene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 xml:space="preserve"> </w:t>
            </w:r>
            <w:r w:rsidRPr="00215A3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este stabilit în Tabelele de concordanță elaborate în conformitate cu Regulamentul</w:t>
            </w:r>
          </w:p>
          <w:p w:rsidR="00215A30" w:rsidRPr="00697731" w:rsidRDefault="00215A30" w:rsidP="00215A30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  <w:r w:rsidRPr="00215A3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privind armonizarea legislației Uniunii Europene aprobat prin Hotărârea Guvernului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 xml:space="preserve"> </w:t>
            </w:r>
            <w:r w:rsidRPr="00215A30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nr.1171/2018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 xml:space="preserve">. </w:t>
            </w:r>
          </w:p>
        </w:tc>
      </w:tr>
      <w:tr w:rsidR="00486FEB" w:rsidRPr="005E77C0" w:rsidTr="00D32281">
        <w:tc>
          <w:tcPr>
            <w:tcW w:w="5000" w:type="pct"/>
          </w:tcPr>
          <w:p w:rsidR="00486FEB" w:rsidRPr="005E77C0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4.</w:t>
            </w:r>
            <w:r w:rsidR="000B4E9E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Principalele prevederi ale proiectului </w:t>
            </w:r>
            <w:r w:rsidR="00401DDF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și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01DDF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evidențierea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elementelor noi</w:t>
            </w:r>
          </w:p>
        </w:tc>
      </w:tr>
      <w:tr w:rsidR="00486FEB" w:rsidRPr="005E77C0" w:rsidTr="00D32281">
        <w:trPr>
          <w:trHeight w:val="274"/>
        </w:trPr>
        <w:tc>
          <w:tcPr>
            <w:tcW w:w="5000" w:type="pct"/>
            <w:shd w:val="clear" w:color="auto" w:fill="auto"/>
          </w:tcPr>
          <w:p w:rsidR="00D4097D" w:rsidRPr="005E77C0" w:rsidRDefault="00590D7A" w:rsidP="009D290B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Prezentul p</w:t>
            </w:r>
            <w:r w:rsidR="00D219D5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roiect are drept scop </w:t>
            </w:r>
            <w:r w:rsidR="005736F9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ajustarea cadrului normativ</w:t>
            </w:r>
            <w:r w:rsidR="002473EA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național</w:t>
            </w:r>
            <w:r w:rsidR="005736F9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, la cerințele și normele stabilite</w:t>
            </w:r>
            <w:r w:rsidR="00D4097D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de către Uniunea Europeană, Republica Moldova, fiind cu statutul de țară-candidat. </w:t>
            </w:r>
          </w:p>
          <w:p w:rsidR="00A60B75" w:rsidRPr="005E77C0" w:rsidRDefault="00EB17CD" w:rsidP="009D290B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Ca urmare a modificărilor </w:t>
            </w:r>
            <w:r w:rsidR="00C53F64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actului UE</w:t>
            </w: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menționate </w:t>
            </w:r>
            <w:r w:rsidR="00C53F64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la pct. 3, </w:t>
            </w:r>
            <w:r w:rsidR="00A60B75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au fost făcute următoarele modificări. </w:t>
            </w:r>
          </w:p>
          <w:p w:rsidR="00A60B75" w:rsidRPr="005E77C0" w:rsidRDefault="00A60B75" w:rsidP="009D290B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5E77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o-RO"/>
              </w:rPr>
              <w:t>1. Hotărârea Guvernului nr. 216/2008</w:t>
            </w: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cu privire la aprobarea Reglementării tehnice “Gemuri, jeleuri, dulcețuri, piureuri și alte produse similare”</w:t>
            </w: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:</w:t>
            </w:r>
          </w:p>
          <w:p w:rsidR="00C53F64" w:rsidRPr="005E77C0" w:rsidRDefault="00266DD7" w:rsidP="009D290B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</w:t>
            </w:r>
            <w:r w:rsidR="00A60B75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</w:t>
            </w:r>
            <w:r w:rsidR="0003490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se modifică </w:t>
            </w:r>
            <w:r w:rsidR="00A60B75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clauza de emitere </w:t>
            </w:r>
            <w:r w:rsidR="00A60B75"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a hotărârii</w:t>
            </w:r>
            <w:r w:rsidR="002A2E7F"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;</w:t>
            </w:r>
          </w:p>
          <w:p w:rsidR="002A2E7F" w:rsidRDefault="00266DD7" w:rsidP="002A2E7F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</w:t>
            </w:r>
            <w:r w:rsidR="002A2E7F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în titlu și textul Hotărârii, cuvintele „Reglementare tehnică”, la orice formă gramaticală, se substituie cu textul „Cerințe de calitate (în continuare – Cerințe)” la forma gramaticală corespunzătoare;</w:t>
            </w:r>
          </w:p>
          <w:p w:rsidR="00266DD7" w:rsidRDefault="00266DD7" w:rsidP="00266DD7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266DD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se completează Cerințele cu </w:t>
            </w:r>
            <w:r w:rsidRPr="00266DD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noțiuni, așa cum sunt prevăzute în legislația UE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;</w:t>
            </w:r>
          </w:p>
          <w:p w:rsidR="00266DD7" w:rsidRPr="005E77C0" w:rsidRDefault="00266DD7" w:rsidP="00266DD7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se </w:t>
            </w:r>
            <w:r w:rsidR="00B8686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actualizează lista fructelor utilizate pentru fabricarea produselor; </w:t>
            </w:r>
          </w:p>
          <w:p w:rsidR="002A2E7F" w:rsidRDefault="00B86862" w:rsidP="002A2E7F">
            <w:pPr>
              <w:spacing w:after="0" w:line="276" w:lineRule="auto"/>
              <w:ind w:left="-567" w:firstLine="1134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- </w:t>
            </w:r>
            <w:r w:rsidR="002A2E7F" w:rsidRPr="005E77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o-RO"/>
              </w:rPr>
              <w:t>se abrogă capitolul V. Evaluarea conformității produselor;</w:t>
            </w:r>
          </w:p>
          <w:p w:rsidR="00B86862" w:rsidRPr="005E77C0" w:rsidRDefault="00B86862" w:rsidP="002A2E7F">
            <w:pPr>
              <w:spacing w:after="0" w:line="276" w:lineRule="auto"/>
              <w:ind w:left="-567" w:firstLine="1134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o-RO"/>
              </w:rPr>
              <w:t xml:space="preserve">- se include necesitatea certificatului de calitate, eliberat de către producător; </w:t>
            </w:r>
          </w:p>
          <w:p w:rsidR="002A2E7F" w:rsidRPr="005E77C0" w:rsidRDefault="00B86862" w:rsidP="002A2E7F">
            <w:pPr>
              <w:spacing w:after="0" w:line="276" w:lineRule="auto"/>
              <w:ind w:left="-567" w:firstLine="11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- </w:t>
            </w:r>
            <w:r w:rsidR="002A2E7F"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se exclude Anexa nr. 4 „DECLARAŢIE DE CONFORMITATE”.</w:t>
            </w:r>
          </w:p>
          <w:p w:rsidR="002A2E7F" w:rsidRDefault="002A2E7F" w:rsidP="002A2E7F">
            <w:pPr>
              <w:spacing w:after="0" w:line="276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 w:rsidRPr="005E77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o-RO"/>
              </w:rPr>
              <w:t>2. Hotărârea Guvernului nr. 1111/2010</w:t>
            </w: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cu privire la aprobarea Reglementării tehnice „Sucuri și anumite produse similare destinate consumului uman”:</w:t>
            </w:r>
          </w:p>
          <w:p w:rsidR="005E77C0" w:rsidRPr="00E37244" w:rsidRDefault="0056781E" w:rsidP="0056781E">
            <w:pPr>
              <w:pStyle w:val="ListParagraph"/>
              <w:tabs>
                <w:tab w:val="left" w:pos="851"/>
              </w:tabs>
              <w:spacing w:after="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se modifică </w:t>
            </w:r>
            <w:r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clauza de emitere </w:t>
            </w:r>
            <w:r w:rsidRPr="005E77C0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a hotărârii</w:t>
            </w:r>
            <w:r w:rsidR="005E77C0" w:rsidRPr="00E3724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;</w:t>
            </w:r>
          </w:p>
          <w:p w:rsidR="005E77C0" w:rsidRPr="00D32281" w:rsidRDefault="0056781E" w:rsidP="0056781E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  <w:r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       - 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în titlu și textul Hotărârii, cuvintele „Reglementare tehnică”, la orice formă gramaticală, se substituie cu textul „Cerințe de calitate </w:t>
            </w:r>
            <w:r w:rsidR="005E77C0" w:rsidRPr="00D3228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o-RO"/>
              </w:rPr>
              <w:t>(în continuare – Cerințe)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” la forma gramaticală corespunzătoare;</w:t>
            </w:r>
          </w:p>
          <w:p w:rsidR="005E77C0" w:rsidRPr="00D32281" w:rsidRDefault="0056781E" w:rsidP="005E77C0">
            <w:pPr>
              <w:spacing w:after="0" w:line="276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  <w:r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-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 xml:space="preserve"> </w:t>
            </w:r>
            <w:r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  <w:t>se completează Cerințele cu noțiuni, așa cum sunt prevăzute în legislația UE;</w:t>
            </w:r>
          </w:p>
          <w:p w:rsidR="00980184" w:rsidRPr="00D32281" w:rsidRDefault="00980184" w:rsidP="00980184">
            <w:pPr>
              <w:spacing w:after="0" w:line="276" w:lineRule="auto"/>
              <w:ind w:left="-567" w:firstLine="11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 w:rsidRPr="00D3228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o-RO"/>
              </w:rPr>
              <w:t>- se include necesitatea certificatului de calitate, eliberat de către producător;</w:t>
            </w:r>
            <w:r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</w:p>
          <w:p w:rsidR="00980184" w:rsidRPr="00D32281" w:rsidRDefault="00980184" w:rsidP="00D3228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eastAsia="ro-RO"/>
              </w:rPr>
            </w:pPr>
            <w:r w:rsidRPr="00D32281">
              <w:rPr>
                <w:rFonts w:ascii="Times New Roman" w:hAnsi="Times New Roman" w:cs="Times New Roman"/>
                <w:sz w:val="27"/>
                <w:szCs w:val="27"/>
                <w:lang w:eastAsia="ro-RO"/>
              </w:rPr>
              <w:t xml:space="preserve">- se completează cu „Caracteristicile indicilor de calitate pentru nectarurile de fructe”; </w:t>
            </w:r>
          </w:p>
          <w:p w:rsidR="00980184" w:rsidRPr="00D32281" w:rsidRDefault="00980184" w:rsidP="00D3228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</w:pPr>
            <w:r w:rsidRPr="00D32281">
              <w:rPr>
                <w:rFonts w:ascii="Times New Roman" w:hAnsi="Times New Roman" w:cs="Times New Roman"/>
                <w:sz w:val="27"/>
                <w:szCs w:val="27"/>
                <w:lang w:eastAsia="ro-RO"/>
              </w:rPr>
              <w:t xml:space="preserve">- 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se completează cu „Valorile </w:t>
            </w:r>
            <w:proofErr w:type="spellStart"/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Brix</w:t>
            </w:r>
            <w:proofErr w:type="spellEnd"/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minime pentru sucul de fructe reconstituit și pentru piureul de fructe reconstituit”;</w:t>
            </w:r>
          </w:p>
          <w:p w:rsidR="00C53F64" w:rsidRPr="00980184" w:rsidRDefault="00980184" w:rsidP="00D32281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- 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se completează cu </w:t>
            </w:r>
            <w:r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următoarele anexe:</w:t>
            </w:r>
            <w:r w:rsidR="00D32281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 „Ingrediente, trat</w:t>
            </w:r>
            <w:r w:rsidR="00D32281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 xml:space="preserve">amente și substanțe autorizate” și </w:t>
            </w:r>
            <w:r w:rsidR="005E77C0" w:rsidRPr="00D32281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„Denumiri speciale pentru anumite produse”.</w:t>
            </w:r>
            <w:r w:rsidR="005E77C0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r w:rsidR="00FF7475" w:rsidRPr="005E77C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</w:t>
            </w:r>
          </w:p>
        </w:tc>
      </w:tr>
      <w:tr w:rsidR="00486FEB" w:rsidRPr="005E77C0" w:rsidTr="00D32281">
        <w:tc>
          <w:tcPr>
            <w:tcW w:w="5000" w:type="pct"/>
          </w:tcPr>
          <w:p w:rsidR="00486FEB" w:rsidRPr="005E77C0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5.</w:t>
            </w:r>
            <w:r w:rsidR="000B4E9E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Fundamentarea </w:t>
            </w:r>
            <w:proofErr w:type="spellStart"/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486FEB" w:rsidRPr="005E77C0" w:rsidTr="00D32281">
        <w:trPr>
          <w:trHeight w:val="676"/>
        </w:trPr>
        <w:tc>
          <w:tcPr>
            <w:tcW w:w="5000" w:type="pct"/>
          </w:tcPr>
          <w:p w:rsidR="0034406D" w:rsidRPr="005E77C0" w:rsidRDefault="000B4E9E" w:rsidP="0034406D">
            <w:pPr>
              <w:pStyle w:val="NoSpacing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stat. Potrivit prevederilor din proiect, autoritatea competentă responsabilă de realizarea controalelor este Agenția Națională pentru Siguranța Alimentelor</w:t>
            </w:r>
            <w:r w:rsidR="00D219D5" w:rsidRPr="005E77C0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care își realizează atribuțiile de serviciu, fiind finanțate din bugetul de stat.</w:t>
            </w:r>
            <w:r w:rsidR="00C53F64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486FEB" w:rsidRPr="005E77C0" w:rsidTr="00D32281">
        <w:tc>
          <w:tcPr>
            <w:tcW w:w="5000" w:type="pct"/>
          </w:tcPr>
          <w:p w:rsidR="00486FEB" w:rsidRPr="005E77C0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  <w:r w:rsidR="000B4E9E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486FEB" w:rsidRPr="005E77C0" w:rsidTr="00D32281">
        <w:trPr>
          <w:trHeight w:val="125"/>
        </w:trPr>
        <w:tc>
          <w:tcPr>
            <w:tcW w:w="5000" w:type="pct"/>
          </w:tcPr>
          <w:p w:rsidR="00651AB5" w:rsidRPr="005E77C0" w:rsidRDefault="00D32281" w:rsidP="00D32281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Proiectul este elaborat </w:t>
            </w:r>
            <w:r w:rsidRPr="00D32281">
              <w:rPr>
                <w:rFonts w:ascii="Times New Roman" w:hAnsi="Times New Roman" w:cs="Times New Roman"/>
                <w:sz w:val="27"/>
                <w:szCs w:val="27"/>
              </w:rPr>
              <w:t xml:space="preserve">în vederea implementării punctului 112 din </w:t>
            </w:r>
            <w:r w:rsidRPr="00D322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Compartimentul – Agri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cultura și industrie alimentară,</w:t>
            </w:r>
            <w:r w:rsidRPr="00D3228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inclus în</w:t>
            </w:r>
            <w:r w:rsidRPr="00D32281">
              <w:rPr>
                <w:rFonts w:ascii="Times New Roman" w:hAnsi="Times New Roman" w:cs="Times New Roman"/>
                <w:sz w:val="27"/>
                <w:szCs w:val="27"/>
              </w:rPr>
              <w:t xml:space="preserve"> Planul de acțiuni al Guvernului pentru anul 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aprobat prin Hotărârea Guvernului nr. 829/2023, precum și pentru aducerea in concordanță a prevederilor ca urmare a modificării și abrogării mai multor acte normative.</w:t>
            </w:r>
          </w:p>
        </w:tc>
      </w:tr>
      <w:tr w:rsidR="00486FEB" w:rsidRPr="005E77C0" w:rsidTr="00D32281">
        <w:tc>
          <w:tcPr>
            <w:tcW w:w="5000" w:type="pct"/>
          </w:tcPr>
          <w:p w:rsidR="00486FEB" w:rsidRPr="005E77C0" w:rsidRDefault="00A23DF2" w:rsidP="00D269A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lastRenderedPageBreak/>
              <w:t>7.</w:t>
            </w:r>
            <w:r w:rsidR="00442B64" w:rsidRPr="005E77C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486FEB" w:rsidRPr="005E77C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Avizarea </w:t>
            </w:r>
            <w:r w:rsidR="00A85C85" w:rsidRPr="005E77C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și</w:t>
            </w:r>
            <w:r w:rsidR="00486FEB" w:rsidRPr="005E77C0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consultarea publică a proiectului</w:t>
            </w:r>
          </w:p>
        </w:tc>
      </w:tr>
      <w:tr w:rsidR="00486FEB" w:rsidRPr="005E77C0" w:rsidTr="00D32281">
        <w:tc>
          <w:tcPr>
            <w:tcW w:w="5000" w:type="pct"/>
          </w:tcPr>
          <w:p w:rsidR="005E77C0" w:rsidRDefault="00CE4E30" w:rsidP="007A68E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Astfel, în conformitate cu art. 32 din Legea nr. 100/2017 cu privire la actele normative, </w:t>
            </w:r>
            <w:r w:rsidRPr="005E77C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anunțul privind inițierea elaborării proiectului de act normativ </w:t>
            </w:r>
            <w:r w:rsidR="00746CB8" w:rsidRPr="005E77C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a fost</w:t>
            </w:r>
            <w:r w:rsidRPr="005E77C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plasat pe pagina web al Ministerului Agriculturii</w:t>
            </w:r>
            <w:r w:rsidR="003D637F" w:rsidRPr="005E77C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și Industriei </w:t>
            </w:r>
            <w:r w:rsidR="00107210" w:rsidRPr="005E77C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Alimentare</w:t>
            </w:r>
            <w:r w:rsidR="003D637F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5" w:history="1">
              <w:r w:rsidR="00FC275E" w:rsidRPr="005E77C0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https://maia.gov.md</w:t>
              </w:r>
            </w:hyperlink>
            <w:r w:rsidR="00496917" w:rsidRPr="005E77C0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603E0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la compartimentul ,,Transparență decizională/</w:t>
            </w:r>
            <w:r w:rsidR="0006074F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proiecte de documente</w:t>
            </w: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”</w:t>
            </w:r>
            <w:r w:rsidR="0006074F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și pe portalul</w:t>
            </w:r>
            <w:r w:rsidR="002C4D87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6" w:history="1">
              <w:r w:rsidR="007602BE" w:rsidRPr="005E77C0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https://particip.gov.md/ro/document/stages/anunt-privind-initierea-procesului-de-elaborare-a-proiectului-hotararii-guvernului-cu-privire-la-modificarea-unor-hotarari-ale-guvernului/11466</w:t>
              </w:r>
            </w:hyperlink>
            <w:r w:rsidR="00C837C9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D32281" w:rsidRPr="00E21038" w:rsidRDefault="005E77C0" w:rsidP="00D3228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5E">
              <w:rPr>
                <w:rFonts w:ascii="Times New Roman" w:hAnsi="Times New Roman" w:cs="Times New Roman"/>
                <w:sz w:val="28"/>
                <w:szCs w:val="28"/>
              </w:rPr>
              <w:t xml:space="preserve">Suplimentar, au fost organizate 2 ședințe cu părțile interesate, la data de 11.10.2023 și la data de 21.10.2023, unde au fost discutate completările și propunerile de modificare a acestora, care ulterior au fost incluse în proiect. </w:t>
            </w:r>
          </w:p>
        </w:tc>
      </w:tr>
      <w:tr w:rsidR="00C151CE" w:rsidRPr="005E77C0" w:rsidTr="00D32281">
        <w:tc>
          <w:tcPr>
            <w:tcW w:w="5000" w:type="pct"/>
          </w:tcPr>
          <w:p w:rsidR="00C151CE" w:rsidRPr="005E77C0" w:rsidRDefault="00C151CE" w:rsidP="00C151C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8. Constatările expertizei anticorupție</w:t>
            </w:r>
          </w:p>
        </w:tc>
      </w:tr>
      <w:tr w:rsidR="00C151CE" w:rsidRPr="005E77C0" w:rsidTr="00D32281">
        <w:tc>
          <w:tcPr>
            <w:tcW w:w="5000" w:type="pct"/>
          </w:tcPr>
          <w:p w:rsidR="0034406D" w:rsidRPr="005E77C0" w:rsidRDefault="000D6E08" w:rsidP="0034406D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În temeiul art. 34 </w:t>
            </w:r>
            <w:r w:rsidR="00A85C85" w:rsidRPr="005E77C0">
              <w:rPr>
                <w:rFonts w:ascii="Times New Roman" w:hAnsi="Times New Roman"/>
                <w:sz w:val="27"/>
                <w:szCs w:val="27"/>
                <w:lang w:eastAsia="ru-RU"/>
              </w:rPr>
              <w:t>și</w:t>
            </w:r>
            <w:r w:rsidRPr="005E77C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35 din Legea nr. 100/2017 cu privire la actele normative, proiectul urmează a fi supus expertizei anticorupție, care va fi efectuată de către Centrul Național Anticorupție.</w:t>
            </w:r>
          </w:p>
        </w:tc>
      </w:tr>
      <w:tr w:rsidR="00C151CE" w:rsidRPr="005E77C0" w:rsidTr="00D32281">
        <w:tc>
          <w:tcPr>
            <w:tcW w:w="5000" w:type="pct"/>
          </w:tcPr>
          <w:p w:rsidR="00C151CE" w:rsidRPr="005E77C0" w:rsidRDefault="00C151CE" w:rsidP="008A6D1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C151CE" w:rsidRPr="005E77C0" w:rsidTr="00D32281">
        <w:trPr>
          <w:trHeight w:val="70"/>
        </w:trPr>
        <w:tc>
          <w:tcPr>
            <w:tcW w:w="5000" w:type="pct"/>
          </w:tcPr>
          <w:p w:rsidR="00C151CE" w:rsidRPr="005E77C0" w:rsidRDefault="00FC275E" w:rsidP="00465EC3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Proiectul va fi transmis pentru examinare și expertizare Centrului de Armonizare a</w:t>
            </w:r>
            <w:r w:rsidR="00465EC3" w:rsidRPr="005E77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E77C0">
              <w:rPr>
                <w:rFonts w:ascii="Times New Roman" w:hAnsi="Times New Roman" w:cs="Times New Roman"/>
                <w:sz w:val="27"/>
                <w:szCs w:val="27"/>
              </w:rPr>
              <w:t>Legislației.</w:t>
            </w:r>
          </w:p>
        </w:tc>
      </w:tr>
      <w:tr w:rsidR="00C151CE" w:rsidRPr="005E77C0" w:rsidTr="00D32281">
        <w:tc>
          <w:tcPr>
            <w:tcW w:w="5000" w:type="pct"/>
          </w:tcPr>
          <w:p w:rsidR="00C151CE" w:rsidRPr="005E77C0" w:rsidRDefault="00C151CE" w:rsidP="00C837C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C151CE" w:rsidRPr="005E77C0" w:rsidTr="00D32281">
        <w:tc>
          <w:tcPr>
            <w:tcW w:w="5000" w:type="pct"/>
          </w:tcPr>
          <w:p w:rsidR="00C151CE" w:rsidRPr="005E77C0" w:rsidRDefault="000D6E08" w:rsidP="00C52E2B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2060"/>
                <w:sz w:val="27"/>
                <w:szCs w:val="27"/>
              </w:rPr>
            </w:pPr>
            <w:r w:rsidRPr="005E77C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În temeiul art. 34 </w:t>
            </w:r>
            <w:r w:rsidR="00673601" w:rsidRPr="005E77C0">
              <w:rPr>
                <w:rFonts w:ascii="Times New Roman" w:hAnsi="Times New Roman"/>
                <w:sz w:val="27"/>
                <w:szCs w:val="27"/>
                <w:lang w:eastAsia="ru-RU"/>
              </w:rPr>
              <w:t>și</w:t>
            </w:r>
            <w:r w:rsidRPr="005E77C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37 din Legea nr. 100/2017 cu privire la actele normative, proiectul urmează a fi supus expertizei juridice, care va fi efectuată de către Ministerul Justiției.</w:t>
            </w:r>
          </w:p>
        </w:tc>
      </w:tr>
      <w:tr w:rsidR="00C151CE" w:rsidRPr="005E77C0" w:rsidTr="00D32281">
        <w:tc>
          <w:tcPr>
            <w:tcW w:w="5000" w:type="pct"/>
          </w:tcPr>
          <w:p w:rsidR="00C151CE" w:rsidRPr="005E77C0" w:rsidRDefault="00C151CE" w:rsidP="00C837C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E77C0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C151CE" w:rsidRPr="005E77C0" w:rsidTr="00D32281">
        <w:tc>
          <w:tcPr>
            <w:tcW w:w="5000" w:type="pct"/>
          </w:tcPr>
          <w:p w:rsidR="00D32281" w:rsidRPr="00D32281" w:rsidRDefault="00D32281" w:rsidP="00D32281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D32281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Analiza impactului de Reglementare efectuată la proiectul hotărârii Guvernului cu privire la modificarea unor hotărâri de Guvern (privind sucurile, gemurile și alte produse similare destinate consumului uman), a fost examinată în cadrul ședinței Grupului de lucru al Comisiei de Stat pentru Reglementarea Activității de Întreprinzător, cu susținerea condiționată a acestuia (conform procesului verbal nr.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>5</w:t>
            </w:r>
            <w:r w:rsidRPr="00D32281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 din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>06.02.2024</w:t>
            </w:r>
            <w:r w:rsidRPr="00D32281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). Analiza de impact a fost ajustată conform recomandărilor expertului. </w:t>
            </w:r>
          </w:p>
          <w:p w:rsidR="00C151CE" w:rsidRPr="005E77C0" w:rsidRDefault="00C151CE" w:rsidP="00D322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eastAsia="ru-RU"/>
              </w:rPr>
            </w:pPr>
          </w:p>
        </w:tc>
      </w:tr>
    </w:tbl>
    <w:p w:rsidR="00486FEB" w:rsidRPr="0034406D" w:rsidRDefault="00486FEB" w:rsidP="00486FEB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B4275" w:rsidRPr="0034406D" w:rsidRDefault="007B4275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5E77C0" w:rsidRDefault="005E77C0" w:rsidP="00F202C2">
      <w:pPr>
        <w:pStyle w:val="NoSpacing"/>
        <w:ind w:left="708"/>
        <w:rPr>
          <w:rFonts w:ascii="Times New Roman" w:hAnsi="Times New Roman" w:cs="Times New Roman"/>
          <w:b/>
          <w:sz w:val="27"/>
          <w:szCs w:val="27"/>
        </w:rPr>
      </w:pPr>
    </w:p>
    <w:p w:rsidR="00E21038" w:rsidRDefault="00E21038" w:rsidP="00F202C2">
      <w:pPr>
        <w:pStyle w:val="NoSpacing"/>
        <w:ind w:left="708"/>
        <w:rPr>
          <w:rFonts w:ascii="Times New Roman" w:hAnsi="Times New Roman" w:cs="Times New Roman"/>
          <w:b/>
          <w:sz w:val="27"/>
          <w:szCs w:val="27"/>
        </w:rPr>
      </w:pPr>
    </w:p>
    <w:p w:rsidR="000A430A" w:rsidRPr="0034406D" w:rsidRDefault="00A85C85" w:rsidP="00F202C2">
      <w:pPr>
        <w:pStyle w:val="NoSpacing"/>
        <w:ind w:left="708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Secretar de Stat</w:t>
      </w:r>
      <w:r w:rsidR="00E367D2" w:rsidRPr="0034406D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34406D">
        <w:rPr>
          <w:rFonts w:ascii="Times New Roman" w:hAnsi="Times New Roman" w:cs="Times New Roman"/>
          <w:b/>
          <w:sz w:val="27"/>
          <w:szCs w:val="27"/>
        </w:rPr>
        <w:tab/>
      </w:r>
      <w:r w:rsidR="00E367D2" w:rsidRPr="0034406D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E367D2" w:rsidRPr="0034406D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34406D">
        <w:rPr>
          <w:rFonts w:ascii="Times New Roman" w:hAnsi="Times New Roman" w:cs="Times New Roman"/>
          <w:b/>
          <w:sz w:val="27"/>
          <w:szCs w:val="27"/>
        </w:rPr>
        <w:tab/>
      </w:r>
      <w:r w:rsidR="007B4275" w:rsidRPr="0034406D">
        <w:rPr>
          <w:rFonts w:ascii="Times New Roman" w:hAnsi="Times New Roman" w:cs="Times New Roman"/>
          <w:b/>
          <w:sz w:val="27"/>
          <w:szCs w:val="27"/>
        </w:rPr>
        <w:tab/>
      </w:r>
      <w:r w:rsidR="007B4275" w:rsidRPr="0034406D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34406D"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>Iurie SCRIPNIC</w:t>
      </w:r>
    </w:p>
    <w:sectPr w:rsidR="000A430A" w:rsidRPr="0034406D" w:rsidSect="00400084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908E0"/>
    <w:multiLevelType w:val="hybridMultilevel"/>
    <w:tmpl w:val="6F7C6156"/>
    <w:lvl w:ilvl="0" w:tplc="7110CE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D5E19"/>
    <w:multiLevelType w:val="hybridMultilevel"/>
    <w:tmpl w:val="925E86B0"/>
    <w:lvl w:ilvl="0" w:tplc="04180011">
      <w:start w:val="1"/>
      <w:numFmt w:val="decimal"/>
      <w:lvlText w:val="%1)"/>
      <w:lvlJc w:val="left"/>
      <w:pPr>
        <w:ind w:left="928" w:hanging="360"/>
      </w:p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6FA1AD3"/>
    <w:multiLevelType w:val="hybridMultilevel"/>
    <w:tmpl w:val="305E1106"/>
    <w:lvl w:ilvl="0" w:tplc="B9407642">
      <w:start w:val="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8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4C966968"/>
    <w:multiLevelType w:val="hybridMultilevel"/>
    <w:tmpl w:val="60C27012"/>
    <w:lvl w:ilvl="0" w:tplc="79E82560">
      <w:start w:val="4"/>
      <w:numFmt w:val="bullet"/>
      <w:lvlText w:val="-"/>
      <w:lvlJc w:val="left"/>
      <w:pPr>
        <w:ind w:left="95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>
    <w:nsid w:val="62663309"/>
    <w:multiLevelType w:val="hybridMultilevel"/>
    <w:tmpl w:val="55A05D24"/>
    <w:lvl w:ilvl="0" w:tplc="04180011">
      <w:start w:val="1"/>
      <w:numFmt w:val="decimal"/>
      <w:lvlText w:val="%1)"/>
      <w:lvlJc w:val="left"/>
      <w:pPr>
        <w:ind w:left="928" w:hanging="360"/>
      </w:p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871CB7"/>
    <w:multiLevelType w:val="hybridMultilevel"/>
    <w:tmpl w:val="128275B6"/>
    <w:lvl w:ilvl="0" w:tplc="AB8A54B4">
      <w:start w:val="13"/>
      <w:numFmt w:val="bullet"/>
      <w:lvlText w:val="-"/>
      <w:lvlJc w:val="left"/>
      <w:pPr>
        <w:ind w:left="787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EB"/>
    <w:rsid w:val="000127F2"/>
    <w:rsid w:val="00016AA5"/>
    <w:rsid w:val="000262E0"/>
    <w:rsid w:val="0002761C"/>
    <w:rsid w:val="0003270B"/>
    <w:rsid w:val="00034905"/>
    <w:rsid w:val="00034C9B"/>
    <w:rsid w:val="0003558E"/>
    <w:rsid w:val="00035BC7"/>
    <w:rsid w:val="00051E7C"/>
    <w:rsid w:val="0006074F"/>
    <w:rsid w:val="00062419"/>
    <w:rsid w:val="000833E2"/>
    <w:rsid w:val="000A3406"/>
    <w:rsid w:val="000A3A4E"/>
    <w:rsid w:val="000A430A"/>
    <w:rsid w:val="000B4E9E"/>
    <w:rsid w:val="000C0F3D"/>
    <w:rsid w:val="000D6E08"/>
    <w:rsid w:val="00107210"/>
    <w:rsid w:val="00107725"/>
    <w:rsid w:val="00110F2F"/>
    <w:rsid w:val="00116568"/>
    <w:rsid w:val="001231A2"/>
    <w:rsid w:val="00132C5E"/>
    <w:rsid w:val="00144EA8"/>
    <w:rsid w:val="00162A5F"/>
    <w:rsid w:val="00162FFC"/>
    <w:rsid w:val="0016427A"/>
    <w:rsid w:val="0017223F"/>
    <w:rsid w:val="001A5E50"/>
    <w:rsid w:val="001B2F54"/>
    <w:rsid w:val="001C256F"/>
    <w:rsid w:val="001E5B54"/>
    <w:rsid w:val="00215A30"/>
    <w:rsid w:val="00225F7A"/>
    <w:rsid w:val="00231C12"/>
    <w:rsid w:val="00233E2C"/>
    <w:rsid w:val="002340E2"/>
    <w:rsid w:val="00241469"/>
    <w:rsid w:val="002473EA"/>
    <w:rsid w:val="00253CEA"/>
    <w:rsid w:val="00262E75"/>
    <w:rsid w:val="00263F07"/>
    <w:rsid w:val="00264461"/>
    <w:rsid w:val="00266DD7"/>
    <w:rsid w:val="00280960"/>
    <w:rsid w:val="00283665"/>
    <w:rsid w:val="00293C9D"/>
    <w:rsid w:val="002A2E7F"/>
    <w:rsid w:val="002B417F"/>
    <w:rsid w:val="002B5BA6"/>
    <w:rsid w:val="002C018D"/>
    <w:rsid w:val="002C0A26"/>
    <w:rsid w:val="002C1A09"/>
    <w:rsid w:val="002C4D87"/>
    <w:rsid w:val="002F4294"/>
    <w:rsid w:val="00304449"/>
    <w:rsid w:val="003103A5"/>
    <w:rsid w:val="0034406D"/>
    <w:rsid w:val="00350C24"/>
    <w:rsid w:val="00354205"/>
    <w:rsid w:val="00370F45"/>
    <w:rsid w:val="00395A7F"/>
    <w:rsid w:val="003C27A3"/>
    <w:rsid w:val="003D637F"/>
    <w:rsid w:val="003E5369"/>
    <w:rsid w:val="00400084"/>
    <w:rsid w:val="00401DDF"/>
    <w:rsid w:val="0040265F"/>
    <w:rsid w:val="00404DA4"/>
    <w:rsid w:val="00442B64"/>
    <w:rsid w:val="00450EA8"/>
    <w:rsid w:val="00455E2A"/>
    <w:rsid w:val="004633DA"/>
    <w:rsid w:val="00463B42"/>
    <w:rsid w:val="00465EC3"/>
    <w:rsid w:val="00473C83"/>
    <w:rsid w:val="00475573"/>
    <w:rsid w:val="00486FEB"/>
    <w:rsid w:val="00491E09"/>
    <w:rsid w:val="00493FFF"/>
    <w:rsid w:val="00496917"/>
    <w:rsid w:val="00496AF8"/>
    <w:rsid w:val="004A28AB"/>
    <w:rsid w:val="004C1277"/>
    <w:rsid w:val="004C1CDB"/>
    <w:rsid w:val="004C30B5"/>
    <w:rsid w:val="004C52A2"/>
    <w:rsid w:val="004D035B"/>
    <w:rsid w:val="004D044A"/>
    <w:rsid w:val="004E7716"/>
    <w:rsid w:val="005000B2"/>
    <w:rsid w:val="0050186F"/>
    <w:rsid w:val="00502E57"/>
    <w:rsid w:val="005357AD"/>
    <w:rsid w:val="005570BB"/>
    <w:rsid w:val="00563F8B"/>
    <w:rsid w:val="0056781E"/>
    <w:rsid w:val="00571BB5"/>
    <w:rsid w:val="005736F9"/>
    <w:rsid w:val="00581E5B"/>
    <w:rsid w:val="00590D7A"/>
    <w:rsid w:val="00592F8C"/>
    <w:rsid w:val="005A6C93"/>
    <w:rsid w:val="005B0F0F"/>
    <w:rsid w:val="005D35F5"/>
    <w:rsid w:val="005D6D6E"/>
    <w:rsid w:val="005E014C"/>
    <w:rsid w:val="005E5D1D"/>
    <w:rsid w:val="005E77C0"/>
    <w:rsid w:val="005F432F"/>
    <w:rsid w:val="00613BCE"/>
    <w:rsid w:val="00630DB6"/>
    <w:rsid w:val="00635276"/>
    <w:rsid w:val="006445BE"/>
    <w:rsid w:val="00644CF9"/>
    <w:rsid w:val="00651AB5"/>
    <w:rsid w:val="00655D30"/>
    <w:rsid w:val="00673601"/>
    <w:rsid w:val="0068098E"/>
    <w:rsid w:val="006877C8"/>
    <w:rsid w:val="00697731"/>
    <w:rsid w:val="006A3833"/>
    <w:rsid w:val="006A5360"/>
    <w:rsid w:val="006A61AE"/>
    <w:rsid w:val="006D0D7F"/>
    <w:rsid w:val="006D1855"/>
    <w:rsid w:val="006E4FBB"/>
    <w:rsid w:val="00700062"/>
    <w:rsid w:val="007048A8"/>
    <w:rsid w:val="007106F4"/>
    <w:rsid w:val="00714EBC"/>
    <w:rsid w:val="007166B0"/>
    <w:rsid w:val="00746CB8"/>
    <w:rsid w:val="0075635E"/>
    <w:rsid w:val="007602BE"/>
    <w:rsid w:val="00771B2A"/>
    <w:rsid w:val="00775337"/>
    <w:rsid w:val="00776C34"/>
    <w:rsid w:val="007A3D4A"/>
    <w:rsid w:val="007A68E9"/>
    <w:rsid w:val="007A6F61"/>
    <w:rsid w:val="007B4275"/>
    <w:rsid w:val="007C1919"/>
    <w:rsid w:val="007C4E53"/>
    <w:rsid w:val="007C54B6"/>
    <w:rsid w:val="007D0F8B"/>
    <w:rsid w:val="007E0829"/>
    <w:rsid w:val="007E2EDA"/>
    <w:rsid w:val="007E7003"/>
    <w:rsid w:val="007E7A6F"/>
    <w:rsid w:val="007F0028"/>
    <w:rsid w:val="007F3DCB"/>
    <w:rsid w:val="00816506"/>
    <w:rsid w:val="0083546D"/>
    <w:rsid w:val="00843CE1"/>
    <w:rsid w:val="00844B37"/>
    <w:rsid w:val="00847435"/>
    <w:rsid w:val="00862533"/>
    <w:rsid w:val="00876D54"/>
    <w:rsid w:val="00877D4B"/>
    <w:rsid w:val="00891B62"/>
    <w:rsid w:val="008A5B0A"/>
    <w:rsid w:val="008A6D1F"/>
    <w:rsid w:val="008C4568"/>
    <w:rsid w:val="008D0D76"/>
    <w:rsid w:val="008D560C"/>
    <w:rsid w:val="008D7E8C"/>
    <w:rsid w:val="008E6EA8"/>
    <w:rsid w:val="008F0A61"/>
    <w:rsid w:val="008F6D8D"/>
    <w:rsid w:val="00901C37"/>
    <w:rsid w:val="0090772F"/>
    <w:rsid w:val="00913A0C"/>
    <w:rsid w:val="0091756A"/>
    <w:rsid w:val="009248D9"/>
    <w:rsid w:val="00931918"/>
    <w:rsid w:val="009570C0"/>
    <w:rsid w:val="00963667"/>
    <w:rsid w:val="00980184"/>
    <w:rsid w:val="0098272B"/>
    <w:rsid w:val="00987E9B"/>
    <w:rsid w:val="009A0E0D"/>
    <w:rsid w:val="009A4AD6"/>
    <w:rsid w:val="009D290B"/>
    <w:rsid w:val="009E7FDB"/>
    <w:rsid w:val="009F73D7"/>
    <w:rsid w:val="00A07C67"/>
    <w:rsid w:val="00A23DF2"/>
    <w:rsid w:val="00A512FA"/>
    <w:rsid w:val="00A60B75"/>
    <w:rsid w:val="00A63EE0"/>
    <w:rsid w:val="00A64BF9"/>
    <w:rsid w:val="00A85C85"/>
    <w:rsid w:val="00A8639D"/>
    <w:rsid w:val="00A870DC"/>
    <w:rsid w:val="00A9689A"/>
    <w:rsid w:val="00AB1D1B"/>
    <w:rsid w:val="00AB28E8"/>
    <w:rsid w:val="00AD3298"/>
    <w:rsid w:val="00AD4612"/>
    <w:rsid w:val="00AE4A04"/>
    <w:rsid w:val="00AF0598"/>
    <w:rsid w:val="00B02A6B"/>
    <w:rsid w:val="00B074B6"/>
    <w:rsid w:val="00B544B2"/>
    <w:rsid w:val="00B603E0"/>
    <w:rsid w:val="00B66D44"/>
    <w:rsid w:val="00B75824"/>
    <w:rsid w:val="00B86862"/>
    <w:rsid w:val="00B87A89"/>
    <w:rsid w:val="00BA1D8C"/>
    <w:rsid w:val="00BB098B"/>
    <w:rsid w:val="00BB3028"/>
    <w:rsid w:val="00BC27E1"/>
    <w:rsid w:val="00BC5DA2"/>
    <w:rsid w:val="00BD1209"/>
    <w:rsid w:val="00BD7590"/>
    <w:rsid w:val="00BE75B7"/>
    <w:rsid w:val="00BE7FB2"/>
    <w:rsid w:val="00C00D97"/>
    <w:rsid w:val="00C151CE"/>
    <w:rsid w:val="00C27B0A"/>
    <w:rsid w:val="00C4505D"/>
    <w:rsid w:val="00C47D89"/>
    <w:rsid w:val="00C52E2B"/>
    <w:rsid w:val="00C52F9A"/>
    <w:rsid w:val="00C53F64"/>
    <w:rsid w:val="00C61643"/>
    <w:rsid w:val="00C6776C"/>
    <w:rsid w:val="00C75C18"/>
    <w:rsid w:val="00C77F1F"/>
    <w:rsid w:val="00C837C9"/>
    <w:rsid w:val="00CA3A08"/>
    <w:rsid w:val="00CA65A8"/>
    <w:rsid w:val="00CB015E"/>
    <w:rsid w:val="00CB4017"/>
    <w:rsid w:val="00CB7C28"/>
    <w:rsid w:val="00CC2925"/>
    <w:rsid w:val="00CE0D26"/>
    <w:rsid w:val="00CE3352"/>
    <w:rsid w:val="00CE44CF"/>
    <w:rsid w:val="00CE4E30"/>
    <w:rsid w:val="00CF4FFF"/>
    <w:rsid w:val="00D001F1"/>
    <w:rsid w:val="00D11F66"/>
    <w:rsid w:val="00D219D5"/>
    <w:rsid w:val="00D22AE1"/>
    <w:rsid w:val="00D32281"/>
    <w:rsid w:val="00D333DE"/>
    <w:rsid w:val="00D338B3"/>
    <w:rsid w:val="00D37F90"/>
    <w:rsid w:val="00D4097D"/>
    <w:rsid w:val="00D40CC0"/>
    <w:rsid w:val="00D472A1"/>
    <w:rsid w:val="00D51740"/>
    <w:rsid w:val="00D810FA"/>
    <w:rsid w:val="00D81D4F"/>
    <w:rsid w:val="00D856B1"/>
    <w:rsid w:val="00DA3482"/>
    <w:rsid w:val="00DA3649"/>
    <w:rsid w:val="00DB19D7"/>
    <w:rsid w:val="00DB25E4"/>
    <w:rsid w:val="00DC6CBD"/>
    <w:rsid w:val="00DD6ACE"/>
    <w:rsid w:val="00DF0C38"/>
    <w:rsid w:val="00DF2E54"/>
    <w:rsid w:val="00DF5566"/>
    <w:rsid w:val="00DF5E14"/>
    <w:rsid w:val="00DF63A5"/>
    <w:rsid w:val="00E03919"/>
    <w:rsid w:val="00E21038"/>
    <w:rsid w:val="00E2262C"/>
    <w:rsid w:val="00E265EC"/>
    <w:rsid w:val="00E31259"/>
    <w:rsid w:val="00E367D2"/>
    <w:rsid w:val="00E46302"/>
    <w:rsid w:val="00E47394"/>
    <w:rsid w:val="00E57802"/>
    <w:rsid w:val="00E6576A"/>
    <w:rsid w:val="00E674C9"/>
    <w:rsid w:val="00E82E10"/>
    <w:rsid w:val="00E97EF3"/>
    <w:rsid w:val="00EA5D19"/>
    <w:rsid w:val="00EB15DE"/>
    <w:rsid w:val="00EB17CD"/>
    <w:rsid w:val="00EB75EA"/>
    <w:rsid w:val="00EC0124"/>
    <w:rsid w:val="00EC117F"/>
    <w:rsid w:val="00EC657D"/>
    <w:rsid w:val="00EC6634"/>
    <w:rsid w:val="00EE23E6"/>
    <w:rsid w:val="00EF4971"/>
    <w:rsid w:val="00F17130"/>
    <w:rsid w:val="00F202C2"/>
    <w:rsid w:val="00F31D6D"/>
    <w:rsid w:val="00F3249C"/>
    <w:rsid w:val="00F45219"/>
    <w:rsid w:val="00F55F24"/>
    <w:rsid w:val="00F576A5"/>
    <w:rsid w:val="00F57A22"/>
    <w:rsid w:val="00F71E91"/>
    <w:rsid w:val="00F72214"/>
    <w:rsid w:val="00F97851"/>
    <w:rsid w:val="00FB5B07"/>
    <w:rsid w:val="00FC275E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86292-7A44-4508-AF83-CBE7378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C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">
    <w:name w:val="Font Style20"/>
    <w:basedOn w:val="DefaultParagraphFon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86FEB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486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486FEB"/>
    <w:rPr>
      <w:lang w:val="ro-RO"/>
    </w:rPr>
  </w:style>
  <w:style w:type="character" w:customStyle="1" w:styleId="2">
    <w:name w:val="Основной текст (2)"/>
    <w:basedOn w:val="DefaultParagraphFon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DefaultParagraphFont"/>
    <w:rsid w:val="002B417F"/>
  </w:style>
  <w:style w:type="character" w:customStyle="1" w:styleId="1">
    <w:name w:val="Заголовок №1"/>
    <w:basedOn w:val="DefaultParagraphFon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151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character" w:customStyle="1" w:styleId="object">
    <w:name w:val="object"/>
    <w:basedOn w:val="DefaultParagraphFont"/>
    <w:rsid w:val="00144EA8"/>
  </w:style>
  <w:style w:type="paragraph" w:styleId="ListParagraph">
    <w:name w:val="List Paragraph"/>
    <w:basedOn w:val="Normal"/>
    <w:uiPriority w:val="34"/>
    <w:qFormat/>
    <w:rsid w:val="008F6D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4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644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C18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anunt-privind-initierea-procesului-de-elaborare-a-proiectului-hotararii-guvernului-cu-privire-la-modificarea-unor-hotarari-ale-guvernului/11466" TargetMode="External"/><Relationship Id="rId5" Type="http://schemas.openxmlformats.org/officeDocument/2006/relationships/hyperlink" Target="https://mai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3</Pages>
  <Words>1261</Words>
  <Characters>7319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Sandu</dc:creator>
  <cp:lastModifiedBy>Microsoft account</cp:lastModifiedBy>
  <cp:revision>36</cp:revision>
  <cp:lastPrinted>2024-02-28T14:31:00Z</cp:lastPrinted>
  <dcterms:created xsi:type="dcterms:W3CDTF">2022-12-02T07:07:00Z</dcterms:created>
  <dcterms:modified xsi:type="dcterms:W3CDTF">2024-03-20T12:41:00Z</dcterms:modified>
</cp:coreProperties>
</file>