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6EA" w:rsidRDefault="00CE45A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NOTĂ INFORMATIVĂ</w:t>
      </w:r>
    </w:p>
    <w:p w:rsidR="00A056EA" w:rsidRDefault="00CE45A8">
      <w:pPr>
        <w:spacing w:after="0" w:line="240" w:lineRule="auto"/>
        <w:ind w:hanging="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la proiectul hotărârii Guvernului cu privire</w:t>
      </w:r>
    </w:p>
    <w:p w:rsidR="00A056EA" w:rsidRDefault="00CE45A8">
      <w:pPr>
        <w:spacing w:after="0" w:line="240" w:lineRule="auto"/>
        <w:ind w:hanging="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la eliberarea păcurii din rezervele de stat</w:t>
      </w:r>
    </w:p>
    <w:p w:rsidR="00A056EA" w:rsidRDefault="00A056EA">
      <w:pPr>
        <w:spacing w:after="0" w:line="240" w:lineRule="auto"/>
        <w:ind w:hanging="540"/>
        <w:jc w:val="center"/>
        <w:rPr>
          <w:rFonts w:ascii="Times New Roman" w:eastAsia="Times New Roman" w:hAnsi="Times New Roman" w:cs="Times New Roman"/>
          <w:b/>
          <w:sz w:val="28"/>
          <w:szCs w:val="28"/>
        </w:rPr>
      </w:pPr>
    </w:p>
    <w:tbl>
      <w:tblPr>
        <w:tblStyle w:val="a0"/>
        <w:tblW w:w="10450"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Denumirea autorului şi, după caz, a participanţilor la elaborarea proiectului</w:t>
            </w:r>
          </w:p>
        </w:tc>
      </w:tr>
      <w:tr w:rsidR="00A056EA">
        <w:tc>
          <w:tcPr>
            <w:tcW w:w="10450" w:type="dxa"/>
          </w:tcPr>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Proiectul a fost elaborat de Ministerul Energiei.</w:t>
            </w:r>
          </w:p>
        </w:tc>
      </w:tr>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Condiţiile ce au impus elaborarea proiectului şi finalităţile urmărite </w:t>
            </w:r>
          </w:p>
        </w:tc>
      </w:tr>
      <w:tr w:rsidR="00A056EA">
        <w:tc>
          <w:tcPr>
            <w:tcW w:w="10450" w:type="dxa"/>
          </w:tcPr>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Proiectul a fost elaborat </w:t>
            </w:r>
            <w:r w:rsidR="0024627B" w:rsidRPr="00230DA6">
              <w:rPr>
                <w:rFonts w:ascii="Times New Roman" w:eastAsia="Times New Roman" w:hAnsi="Times New Roman" w:cs="Times New Roman"/>
                <w:color w:val="000000" w:themeColor="text1"/>
                <w:sz w:val="28"/>
                <w:szCs w:val="28"/>
              </w:rPr>
              <w:t xml:space="preserve">în temeiul </w:t>
            </w:r>
            <w:r>
              <w:rPr>
                <w:rFonts w:ascii="Times New Roman" w:eastAsia="Times New Roman" w:hAnsi="Times New Roman" w:cs="Times New Roman"/>
                <w:sz w:val="28"/>
                <w:szCs w:val="28"/>
              </w:rPr>
              <w:t xml:space="preserve">art. 3 alin. (1) lit. a) și art. 10 alin. (2) lit. a) și </w:t>
            </w:r>
            <w:r w:rsidR="002462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alin. (3) din Legea nr. 104/2020 cu privire la rezervele de stat și de mobilizare (Monitorul Oficial al Republicii Moldov</w:t>
            </w:r>
            <w:r w:rsidR="0024627B">
              <w:rPr>
                <w:rFonts w:ascii="Times New Roman" w:eastAsia="Times New Roman" w:hAnsi="Times New Roman" w:cs="Times New Roman"/>
                <w:sz w:val="28"/>
                <w:szCs w:val="28"/>
              </w:rPr>
              <w:t>a, 2020, nr. 178-179, art. 332)</w:t>
            </w:r>
            <w:r w:rsidR="0024627B" w:rsidRPr="0024627B">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 </w:t>
            </w:r>
          </w:p>
          <w:p w:rsidR="00A056EA" w:rsidRPr="00230DA6" w:rsidRDefault="00CE45A8" w:rsidP="00D840DD">
            <w:pPr>
              <w:ind w:firstLine="567"/>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 xml:space="preserve">În temeiul Contractului nr. 0305/19 din 31.12.2022, S.A. „Termoelectrica” a </w:t>
            </w:r>
            <w:r w:rsidR="00D840DD" w:rsidRPr="00230DA6">
              <w:rPr>
                <w:rFonts w:ascii="Times New Roman" w:eastAsia="Times New Roman" w:hAnsi="Times New Roman" w:cs="Times New Roman"/>
                <w:color w:val="000000" w:themeColor="text1"/>
                <w:sz w:val="28"/>
                <w:szCs w:val="28"/>
              </w:rPr>
              <w:t>recepționat pentru depozitare păcur</w:t>
            </w:r>
            <w:r w:rsidR="00230DA6" w:rsidRPr="00230DA6">
              <w:rPr>
                <w:rFonts w:ascii="Times New Roman" w:eastAsia="Times New Roman" w:hAnsi="Times New Roman" w:cs="Times New Roman"/>
                <w:color w:val="000000" w:themeColor="text1"/>
                <w:sz w:val="28"/>
                <w:szCs w:val="28"/>
              </w:rPr>
              <w:t>a destinată rezervelor de stat</w:t>
            </w:r>
            <w:r w:rsidRPr="00230DA6">
              <w:rPr>
                <w:rFonts w:ascii="Times New Roman" w:eastAsia="Times New Roman" w:hAnsi="Times New Roman" w:cs="Times New Roman"/>
                <w:color w:val="000000" w:themeColor="text1"/>
                <w:sz w:val="28"/>
                <w:szCs w:val="28"/>
              </w:rPr>
              <w:t xml:space="preserve">. Dat fiind </w:t>
            </w:r>
            <w:r w:rsidR="00D840DD" w:rsidRPr="00230DA6">
              <w:rPr>
                <w:rFonts w:ascii="Times New Roman" w:eastAsia="Times New Roman" w:hAnsi="Times New Roman" w:cs="Times New Roman"/>
                <w:color w:val="000000" w:themeColor="text1"/>
                <w:sz w:val="28"/>
                <w:szCs w:val="28"/>
              </w:rPr>
              <w:t xml:space="preserve"> faptul </w:t>
            </w:r>
            <w:r w:rsidRPr="00230DA6">
              <w:rPr>
                <w:rFonts w:ascii="Times New Roman" w:eastAsia="Times New Roman" w:hAnsi="Times New Roman" w:cs="Times New Roman"/>
                <w:color w:val="000000" w:themeColor="text1"/>
                <w:sz w:val="28"/>
                <w:szCs w:val="28"/>
              </w:rPr>
              <w:t xml:space="preserve">că două dintre cele patru rezervoare ale S.A. „Termoelectrica” nu sunt funcționale, păcura a fost depozitată în întregime în rezervoarele nr. 1 și nr. 4, </w:t>
            </w:r>
            <w:r w:rsidRPr="00230DA6">
              <w:rPr>
                <w:rFonts w:ascii="Times New Roman" w:eastAsia="Times New Roman" w:hAnsi="Times New Roman" w:cs="Times New Roman"/>
                <w:b/>
                <w:color w:val="000000" w:themeColor="text1"/>
                <w:sz w:val="28"/>
                <w:szCs w:val="28"/>
              </w:rPr>
              <w:t>depășind cu 10% capacitatea acestora.</w:t>
            </w:r>
            <w:r w:rsidRPr="00230DA6">
              <w:rPr>
                <w:rFonts w:ascii="Times New Roman" w:eastAsia="Times New Roman" w:hAnsi="Times New Roman" w:cs="Times New Roman"/>
                <w:color w:val="000000" w:themeColor="text1"/>
                <w:sz w:val="28"/>
                <w:szCs w:val="28"/>
              </w:rPr>
              <w:t xml:space="preserve"> Această situație pune în pericol buna funcționare a rezervoarelor, iar în eventualitatea unei defecțiuni, există posibilitatea </w:t>
            </w:r>
            <w:r w:rsidRPr="00230DA6">
              <w:rPr>
                <w:rFonts w:ascii="Times New Roman" w:eastAsia="Times New Roman" w:hAnsi="Times New Roman" w:cs="Times New Roman"/>
                <w:b/>
                <w:color w:val="000000" w:themeColor="text1"/>
                <w:sz w:val="28"/>
                <w:szCs w:val="28"/>
              </w:rPr>
              <w:t>ca întreaga cantitate de păcură din rezerva de stat să fie pierdută</w:t>
            </w:r>
            <w:r w:rsidRPr="00230DA6">
              <w:rPr>
                <w:rFonts w:ascii="Times New Roman" w:eastAsia="Times New Roman" w:hAnsi="Times New Roman" w:cs="Times New Roman"/>
                <w:color w:val="000000" w:themeColor="text1"/>
                <w:sz w:val="28"/>
                <w:szCs w:val="28"/>
              </w:rPr>
              <w:t>, implicând atât riscuri de poluare</w:t>
            </w:r>
            <w:r w:rsidR="00173BD8" w:rsidRPr="00230DA6">
              <w:rPr>
                <w:rFonts w:ascii="Times New Roman" w:eastAsia="Times New Roman" w:hAnsi="Times New Roman" w:cs="Times New Roman"/>
                <w:color w:val="000000" w:themeColor="text1"/>
                <w:sz w:val="28"/>
                <w:szCs w:val="28"/>
              </w:rPr>
              <w:t xml:space="preserve"> a mediului,</w:t>
            </w:r>
            <w:r w:rsidRPr="00230DA6">
              <w:rPr>
                <w:rFonts w:ascii="Times New Roman" w:eastAsia="Times New Roman" w:hAnsi="Times New Roman" w:cs="Times New Roman"/>
                <w:color w:val="000000" w:themeColor="text1"/>
                <w:sz w:val="28"/>
                <w:szCs w:val="28"/>
              </w:rPr>
              <w:t xml:space="preserve"> cât și pierderi financiare semnificative.</w:t>
            </w:r>
          </w:p>
          <w:p w:rsidR="004B3FBC" w:rsidRPr="00230DA6" w:rsidRDefault="00173BD8" w:rsidP="004B3FBC">
            <w:pPr>
              <w:ind w:firstLine="567"/>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În contextul identificării unei soluții, u</w:t>
            </w:r>
            <w:r w:rsidR="007644D8" w:rsidRPr="00230DA6">
              <w:rPr>
                <w:rFonts w:ascii="Times New Roman" w:eastAsia="Times New Roman" w:hAnsi="Times New Roman" w:cs="Times New Roman"/>
                <w:color w:val="000000" w:themeColor="text1"/>
                <w:sz w:val="28"/>
                <w:szCs w:val="28"/>
              </w:rPr>
              <w:t xml:space="preserve">rmare ședinței de lucru </w:t>
            </w:r>
            <w:r w:rsidR="00B93478">
              <w:rPr>
                <w:rFonts w:ascii="Times New Roman" w:eastAsia="Times New Roman" w:hAnsi="Times New Roman" w:cs="Times New Roman"/>
                <w:color w:val="000000" w:themeColor="text1"/>
                <w:sz w:val="28"/>
                <w:szCs w:val="28"/>
              </w:rPr>
              <w:t xml:space="preserve">la </w:t>
            </w:r>
            <w:r w:rsidRPr="00230DA6">
              <w:rPr>
                <w:rFonts w:ascii="Times New Roman" w:eastAsia="Times New Roman" w:hAnsi="Times New Roman" w:cs="Times New Roman"/>
                <w:color w:val="000000" w:themeColor="text1"/>
                <w:sz w:val="28"/>
                <w:szCs w:val="28"/>
              </w:rPr>
              <w:t xml:space="preserve">Prim-ministrul Republicii Moldova din 11.03.2024, </w:t>
            </w:r>
            <w:r w:rsidR="004B3FBC" w:rsidRPr="00230DA6">
              <w:rPr>
                <w:rFonts w:ascii="Times New Roman" w:eastAsia="Times New Roman" w:hAnsi="Times New Roman" w:cs="Times New Roman"/>
                <w:color w:val="000000" w:themeColor="text1"/>
                <w:sz w:val="28"/>
                <w:szCs w:val="28"/>
              </w:rPr>
              <w:t>s-a decis arderea cantității de 5000 tone  păcură din rezervele de stat.</w:t>
            </w:r>
          </w:p>
          <w:p w:rsidR="004B3FBC" w:rsidRPr="00230DA6" w:rsidRDefault="004B3FBC" w:rsidP="004B3FBC">
            <w:pPr>
              <w:ind w:firstLine="567"/>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 xml:space="preserve">Arderea păcurii din rezervele de stat va permite evitarea </w:t>
            </w:r>
            <w:r w:rsidR="00CE45A8" w:rsidRPr="00230DA6">
              <w:rPr>
                <w:rFonts w:ascii="Times New Roman" w:eastAsia="Times New Roman" w:hAnsi="Times New Roman" w:cs="Times New Roman"/>
                <w:color w:val="000000" w:themeColor="text1"/>
                <w:sz w:val="28"/>
                <w:szCs w:val="28"/>
              </w:rPr>
              <w:t xml:space="preserve">unei eventuale avarieri a rezervorului și va asigura integritatea cantității de păcură rămase în stocurile rezervelor de stat. </w:t>
            </w:r>
          </w:p>
          <w:p w:rsidR="00CE45A8" w:rsidRPr="00230DA6" w:rsidRDefault="00CE45A8" w:rsidP="00CE45A8">
            <w:pPr>
              <w:ind w:firstLine="567"/>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 xml:space="preserve">Astfel, S. A. „Termoelectrica” va utiliza păcura eliberată din rezervele de stat pentru producerea agentului termic și a energiei electrice, iar Agenția Națională de Reglementare în Energetică, la </w:t>
            </w:r>
            <w:r w:rsidR="00294CA5">
              <w:rPr>
                <w:rFonts w:ascii="Times New Roman" w:eastAsia="Times New Roman" w:hAnsi="Times New Roman" w:cs="Times New Roman"/>
                <w:color w:val="000000" w:themeColor="text1"/>
                <w:sz w:val="28"/>
                <w:szCs w:val="28"/>
              </w:rPr>
              <w:t>ajustarea</w:t>
            </w:r>
            <w:r w:rsidR="00F57A3A">
              <w:rPr>
                <w:rFonts w:ascii="Times New Roman" w:eastAsia="Times New Roman" w:hAnsi="Times New Roman" w:cs="Times New Roman"/>
                <w:color w:val="000000" w:themeColor="text1"/>
                <w:sz w:val="28"/>
                <w:szCs w:val="28"/>
              </w:rPr>
              <w:t>/actualizarea</w:t>
            </w:r>
            <w:r w:rsidRPr="00230DA6">
              <w:rPr>
                <w:rFonts w:ascii="Times New Roman" w:eastAsia="Times New Roman" w:hAnsi="Times New Roman" w:cs="Times New Roman"/>
                <w:color w:val="000000" w:themeColor="text1"/>
                <w:sz w:val="28"/>
                <w:szCs w:val="28"/>
              </w:rPr>
              <w:t xml:space="preserve"> </w:t>
            </w:r>
            <w:bookmarkStart w:id="0" w:name="_GoBack"/>
            <w:bookmarkEnd w:id="0"/>
            <w:r w:rsidRPr="00230DA6">
              <w:rPr>
                <w:rFonts w:ascii="Times New Roman" w:eastAsia="Times New Roman" w:hAnsi="Times New Roman" w:cs="Times New Roman"/>
                <w:color w:val="000000" w:themeColor="text1"/>
                <w:sz w:val="28"/>
                <w:szCs w:val="28"/>
              </w:rPr>
              <w:t xml:space="preserve">tarifelor pentru anul 2024, va lua în calcul contravaloarea acesteia. </w:t>
            </w:r>
          </w:p>
          <w:p w:rsidR="00A056EA" w:rsidRPr="00230DA6" w:rsidRDefault="00CE45A8">
            <w:pPr>
              <w:ind w:firstLine="566"/>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 xml:space="preserve">Totodată, reiterăm faptul că, prelungirea perioadei în care rezervoarele S.A. „Termoelectrica” rămân încărcate peste limita admisibilă duce la creșterea probabilității materializării riscurilor tehnice și de mediu, în timp ce posibilitatea de ardere a păcurii scade odată cu </w:t>
            </w:r>
            <w:r w:rsidRPr="00230DA6">
              <w:rPr>
                <w:rFonts w:ascii="Times New Roman" w:eastAsia="Times New Roman" w:hAnsi="Times New Roman" w:cs="Times New Roman"/>
                <w:b/>
                <w:color w:val="000000" w:themeColor="text1"/>
                <w:sz w:val="28"/>
                <w:szCs w:val="28"/>
              </w:rPr>
              <w:t>apropierea încheierii sezonului de încălzire</w:t>
            </w:r>
            <w:r w:rsidRPr="00230DA6">
              <w:rPr>
                <w:rFonts w:ascii="Times New Roman" w:eastAsia="Times New Roman" w:hAnsi="Times New Roman" w:cs="Times New Roman"/>
                <w:color w:val="000000" w:themeColor="text1"/>
                <w:sz w:val="28"/>
                <w:szCs w:val="28"/>
              </w:rPr>
              <w:t>.</w:t>
            </w:r>
          </w:p>
          <w:p w:rsidR="00F967F0" w:rsidRPr="00F967F0" w:rsidRDefault="00F967F0" w:rsidP="00F967F0">
            <w:pPr>
              <w:ind w:firstLine="566"/>
              <w:jc w:val="both"/>
              <w:rPr>
                <w:rFonts w:ascii="Times New Roman" w:eastAsia="Times New Roman" w:hAnsi="Times New Roman" w:cs="Times New Roman"/>
                <w:color w:val="000000" w:themeColor="text1"/>
                <w:sz w:val="28"/>
                <w:szCs w:val="28"/>
              </w:rPr>
            </w:pPr>
            <w:r w:rsidRPr="00F967F0">
              <w:rPr>
                <w:rFonts w:ascii="Times New Roman" w:eastAsia="Times New Roman" w:hAnsi="Times New Roman" w:cs="Times New Roman"/>
                <w:color w:val="000000" w:themeColor="text1"/>
                <w:sz w:val="28"/>
                <w:szCs w:val="28"/>
              </w:rPr>
              <w:t xml:space="preserve">Prin arderea păcurii eliberate, se va </w:t>
            </w:r>
            <w:r w:rsidRPr="00F967F0">
              <w:rPr>
                <w:rFonts w:ascii="Times New Roman" w:eastAsia="Times New Roman" w:hAnsi="Times New Roman" w:cs="Times New Roman"/>
                <w:b/>
                <w:color w:val="000000" w:themeColor="text1"/>
                <w:sz w:val="28"/>
                <w:szCs w:val="28"/>
              </w:rPr>
              <w:t>asigura securitatea industrială și de mediu</w:t>
            </w:r>
            <w:r w:rsidRPr="00F967F0">
              <w:rPr>
                <w:rFonts w:ascii="Times New Roman" w:eastAsia="Times New Roman" w:hAnsi="Times New Roman" w:cs="Times New Roman"/>
                <w:color w:val="000000" w:themeColor="text1"/>
                <w:sz w:val="28"/>
                <w:szCs w:val="28"/>
              </w:rPr>
              <w:t xml:space="preserve">, inclusiv </w:t>
            </w:r>
            <w:r w:rsidRPr="00F967F0">
              <w:rPr>
                <w:rFonts w:ascii="Times New Roman" w:eastAsia="Times New Roman" w:hAnsi="Times New Roman" w:cs="Times New Roman"/>
                <w:b/>
                <w:color w:val="000000" w:themeColor="text1"/>
                <w:sz w:val="28"/>
                <w:szCs w:val="28"/>
              </w:rPr>
              <w:t>se va garanta securitatea întregului volum de păcură</w:t>
            </w:r>
            <w:r w:rsidRPr="00F967F0">
              <w:rPr>
                <w:rFonts w:ascii="Times New Roman" w:eastAsia="Times New Roman" w:hAnsi="Times New Roman" w:cs="Times New Roman"/>
                <w:color w:val="000000" w:themeColor="text1"/>
                <w:sz w:val="28"/>
                <w:szCs w:val="28"/>
              </w:rPr>
              <w:t xml:space="preserve"> din rezerva de stat.      </w:t>
            </w:r>
          </w:p>
          <w:p w:rsidR="00A056EA" w:rsidRDefault="00CE45A8">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În scopul intervenirii operative a statului pentru menținerea securității energetice, proiectul hotărârii Guvernului urmează să intre în vigoare la data publicării în Monitorul Oficial al Republicii Moldova.</w:t>
            </w:r>
          </w:p>
        </w:tc>
      </w:tr>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Descrierea gradului de compatibilitate pentru proiectele care au ca scop armonizarea legislaţiei naţionale cu legislaţia Uniunii Europene </w:t>
            </w:r>
          </w:p>
        </w:tc>
      </w:tr>
      <w:tr w:rsidR="00A056EA">
        <w:tc>
          <w:tcPr>
            <w:tcW w:w="10450" w:type="dxa"/>
          </w:tcPr>
          <w:p w:rsidR="00A056EA" w:rsidRDefault="00CE45A8">
            <w:pPr>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Proiectul nu are drept scop armonizarea legislației naționale cu legislaţia Uniunii Europene.</w:t>
            </w:r>
          </w:p>
        </w:tc>
      </w:tr>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Principalele prevederi ale proiectului şi evidenţierea elementelor noi </w:t>
            </w:r>
          </w:p>
        </w:tc>
      </w:tr>
      <w:tr w:rsidR="00A056EA">
        <w:tc>
          <w:tcPr>
            <w:tcW w:w="10450" w:type="dxa"/>
          </w:tcPr>
          <w:p w:rsidR="00A056EA" w:rsidRPr="00230DA6" w:rsidRDefault="00CE45A8">
            <w:pPr>
              <w:ind w:firstLine="442"/>
              <w:jc w:val="both"/>
              <w:rPr>
                <w:rFonts w:ascii="Times New Roman" w:eastAsia="Times New Roman" w:hAnsi="Times New Roman" w:cs="Times New Roman"/>
                <w:color w:val="000000" w:themeColor="text1"/>
                <w:sz w:val="28"/>
                <w:szCs w:val="28"/>
              </w:rPr>
            </w:pPr>
            <w:bookmarkStart w:id="1" w:name="_heading=h.gjdgxs" w:colFirst="0" w:colLast="0"/>
            <w:bookmarkEnd w:id="1"/>
            <w:r w:rsidRPr="00230DA6">
              <w:rPr>
                <w:rFonts w:ascii="Times New Roman" w:eastAsia="Times New Roman" w:hAnsi="Times New Roman" w:cs="Times New Roman"/>
                <w:color w:val="000000" w:themeColor="text1"/>
                <w:sz w:val="28"/>
                <w:szCs w:val="28"/>
              </w:rPr>
              <w:t>Proiectul prevede eliberarea imediată, cu titlul de deblocare, de către Agenția Rezerve Materiale din subordinea Ministerului Afacerilor Interne către S.A. „Termoelectrica” a cantității de 5 000 tone păcură din rezervele de stat.</w:t>
            </w:r>
          </w:p>
          <w:p w:rsidR="00A056EA" w:rsidRPr="00230DA6" w:rsidRDefault="00CE45A8">
            <w:pPr>
              <w:ind w:firstLine="442"/>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lastRenderedPageBreak/>
              <w:t>Eliberarea păcurii se realizează cu titlu de deblocare, în temeiul art. 3 alin. (1) lit. a), art. 10 alin. (2) lit.</w:t>
            </w:r>
            <w:r w:rsidR="00173BD8" w:rsidRPr="00230DA6">
              <w:rPr>
                <w:rFonts w:ascii="Times New Roman" w:eastAsia="Times New Roman" w:hAnsi="Times New Roman" w:cs="Times New Roman"/>
                <w:color w:val="000000" w:themeColor="text1"/>
                <w:sz w:val="28"/>
                <w:szCs w:val="28"/>
              </w:rPr>
              <w:t xml:space="preserve"> a</w:t>
            </w:r>
            <w:r w:rsidRPr="00230DA6">
              <w:rPr>
                <w:rFonts w:ascii="Times New Roman" w:eastAsia="Times New Roman" w:hAnsi="Times New Roman" w:cs="Times New Roman"/>
                <w:color w:val="000000" w:themeColor="text1"/>
                <w:sz w:val="28"/>
                <w:szCs w:val="28"/>
              </w:rPr>
              <w:t xml:space="preserve">) și alin. (3) din Legea nr. 104/2020 cu privire la rezervele de stat și de mobilizare </w:t>
            </w:r>
          </w:p>
          <w:p w:rsidR="00A056EA" w:rsidRPr="00230DA6" w:rsidRDefault="00CE45A8">
            <w:pPr>
              <w:ind w:firstLine="442"/>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S.A. „Termoelectrica” va utiliza păcura eliberată pentru producerea energiei electrice și termice, cu virarea în bugetul de stat, în termen de 12 luni de la data publicării în Monitorul Oficial al Republicii Moldova a prezentei hotărâri, contravaloarea păcurii utilizate.</w:t>
            </w:r>
          </w:p>
          <w:p w:rsidR="00A056EA" w:rsidRPr="00230DA6" w:rsidRDefault="00CE45A8">
            <w:pPr>
              <w:ind w:firstLine="442"/>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Este de menționat că, virarea în bugetul de stat a contravalorii păcurii utilizare, nu cade sub incidența prevederilor Legii nr. 139/2012 cu privire la ajutorul de stat.</w:t>
            </w:r>
          </w:p>
        </w:tc>
      </w:tr>
      <w:tr w:rsidR="00A056EA">
        <w:tc>
          <w:tcPr>
            <w:tcW w:w="10450" w:type="dxa"/>
          </w:tcPr>
          <w:p w:rsidR="00A056EA" w:rsidRPr="00230DA6" w:rsidRDefault="00CE45A8">
            <w:pPr>
              <w:tabs>
                <w:tab w:val="left" w:pos="414"/>
              </w:tabs>
              <w:jc w:val="both"/>
              <w:rPr>
                <w:rFonts w:ascii="Times New Roman" w:eastAsia="Times New Roman" w:hAnsi="Times New Roman" w:cs="Times New Roman"/>
                <w:b/>
                <w:color w:val="000000" w:themeColor="text1"/>
                <w:sz w:val="28"/>
                <w:szCs w:val="28"/>
              </w:rPr>
            </w:pPr>
            <w:r w:rsidRPr="00230DA6">
              <w:rPr>
                <w:rFonts w:ascii="Times New Roman" w:eastAsia="Times New Roman" w:hAnsi="Times New Roman" w:cs="Times New Roman"/>
                <w:b/>
                <w:color w:val="000000" w:themeColor="text1"/>
                <w:sz w:val="28"/>
                <w:szCs w:val="28"/>
              </w:rPr>
              <w:lastRenderedPageBreak/>
              <w:t>5. Fundamentarea economico-financiară</w:t>
            </w:r>
          </w:p>
        </w:tc>
      </w:tr>
      <w:tr w:rsidR="00A056EA">
        <w:trPr>
          <w:trHeight w:val="53"/>
        </w:trPr>
        <w:tc>
          <w:tcPr>
            <w:tcW w:w="10450" w:type="dxa"/>
          </w:tcPr>
          <w:p w:rsidR="004B3FBC" w:rsidRPr="00230DA6" w:rsidRDefault="004B3FBC">
            <w:pPr>
              <w:ind w:firstLine="442"/>
              <w:jc w:val="both"/>
              <w:rPr>
                <w:rFonts w:ascii="Times New Roman" w:eastAsia="Times New Roman" w:hAnsi="Times New Roman" w:cs="Times New Roman"/>
                <w:color w:val="000000" w:themeColor="text1"/>
                <w:sz w:val="28"/>
                <w:szCs w:val="28"/>
              </w:rPr>
            </w:pPr>
            <w:r w:rsidRPr="00230DA6">
              <w:rPr>
                <w:rFonts w:ascii="Times New Roman" w:eastAsia="Times New Roman" w:hAnsi="Times New Roman" w:cs="Times New Roman"/>
                <w:color w:val="000000" w:themeColor="text1"/>
                <w:sz w:val="28"/>
                <w:szCs w:val="28"/>
              </w:rPr>
              <w:t xml:space="preserve">Urmare aprobării  și intrării în vigoare a proiectului S. A. „Termoelectrica”, în termen de 12 luni, urmează să vireze în bugetul de stat contravaloarea păcurii eliberate din rezervele de stat. </w:t>
            </w:r>
          </w:p>
        </w:tc>
      </w:tr>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Modul de încorporare a proiectului în cadrul normativ în vigoare </w:t>
            </w:r>
          </w:p>
        </w:tc>
      </w:tr>
      <w:tr w:rsidR="00A056EA">
        <w:tc>
          <w:tcPr>
            <w:tcW w:w="10450" w:type="dxa"/>
          </w:tcPr>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Aprobarea proiectului nu va genera modificări sau ajustări a cadrului normativ în vigoare.</w:t>
            </w:r>
          </w:p>
        </w:tc>
      </w:tr>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Avizarea şi consultarea publică a proiectului</w:t>
            </w:r>
          </w:p>
        </w:tc>
      </w:tr>
      <w:tr w:rsidR="00A056EA">
        <w:tc>
          <w:tcPr>
            <w:tcW w:w="10450" w:type="dxa"/>
          </w:tcPr>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scopul respectării prevederilor Legii nr. 239/2008 privind transparenţa în procesul decizional, urmare înregistrării de către Cancelaria de Stat, proiectul va fi plasat spre consultare publică, în mod de urgență,  pe pagina-web oficială a Ministerului  Energiei și pe portalul guvernamental </w:t>
            </w:r>
            <w:hyperlink r:id="rId5">
              <w:r>
                <w:rPr>
                  <w:rFonts w:ascii="Times New Roman" w:eastAsia="Times New Roman" w:hAnsi="Times New Roman" w:cs="Times New Roman"/>
                  <w:color w:val="0000FF"/>
                  <w:sz w:val="28"/>
                  <w:szCs w:val="28"/>
                  <w:u w:val="single"/>
                </w:rPr>
                <w:t>www.particip.gov.md</w:t>
              </w:r>
            </w:hyperlink>
            <w:r>
              <w:rPr>
                <w:rFonts w:ascii="Times New Roman" w:eastAsia="Times New Roman" w:hAnsi="Times New Roman" w:cs="Times New Roman"/>
                <w:sz w:val="28"/>
                <w:szCs w:val="28"/>
              </w:rPr>
              <w:t>.</w:t>
            </w:r>
          </w:p>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Proiectul urmează a fi avizat de instituțiile publice responsabile.</w:t>
            </w:r>
          </w:p>
        </w:tc>
      </w:tr>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Constatările expertizei anticorupţie</w:t>
            </w:r>
          </w:p>
        </w:tc>
      </w:tr>
      <w:tr w:rsidR="00A056EA">
        <w:tc>
          <w:tcPr>
            <w:tcW w:w="10450" w:type="dxa"/>
          </w:tcPr>
          <w:p w:rsidR="00A056EA" w:rsidRDefault="00CE45A8" w:rsidP="00230DA6">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Proiectul de hotărâre urmează a fi supus expertizei anticorupție. Informația privind rezultatele examinării expertizei </w:t>
            </w:r>
            <w:r w:rsidRPr="00230DA6">
              <w:rPr>
                <w:rFonts w:ascii="Times New Roman" w:eastAsia="Times New Roman" w:hAnsi="Times New Roman" w:cs="Times New Roman"/>
                <w:color w:val="000000" w:themeColor="text1"/>
                <w:sz w:val="28"/>
                <w:szCs w:val="28"/>
              </w:rPr>
              <w:t xml:space="preserve">anticorupție </w:t>
            </w:r>
            <w:r w:rsidR="004B3FBC" w:rsidRPr="00230DA6">
              <w:rPr>
                <w:rFonts w:ascii="Times New Roman" w:eastAsia="Times New Roman" w:hAnsi="Times New Roman" w:cs="Times New Roman"/>
                <w:color w:val="000000" w:themeColor="text1"/>
                <w:sz w:val="28"/>
                <w:szCs w:val="28"/>
              </w:rPr>
              <w:t xml:space="preserve">va fi </w:t>
            </w:r>
            <w:r w:rsidRPr="00230DA6">
              <w:rPr>
                <w:rFonts w:ascii="Times New Roman" w:eastAsia="Times New Roman" w:hAnsi="Times New Roman" w:cs="Times New Roman"/>
                <w:color w:val="000000" w:themeColor="text1"/>
                <w:sz w:val="28"/>
                <w:szCs w:val="28"/>
              </w:rPr>
              <w:t xml:space="preserve">inclus în sinteza </w:t>
            </w:r>
            <w:r w:rsidR="00B93478" w:rsidRPr="00230DA6">
              <w:rPr>
                <w:rFonts w:ascii="Times New Roman" w:eastAsia="Times New Roman" w:hAnsi="Times New Roman" w:cs="Times New Roman"/>
                <w:color w:val="000000" w:themeColor="text1"/>
                <w:sz w:val="28"/>
                <w:szCs w:val="28"/>
              </w:rPr>
              <w:t>obiecțiilor</w:t>
            </w:r>
            <w:r w:rsidRPr="00230DA6">
              <w:rPr>
                <w:rFonts w:ascii="Times New Roman" w:eastAsia="Times New Roman" w:hAnsi="Times New Roman" w:cs="Times New Roman"/>
                <w:color w:val="000000" w:themeColor="text1"/>
                <w:sz w:val="28"/>
                <w:szCs w:val="28"/>
              </w:rPr>
              <w:t xml:space="preserve"> și propunerilor/recomandărilor</w:t>
            </w:r>
            <w:r w:rsidR="00230DA6" w:rsidRPr="00230DA6">
              <w:rPr>
                <w:rFonts w:ascii="Times New Roman" w:eastAsia="Times New Roman" w:hAnsi="Times New Roman" w:cs="Times New Roman"/>
                <w:color w:val="000000" w:themeColor="text1"/>
                <w:sz w:val="28"/>
                <w:szCs w:val="28"/>
              </w:rPr>
              <w:t>.</w:t>
            </w:r>
          </w:p>
        </w:tc>
      </w:tr>
      <w:tr w:rsidR="00A056EA">
        <w:tc>
          <w:tcPr>
            <w:tcW w:w="10450" w:type="dxa"/>
          </w:tcPr>
          <w:p w:rsidR="00A056EA" w:rsidRDefault="00CE45A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Constatările expertizei de compatibilitate</w:t>
            </w:r>
          </w:p>
        </w:tc>
      </w:tr>
      <w:tr w:rsidR="00A056EA">
        <w:tc>
          <w:tcPr>
            <w:tcW w:w="10450" w:type="dxa"/>
          </w:tcPr>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Proiectul nu urmărește asigurarea armonizării legislației naționale la legislația Uniunii Europene.</w:t>
            </w:r>
          </w:p>
        </w:tc>
      </w:tr>
      <w:tr w:rsidR="00A056EA">
        <w:tc>
          <w:tcPr>
            <w:tcW w:w="10450" w:type="dxa"/>
          </w:tcPr>
          <w:p w:rsidR="00A056EA" w:rsidRDefault="00CE45A8">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 Constatările expertizei juridice</w:t>
            </w:r>
          </w:p>
        </w:tc>
      </w:tr>
      <w:tr w:rsidR="00A056EA">
        <w:tc>
          <w:tcPr>
            <w:tcW w:w="10450" w:type="dxa"/>
          </w:tcPr>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Proiectul de hotărâre urmează a fi supus expertizei juridice, conform art. 37 din Legea nr.100/2017 cu privire la actele normative.</w:t>
            </w:r>
          </w:p>
        </w:tc>
      </w:tr>
      <w:tr w:rsidR="00A056EA">
        <w:tc>
          <w:tcPr>
            <w:tcW w:w="10450" w:type="dxa"/>
          </w:tcPr>
          <w:p w:rsidR="00A056EA" w:rsidRDefault="00CE45A8">
            <w:pPr>
              <w:spacing w:line="276" w:lineRule="auto"/>
              <w:ind w:left="1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 Constatările altor expertize</w:t>
            </w:r>
          </w:p>
        </w:tc>
      </w:tr>
      <w:tr w:rsidR="00A056EA">
        <w:tc>
          <w:tcPr>
            <w:tcW w:w="10450" w:type="dxa"/>
          </w:tcPr>
          <w:p w:rsidR="00A056EA" w:rsidRDefault="00CE45A8">
            <w:pPr>
              <w:ind w:firstLine="4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Proiectul nu cade sub incidența altor expertize necesare a fi efectuate în condițiile Legii nr.100/2017.</w:t>
            </w:r>
          </w:p>
        </w:tc>
      </w:tr>
    </w:tbl>
    <w:p w:rsidR="00A056EA" w:rsidRDefault="00A056EA">
      <w:pPr>
        <w:rPr>
          <w:rFonts w:ascii="Times New Roman" w:eastAsia="Times New Roman" w:hAnsi="Times New Roman" w:cs="Times New Roman"/>
          <w:b/>
          <w:sz w:val="28"/>
          <w:szCs w:val="28"/>
        </w:rPr>
      </w:pPr>
    </w:p>
    <w:p w:rsidR="00A056EA" w:rsidRDefault="00A056EA">
      <w:pPr>
        <w:rPr>
          <w:rFonts w:ascii="Times New Roman" w:eastAsia="Times New Roman" w:hAnsi="Times New Roman" w:cs="Times New Roman"/>
          <w:b/>
          <w:sz w:val="28"/>
          <w:szCs w:val="28"/>
        </w:rPr>
      </w:pPr>
    </w:p>
    <w:p w:rsidR="00A056EA" w:rsidRDefault="00CE45A8">
      <w:pPr>
        <w:ind w:hanging="6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Ministru                                                       Victor PARLICOV</w:t>
      </w:r>
    </w:p>
    <w:p w:rsidR="00A056EA" w:rsidRDefault="00A056EA">
      <w:pPr>
        <w:rPr>
          <w:sz w:val="27"/>
          <w:szCs w:val="27"/>
        </w:rPr>
      </w:pPr>
    </w:p>
    <w:sectPr w:rsidR="00A056EA">
      <w:pgSz w:w="11906" w:h="16838"/>
      <w:pgMar w:top="719" w:right="576" w:bottom="107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EA"/>
    <w:rsid w:val="00173BD8"/>
    <w:rsid w:val="00230DA6"/>
    <w:rsid w:val="0024627B"/>
    <w:rsid w:val="00294CA5"/>
    <w:rsid w:val="004B3FBC"/>
    <w:rsid w:val="007644D8"/>
    <w:rsid w:val="00A056EA"/>
    <w:rsid w:val="00B93478"/>
    <w:rsid w:val="00CE45A8"/>
    <w:rsid w:val="00D840DD"/>
    <w:rsid w:val="00F57A3A"/>
    <w:rsid w:val="00F9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4DDF2-15E9-43E2-B96B-0ABFEB89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2A"/>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1">
    <w:name w:val="Сетка таблицы1"/>
    <w:basedOn w:val="TabelNormal"/>
    <w:next w:val="Tabelgril"/>
    <w:uiPriority w:val="59"/>
    <w:rsid w:val="00D27310"/>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gril">
    <w:name w:val="Table Grid"/>
    <w:basedOn w:val="TabelNormal"/>
    <w:uiPriority w:val="59"/>
    <w:rsid w:val="00D27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BF3093"/>
    <w:rPr>
      <w:color w:val="0000FF"/>
      <w:u w:val="single"/>
    </w:rPr>
  </w:style>
  <w:style w:type="character" w:customStyle="1" w:styleId="object">
    <w:name w:val="object"/>
    <w:basedOn w:val="Fontdeparagrafimplicit"/>
    <w:rsid w:val="001F2CCC"/>
  </w:style>
  <w:style w:type="paragraph" w:styleId="NormalWeb">
    <w:name w:val="Normal (Web)"/>
    <w:basedOn w:val="Normal"/>
    <w:uiPriority w:val="99"/>
    <w:semiHidden/>
    <w:unhideWhenUsed/>
    <w:rsid w:val="00C46F38"/>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F86A8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86A8C"/>
    <w:rPr>
      <w:rFonts w:ascii="Segoe UI" w:hAnsi="Segoe UI" w:cs="Segoe UI"/>
      <w:sz w:val="18"/>
      <w:szCs w:val="18"/>
    </w:rPr>
  </w:style>
  <w:style w:type="paragraph" w:styleId="Subtitlu">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riQkYIEFOjpKnMpB67G8E9diw==">CgMxLjAyCGguZ2pkZ3hzOAByITFxbjE1bFVjYWVOMlpyMjFPbm5DbGlPS1hENkVySTZadA==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 Bosii</cp:lastModifiedBy>
  <cp:revision>11</cp:revision>
  <dcterms:created xsi:type="dcterms:W3CDTF">2021-10-15T07:52:00Z</dcterms:created>
  <dcterms:modified xsi:type="dcterms:W3CDTF">2024-03-21T06:36:00Z</dcterms:modified>
</cp:coreProperties>
</file>