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B00F5" w14:textId="77777777" w:rsidR="00486FEB" w:rsidRPr="002618E5" w:rsidRDefault="00486FEB" w:rsidP="002B417F">
      <w:pPr>
        <w:pStyle w:val="Frspaiere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18E5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14:paraId="08C09C9C" w14:textId="0813B5B5" w:rsidR="00A30B52" w:rsidRPr="002618E5" w:rsidRDefault="00047EA8" w:rsidP="00DE79CC">
      <w:pPr>
        <w:tabs>
          <w:tab w:val="left" w:pos="884"/>
          <w:tab w:val="left" w:pos="1196"/>
        </w:tabs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618E5">
        <w:rPr>
          <w:rFonts w:ascii="Times New Roman" w:hAnsi="Times New Roman"/>
          <w:sz w:val="27"/>
          <w:szCs w:val="27"/>
        </w:rPr>
        <w:t>la proiectul de hotărâre a Guvernului</w:t>
      </w:r>
      <w:r w:rsidR="00A30B52" w:rsidRPr="002618E5">
        <w:rPr>
          <w:rFonts w:ascii="Times New Roman" w:hAnsi="Times New Roman"/>
          <w:sz w:val="27"/>
          <w:szCs w:val="27"/>
        </w:rPr>
        <w:t xml:space="preserve"> </w:t>
      </w:r>
      <w:r w:rsidR="0072511A" w:rsidRPr="002618E5">
        <w:rPr>
          <w:rFonts w:ascii="Times New Roman" w:eastAsia="Times New Roman" w:hAnsi="Times New Roman" w:cs="Times New Roman"/>
          <w:bCs/>
          <w:sz w:val="27"/>
          <w:szCs w:val="27"/>
        </w:rPr>
        <w:t xml:space="preserve">cu privire la aprobarea modificărilor ce se operează în unele hotărâri ale Guvernului </w:t>
      </w:r>
      <w:r w:rsidR="0072511A" w:rsidRPr="002618E5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 w:rsidR="00361BD4">
        <w:rPr>
          <w:rFonts w:ascii="Times New Roman" w:hAnsi="Times New Roman" w:cs="Times New Roman"/>
          <w:sz w:val="27"/>
          <w:szCs w:val="27"/>
        </w:rPr>
        <w:t>privind</w:t>
      </w:r>
      <w:r w:rsidR="0072511A" w:rsidRPr="002618E5">
        <w:rPr>
          <w:rFonts w:ascii="Times New Roman" w:hAnsi="Times New Roman" w:cs="Times New Roman"/>
          <w:sz w:val="27"/>
          <w:szCs w:val="27"/>
        </w:rPr>
        <w:t xml:space="preserve"> orez</w:t>
      </w:r>
      <w:r w:rsidR="00361BD4">
        <w:rPr>
          <w:rFonts w:ascii="Times New Roman" w:hAnsi="Times New Roman" w:cs="Times New Roman"/>
          <w:sz w:val="27"/>
          <w:szCs w:val="27"/>
        </w:rPr>
        <w:t>ul</w:t>
      </w:r>
      <w:r w:rsidR="0072511A" w:rsidRPr="002618E5">
        <w:rPr>
          <w:rFonts w:ascii="Times New Roman" w:hAnsi="Times New Roman" w:cs="Times New Roman"/>
          <w:sz w:val="27"/>
          <w:szCs w:val="27"/>
        </w:rPr>
        <w:t xml:space="preserve"> și </w:t>
      </w:r>
      <w:r w:rsidR="00361BD4">
        <w:rPr>
          <w:rFonts w:ascii="Times New Roman" w:hAnsi="Times New Roman" w:cs="Times New Roman"/>
          <w:sz w:val="27"/>
          <w:szCs w:val="27"/>
        </w:rPr>
        <w:t>anumite tipuri de zahăr destinate consumului uman</w:t>
      </w:r>
      <w:r w:rsidR="0072511A" w:rsidRPr="002618E5">
        <w:rPr>
          <w:rFonts w:ascii="Times New Roman" w:eastAsia="Times New Roman" w:hAnsi="Times New Roman" w:cs="Times New Roman"/>
          <w:bCs/>
          <w:sz w:val="27"/>
          <w:szCs w:val="27"/>
        </w:rPr>
        <w:t>)</w:t>
      </w:r>
    </w:p>
    <w:tbl>
      <w:tblPr>
        <w:tblStyle w:val="Tabelgril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8A26FE" w:rsidRPr="002618E5" w14:paraId="4A4CAF4D" w14:textId="77777777" w:rsidTr="00DE79CC">
        <w:tc>
          <w:tcPr>
            <w:tcW w:w="9356" w:type="dxa"/>
          </w:tcPr>
          <w:p w14:paraId="6044CBD6" w14:textId="77777777" w:rsidR="008A26FE" w:rsidRPr="002618E5" w:rsidRDefault="00B404B6" w:rsidP="00DE79CC">
            <w:pPr>
              <w:pStyle w:val="Listparagraf"/>
              <w:numPr>
                <w:ilvl w:val="0"/>
                <w:numId w:val="9"/>
              </w:numPr>
              <w:tabs>
                <w:tab w:val="left" w:pos="317"/>
              </w:tabs>
              <w:spacing w:after="0"/>
              <w:ind w:left="0" w:firstLine="0"/>
              <w:rPr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Denumirea autorului </w:t>
            </w:r>
            <w:r w:rsidR="00DE79CC"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și</w:t>
            </w:r>
            <w:r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, după caz, a </w:t>
            </w:r>
            <w:r w:rsidR="00A30B52"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participanților</w:t>
            </w:r>
            <w:r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la elaborarea proiectului</w:t>
            </w:r>
          </w:p>
        </w:tc>
      </w:tr>
      <w:tr w:rsidR="008A26FE" w:rsidRPr="002618E5" w14:paraId="17758BFA" w14:textId="77777777" w:rsidTr="00DE79CC">
        <w:tc>
          <w:tcPr>
            <w:tcW w:w="9356" w:type="dxa"/>
          </w:tcPr>
          <w:p w14:paraId="7AEDFFA6" w14:textId="77777777" w:rsidR="008A26FE" w:rsidRPr="002618E5" w:rsidRDefault="004F1C6C" w:rsidP="00821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Ministerul Agricu</w:t>
            </w:r>
            <w:r w:rsidR="00DE79CC" w:rsidRPr="002618E5">
              <w:rPr>
                <w:rFonts w:ascii="Times New Roman" w:hAnsi="Times New Roman" w:cs="Times New Roman"/>
                <w:sz w:val="27"/>
                <w:szCs w:val="27"/>
              </w:rPr>
              <w:t>lturii și Industriei Alimentare</w:t>
            </w:r>
          </w:p>
        </w:tc>
      </w:tr>
      <w:tr w:rsidR="008A26FE" w:rsidRPr="002618E5" w14:paraId="58428597" w14:textId="77777777" w:rsidTr="00DE79CC">
        <w:tc>
          <w:tcPr>
            <w:tcW w:w="9356" w:type="dxa"/>
          </w:tcPr>
          <w:p w14:paraId="1387B54A" w14:textId="77777777" w:rsidR="008A26FE" w:rsidRPr="002618E5" w:rsidRDefault="00B404B6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Condițiile ce au impus elaborarea proiectului de act normativ și finalitățile urmărite</w:t>
            </w:r>
          </w:p>
        </w:tc>
      </w:tr>
      <w:tr w:rsidR="008A26FE" w:rsidRPr="002618E5" w14:paraId="5D6D0A87" w14:textId="77777777" w:rsidTr="00DE79CC">
        <w:tc>
          <w:tcPr>
            <w:tcW w:w="9356" w:type="dxa"/>
          </w:tcPr>
          <w:p w14:paraId="44C0E64B" w14:textId="30DC806E" w:rsidR="0072511A" w:rsidRPr="002618E5" w:rsidRDefault="008B5783" w:rsidP="0072511A">
            <w:pPr>
              <w:pStyle w:val="Frspaiere"/>
              <w:ind w:firstLine="567"/>
              <w:jc w:val="both"/>
              <w:rPr>
                <w:rStyle w:val="2"/>
                <w:rFonts w:eastAsiaTheme="majorEastAsia"/>
                <w:color w:val="auto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Ca urmare a modificărilor operate</w:t>
            </w:r>
            <w:r w:rsidR="002B1427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la unele acte normative</w:t>
            </w:r>
            <w:r w:rsidR="002618E5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precum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: </w:t>
            </w:r>
            <w:r w:rsidR="0035290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</w:t>
            </w:r>
            <w:r w:rsidR="002618E5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ea</w:t>
            </w:r>
            <w:r w:rsidR="0035290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306/2018 privind siguranța alimentelor, a Legii 172/2014, la care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au fost </w:t>
            </w:r>
            <w:r w:rsidR="000950CA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revizuite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pozițiile tarifare din Nomenclatura combinata a mărfurilor (Legea 134/2022)</w:t>
            </w:r>
            <w:r w:rsidR="00352901" w:rsidRPr="002618E5">
              <w:rPr>
                <w:rStyle w:val="2"/>
                <w:rFonts w:eastAsiaTheme="majorEastAsia"/>
                <w:sz w:val="27"/>
                <w:szCs w:val="27"/>
              </w:rPr>
              <w:t>, a</w:t>
            </w:r>
            <w:r w:rsidR="0035290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Legii nr. 420</w:t>
            </w:r>
            <w:r w:rsidR="004A0BD6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/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2006 privind activitatea de reglementare tehnică, Legii 10/2009 privind supravegherea de stat a sănătății publice</w:t>
            </w:r>
            <w:r w:rsid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etc.,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precum și</w:t>
            </w:r>
            <w:r w:rsid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abrogării unor acte normative precum Legea 78/2004 privind produsele alimentare, 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Legea 113/2012 cu privire la stabilirea principiilor </w:t>
            </w:r>
            <w:proofErr w:type="spellStart"/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şi</w:t>
            </w:r>
            <w:proofErr w:type="spellEnd"/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 </w:t>
            </w:r>
            <w:r w:rsidR="000D21C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cerințelor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generale ale </w:t>
            </w:r>
            <w:r w:rsidR="000D21C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legislației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privind </w:t>
            </w:r>
            <w:r w:rsidR="000D21C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siguranța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alimentelor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din partea mediului de afaceri și a Agenției Naționale pentru Siguranța Alimentelor, în adresa Ministerului au fost înainte solicitări privind revizuirea </w:t>
            </w:r>
            <w:r w:rsidR="0072511A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prevederilor mai multor Hotărâri ale Guvernului</w:t>
            </w:r>
            <w:r w:rsidR="000950CA">
              <w:rPr>
                <w:rStyle w:val="2"/>
                <w:rFonts w:eastAsiaTheme="majorEastAsia"/>
                <w:color w:val="auto"/>
                <w:sz w:val="27"/>
                <w:szCs w:val="27"/>
              </w:rPr>
              <w:t>,</w:t>
            </w:r>
            <w:r w:rsidR="0072511A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prin care au fost aprobate Reglementari Tehnice pentru diverse produse alimentare</w:t>
            </w:r>
            <w:r w:rsid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printre care și </w:t>
            </w:r>
            <w:r w:rsidR="002618E5"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 și Hotărârea Guvernului nr. 774/2007 cu privire la aprobarea Reglementării tehnice „Zahăr. Producerea și comercializarea”</w:t>
            </w:r>
            <w:r w:rsidR="002618E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878FD3B" w14:textId="77777777" w:rsidR="008A26FE" w:rsidRPr="002618E5" w:rsidRDefault="0072511A" w:rsidP="0072511A">
            <w:pPr>
              <w:pStyle w:val="Frspaiere"/>
              <w:ind w:firstLine="567"/>
              <w:jc w:val="both"/>
              <w:rPr>
                <w:rStyle w:val="2"/>
                <w:rFonts w:eastAsiaTheme="majorEastAsia"/>
                <w:color w:val="auto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Totodată, ca urmare a atribuirii Republicii Moldova a statutului de „țară candidat”, a fost inițiat un amplu proces de screening a legislației UE, în vederea transpunerii acesteia în legislația națională.</w:t>
            </w:r>
          </w:p>
          <w:p w14:paraId="0B0BC40E" w14:textId="3FDBF8FC" w:rsidR="0072511A" w:rsidRPr="002618E5" w:rsidRDefault="0072511A" w:rsidP="002618E5">
            <w:pPr>
              <w:pStyle w:val="Frspaiere"/>
              <w:ind w:firstLine="567"/>
              <w:jc w:val="both"/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</w:pPr>
            <w:r w:rsidRPr="002618E5">
              <w:rPr>
                <w:rStyle w:val="2"/>
                <w:rFonts w:eastAsiaTheme="majorEastAsia"/>
                <w:sz w:val="27"/>
                <w:szCs w:val="27"/>
              </w:rPr>
              <w:t xml:space="preserve">Astfel au fost identificate mai multe acte normative care urmează a fi modificate, iar, ținând cont că în Hotărârea Guvernului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nr. 291/2014 cu privire la aprobarea Cerințelor de calitate pentru orez și crupe de orez și Hotărârea Guvernului nr. 774/2007 cu privire la aprobarea Reglementării tehnice „Zahăr. Producerea și comercializarea” urmează a fi preluare prevederile din 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671-854), s-a decis includerea prevederilor regulamentului menționat 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î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n actele naționale menționate supra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prin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elaborarea unui 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singur act de modificare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 unor acte </w:t>
            </w:r>
            <w:r w:rsid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>normative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2618E5" w14:paraId="2FD95165" w14:textId="77777777" w:rsidTr="00DE79CC">
        <w:tc>
          <w:tcPr>
            <w:tcW w:w="9356" w:type="dxa"/>
          </w:tcPr>
          <w:p w14:paraId="3B39B4C9" w14:textId="77777777" w:rsidR="008A26FE" w:rsidRPr="002618E5" w:rsidRDefault="00B404B6" w:rsidP="00DE79CC">
            <w:pPr>
              <w:pStyle w:val="Listparagraf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A26FE" w:rsidRPr="002618E5" w14:paraId="4FACD3F0" w14:textId="77777777" w:rsidTr="00DE79CC">
        <w:tc>
          <w:tcPr>
            <w:tcW w:w="9356" w:type="dxa"/>
          </w:tcPr>
          <w:p w14:paraId="213EE763" w14:textId="77777777" w:rsidR="00A959E4" w:rsidRDefault="00F24A5E" w:rsidP="00127EE0">
            <w:pPr>
              <w:pStyle w:val="Frspaiere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Proiectul </w:t>
            </w:r>
            <w:r w:rsidR="00942C15" w:rsidRPr="002618E5">
              <w:rPr>
                <w:rFonts w:ascii="Times New Roman" w:hAnsi="Times New Roman"/>
                <w:sz w:val="27"/>
                <w:szCs w:val="27"/>
              </w:rPr>
              <w:t xml:space="preserve">de hotărâre a Guvernului </w:t>
            </w:r>
            <w:r w:rsidR="00942C15" w:rsidRPr="002618E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cu privire la aprobarea modificărilor ce se operează în unele hotărâri ale Guvernului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a fost elaborat în cadrul angajamentelor asumate prin Acordul de Asociere RM-UE, </w:t>
            </w:r>
            <w:bookmarkStart w:id="0" w:name="_GoBack"/>
            <w:r w:rsidR="00127EE0">
              <w:rPr>
                <w:rFonts w:ascii="Times New Roman" w:hAnsi="Times New Roman" w:cs="Times New Roman"/>
                <w:sz w:val="27"/>
                <w:szCs w:val="27"/>
              </w:rPr>
              <w:t xml:space="preserve">în vederea implementării </w:t>
            </w:r>
            <w:bookmarkEnd w:id="0"/>
            <w:r w:rsidR="002864B8">
              <w:rPr>
                <w:rFonts w:ascii="Times New Roman" w:hAnsi="Times New Roman" w:cs="Times New Roman"/>
                <w:sz w:val="27"/>
                <w:szCs w:val="27"/>
              </w:rPr>
              <w:t xml:space="preserve">punctelor 25 și 26 din </w:t>
            </w:r>
            <w:r w:rsidR="002864B8" w:rsidRPr="00127EE0">
              <w:rPr>
                <w:rFonts w:ascii="Times New Roman" w:hAnsi="Times New Roman" w:cs="Times New Roman"/>
                <w:sz w:val="27"/>
                <w:szCs w:val="27"/>
              </w:rPr>
              <w:t>Capitolul 11 – Agricultura și dezvoltarea rurală</w:t>
            </w:r>
            <w:r w:rsidR="002864B8">
              <w:rPr>
                <w:rFonts w:ascii="Times New Roman" w:hAnsi="Times New Roman" w:cs="Times New Roman"/>
                <w:sz w:val="27"/>
                <w:szCs w:val="27"/>
              </w:rPr>
              <w:t xml:space="preserve"> din</w:t>
            </w:r>
            <w:r w:rsidR="002864B8" w:rsidRPr="00127E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27EE0" w:rsidRPr="00127EE0">
              <w:rPr>
                <w:rFonts w:ascii="Times New Roman" w:hAnsi="Times New Roman" w:cs="Times New Roman"/>
                <w:sz w:val="27"/>
                <w:szCs w:val="27"/>
              </w:rPr>
              <w:t>Planul național de acțiuni pentru aderarea Republicii</w:t>
            </w:r>
            <w:r w:rsidR="00942C1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27EE0" w:rsidRPr="00127EE0">
              <w:rPr>
                <w:rFonts w:ascii="Times New Roman" w:hAnsi="Times New Roman" w:cs="Times New Roman"/>
                <w:sz w:val="27"/>
                <w:szCs w:val="27"/>
              </w:rPr>
              <w:t>Moldova la Uniu</w:t>
            </w:r>
            <w:r w:rsidR="00127EE0">
              <w:rPr>
                <w:rFonts w:ascii="Times New Roman" w:hAnsi="Times New Roman" w:cs="Times New Roman"/>
                <w:sz w:val="27"/>
                <w:szCs w:val="27"/>
              </w:rPr>
              <w:t xml:space="preserve">nea Europeană </w:t>
            </w:r>
            <w:r w:rsidR="00127EE0" w:rsidRPr="00942C15">
              <w:rPr>
                <w:rFonts w:ascii="Times New Roman" w:hAnsi="Times New Roman" w:cs="Times New Roman"/>
                <w:sz w:val="27"/>
                <w:szCs w:val="27"/>
              </w:rPr>
              <w:t>pe anii 2023-2027</w:t>
            </w:r>
            <w:r w:rsidR="002864B8" w:rsidRPr="00942C15">
              <w:rPr>
                <w:rFonts w:ascii="Times New Roman" w:hAnsi="Times New Roman" w:cs="Times New Roman"/>
                <w:sz w:val="27"/>
                <w:szCs w:val="27"/>
              </w:rPr>
              <w:t xml:space="preserve">, aprobat prin Hotărârea Guvernului nr. </w:t>
            </w:r>
            <w:r w:rsidR="002864B8">
              <w:rPr>
                <w:rFonts w:ascii="Times New Roman" w:hAnsi="Times New Roman" w:cs="Times New Roman"/>
                <w:sz w:val="27"/>
                <w:szCs w:val="27"/>
              </w:rPr>
              <w:t>829/2023</w:t>
            </w:r>
            <w:r w:rsidR="00127EE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33CF0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În acest context, 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prin </w:t>
            </w:r>
            <w:r w:rsidR="002864B8" w:rsidRPr="002618E5">
              <w:rPr>
                <w:rFonts w:ascii="Times New Roman" w:hAnsi="Times New Roman" w:cs="Times New Roman"/>
                <w:sz w:val="27"/>
                <w:szCs w:val="27"/>
              </w:rPr>
              <w:t>proiectul</w:t>
            </w:r>
          </w:p>
          <w:p w14:paraId="3F146962" w14:textId="053F85C1" w:rsidR="00F24A5E" w:rsidRPr="002618E5" w:rsidRDefault="002864B8" w:rsidP="00A959E4">
            <w:pPr>
              <w:pStyle w:val="Frspaier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</w:t>
            </w:r>
            <w:r w:rsidR="003C6C8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nominalizat 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>urmează să fie operate modificări la două hotărâri de Guvern</w:t>
            </w:r>
            <w:r w:rsidR="00F24A5E" w:rsidRPr="002618E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prin preluarea</w:t>
            </w:r>
            <w:r w:rsidR="0087221F">
              <w:rPr>
                <w:rFonts w:ascii="Times New Roman" w:hAnsi="Times New Roman" w:cs="Times New Roman"/>
                <w:sz w:val="27"/>
                <w:szCs w:val="27"/>
              </w:rPr>
              <w:t xml:space="preserve"> unor 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>prevederi din</w:t>
            </w:r>
            <w:r w:rsidR="0087221F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Regulamentul (UE) nr. 1308/2013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7221F" w:rsidRPr="002618E5">
              <w:rPr>
                <w:rFonts w:ascii="Times New Roman" w:hAnsi="Times New Roman" w:cs="Times New Roman"/>
                <w:sz w:val="27"/>
                <w:szCs w:val="27"/>
              </w:rPr>
              <w:t>Directiva 2001/111/CE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7221F" w:rsidRPr="002618E5">
              <w:rPr>
                <w:rFonts w:ascii="Times New Roman" w:hAnsi="Times New Roman" w:cs="Times New Roman"/>
                <w:sz w:val="27"/>
                <w:szCs w:val="27"/>
              </w:rPr>
              <w:t>Codex Stan 212-1999 Standard pentru zaharuri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și anume:</w:t>
            </w:r>
          </w:p>
          <w:p w14:paraId="78125F55" w14:textId="4E7996CE" w:rsidR="00782704" w:rsidRPr="002618E5" w:rsidRDefault="00782704" w:rsidP="00AF0EC7">
            <w:pPr>
              <w:pStyle w:val="Frspaiere"/>
              <w:numPr>
                <w:ilvl w:val="0"/>
                <w:numId w:val="11"/>
              </w:numPr>
              <w:tabs>
                <w:tab w:val="left" w:pos="1026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La modificarea </w:t>
            </w:r>
            <w:r w:rsidRPr="002618E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hotărâri de Guvern</w:t>
            </w:r>
            <w:r w:rsidR="004851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2618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(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Hotărârea Guvernului nr. 291/2014 cu privire la aprobarea Cerințelor de calitate pentru orez și crupe de orez, urmează a fi preluate prevederile din 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partea II din Anexa nr. I, partea I din Anexa nr. II, Anexa III partea A din 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671-854).</w:t>
            </w:r>
          </w:p>
          <w:p w14:paraId="209F3ED0" w14:textId="77777777" w:rsidR="00782704" w:rsidRPr="002618E5" w:rsidRDefault="00782704" w:rsidP="00AF0EC7">
            <w:pPr>
              <w:pStyle w:val="Frspaiere"/>
              <w:numPr>
                <w:ilvl w:val="0"/>
                <w:numId w:val="11"/>
              </w:numPr>
              <w:tabs>
                <w:tab w:val="left" w:pos="1026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Pentru modificarea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Hotărârii Guvernului nr. 774/2007 cu privire la aprobarea Reglementării tehnice „Zahăr. Producerea și comercializarea” urmează a fi transpuse:</w:t>
            </w:r>
          </w:p>
          <w:p w14:paraId="65AA3333" w14:textId="6AE295BC" w:rsidR="0012497A" w:rsidRPr="0012497A" w:rsidRDefault="00782704" w:rsidP="0012497A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Partea III din Anexa I, Partea II secțiunea A din Anexa II și Anexa III partea B din Regulamentul (UE) nr. 1308/2013 al Parlamentului European și al Consiliului din 17 decembrie 2013 de instituire a unei organizări comune a piețelor produselor agricole și de abrogarea Regulamentelor (CEE) nr. 922/72, (CEE) nr. 234/79, (CE) nr. 1037/2001 și (CE) nr. 1234/2007 ale Consiliului, publicat în </w:t>
            </w:r>
            <w:r w:rsidRPr="002618E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Jurnalul oficial al Uniunii Europene L 347 din 20 decembrie 2013,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 astfel cum a fost modificat ultima dată prin Regulamentul (UE) 2017/2393 al Parlamentului European și al Consiliului din 13 decembrie 2017</w:t>
            </w:r>
            <w:r w:rsidR="0012497A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62876F9F" w14:textId="74375CA9" w:rsidR="0012497A" w:rsidRPr="0012497A" w:rsidRDefault="0012497A" w:rsidP="0012497A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249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Regulamentul (CEE) NR. 1265/69 al Comisiei din 1 iulie 1969</w:t>
            </w:r>
            <w:r w:rsidRPr="001249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1249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de stabilire a metodelor de stabilire a calității zahărului achiziționat de agențiile de intervenție, </w:t>
            </w:r>
            <w:r w:rsidRPr="000950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CELEX: </w:t>
            </w:r>
            <w:r w:rsidRPr="000950CA">
              <w:rPr>
                <w:rFonts w:ascii="Times New Roman" w:hAnsi="Times New Roman" w:cs="Times New Roman"/>
                <w:iCs/>
                <w:sz w:val="28"/>
                <w:szCs w:val="28"/>
                <w:lang w:val="en-GB"/>
              </w:rPr>
              <w:t>1969R1265</w:t>
            </w:r>
            <w:r w:rsidRPr="0012497A">
              <w:rPr>
                <w:rFonts w:ascii="Times New Roman" w:hAnsi="Times New Roman" w:cs="Times New Roman"/>
                <w:iCs/>
                <w:sz w:val="28"/>
                <w:szCs w:val="28"/>
                <w:lang w:val="en-GB"/>
              </w:rPr>
              <w:t>,</w:t>
            </w:r>
            <w:r w:rsidRPr="001249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publicat în Jurnalul oficial L 163, 4.7.1969, p.1, astfel cum a fost modificat ultima dată prin Regulamentul (CE) NR. 187/1999 al Comisiei din 27 ianuarie 1999 </w:t>
            </w:r>
            <w:r w:rsidRPr="0012497A">
              <w:rPr>
                <w:rFonts w:ascii="Times New Roman" w:hAnsi="Times New Roman" w:cs="Times New Roman"/>
                <w:iCs/>
                <w:sz w:val="28"/>
                <w:szCs w:val="28"/>
                <w:lang w:val="en-GB"/>
              </w:rPr>
              <w:t>Official Journal L 021 , 28/01/1999 P. 0009 – 0009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GB"/>
              </w:rPr>
              <w:t>;</w:t>
            </w:r>
          </w:p>
          <w:p w14:paraId="2CA90F5B" w14:textId="77777777" w:rsidR="00782704" w:rsidRPr="002618E5" w:rsidRDefault="00782704" w:rsidP="00782704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Directiva 2001/111/CE a Consiliului din 20 decembrie 2001 privind anumite tipuri de zahăr destinate consumului uman, publicată în </w:t>
            </w:r>
            <w:r w:rsidRPr="002618E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Jurnalul oficial al Uniunii Europene L 010 din 12 ianuarie 2002,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 astfel cum a fost modificat ultima dată prin Regulamentul (UE) nr. 1021/2013 al Parlamentului European și al Consiliului din 9 octombrie 2013 </w:t>
            </w:r>
          </w:p>
          <w:p w14:paraId="4A351073" w14:textId="6CBEE09C" w:rsidR="00782704" w:rsidRPr="002618E5" w:rsidRDefault="00782704" w:rsidP="00782704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Codex Stan 212-1999 Standard pentru zaharuri, amendat în 2001, 2019 și 2022.</w:t>
            </w:r>
          </w:p>
          <w:p w14:paraId="049B2A27" w14:textId="38B191AC" w:rsidR="001A29BD" w:rsidRPr="002618E5" w:rsidRDefault="001A29BD" w:rsidP="00F93AC3">
            <w:pPr>
              <w:pStyle w:val="Frspaiere"/>
              <w:ind w:firstLine="56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Au fost elaborate 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>4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Tabele de concordanță, 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pentru Regulamentul 1308/2013, </w:t>
            </w:r>
            <w:r w:rsidR="00F93AC3" w:rsidRPr="001249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Regulamentul (CEE) NR. 1265/69</w:t>
            </w:r>
            <w:r w:rsidR="00F93A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pentru 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Directiva 2001/111/CE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și unul pentru Codex-Stan 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Codex Stan 212-1999 Standard pentru zaharuri,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în conformitate cu prevederile Hotărârii Guvernului nr. 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1171/2018 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>pentru aprobarea Regulamentului privind armonizarea legislației Republicii Moldova cu legislația Uniunii Europene.</w:t>
            </w:r>
          </w:p>
        </w:tc>
      </w:tr>
      <w:tr w:rsidR="008A26FE" w:rsidRPr="002618E5" w14:paraId="4E8A933D" w14:textId="77777777" w:rsidTr="00DE79CC">
        <w:tc>
          <w:tcPr>
            <w:tcW w:w="9356" w:type="dxa"/>
          </w:tcPr>
          <w:p w14:paraId="344B79C0" w14:textId="77777777" w:rsidR="008A26FE" w:rsidRPr="002618E5" w:rsidRDefault="00B404B6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Principalele prevederi ale proiectului și evidențierea elementelor noi</w:t>
            </w:r>
          </w:p>
        </w:tc>
      </w:tr>
      <w:tr w:rsidR="008A26FE" w:rsidRPr="002618E5" w14:paraId="10513A56" w14:textId="77777777" w:rsidTr="00C57B3D">
        <w:trPr>
          <w:trHeight w:val="699"/>
        </w:trPr>
        <w:tc>
          <w:tcPr>
            <w:tcW w:w="9356" w:type="dxa"/>
          </w:tcPr>
          <w:p w14:paraId="353F78DB" w14:textId="1B256367" w:rsidR="00154FDA" w:rsidRPr="002618E5" w:rsidRDefault="00154FDA" w:rsidP="00720305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Actul normativ urmează </w:t>
            </w:r>
            <w:r w:rsidR="00E9228E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să modifice 2 hotărâri de Guvern și anume 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 și Hotărârea Guvernului nr. 774/2007 cu privire la aprobarea Reglementării tehnice „Zahăr. Producerea și comercializarea”</w:t>
            </w:r>
            <w:r w:rsidR="00E9228E" w:rsidRPr="002618E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)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  <w:p w14:paraId="19A5D5CD" w14:textId="77777777" w:rsidR="00127EE0" w:rsidRDefault="00E9228E" w:rsidP="000E346B">
            <w:pPr>
              <w:pStyle w:val="Listparagraf"/>
              <w:numPr>
                <w:ilvl w:val="0"/>
                <w:numId w:val="13"/>
              </w:numPr>
              <w:spacing w:after="0"/>
              <w:ind w:left="0" w:firstLine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sz w:val="27"/>
                <w:szCs w:val="27"/>
              </w:rPr>
              <w:t xml:space="preserve">În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</w:t>
            </w:r>
            <w:r w:rsidR="002A4ACD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urmează a fi </w:t>
            </w:r>
            <w:r w:rsidR="003D6356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ajustate clauza de emitere și de </w:t>
            </w:r>
            <w:r w:rsidR="003D6356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armonizare, conform cadrului normativ actualizat, a fost redactată 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referința la nomenclatura combinata a mărfurilor, inclusiv pozițiile tarifare, conform ultim</w:t>
            </w:r>
            <w:r w:rsidR="003D6356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e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lor modificări.</w:t>
            </w:r>
            <w:r w:rsidR="000B2A23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2D9D2255" w14:textId="17DDA532" w:rsidR="00E9228E" w:rsidRPr="00127EE0" w:rsidRDefault="00E9228E" w:rsidP="00127E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Totodată, </w:t>
            </w:r>
            <w:r w:rsidR="003D6356"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trimiterile de ordin general precum </w:t>
            </w:r>
            <w:r w:rsidR="00127EE0"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>„conform prevederilor actelor normative/legislative în vigoare”</w:t>
            </w:r>
            <w:r w:rsid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au fost ajustate cu referințe clare privind actul normativ si denumirea 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acestuia.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În același timp au fost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incluse referințele privind elementele de armonizare: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„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transpune partea II din Anexa nr. I, partea I din Anexa nr. II, Anexa III partea A din 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”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14:paraId="740F76E6" w14:textId="735FDD96" w:rsidR="00720305" w:rsidRPr="00DF5780" w:rsidRDefault="00EF7216" w:rsidP="00A0096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La </w:t>
            </w:r>
            <w:r w:rsidRPr="00EF7216">
              <w:rPr>
                <w:rFonts w:ascii="Times New Roman" w:hAnsi="Times New Roman" w:cs="Times New Roman"/>
                <w:sz w:val="27"/>
                <w:szCs w:val="27"/>
              </w:rPr>
              <w:t>Hotărârea Guvernului nr. 774/2007 cu privire la aprobarea Reglementării tehnice „Zahăr. Producerea și comercializarea”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urmează a fost modificată denumirea hotărârii: „</w:t>
            </w:r>
            <w:r w:rsidRPr="00942B1B">
              <w:rPr>
                <w:rFonts w:ascii="Times New Roman" w:hAnsi="Times New Roman" w:cs="Times New Roman"/>
                <w:sz w:val="28"/>
                <w:szCs w:val="28"/>
              </w:rPr>
              <w:t>Cerințele de calitate pentru anumite tipuri de zahăr destinate consumului uman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temeiul de aprobare a acesteia, clauza de armonizare</w:t>
            </w:r>
            <w:r w:rsidRP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Compartimentul noțiuni urmează a fi expus in redacție nouă prin completarea cu un s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>ir de produse precum: Zaharuri albe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Zaharuri brute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80">
              <w:rPr>
                <w:rFonts w:ascii="Times New Roman" w:hAnsi="Times New Roman" w:cs="Times New Roman"/>
                <w:sz w:val="28"/>
                <w:szCs w:val="28"/>
              </w:rPr>
              <w:t>Izoglucoză</w:t>
            </w:r>
            <w:proofErr w:type="spellEnd"/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Sirop de </w:t>
            </w:r>
            <w:proofErr w:type="spellStart"/>
            <w:r w:rsidRPr="00DF5780">
              <w:rPr>
                <w:rFonts w:ascii="Times New Roman" w:hAnsi="Times New Roman" w:cs="Times New Roman"/>
                <w:sz w:val="28"/>
                <w:szCs w:val="28"/>
              </w:rPr>
              <w:t>inulină</w:t>
            </w:r>
            <w:proofErr w:type="spellEnd"/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Zahar brut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Zahăr semi-alb, Zahăr sau zahăr alb, Zahăr extra-alb,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Soluție de zahăr invertit,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Sirop de zahăr invertit,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Sirop de glucoză, Sirop de glucoză uscată, Dextroză sau monohidrat de dextroză, Dextroză sau dextroză anhidră, Fructoză,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Glucoză pulbere ,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Zahăr brut din trestie de zahăr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În același timp vor fi actualizate codurile tarifare, conform modificărilor operate la Nomenclatura combinata a mărfurilor , aprobată prin Legea 172/2014. Vor fi ajustare trimiterile la Legea 306/2018 privind siguranța alimentelor, </w:t>
            </w:r>
            <w:r w:rsidR="00DF5780" w:rsidRPr="00942B1B">
              <w:rPr>
                <w:rFonts w:ascii="Times New Roman" w:eastAsia="Times New Roman" w:hAnsi="Times New Roman" w:cs="Times New Roman"/>
                <w:sz w:val="28"/>
                <w:szCs w:val="28"/>
              </w:rPr>
              <w:t>Legea nr.279/2017 privind informarea consumatorului cu privire la produsele alimentare</w:t>
            </w:r>
            <w:r w:rsidR="00DF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F1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Urmează a fi abrogata Anexa 3 Declarația de conformitate. Cerințele de calitate </w:t>
            </w:r>
            <w:r w:rsidR="00BF136A" w:rsidRPr="00942B1B">
              <w:rPr>
                <w:rFonts w:ascii="Times New Roman" w:hAnsi="Times New Roman" w:cs="Times New Roman"/>
                <w:sz w:val="28"/>
                <w:szCs w:val="28"/>
              </w:rPr>
              <w:t>pentru anumite tipuri de zahăr destinate consumului uman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1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urmează a fi completate cu o anexa nouă, in care sunt descrise metodele de </w:t>
            </w:r>
            <w:r w:rsidR="00BF136A" w:rsidRPr="00744201">
              <w:rPr>
                <w:rFonts w:ascii="Times New Roman" w:hAnsi="Times New Roman" w:cs="Times New Roman"/>
                <w:iCs/>
                <w:sz w:val="28"/>
                <w:szCs w:val="28"/>
              </w:rPr>
              <w:t>stabilire a caracteristicilor de calitate</w:t>
            </w:r>
            <w:r w:rsidR="00BF13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ale zahărului.</w:t>
            </w:r>
          </w:p>
        </w:tc>
      </w:tr>
      <w:tr w:rsidR="008A26FE" w:rsidRPr="002618E5" w14:paraId="4F169815" w14:textId="77777777" w:rsidTr="00DE79CC">
        <w:trPr>
          <w:trHeight w:val="426"/>
        </w:trPr>
        <w:tc>
          <w:tcPr>
            <w:tcW w:w="9356" w:type="dxa"/>
            <w:vAlign w:val="center"/>
          </w:tcPr>
          <w:p w14:paraId="1737B48F" w14:textId="77777777" w:rsidR="008A26FE" w:rsidRPr="002618E5" w:rsidRDefault="007B777A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Fundamentarea </w:t>
            </w:r>
            <w:proofErr w:type="spellStart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8A26FE" w:rsidRPr="002618E5" w14:paraId="7ED4C73A" w14:textId="77777777" w:rsidTr="00DE79CC">
        <w:trPr>
          <w:trHeight w:val="702"/>
        </w:trPr>
        <w:tc>
          <w:tcPr>
            <w:tcW w:w="9356" w:type="dxa"/>
          </w:tcPr>
          <w:p w14:paraId="30D53812" w14:textId="60A8B0E6" w:rsidR="008A26FE" w:rsidRPr="002618E5" w:rsidRDefault="007B777A" w:rsidP="00704493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</w:t>
            </w:r>
            <w:r w:rsidR="008D1FD6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035CE3" w:rsidRPr="002618E5">
              <w:rPr>
                <w:rFonts w:ascii="Times New Roman" w:hAnsi="Times New Roman" w:cs="Times New Roman"/>
                <w:sz w:val="27"/>
                <w:szCs w:val="27"/>
              </w:rPr>
              <w:t>întrucât A</w:t>
            </w:r>
            <w:r w:rsidR="000D21C1" w:rsidRPr="002618E5">
              <w:rPr>
                <w:rFonts w:ascii="Times New Roman" w:hAnsi="Times New Roman" w:cs="Times New Roman"/>
                <w:sz w:val="27"/>
                <w:szCs w:val="27"/>
              </w:rPr>
              <w:t>genția Națională pentru siguranța alimentelor</w:t>
            </w:r>
            <w:r w:rsidR="00035CE3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planifică anual controalele oficiale, precum și mijloacele financiare pentru efectuarea acestora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2618E5" w14:paraId="4FF792A4" w14:textId="77777777" w:rsidTr="00DE79CC">
        <w:trPr>
          <w:trHeight w:val="472"/>
        </w:trPr>
        <w:tc>
          <w:tcPr>
            <w:tcW w:w="9356" w:type="dxa"/>
            <w:vAlign w:val="center"/>
          </w:tcPr>
          <w:p w14:paraId="43EC0138" w14:textId="77777777" w:rsidR="008A26FE" w:rsidRPr="002618E5" w:rsidRDefault="007B777A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8A26FE" w:rsidRPr="002618E5" w14:paraId="0484F03F" w14:textId="77777777" w:rsidTr="00DE79CC">
        <w:tc>
          <w:tcPr>
            <w:tcW w:w="9356" w:type="dxa"/>
          </w:tcPr>
          <w:p w14:paraId="67C17A7D" w14:textId="3C83C55A" w:rsidR="00BF136A" w:rsidRPr="002618E5" w:rsidRDefault="00BF136A" w:rsidP="000950C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Proiectul este elaborat în vederea implementării </w:t>
            </w:r>
            <w:r w:rsidR="000950CA">
              <w:rPr>
                <w:rFonts w:ascii="Times New Roman" w:hAnsi="Times New Roman" w:cs="Times New Roman"/>
                <w:sz w:val="27"/>
                <w:szCs w:val="27"/>
              </w:rPr>
              <w:t xml:space="preserve">punctelor 25 și 26 din </w:t>
            </w:r>
            <w:r w:rsidR="000950CA" w:rsidRPr="00127EE0">
              <w:rPr>
                <w:rFonts w:ascii="Times New Roman" w:hAnsi="Times New Roman" w:cs="Times New Roman"/>
                <w:sz w:val="27"/>
                <w:szCs w:val="27"/>
              </w:rPr>
              <w:t xml:space="preserve">Capitolul 11 – Agricultura și dezvoltarea rurală </w:t>
            </w:r>
            <w:r w:rsidR="000950CA">
              <w:rPr>
                <w:rFonts w:ascii="Times New Roman" w:hAnsi="Times New Roman" w:cs="Times New Roman"/>
                <w:sz w:val="27"/>
                <w:szCs w:val="27"/>
              </w:rPr>
              <w:t xml:space="preserve">din </w:t>
            </w:r>
            <w:r w:rsidRPr="00127EE0">
              <w:rPr>
                <w:rFonts w:ascii="Times New Roman" w:hAnsi="Times New Roman" w:cs="Times New Roman"/>
                <w:sz w:val="27"/>
                <w:szCs w:val="27"/>
              </w:rPr>
              <w:t>Planul național de acțiuni pentru aderarea Republicii Moldova la Uniu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nea Europeană pe</w:t>
            </w:r>
            <w:r w:rsidR="00602BC6">
              <w:rPr>
                <w:rFonts w:ascii="Times New Roman" w:hAnsi="Times New Roman" w:cs="Times New Roman"/>
                <w:sz w:val="27"/>
                <w:szCs w:val="27"/>
              </w:rPr>
              <w:t>ntru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anii 2023-2027,</w:t>
            </w:r>
            <w:r w:rsidR="00602B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17D15">
              <w:rPr>
                <w:rFonts w:ascii="Times New Roman" w:hAnsi="Times New Roman" w:cs="Times New Roman"/>
                <w:sz w:val="27"/>
                <w:szCs w:val="27"/>
              </w:rPr>
              <w:t>aprobat pr</w:t>
            </w:r>
            <w:r w:rsidR="00602BC6">
              <w:rPr>
                <w:rFonts w:ascii="Times New Roman" w:hAnsi="Times New Roman" w:cs="Times New Roman"/>
                <w:sz w:val="27"/>
                <w:szCs w:val="27"/>
              </w:rPr>
              <w:t>in</w:t>
            </w:r>
            <w:r w:rsidR="00E17D1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02BC6">
              <w:rPr>
                <w:rFonts w:ascii="Times New Roman" w:hAnsi="Times New Roman" w:cs="Times New Roman"/>
                <w:sz w:val="27"/>
                <w:szCs w:val="27"/>
              </w:rPr>
              <w:t>Hotărârea</w:t>
            </w:r>
            <w:r w:rsidR="00E17D15">
              <w:rPr>
                <w:rFonts w:ascii="Times New Roman" w:hAnsi="Times New Roman" w:cs="Times New Roman"/>
                <w:sz w:val="27"/>
                <w:szCs w:val="27"/>
              </w:rPr>
              <w:t xml:space="preserve"> Guvernului nr. 829/2023,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precum și pentru aducerea </w:t>
            </w:r>
            <w:r w:rsidR="000950CA">
              <w:rPr>
                <w:rFonts w:ascii="Times New Roman" w:hAnsi="Times New Roman" w:cs="Times New Roman"/>
                <w:sz w:val="27"/>
                <w:szCs w:val="27"/>
              </w:rPr>
              <w:t>î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n concordanță a prevederilor ca urmare a modificării și abrogării mai multor acte normative.</w:t>
            </w:r>
          </w:p>
        </w:tc>
      </w:tr>
      <w:tr w:rsidR="008A26FE" w:rsidRPr="002618E5" w14:paraId="7AAA0100" w14:textId="77777777" w:rsidTr="00DE79CC">
        <w:trPr>
          <w:trHeight w:val="459"/>
        </w:trPr>
        <w:tc>
          <w:tcPr>
            <w:tcW w:w="9356" w:type="dxa"/>
            <w:vAlign w:val="center"/>
          </w:tcPr>
          <w:p w14:paraId="7B014466" w14:textId="77777777" w:rsidR="008A26FE" w:rsidRPr="002618E5" w:rsidRDefault="007B777A" w:rsidP="00DE79CC">
            <w:pPr>
              <w:pStyle w:val="Listparagraf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Avizarea </w:t>
            </w:r>
            <w:proofErr w:type="spellStart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consultarea publică a proiectului</w:t>
            </w:r>
          </w:p>
        </w:tc>
      </w:tr>
      <w:tr w:rsidR="008A26FE" w:rsidRPr="002618E5" w14:paraId="71F1B1C9" w14:textId="77777777" w:rsidTr="00DE79CC">
        <w:tc>
          <w:tcPr>
            <w:tcW w:w="9356" w:type="dxa"/>
          </w:tcPr>
          <w:p w14:paraId="44166A18" w14:textId="299B2BD0" w:rsidR="00F93AC3" w:rsidRPr="00F93AC3" w:rsidRDefault="0031384D" w:rsidP="00F93AC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lastRenderedPageBreak/>
              <w:t xml:space="preserve">În conformitate cu art. 32 din Legea nr. 100/2017 cu privire la actele normative, </w:t>
            </w:r>
            <w:r w:rsidR="00F93AC3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precum și a Legii</w:t>
            </w:r>
            <w:r w:rsidR="00F93AC3" w:rsidRPr="00F93AC3">
              <w:rPr>
                <w:rFonts w:ascii="Times New Roman" w:hAnsi="Times New Roman" w:cs="Times New Roman"/>
                <w:sz w:val="27"/>
                <w:szCs w:val="27"/>
              </w:rPr>
              <w:t xml:space="preserve"> cu privire la transparența în procesul decizional, pe portalul particip.gov.md și pe pagina web a Ministerului a fost plasat anunțul de inițiere a modificării Hotărârilor de Guvern nr. 774/2007 </w:t>
            </w:r>
            <w:r w:rsidR="004851E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cu privire la aprobarea Reglementării tehnice </w:t>
            </w:r>
            <w:r w:rsidR="00F93AC3" w:rsidRPr="00F93AC3">
              <w:rPr>
                <w:rFonts w:ascii="Times New Roman" w:hAnsi="Times New Roman" w:cs="Times New Roman"/>
                <w:sz w:val="27"/>
                <w:szCs w:val="27"/>
              </w:rPr>
              <w:t>Reglementării tehnice „Zahăr. Producerea și comercializarea” și a Hotărârii nr. 291/2014 cu privire la aprobarea Cerințelor de calitate pentru orez și crupe de orez (</w:t>
            </w:r>
            <w:hyperlink r:id="rId6" w:history="1">
              <w:r w:rsidR="00F93AC3" w:rsidRPr="00F93AC3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particip.gov.md/ro/document/stages/ministerul-agriculturii-si-industriei-alimentare-anunta-despre-intentia-de-modificare-a-hotararilor-de-guvern-nr-7742007-reglementarii-tehnice-zahar-producerea-si-comercializarea-si-a-hotararii-nr-2912014-cu-privire-la-aprobarea-cerintelor-de-calitate-pentru-orez-si-crupe-de-orez/11467</w:t>
              </w:r>
            </w:hyperlink>
            <w:r w:rsidR="00F93AC3" w:rsidRPr="00F93AC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2AF0E114" w14:textId="77777777" w:rsidR="00F93AC3" w:rsidRPr="00F93AC3" w:rsidRDefault="00F93AC3" w:rsidP="00F93AC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3AC3">
              <w:rPr>
                <w:rFonts w:ascii="Times New Roman" w:hAnsi="Times New Roman" w:cs="Times New Roman"/>
                <w:sz w:val="27"/>
                <w:szCs w:val="27"/>
              </w:rPr>
              <w:t>Analiza impactului de reglementare, proiectul de hotărâre și Nota informativă la fel au fost plasate pentru consultări publice pe portalurile menționate supra (</w:t>
            </w:r>
            <w:hyperlink r:id="rId7" w:history="1">
              <w:r w:rsidRPr="00F93AC3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particip.gov.md/ro/document/stages/ministerul-agriculturii-si-industriei-alimentare-prezinta-pentru-consultari-analiza-impactului-de-reglementare-la-proiectul-de-hotarare-a-guvernului-cu-privire-la-aprobarea-modificarilor-ce-se-opereaza-in-unele-hotarari-ale-guvernului/11974</w:t>
              </w:r>
            </w:hyperlink>
            <w:r w:rsidRPr="00F93AC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6D47AE2C" w14:textId="67EC1253" w:rsidR="007D444E" w:rsidRPr="002618E5" w:rsidRDefault="00F93AC3" w:rsidP="00F93AC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3AC3">
              <w:rPr>
                <w:rFonts w:ascii="Times New Roman" w:hAnsi="Times New Roman" w:cs="Times New Roman"/>
                <w:sz w:val="27"/>
                <w:szCs w:val="27"/>
              </w:rPr>
              <w:t>Totodată, materialele au fost transmise prin email direct producătorilor de zahăr, zahar invertit, importatorilor și întreprinderilor care preambalează zahar și orez</w:t>
            </w:r>
            <w:r w:rsidR="00990A7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31384D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</w:p>
        </w:tc>
      </w:tr>
      <w:tr w:rsidR="00D371A8" w:rsidRPr="002618E5" w14:paraId="557A1C13" w14:textId="77777777" w:rsidTr="00DE79CC">
        <w:tc>
          <w:tcPr>
            <w:tcW w:w="9356" w:type="dxa"/>
          </w:tcPr>
          <w:p w14:paraId="603E6A1F" w14:textId="77777777" w:rsidR="00D371A8" w:rsidRPr="002618E5" w:rsidRDefault="00D371A8" w:rsidP="00A959E4">
            <w:pPr>
              <w:pStyle w:val="Listparagraf"/>
              <w:numPr>
                <w:ilvl w:val="0"/>
                <w:numId w:val="8"/>
              </w:numPr>
              <w:tabs>
                <w:tab w:val="left" w:pos="317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Constatările expertizei anticorupție</w:t>
            </w:r>
          </w:p>
        </w:tc>
      </w:tr>
      <w:tr w:rsidR="00D371A8" w:rsidRPr="002618E5" w14:paraId="6CDA84ED" w14:textId="77777777" w:rsidTr="00DE79CC">
        <w:tc>
          <w:tcPr>
            <w:tcW w:w="9356" w:type="dxa"/>
          </w:tcPr>
          <w:p w14:paraId="4893E58F" w14:textId="23383BA2" w:rsidR="00D371A8" w:rsidRPr="002618E5" w:rsidRDefault="0072511A" w:rsidP="0012497A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În temeiul art. 34 </w:t>
            </w:r>
            <w:proofErr w:type="spellStart"/>
            <w:r w:rsidRPr="002618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35 din Legea nr. 100/2017 cu privire la actele normative, proiectul urmează a fi supus expertizei anticorupție</w:t>
            </w:r>
            <w:r w:rsidR="0012497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D371A8" w:rsidRPr="002618E5" w14:paraId="71CF87C3" w14:textId="77777777" w:rsidTr="00DE79CC">
        <w:tc>
          <w:tcPr>
            <w:tcW w:w="9356" w:type="dxa"/>
          </w:tcPr>
          <w:p w14:paraId="162A5A1B" w14:textId="77777777" w:rsidR="00D371A8" w:rsidRPr="002618E5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D371A8" w:rsidRPr="002618E5" w14:paraId="05527B8B" w14:textId="77777777" w:rsidTr="00035CE3">
        <w:trPr>
          <w:trHeight w:val="231"/>
        </w:trPr>
        <w:tc>
          <w:tcPr>
            <w:tcW w:w="9356" w:type="dxa"/>
          </w:tcPr>
          <w:p w14:paraId="41982865" w14:textId="3BBB29FF" w:rsidR="00D371A8" w:rsidRPr="002618E5" w:rsidRDefault="0072511A" w:rsidP="00821F18">
            <w:pPr>
              <w:tabs>
                <w:tab w:val="left" w:pos="884"/>
                <w:tab w:val="left" w:pos="1196"/>
              </w:tabs>
              <w:spacing w:after="8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Proiectul urmează a fi transmis Centrului de Armonizare a Legislației pentru expertiza de compatibilitate.</w:t>
            </w:r>
          </w:p>
        </w:tc>
      </w:tr>
      <w:tr w:rsidR="00D371A8" w:rsidRPr="002618E5" w14:paraId="47ED60C6" w14:textId="77777777" w:rsidTr="00DE79CC">
        <w:tc>
          <w:tcPr>
            <w:tcW w:w="9356" w:type="dxa"/>
          </w:tcPr>
          <w:p w14:paraId="485A3699" w14:textId="77777777" w:rsidR="00D371A8" w:rsidRPr="002618E5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D371A8" w:rsidRPr="002618E5" w14:paraId="25A04574" w14:textId="77777777" w:rsidTr="00DE79CC">
        <w:tc>
          <w:tcPr>
            <w:tcW w:w="9356" w:type="dxa"/>
          </w:tcPr>
          <w:p w14:paraId="78A679EC" w14:textId="07A6D5E7" w:rsidR="00D371A8" w:rsidRPr="002618E5" w:rsidRDefault="0072511A" w:rsidP="00035CE3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2060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În temeiul art. 34 </w:t>
            </w:r>
            <w:proofErr w:type="spellStart"/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37 din Legea nr. 100/2017 cu privire la actele normative, proiectul va fi supus expertizei juridice.</w:t>
            </w:r>
          </w:p>
        </w:tc>
      </w:tr>
      <w:tr w:rsidR="00D371A8" w:rsidRPr="002618E5" w14:paraId="458146DD" w14:textId="77777777" w:rsidTr="00DE79CC">
        <w:tc>
          <w:tcPr>
            <w:tcW w:w="9356" w:type="dxa"/>
          </w:tcPr>
          <w:p w14:paraId="10952A37" w14:textId="77777777" w:rsidR="00D371A8" w:rsidRPr="002618E5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D371A8" w:rsidRPr="002618E5" w14:paraId="5D8AC966" w14:textId="77777777" w:rsidTr="00DE79CC">
        <w:tc>
          <w:tcPr>
            <w:tcW w:w="9356" w:type="dxa"/>
          </w:tcPr>
          <w:p w14:paraId="09CB766C" w14:textId="56245FDA" w:rsidR="00D371A8" w:rsidRPr="002618E5" w:rsidRDefault="004A291F" w:rsidP="0012497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În conformitate prevederile pct.11 </w:t>
            </w:r>
            <w:proofErr w:type="spellStart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>sbp</w:t>
            </w:r>
            <w:proofErr w:type="spellEnd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. 21 lit. a) </w:t>
            </w:r>
            <w:proofErr w:type="spellStart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lit. b) din Metodologia de analiză a impactului în procesul de fundamentare a proiectelor de acte normative, aprobată prin Hotărârea Guvernului nr. 23/2019, </w:t>
            </w:r>
            <w:r w:rsidR="0012497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Analiza Impactului de reglementare a fost susținută condiționat în cadrul ședinței grupului de lucru </w:t>
            </w:r>
            <w:r w:rsidR="008F4B56"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>al Comisiei de Stat pentru reglementarea activității de întreprinzător</w:t>
            </w:r>
            <w:r w:rsidR="0012497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din data de 20 februarie 2024</w:t>
            </w:r>
            <w:r w:rsidR="008F4B56">
              <w:rPr>
                <w:rFonts w:ascii="Times New Roman" w:hAnsi="Times New Roman" w:cs="Times New Roman"/>
                <w:iCs/>
                <w:sz w:val="27"/>
                <w:szCs w:val="27"/>
              </w:rPr>
              <w:t>.</w:t>
            </w:r>
          </w:p>
        </w:tc>
      </w:tr>
    </w:tbl>
    <w:p w14:paraId="305D48CA" w14:textId="77777777" w:rsidR="00C37015" w:rsidRPr="002618E5" w:rsidRDefault="00C37015" w:rsidP="00821F18">
      <w:pPr>
        <w:pStyle w:val="Frspaiere"/>
        <w:rPr>
          <w:rFonts w:ascii="Times New Roman" w:hAnsi="Times New Roman" w:cs="Times New Roman"/>
          <w:sz w:val="27"/>
          <w:szCs w:val="27"/>
        </w:rPr>
      </w:pPr>
    </w:p>
    <w:p w14:paraId="05BE3518" w14:textId="77777777" w:rsidR="00C37015" w:rsidRDefault="00C37015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14:paraId="318B691F" w14:textId="77777777" w:rsidR="008F4B56" w:rsidRPr="002618E5" w:rsidRDefault="008F4B56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14:paraId="7FECC307" w14:textId="77777777" w:rsidR="00446D12" w:rsidRPr="002618E5" w:rsidRDefault="00446D12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14:paraId="6E0C3026" w14:textId="0298BB86" w:rsidR="00093BE3" w:rsidRPr="002618E5" w:rsidRDefault="0012497A" w:rsidP="00EA1E91">
      <w:pPr>
        <w:pStyle w:val="Frspaiere"/>
        <w:ind w:left="284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Secretar de Stat</w:t>
      </w:r>
      <w:r w:rsidR="00093BE3" w:rsidRPr="002618E5">
        <w:rPr>
          <w:rFonts w:ascii="Times New Roman" w:hAnsi="Times New Roman" w:cs="Times New Roman"/>
          <w:b/>
          <w:sz w:val="27"/>
          <w:szCs w:val="27"/>
        </w:rPr>
        <w:tab/>
      </w:r>
      <w:r w:rsidR="00093BE3" w:rsidRPr="002618E5"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093BE3" w:rsidRPr="002618E5">
        <w:rPr>
          <w:rFonts w:ascii="Times New Roman" w:hAnsi="Times New Roman" w:cs="Times New Roman"/>
          <w:b/>
          <w:sz w:val="27"/>
          <w:szCs w:val="27"/>
        </w:rPr>
        <w:tab/>
      </w:r>
      <w:r w:rsidR="00EA1E91" w:rsidRPr="002618E5">
        <w:rPr>
          <w:rFonts w:ascii="Times New Roman" w:hAnsi="Times New Roman" w:cs="Times New Roman"/>
          <w:b/>
          <w:sz w:val="27"/>
          <w:szCs w:val="27"/>
        </w:rPr>
        <w:tab/>
      </w:r>
      <w:r w:rsidR="00093BE3" w:rsidRPr="002618E5">
        <w:rPr>
          <w:rFonts w:ascii="Times New Roman" w:hAnsi="Times New Roman" w:cs="Times New Roman"/>
          <w:b/>
          <w:sz w:val="27"/>
          <w:szCs w:val="27"/>
        </w:rPr>
        <w:tab/>
      </w:r>
      <w:r w:rsidR="00093BE3" w:rsidRPr="002618E5"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>Iurie SCRIPNIC</w:t>
      </w:r>
    </w:p>
    <w:p w14:paraId="40952FBF" w14:textId="77777777" w:rsidR="00446D12" w:rsidRPr="002618E5" w:rsidRDefault="00446D12" w:rsidP="00035CE3">
      <w:pPr>
        <w:pStyle w:val="Frspaiere"/>
        <w:ind w:firstLine="426"/>
        <w:rPr>
          <w:rFonts w:ascii="Times New Roman" w:hAnsi="Times New Roman" w:cs="Times New Roman"/>
          <w:b/>
          <w:sz w:val="27"/>
          <w:szCs w:val="27"/>
        </w:rPr>
      </w:pPr>
    </w:p>
    <w:p w14:paraId="4A2AEB4E" w14:textId="77777777" w:rsidR="00B86785" w:rsidRDefault="00B86785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6687DA82" w14:textId="77777777" w:rsidR="00990A7C" w:rsidRDefault="00990A7C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45172070" w14:textId="77777777" w:rsidR="00A959E4" w:rsidRDefault="00A959E4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0C62CA99" w14:textId="77777777" w:rsidR="00A959E4" w:rsidRPr="002618E5" w:rsidRDefault="00A959E4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59D8DBEE" w14:textId="77777777" w:rsidR="006774F1" w:rsidRPr="00990A7C" w:rsidRDefault="006774F1" w:rsidP="00821F18">
      <w:pPr>
        <w:pStyle w:val="Frspaiere"/>
        <w:rPr>
          <w:rFonts w:ascii="Times New Roman" w:hAnsi="Times New Roman" w:cs="Times New Roman"/>
          <w:i/>
          <w:sz w:val="14"/>
          <w:szCs w:val="14"/>
        </w:rPr>
      </w:pPr>
      <w:r w:rsidRPr="00990A7C">
        <w:rPr>
          <w:rFonts w:ascii="Times New Roman" w:hAnsi="Times New Roman" w:cs="Times New Roman"/>
          <w:i/>
          <w:sz w:val="14"/>
          <w:szCs w:val="14"/>
        </w:rPr>
        <w:t>Ex.: Maria Leahu,</w:t>
      </w:r>
    </w:p>
    <w:p w14:paraId="6F7A18FE" w14:textId="77777777" w:rsidR="00FB5B07" w:rsidRPr="00990A7C" w:rsidRDefault="006774F1" w:rsidP="00821F18">
      <w:pPr>
        <w:pStyle w:val="Frspaiere"/>
        <w:rPr>
          <w:rFonts w:ascii="Times New Roman" w:hAnsi="Times New Roman" w:cs="Times New Roman"/>
          <w:i/>
          <w:sz w:val="14"/>
          <w:szCs w:val="14"/>
        </w:rPr>
      </w:pPr>
      <w:r w:rsidRPr="00990A7C">
        <w:rPr>
          <w:rFonts w:ascii="Times New Roman" w:hAnsi="Times New Roman" w:cs="Times New Roman"/>
          <w:i/>
          <w:sz w:val="14"/>
          <w:szCs w:val="14"/>
        </w:rPr>
        <w:t>Tel.: 022 204 5</w:t>
      </w:r>
      <w:r w:rsidR="00035CE3" w:rsidRPr="00990A7C">
        <w:rPr>
          <w:rFonts w:ascii="Times New Roman" w:hAnsi="Times New Roman" w:cs="Times New Roman"/>
          <w:i/>
          <w:sz w:val="14"/>
          <w:szCs w:val="14"/>
        </w:rPr>
        <w:t>40</w:t>
      </w:r>
      <w:r w:rsidR="00052A52" w:rsidRPr="00990A7C">
        <w:rPr>
          <w:rFonts w:ascii="Times New Roman" w:hAnsi="Times New Roman" w:cs="Times New Roman"/>
          <w:i/>
          <w:sz w:val="14"/>
          <w:szCs w:val="14"/>
        </w:rPr>
        <w:t>.</w:t>
      </w:r>
    </w:p>
    <w:sectPr w:rsidR="00FB5B07" w:rsidRPr="00990A7C" w:rsidSect="00990A7C">
      <w:pgSz w:w="11906" w:h="16838" w:code="9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CC4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83B9A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FF6B1A"/>
    <w:multiLevelType w:val="hybridMultilevel"/>
    <w:tmpl w:val="C7E07400"/>
    <w:lvl w:ilvl="0" w:tplc="38BE4E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02AED7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2572FCD0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F61D5"/>
    <w:multiLevelType w:val="hybridMultilevel"/>
    <w:tmpl w:val="4E081338"/>
    <w:lvl w:ilvl="0" w:tplc="C0540F2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843553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1F5877"/>
    <w:multiLevelType w:val="hybridMultilevel"/>
    <w:tmpl w:val="D7FA4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71A6"/>
    <w:multiLevelType w:val="hybridMultilevel"/>
    <w:tmpl w:val="098A4F7C"/>
    <w:lvl w:ilvl="0" w:tplc="B850548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817CB1"/>
    <w:multiLevelType w:val="hybridMultilevel"/>
    <w:tmpl w:val="58AAD444"/>
    <w:lvl w:ilvl="0" w:tplc="D15C69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D62E38"/>
    <w:multiLevelType w:val="hybridMultilevel"/>
    <w:tmpl w:val="7C822472"/>
    <w:lvl w:ilvl="0" w:tplc="5AB09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45920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2073B7"/>
    <w:multiLevelType w:val="hybridMultilevel"/>
    <w:tmpl w:val="41CC9BBA"/>
    <w:lvl w:ilvl="0" w:tplc="B0D43E8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28761F"/>
    <w:multiLevelType w:val="hybridMultilevel"/>
    <w:tmpl w:val="A5089ED8"/>
    <w:lvl w:ilvl="0" w:tplc="AAFC3466">
      <w:start w:val="1"/>
      <w:numFmt w:val="decimal"/>
      <w:lvlText w:val="%1."/>
      <w:lvlJc w:val="left"/>
      <w:pPr>
        <w:ind w:left="961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EB"/>
    <w:rsid w:val="000155E2"/>
    <w:rsid w:val="00016AA5"/>
    <w:rsid w:val="00031639"/>
    <w:rsid w:val="0003270B"/>
    <w:rsid w:val="00034C9B"/>
    <w:rsid w:val="0003558E"/>
    <w:rsid w:val="00035CE3"/>
    <w:rsid w:val="00044542"/>
    <w:rsid w:val="00047EA8"/>
    <w:rsid w:val="00052A52"/>
    <w:rsid w:val="00053074"/>
    <w:rsid w:val="00093BE3"/>
    <w:rsid w:val="000950CA"/>
    <w:rsid w:val="000978E5"/>
    <w:rsid w:val="000A3406"/>
    <w:rsid w:val="000B2A23"/>
    <w:rsid w:val="000C3060"/>
    <w:rsid w:val="000D21C1"/>
    <w:rsid w:val="000D64D4"/>
    <w:rsid w:val="000E002E"/>
    <w:rsid w:val="000E5022"/>
    <w:rsid w:val="00105262"/>
    <w:rsid w:val="0010699A"/>
    <w:rsid w:val="00110364"/>
    <w:rsid w:val="0012497A"/>
    <w:rsid w:val="00127EE0"/>
    <w:rsid w:val="00135DD3"/>
    <w:rsid w:val="00154FDA"/>
    <w:rsid w:val="00190770"/>
    <w:rsid w:val="00191A6B"/>
    <w:rsid w:val="001A1FD3"/>
    <w:rsid w:val="001A29BD"/>
    <w:rsid w:val="001A5E50"/>
    <w:rsid w:val="001B7229"/>
    <w:rsid w:val="001D716B"/>
    <w:rsid w:val="001E0F4C"/>
    <w:rsid w:val="001E6616"/>
    <w:rsid w:val="001E7767"/>
    <w:rsid w:val="002006EC"/>
    <w:rsid w:val="00200CC9"/>
    <w:rsid w:val="002029FC"/>
    <w:rsid w:val="002035B2"/>
    <w:rsid w:val="00203D22"/>
    <w:rsid w:val="00212AFF"/>
    <w:rsid w:val="00251BC0"/>
    <w:rsid w:val="00253CEA"/>
    <w:rsid w:val="002618E5"/>
    <w:rsid w:val="002652BE"/>
    <w:rsid w:val="00265C11"/>
    <w:rsid w:val="00283C2A"/>
    <w:rsid w:val="00286037"/>
    <w:rsid w:val="002864B8"/>
    <w:rsid w:val="00293750"/>
    <w:rsid w:val="00293C9D"/>
    <w:rsid w:val="002A4ACD"/>
    <w:rsid w:val="002B1427"/>
    <w:rsid w:val="002B1B1F"/>
    <w:rsid w:val="002B417F"/>
    <w:rsid w:val="002B6BF6"/>
    <w:rsid w:val="002C4C9D"/>
    <w:rsid w:val="00302A18"/>
    <w:rsid w:val="00304449"/>
    <w:rsid w:val="00305C2F"/>
    <w:rsid w:val="0031384D"/>
    <w:rsid w:val="003442C2"/>
    <w:rsid w:val="003443AE"/>
    <w:rsid w:val="003519B6"/>
    <w:rsid w:val="00352901"/>
    <w:rsid w:val="00354205"/>
    <w:rsid w:val="00354650"/>
    <w:rsid w:val="00357054"/>
    <w:rsid w:val="00361BD4"/>
    <w:rsid w:val="00373F63"/>
    <w:rsid w:val="003936B7"/>
    <w:rsid w:val="00396A80"/>
    <w:rsid w:val="003C0EEB"/>
    <w:rsid w:val="003C3EA3"/>
    <w:rsid w:val="003C6C84"/>
    <w:rsid w:val="003D127B"/>
    <w:rsid w:val="003D6356"/>
    <w:rsid w:val="003F5E92"/>
    <w:rsid w:val="00401DDF"/>
    <w:rsid w:val="00404DA4"/>
    <w:rsid w:val="004161F2"/>
    <w:rsid w:val="00423BE9"/>
    <w:rsid w:val="00435AAF"/>
    <w:rsid w:val="0043721C"/>
    <w:rsid w:val="00442B64"/>
    <w:rsid w:val="00446D12"/>
    <w:rsid w:val="00455D77"/>
    <w:rsid w:val="00461DB3"/>
    <w:rsid w:val="004742EF"/>
    <w:rsid w:val="00477ED5"/>
    <w:rsid w:val="00484DB2"/>
    <w:rsid w:val="004851E4"/>
    <w:rsid w:val="00485C66"/>
    <w:rsid w:val="00486FEB"/>
    <w:rsid w:val="00487303"/>
    <w:rsid w:val="004A0BD6"/>
    <w:rsid w:val="004A291F"/>
    <w:rsid w:val="004C52A2"/>
    <w:rsid w:val="004F1C6C"/>
    <w:rsid w:val="00505E22"/>
    <w:rsid w:val="00514EFA"/>
    <w:rsid w:val="0051551A"/>
    <w:rsid w:val="00531757"/>
    <w:rsid w:val="00533C65"/>
    <w:rsid w:val="00552F9B"/>
    <w:rsid w:val="005570BB"/>
    <w:rsid w:val="0056775B"/>
    <w:rsid w:val="0058012A"/>
    <w:rsid w:val="00583356"/>
    <w:rsid w:val="0059069A"/>
    <w:rsid w:val="00592F8C"/>
    <w:rsid w:val="005A0E6F"/>
    <w:rsid w:val="005A6C93"/>
    <w:rsid w:val="005A70E2"/>
    <w:rsid w:val="005B2FA4"/>
    <w:rsid w:val="005C4F7F"/>
    <w:rsid w:val="005D3913"/>
    <w:rsid w:val="005E2C61"/>
    <w:rsid w:val="005E2CE8"/>
    <w:rsid w:val="005E553A"/>
    <w:rsid w:val="005F232D"/>
    <w:rsid w:val="005F345D"/>
    <w:rsid w:val="005F4DA9"/>
    <w:rsid w:val="00600FD2"/>
    <w:rsid w:val="00602BC6"/>
    <w:rsid w:val="006135A2"/>
    <w:rsid w:val="00614ABD"/>
    <w:rsid w:val="006312E9"/>
    <w:rsid w:val="00633DD2"/>
    <w:rsid w:val="006445BE"/>
    <w:rsid w:val="00651AB5"/>
    <w:rsid w:val="00674B35"/>
    <w:rsid w:val="006774F1"/>
    <w:rsid w:val="0068747B"/>
    <w:rsid w:val="00694383"/>
    <w:rsid w:val="006966FD"/>
    <w:rsid w:val="006A4773"/>
    <w:rsid w:val="006A583F"/>
    <w:rsid w:val="006A5B29"/>
    <w:rsid w:val="006A68EE"/>
    <w:rsid w:val="006B64CF"/>
    <w:rsid w:val="006D1EC1"/>
    <w:rsid w:val="006E154F"/>
    <w:rsid w:val="006E619E"/>
    <w:rsid w:val="006F271A"/>
    <w:rsid w:val="00704493"/>
    <w:rsid w:val="00714139"/>
    <w:rsid w:val="00714EBC"/>
    <w:rsid w:val="00720305"/>
    <w:rsid w:val="0072511A"/>
    <w:rsid w:val="0075681E"/>
    <w:rsid w:val="00782704"/>
    <w:rsid w:val="007A5C64"/>
    <w:rsid w:val="007B777A"/>
    <w:rsid w:val="007C34C7"/>
    <w:rsid w:val="007C79C0"/>
    <w:rsid w:val="007D444E"/>
    <w:rsid w:val="007D75C9"/>
    <w:rsid w:val="007E7138"/>
    <w:rsid w:val="007E7A6F"/>
    <w:rsid w:val="007F0028"/>
    <w:rsid w:val="007F3DCB"/>
    <w:rsid w:val="007F5C63"/>
    <w:rsid w:val="007F784B"/>
    <w:rsid w:val="00801F3B"/>
    <w:rsid w:val="00816506"/>
    <w:rsid w:val="00817BAD"/>
    <w:rsid w:val="008214CC"/>
    <w:rsid w:val="00821F18"/>
    <w:rsid w:val="0083664F"/>
    <w:rsid w:val="00840FFD"/>
    <w:rsid w:val="00841E4B"/>
    <w:rsid w:val="00843CE1"/>
    <w:rsid w:val="00852165"/>
    <w:rsid w:val="00862533"/>
    <w:rsid w:val="0087221F"/>
    <w:rsid w:val="00876D54"/>
    <w:rsid w:val="0088003E"/>
    <w:rsid w:val="00882E93"/>
    <w:rsid w:val="00883880"/>
    <w:rsid w:val="008A0530"/>
    <w:rsid w:val="008A26FE"/>
    <w:rsid w:val="008A5B0A"/>
    <w:rsid w:val="008A7513"/>
    <w:rsid w:val="008B1819"/>
    <w:rsid w:val="008B3D9C"/>
    <w:rsid w:val="008B5783"/>
    <w:rsid w:val="008C5B79"/>
    <w:rsid w:val="008D0D76"/>
    <w:rsid w:val="008D1FD6"/>
    <w:rsid w:val="008D560C"/>
    <w:rsid w:val="008E3470"/>
    <w:rsid w:val="008F0A61"/>
    <w:rsid w:val="008F4B56"/>
    <w:rsid w:val="009007B8"/>
    <w:rsid w:val="00901294"/>
    <w:rsid w:val="00902038"/>
    <w:rsid w:val="009165BE"/>
    <w:rsid w:val="00933BE2"/>
    <w:rsid w:val="00942C15"/>
    <w:rsid w:val="0095752E"/>
    <w:rsid w:val="00981C5B"/>
    <w:rsid w:val="00990A7C"/>
    <w:rsid w:val="009A0E0D"/>
    <w:rsid w:val="009A242D"/>
    <w:rsid w:val="009A2E7D"/>
    <w:rsid w:val="009B6AAD"/>
    <w:rsid w:val="009D20BD"/>
    <w:rsid w:val="009D2CA8"/>
    <w:rsid w:val="009D5F96"/>
    <w:rsid w:val="009D734B"/>
    <w:rsid w:val="009E6C16"/>
    <w:rsid w:val="009F3015"/>
    <w:rsid w:val="009F6832"/>
    <w:rsid w:val="00A00968"/>
    <w:rsid w:val="00A23DF2"/>
    <w:rsid w:val="00A30B52"/>
    <w:rsid w:val="00A3217D"/>
    <w:rsid w:val="00A538C6"/>
    <w:rsid w:val="00A54C02"/>
    <w:rsid w:val="00A54CF6"/>
    <w:rsid w:val="00A559AF"/>
    <w:rsid w:val="00A64BF9"/>
    <w:rsid w:val="00A74930"/>
    <w:rsid w:val="00A76EC4"/>
    <w:rsid w:val="00A90F1E"/>
    <w:rsid w:val="00A959E4"/>
    <w:rsid w:val="00A9689A"/>
    <w:rsid w:val="00AA25DE"/>
    <w:rsid w:val="00AA7650"/>
    <w:rsid w:val="00AB0B42"/>
    <w:rsid w:val="00AC7944"/>
    <w:rsid w:val="00AE366D"/>
    <w:rsid w:val="00AF0EC7"/>
    <w:rsid w:val="00AF7676"/>
    <w:rsid w:val="00B01798"/>
    <w:rsid w:val="00B05773"/>
    <w:rsid w:val="00B119CA"/>
    <w:rsid w:val="00B404B6"/>
    <w:rsid w:val="00B46300"/>
    <w:rsid w:val="00B506B6"/>
    <w:rsid w:val="00B717B0"/>
    <w:rsid w:val="00B75824"/>
    <w:rsid w:val="00B844E2"/>
    <w:rsid w:val="00B86785"/>
    <w:rsid w:val="00B87A89"/>
    <w:rsid w:val="00BA1D8C"/>
    <w:rsid w:val="00BC5688"/>
    <w:rsid w:val="00BD1209"/>
    <w:rsid w:val="00BE3716"/>
    <w:rsid w:val="00BF136A"/>
    <w:rsid w:val="00C00D97"/>
    <w:rsid w:val="00C0421E"/>
    <w:rsid w:val="00C0500F"/>
    <w:rsid w:val="00C05BBC"/>
    <w:rsid w:val="00C151CE"/>
    <w:rsid w:val="00C15DEB"/>
    <w:rsid w:val="00C16786"/>
    <w:rsid w:val="00C37015"/>
    <w:rsid w:val="00C37520"/>
    <w:rsid w:val="00C533A6"/>
    <w:rsid w:val="00C551C9"/>
    <w:rsid w:val="00C57B3D"/>
    <w:rsid w:val="00C61643"/>
    <w:rsid w:val="00C70BA5"/>
    <w:rsid w:val="00C77552"/>
    <w:rsid w:val="00C77F1F"/>
    <w:rsid w:val="00C87DE8"/>
    <w:rsid w:val="00C90E6D"/>
    <w:rsid w:val="00C9635A"/>
    <w:rsid w:val="00CA11A5"/>
    <w:rsid w:val="00CE3264"/>
    <w:rsid w:val="00CE4E30"/>
    <w:rsid w:val="00CF01E2"/>
    <w:rsid w:val="00D06090"/>
    <w:rsid w:val="00D1070B"/>
    <w:rsid w:val="00D17A35"/>
    <w:rsid w:val="00D24134"/>
    <w:rsid w:val="00D252CC"/>
    <w:rsid w:val="00D30D2C"/>
    <w:rsid w:val="00D33CF0"/>
    <w:rsid w:val="00D371A8"/>
    <w:rsid w:val="00D57398"/>
    <w:rsid w:val="00D67604"/>
    <w:rsid w:val="00D72B66"/>
    <w:rsid w:val="00D76F35"/>
    <w:rsid w:val="00D856B1"/>
    <w:rsid w:val="00D8590B"/>
    <w:rsid w:val="00D92294"/>
    <w:rsid w:val="00DB20B3"/>
    <w:rsid w:val="00DB25E4"/>
    <w:rsid w:val="00DD1C7F"/>
    <w:rsid w:val="00DD5554"/>
    <w:rsid w:val="00DD5ED2"/>
    <w:rsid w:val="00DE6B4B"/>
    <w:rsid w:val="00DE714C"/>
    <w:rsid w:val="00DE79CC"/>
    <w:rsid w:val="00DF0C38"/>
    <w:rsid w:val="00DF5566"/>
    <w:rsid w:val="00DF5780"/>
    <w:rsid w:val="00E17D15"/>
    <w:rsid w:val="00E265EC"/>
    <w:rsid w:val="00E33C61"/>
    <w:rsid w:val="00E41F6B"/>
    <w:rsid w:val="00E43756"/>
    <w:rsid w:val="00E43BF5"/>
    <w:rsid w:val="00E46302"/>
    <w:rsid w:val="00E53DA7"/>
    <w:rsid w:val="00E6239D"/>
    <w:rsid w:val="00E65901"/>
    <w:rsid w:val="00E84C70"/>
    <w:rsid w:val="00E9228E"/>
    <w:rsid w:val="00EA1E91"/>
    <w:rsid w:val="00EA36CA"/>
    <w:rsid w:val="00EA5D19"/>
    <w:rsid w:val="00EB6A8A"/>
    <w:rsid w:val="00EC48DE"/>
    <w:rsid w:val="00EC4F71"/>
    <w:rsid w:val="00EC614C"/>
    <w:rsid w:val="00EC649C"/>
    <w:rsid w:val="00EC6634"/>
    <w:rsid w:val="00ED2C77"/>
    <w:rsid w:val="00EE20ED"/>
    <w:rsid w:val="00EE4231"/>
    <w:rsid w:val="00EF5DDA"/>
    <w:rsid w:val="00EF7216"/>
    <w:rsid w:val="00F06E5F"/>
    <w:rsid w:val="00F07C43"/>
    <w:rsid w:val="00F23432"/>
    <w:rsid w:val="00F24A5E"/>
    <w:rsid w:val="00F3249C"/>
    <w:rsid w:val="00F43C39"/>
    <w:rsid w:val="00F52246"/>
    <w:rsid w:val="00F5404A"/>
    <w:rsid w:val="00F83ACE"/>
    <w:rsid w:val="00F87C82"/>
    <w:rsid w:val="00F93AC3"/>
    <w:rsid w:val="00FA18A5"/>
    <w:rsid w:val="00FA3E03"/>
    <w:rsid w:val="00FB1237"/>
    <w:rsid w:val="00FB5B07"/>
    <w:rsid w:val="00FD1DE0"/>
    <w:rsid w:val="00FE450B"/>
    <w:rsid w:val="00FE4D99"/>
    <w:rsid w:val="00FF1655"/>
    <w:rsid w:val="00FF3937"/>
    <w:rsid w:val="00FF4D6D"/>
    <w:rsid w:val="00FF56E7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FD2C"/>
  <w15:docId w15:val="{E58B0DA0-68E6-4F57-86E2-2CA5AC6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20">
    <w:name w:val="Font Style20"/>
    <w:basedOn w:val="Fontdeparagrafimplici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Frspaiere">
    <w:name w:val="No Spacing"/>
    <w:link w:val="FrspaiereCaracter"/>
    <w:uiPriority w:val="1"/>
    <w:qFormat/>
    <w:rsid w:val="00486FEB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486FEB"/>
    <w:rPr>
      <w:lang w:val="ro-RO"/>
    </w:rPr>
  </w:style>
  <w:style w:type="character" w:customStyle="1" w:styleId="2">
    <w:name w:val="Основной текст (2)"/>
    <w:basedOn w:val="Fontdeparagrafimplici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Fontdeparagrafimplicit"/>
    <w:rsid w:val="002B417F"/>
  </w:style>
  <w:style w:type="character" w:customStyle="1" w:styleId="1">
    <w:name w:val="Заголовок №1"/>
    <w:basedOn w:val="Fontdeparagrafimplici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C151C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AF7676"/>
    <w:pPr>
      <w:ind w:left="720"/>
      <w:contextualSpacing/>
    </w:pPr>
  </w:style>
  <w:style w:type="character" w:customStyle="1" w:styleId="CorptextCaracter">
    <w:name w:val="Corp text Caracter"/>
    <w:basedOn w:val="Fontdeparagrafimplicit"/>
    <w:link w:val="Corptext"/>
    <w:rsid w:val="00F24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F24A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CorptextCaracter1">
    <w:name w:val="Corp text Caracter1"/>
    <w:basedOn w:val="Fontdeparagrafimplicit"/>
    <w:uiPriority w:val="99"/>
    <w:semiHidden/>
    <w:rsid w:val="00F24A5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ministerul-agriculturii-si-industriei-alimentare-prezinta-pentru-consultari-analiza-impactului-de-reglementare-la-proiectul-de-hotarare-a-guvernului-cu-privire-la-aprobarea-modificarilor-ce-se-opereaza-in-unele-hotarari-ale-guvernului/119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ticip.gov.md/ro/document/stages/ministerul-agriculturii-si-industriei-alimentare-anunta-despre-intentia-de-modificare-a-hotararilor-de-guvern-nr-7742007-reglementarii-tehnice-zahar-producerea-si-comercializarea-si-a-hotararii-nr-2912014-cu-privire-la-aprobarea-cerintelor-de-calitate-pentru-orez-si-crupe-de-orez/114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91A0-8DDD-4692-9B91-045D7DB1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1867</Words>
  <Characters>10835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Maria Leahu</cp:lastModifiedBy>
  <cp:revision>6</cp:revision>
  <cp:lastPrinted>2024-03-13T14:03:00Z</cp:lastPrinted>
  <dcterms:created xsi:type="dcterms:W3CDTF">2024-03-13T09:16:00Z</dcterms:created>
  <dcterms:modified xsi:type="dcterms:W3CDTF">2024-03-15T15:01:00Z</dcterms:modified>
</cp:coreProperties>
</file>