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F6" w:rsidRPr="00D851EC" w:rsidRDefault="00D851EC">
      <w:pPr>
        <w:tabs>
          <w:tab w:val="left" w:pos="284"/>
        </w:tabs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851E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120439" cy="2267182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439" cy="2267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851E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D851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337F6" w:rsidRPr="00D851EC" w:rsidRDefault="00C337F6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9351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4641"/>
      </w:tblGrid>
      <w:tr w:rsidR="00D851EC" w:rsidRPr="00D851EC">
        <w:tc>
          <w:tcPr>
            <w:tcW w:w="4710" w:type="dxa"/>
          </w:tcPr>
          <w:p w:rsidR="00C337F6" w:rsidRPr="00D851EC" w:rsidRDefault="00D851EC" w:rsidP="00047474">
            <w:pPr>
              <w:ind w:left="-18" w:firstLine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 privire la </w:t>
            </w:r>
            <w:r w:rsidR="000474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modificarea </w:t>
            </w: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normelor de personal pentru instituțiile publice de învățământ primar și secundar (ciclul I și II)</w:t>
            </w:r>
            <w:r w:rsidR="00295E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și </w:t>
            </w:r>
            <w:r w:rsidR="00295EE1" w:rsidRPr="00164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pentru căminul instituției de învățământ </w:t>
            </w:r>
            <w:r w:rsidR="007642C8" w:rsidRPr="00164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secundar, ciclul II</w:t>
            </w:r>
            <w:r w:rsidR="007642C8">
              <w:rPr>
                <w:rFonts w:ascii="Georgia" w:hAnsi="Georgia"/>
                <w:color w:val="333333"/>
                <w:shd w:val="clear" w:color="auto" w:fill="FFFFFF"/>
              </w:rPr>
              <w:t> </w:t>
            </w:r>
          </w:p>
        </w:tc>
        <w:tc>
          <w:tcPr>
            <w:tcW w:w="4641" w:type="dxa"/>
          </w:tcPr>
          <w:p w:rsidR="00C337F6" w:rsidRPr="00D851EC" w:rsidRDefault="00C337F6">
            <w:pPr>
              <w:ind w:left="-18" w:firstLine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1EC" w:rsidRPr="00D851EC">
        <w:tc>
          <w:tcPr>
            <w:tcW w:w="4710" w:type="dxa"/>
          </w:tcPr>
          <w:p w:rsidR="00C337F6" w:rsidRPr="00D851EC" w:rsidRDefault="00C337F6">
            <w:pPr>
              <w:ind w:left="-18" w:firstLine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1" w:type="dxa"/>
          </w:tcPr>
          <w:p w:rsidR="008F5C9C" w:rsidRDefault="008F5C9C">
            <w:pPr>
              <w:tabs>
                <w:tab w:val="left" w:pos="28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5C9C" w:rsidRDefault="008F5C9C">
            <w:pPr>
              <w:tabs>
                <w:tab w:val="left" w:pos="28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37F6" w:rsidRPr="00D851EC" w:rsidRDefault="00D851EC">
            <w:pPr>
              <w:tabs>
                <w:tab w:val="left" w:pos="28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ÎNREGISTRAT: </w:t>
            </w:r>
          </w:p>
          <w:p w:rsidR="00C337F6" w:rsidRPr="00D851EC" w:rsidRDefault="00D851EC">
            <w:pPr>
              <w:tabs>
                <w:tab w:val="left" w:pos="28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Ministerul Justiției al Republicii Moldova </w:t>
            </w:r>
          </w:p>
          <w:p w:rsidR="00C337F6" w:rsidRPr="00D851EC" w:rsidRDefault="00D851EC">
            <w:pPr>
              <w:tabs>
                <w:tab w:val="left" w:pos="28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________ din _____________ </w:t>
            </w:r>
          </w:p>
          <w:p w:rsidR="00C337F6" w:rsidRPr="00D851EC" w:rsidRDefault="00D851EC">
            <w:pPr>
              <w:tabs>
                <w:tab w:val="left" w:pos="284"/>
              </w:tabs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Ministrul Justiției _________________</w:t>
            </w:r>
          </w:p>
          <w:p w:rsidR="00C337F6" w:rsidRPr="00D851EC" w:rsidRDefault="00D851EC">
            <w:pPr>
              <w:tabs>
                <w:tab w:val="left" w:pos="28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Veronica MIHAILOV-MORARU</w:t>
            </w:r>
          </w:p>
          <w:p w:rsidR="00C337F6" w:rsidRPr="00D851EC" w:rsidRDefault="00C337F6">
            <w:pPr>
              <w:ind w:left="-18" w:firstLine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5C9C" w:rsidRDefault="008F5C9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7F6" w:rsidRPr="00D851EC" w:rsidRDefault="00D851EC" w:rsidP="008F5C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EC">
        <w:rPr>
          <w:rFonts w:ascii="Times New Roman" w:eastAsia="Times New Roman" w:hAnsi="Times New Roman" w:cs="Times New Roman"/>
          <w:sz w:val="24"/>
          <w:szCs w:val="24"/>
        </w:rPr>
        <w:t>În temeiul art. 140 alin. (1) lit. l) din Codul educației al Republicii Moldova nr. 152/2014</w:t>
      </w:r>
      <w:r w:rsidR="00521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552" w:rsidRPr="001648A7">
        <w:rPr>
          <w:rFonts w:ascii="Times New Roman" w:eastAsia="Times New Roman" w:hAnsi="Times New Roman" w:cs="Times New Roman"/>
          <w:sz w:val="24"/>
          <w:szCs w:val="24"/>
        </w:rPr>
        <w:t xml:space="preserve">(Monitorul Oficial al Republicii Moldova, 2014, nr.319-324, art.634), </w:t>
      </w:r>
    </w:p>
    <w:p w:rsidR="00C337F6" w:rsidRPr="00D851EC" w:rsidRDefault="00C337F6" w:rsidP="008F5C9C">
      <w:pPr>
        <w:tabs>
          <w:tab w:val="left" w:pos="284"/>
        </w:tabs>
        <w:spacing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7F6" w:rsidRDefault="00D851EC" w:rsidP="008F5C9C">
      <w:pPr>
        <w:tabs>
          <w:tab w:val="left" w:pos="284"/>
        </w:tabs>
        <w:spacing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1EC">
        <w:rPr>
          <w:rFonts w:ascii="Times New Roman" w:eastAsia="Times New Roman" w:hAnsi="Times New Roman" w:cs="Times New Roman"/>
          <w:b/>
          <w:sz w:val="24"/>
          <w:szCs w:val="24"/>
        </w:rPr>
        <w:t>ORD</w:t>
      </w:r>
      <w:r w:rsidR="0052155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D851EC">
        <w:rPr>
          <w:rFonts w:ascii="Times New Roman" w:eastAsia="Times New Roman" w:hAnsi="Times New Roman" w:cs="Times New Roman"/>
          <w:b/>
          <w:sz w:val="24"/>
          <w:szCs w:val="24"/>
        </w:rPr>
        <w:t>N:</w:t>
      </w:r>
    </w:p>
    <w:p w:rsidR="008F5C9C" w:rsidRPr="00D851EC" w:rsidRDefault="008F5C9C" w:rsidP="008F5C9C">
      <w:pPr>
        <w:tabs>
          <w:tab w:val="left" w:pos="284"/>
        </w:tabs>
        <w:spacing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7F6" w:rsidRPr="00F643FF" w:rsidRDefault="00047474" w:rsidP="008F5C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43FF">
        <w:rPr>
          <w:rFonts w:ascii="Times New Roman" w:eastAsia="Times New Roman" w:hAnsi="Times New Roman" w:cs="Times New Roman"/>
          <w:sz w:val="24"/>
          <w:szCs w:val="24"/>
        </w:rPr>
        <w:t xml:space="preserve">Normele </w:t>
      </w:r>
      <w:r w:rsidRPr="00F643FF">
        <w:rPr>
          <w:rFonts w:ascii="Times New Roman" w:eastAsia="Times New Roman" w:hAnsi="Times New Roman" w:cs="Times New Roman"/>
          <w:sz w:val="24"/>
          <w:szCs w:val="24"/>
        </w:rPr>
        <w:t>de personal pentru instituțiile publice de învățământ primar și secundar (ciclul I și II) și pentru căminul instituției de învățământ secundar, ciclul 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Georgia" w:hAnsi="Georgia"/>
          <w:color w:val="333333"/>
          <w:shd w:val="clear" w:color="auto" w:fill="FFFFFF"/>
        </w:rPr>
        <w:t xml:space="preserve"> </w:t>
      </w:r>
      <w:r>
        <w:rPr>
          <w:rFonts w:ascii="Georgia" w:hAnsi="Georgia"/>
          <w:color w:val="333333"/>
          <w:shd w:val="clear" w:color="auto" w:fill="FFFFFF"/>
        </w:rPr>
        <w:t>se modifică după cum urmează:</w:t>
      </w:r>
    </w:p>
    <w:p w:rsidR="004F7041" w:rsidRDefault="005D2DBA" w:rsidP="005D2DB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Anexa nr.1</w:t>
      </w:r>
      <w:r w:rsidR="004F7041">
        <w:rPr>
          <w:rFonts w:ascii="Times New Roman" w:hAnsi="Times New Roman" w:cs="Times New Roman"/>
          <w:sz w:val="24"/>
          <w:szCs w:val="24"/>
        </w:rPr>
        <w:t>:</w:t>
      </w:r>
    </w:p>
    <w:p w:rsidR="00F643FF" w:rsidRDefault="005D2DBA" w:rsidP="003D4D4B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toate tabelele, la criteriile de normare, numărul „300” se </w:t>
      </w:r>
      <w:r w:rsidR="00221FCF">
        <w:rPr>
          <w:rFonts w:ascii="Times New Roman" w:hAnsi="Times New Roman" w:cs="Times New Roman"/>
          <w:sz w:val="24"/>
          <w:szCs w:val="24"/>
        </w:rPr>
        <w:t>substituie</w:t>
      </w:r>
      <w:r>
        <w:rPr>
          <w:rFonts w:ascii="Times New Roman" w:hAnsi="Times New Roman" w:cs="Times New Roman"/>
          <w:sz w:val="24"/>
          <w:szCs w:val="24"/>
        </w:rPr>
        <w:t xml:space="preserve"> cu „280”, iar numărul „301” se </w:t>
      </w:r>
      <w:r w:rsidR="00221FCF">
        <w:rPr>
          <w:rFonts w:ascii="Times New Roman" w:hAnsi="Times New Roman" w:cs="Times New Roman"/>
          <w:sz w:val="24"/>
          <w:szCs w:val="24"/>
        </w:rPr>
        <w:t>substituie</w:t>
      </w:r>
      <w:r>
        <w:rPr>
          <w:rFonts w:ascii="Times New Roman" w:hAnsi="Times New Roman" w:cs="Times New Roman"/>
          <w:sz w:val="24"/>
          <w:szCs w:val="24"/>
        </w:rPr>
        <w:t xml:space="preserve"> cu „281”;</w:t>
      </w:r>
    </w:p>
    <w:p w:rsidR="005D2DBA" w:rsidRDefault="004F7041" w:rsidP="003D4D4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spacing w:before="12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711A5">
        <w:rPr>
          <w:rFonts w:ascii="Times New Roman" w:hAnsi="Times New Roman" w:cs="Times New Roman"/>
          <w:sz w:val="24"/>
          <w:szCs w:val="24"/>
        </w:rPr>
        <w:t>)</w:t>
      </w:r>
      <w:r w:rsidR="00221FCF">
        <w:rPr>
          <w:rFonts w:ascii="Times New Roman" w:hAnsi="Times New Roman" w:cs="Times New Roman"/>
          <w:sz w:val="24"/>
          <w:szCs w:val="24"/>
        </w:rPr>
        <w:t xml:space="preserve"> tabelul „Personal de conducere” va avea următorul conținut: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1"/>
        <w:gridCol w:w="2158"/>
        <w:gridCol w:w="992"/>
        <w:gridCol w:w="993"/>
        <w:gridCol w:w="992"/>
        <w:gridCol w:w="992"/>
        <w:gridCol w:w="992"/>
        <w:gridCol w:w="993"/>
        <w:gridCol w:w="994"/>
      </w:tblGrid>
      <w:tr w:rsidR="00221FCF" w:rsidRPr="00D851EC" w:rsidTr="009D2753">
        <w:trPr>
          <w:trHeight w:val="240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Codul ocupației</w:t>
            </w:r>
          </w:p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(CORM 006-2021)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Tipul ocupației </w:t>
            </w:r>
          </w:p>
        </w:tc>
        <w:tc>
          <w:tcPr>
            <w:tcW w:w="6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Criteriul de normare: numărul de elevi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21FCF" w:rsidRPr="00D851EC" w:rsidTr="009D2753">
        <w:trPr>
          <w:trHeight w:val="749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221FCF" w:rsidRDefault="00221FCF" w:rsidP="00221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 mult 641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la 401</w:t>
            </w:r>
          </w:p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640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281 </w:t>
            </w:r>
          </w:p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400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la 201</w:t>
            </w:r>
          </w:p>
          <w:p w:rsidR="00221FCF" w:rsidRPr="00221FCF" w:rsidRDefault="00221FCF" w:rsidP="00221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până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280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la 101</w:t>
            </w:r>
          </w:p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200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9D2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la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până la 100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50</w:t>
            </w:r>
          </w:p>
        </w:tc>
      </w:tr>
      <w:tr w:rsidR="00221FCF" w:rsidRPr="00D851EC" w:rsidTr="009D2753">
        <w:trPr>
          <w:trHeight w:val="749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FCF" w:rsidRPr="00D851EC" w:rsidTr="009D2753">
        <w:trPr>
          <w:trHeight w:val="16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CF" w:rsidRPr="00D851EC" w:rsidRDefault="00221FCF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134513/</w:t>
            </w:r>
          </w:p>
          <w:p w:rsidR="00221FCF" w:rsidRPr="00D851EC" w:rsidRDefault="00221FCF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134507/</w:t>
            </w:r>
          </w:p>
          <w:p w:rsidR="00221FCF" w:rsidRPr="00D851EC" w:rsidRDefault="00221FCF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134511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CF" w:rsidRPr="00D851EC" w:rsidRDefault="00221FCF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Director/directoare școală primară / gimnaziu /  liceu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C682A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C682A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C682A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753" w:rsidRPr="00D851EC" w:rsidTr="009D2753">
        <w:trPr>
          <w:trHeight w:val="247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FCF" w:rsidRPr="00D851EC" w:rsidRDefault="00221FCF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13451301/</w:t>
            </w:r>
          </w:p>
          <w:p w:rsidR="00221FCF" w:rsidRPr="00D851EC" w:rsidRDefault="00221FCF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13450701/</w:t>
            </w:r>
          </w:p>
          <w:p w:rsidR="00221FCF" w:rsidRPr="00D851EC" w:rsidRDefault="00221FCF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13451101</w:t>
            </w:r>
          </w:p>
          <w:p w:rsidR="00221FCF" w:rsidRPr="00D851EC" w:rsidRDefault="00221FCF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FCF" w:rsidRPr="00221FCF" w:rsidRDefault="00221FCF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Director adjunct/ directoare adjunctă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lastRenderedPageBreak/>
              <w:t>6</w:t>
            </w:r>
          </w:p>
          <w:p w:rsidR="00221FCF" w:rsidRPr="00766718" w:rsidRDefault="00221FCF" w:rsidP="00766718">
            <w:pPr>
              <w:pStyle w:val="ListParagraph"/>
              <w:widowControl/>
              <w:numPr>
                <w:ilvl w:val="0"/>
                <w:numId w:val="14"/>
              </w:numPr>
              <w:ind w:left="207" w:hanging="218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766718">
              <w:rPr>
                <w:rFonts w:ascii="Times New Roman" w:eastAsia="Times New Roman" w:hAnsi="Times New Roman" w:cs="Times New Roman"/>
                <w:sz w:val="24"/>
                <w:szCs w:val="24"/>
              </w:rPr>
              <w:t>școală primară</w:t>
            </w:r>
          </w:p>
          <w:p w:rsidR="00221FCF" w:rsidRPr="00766718" w:rsidRDefault="00221FCF" w:rsidP="00766718">
            <w:pPr>
              <w:pStyle w:val="ListParagraph"/>
              <w:widowControl/>
              <w:numPr>
                <w:ilvl w:val="0"/>
                <w:numId w:val="14"/>
              </w:numPr>
              <w:ind w:left="207" w:hanging="218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766718">
              <w:rPr>
                <w:rFonts w:ascii="Times New Roman" w:eastAsia="Times New Roman" w:hAnsi="Times New Roman" w:cs="Times New Roman"/>
                <w:sz w:val="24"/>
                <w:szCs w:val="24"/>
              </w:rPr>
              <w:t>gimnaziu/liceu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C682A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C682A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C682A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1FCF" w:rsidRPr="00D851EC" w:rsidTr="009D2753">
        <w:trPr>
          <w:trHeight w:val="348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1FCF" w:rsidRPr="00D851EC" w:rsidRDefault="00221FCF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Director/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directoare adjunct/ă (pe probleme de gospodărie)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CF" w:rsidRPr="00D851EC" w:rsidRDefault="00221FCF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21FCF" w:rsidRDefault="004F7041" w:rsidP="003D4D4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spacing w:before="120" w:line="276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80F16">
        <w:rPr>
          <w:rFonts w:ascii="Times New Roman" w:hAnsi="Times New Roman" w:cs="Times New Roman"/>
          <w:sz w:val="24"/>
          <w:szCs w:val="24"/>
        </w:rPr>
        <w:t>) nota 5 se exclude.</w:t>
      </w:r>
    </w:p>
    <w:p w:rsidR="00D80F16" w:rsidRDefault="004F7041" w:rsidP="003D4D4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spacing w:before="120" w:line="276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80F16">
        <w:rPr>
          <w:rFonts w:ascii="Times New Roman" w:hAnsi="Times New Roman" w:cs="Times New Roman"/>
          <w:sz w:val="24"/>
          <w:szCs w:val="24"/>
        </w:rPr>
        <w:t>) tabelul „Personalul didactic” va avea următorul conținut:</w:t>
      </w:r>
    </w:p>
    <w:tbl>
      <w:tblPr>
        <w:tblStyle w:val="af0"/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6"/>
        <w:gridCol w:w="2322"/>
        <w:gridCol w:w="990"/>
        <w:gridCol w:w="1170"/>
        <w:gridCol w:w="1170"/>
        <w:gridCol w:w="1170"/>
        <w:gridCol w:w="1170"/>
        <w:gridCol w:w="900"/>
      </w:tblGrid>
      <w:tr w:rsidR="00D80F16" w:rsidRPr="00D851EC" w:rsidTr="00766718">
        <w:trPr>
          <w:trHeight w:val="348"/>
          <w:jc w:val="center"/>
        </w:trPr>
        <w:tc>
          <w:tcPr>
            <w:tcW w:w="1366" w:type="dxa"/>
            <w:vMerge w:val="restart"/>
            <w:shd w:val="clear" w:color="auto" w:fill="DBE5F1"/>
            <w:vAlign w:val="center"/>
          </w:tcPr>
          <w:p w:rsidR="00D80F16" w:rsidRDefault="00D80F16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Codul ocupației</w:t>
            </w:r>
          </w:p>
          <w:p w:rsidR="00D80F16" w:rsidRPr="00F376C4" w:rsidRDefault="00D80F16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(CORM 006-2021)</w:t>
            </w:r>
          </w:p>
        </w:tc>
        <w:tc>
          <w:tcPr>
            <w:tcW w:w="2322" w:type="dxa"/>
            <w:vMerge w:val="restart"/>
            <w:shd w:val="clear" w:color="auto" w:fill="DBE5F1"/>
            <w:vAlign w:val="center"/>
          </w:tcPr>
          <w:p w:rsidR="00D80F16" w:rsidRPr="001648A7" w:rsidRDefault="00D80F16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Tipul ocupației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gridSpan w:val="6"/>
            <w:shd w:val="clear" w:color="auto" w:fill="DBE5F1"/>
            <w:vAlign w:val="center"/>
          </w:tcPr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Criteriul de normare: numărul de elevi</w:t>
            </w:r>
          </w:p>
        </w:tc>
      </w:tr>
      <w:tr w:rsidR="00D80F16" w:rsidRPr="00D851EC" w:rsidTr="00766718">
        <w:trPr>
          <w:trHeight w:val="1073"/>
          <w:jc w:val="center"/>
        </w:trPr>
        <w:tc>
          <w:tcPr>
            <w:tcW w:w="1366" w:type="dxa"/>
            <w:vMerge/>
            <w:shd w:val="clear" w:color="auto" w:fill="DBE5F1"/>
            <w:vAlign w:val="center"/>
          </w:tcPr>
          <w:p w:rsidR="00D80F16" w:rsidRPr="00D851EC" w:rsidRDefault="00D80F16" w:rsidP="0076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BE5F1"/>
            <w:vAlign w:val="center"/>
          </w:tcPr>
          <w:p w:rsidR="00D80F16" w:rsidRPr="00D851EC" w:rsidRDefault="00D80F16" w:rsidP="0076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BE5F1"/>
            <w:vAlign w:val="center"/>
          </w:tcPr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Mai mult 641 </w:t>
            </w:r>
          </w:p>
        </w:tc>
        <w:tc>
          <w:tcPr>
            <w:tcW w:w="1170" w:type="dxa"/>
            <w:shd w:val="clear" w:color="auto" w:fill="DBE5F1"/>
            <w:vAlign w:val="center"/>
          </w:tcPr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la 401</w:t>
            </w:r>
          </w:p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640</w:t>
            </w:r>
          </w:p>
        </w:tc>
        <w:tc>
          <w:tcPr>
            <w:tcW w:w="1170" w:type="dxa"/>
            <w:shd w:val="clear" w:color="auto" w:fill="DBE5F1"/>
            <w:vAlign w:val="center"/>
          </w:tcPr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281</w:t>
            </w:r>
          </w:p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400</w:t>
            </w:r>
          </w:p>
        </w:tc>
        <w:tc>
          <w:tcPr>
            <w:tcW w:w="1170" w:type="dxa"/>
            <w:shd w:val="clear" w:color="auto" w:fill="DBE5F1"/>
            <w:vAlign w:val="center"/>
          </w:tcPr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la 201</w:t>
            </w:r>
          </w:p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până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170" w:type="dxa"/>
            <w:shd w:val="clear" w:color="auto" w:fill="DBE5F1"/>
            <w:vAlign w:val="center"/>
          </w:tcPr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la 101</w:t>
            </w:r>
          </w:p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200</w:t>
            </w:r>
          </w:p>
        </w:tc>
        <w:tc>
          <w:tcPr>
            <w:tcW w:w="900" w:type="dxa"/>
            <w:shd w:val="clear" w:color="auto" w:fill="DBE5F1"/>
            <w:vAlign w:val="center"/>
          </w:tcPr>
          <w:p w:rsidR="00D80F16" w:rsidRPr="00F376C4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6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100</w:t>
            </w:r>
          </w:p>
        </w:tc>
      </w:tr>
      <w:tr w:rsidR="00D80F16" w:rsidRPr="00D851EC" w:rsidTr="00766718">
        <w:trPr>
          <w:trHeight w:val="359"/>
          <w:jc w:val="center"/>
        </w:trPr>
        <w:tc>
          <w:tcPr>
            <w:tcW w:w="1366" w:type="dxa"/>
          </w:tcPr>
          <w:p w:rsidR="00D80F16" w:rsidRPr="00D851EC" w:rsidRDefault="00D80F16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263405</w:t>
            </w:r>
          </w:p>
        </w:tc>
        <w:tc>
          <w:tcPr>
            <w:tcW w:w="2322" w:type="dxa"/>
            <w:shd w:val="clear" w:color="auto" w:fill="auto"/>
          </w:tcPr>
          <w:p w:rsidR="00D80F16" w:rsidRPr="00D80F16" w:rsidRDefault="00D80F16" w:rsidP="00AE0FB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Psiholog/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psihologă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9,10</w:t>
            </w:r>
          </w:p>
        </w:tc>
        <w:tc>
          <w:tcPr>
            <w:tcW w:w="990" w:type="dxa"/>
            <w:shd w:val="clear" w:color="auto" w:fill="auto"/>
          </w:tcPr>
          <w:p w:rsidR="00D80F16" w:rsidRPr="00D851EC" w:rsidRDefault="00D80F16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D80F16" w:rsidRPr="00D851EC" w:rsidRDefault="00D80F16" w:rsidP="00766718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D80F16" w:rsidRPr="00D851EC" w:rsidRDefault="00D80F16" w:rsidP="00766718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70" w:type="dxa"/>
            <w:shd w:val="clear" w:color="auto" w:fill="auto"/>
          </w:tcPr>
          <w:p w:rsidR="00D80F16" w:rsidRPr="00D851EC" w:rsidRDefault="00D80F16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D80F16" w:rsidRPr="00D851EC" w:rsidRDefault="00D80F16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80F16" w:rsidRPr="00D851EC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80F16" w:rsidRPr="00D851EC" w:rsidTr="00766718">
        <w:trPr>
          <w:trHeight w:val="359"/>
          <w:jc w:val="center"/>
        </w:trPr>
        <w:tc>
          <w:tcPr>
            <w:tcW w:w="1366" w:type="dxa"/>
          </w:tcPr>
          <w:p w:rsidR="00D80F16" w:rsidRPr="00D851EC" w:rsidRDefault="00D80F16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226601</w:t>
            </w:r>
          </w:p>
        </w:tc>
        <w:tc>
          <w:tcPr>
            <w:tcW w:w="2322" w:type="dxa"/>
            <w:shd w:val="clear" w:color="auto" w:fill="auto"/>
          </w:tcPr>
          <w:p w:rsidR="00D80F16" w:rsidRPr="00D80F16" w:rsidRDefault="00D80F16" w:rsidP="00D80F16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Logoped/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logopedă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AE0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D80F16" w:rsidRPr="004421C7" w:rsidRDefault="00D80F16" w:rsidP="0076671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instituie câte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unitate de Logoped/ logopedă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20 elevi cu tulburări de limbaj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</w:tcPr>
          <w:p w:rsidR="00D80F16" w:rsidRPr="00D851EC" w:rsidRDefault="00D80F16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apela la Serviciul raional/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municipal de asistență psihopedagogică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continuare -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SAP)</w:t>
            </w:r>
          </w:p>
        </w:tc>
      </w:tr>
      <w:tr w:rsidR="00D80F16" w:rsidRPr="00D851EC" w:rsidTr="00766718">
        <w:trPr>
          <w:trHeight w:val="359"/>
          <w:jc w:val="center"/>
        </w:trPr>
        <w:tc>
          <w:tcPr>
            <w:tcW w:w="1366" w:type="dxa"/>
          </w:tcPr>
          <w:p w:rsidR="00D80F16" w:rsidRPr="00D851EC" w:rsidRDefault="00D80F16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263410</w:t>
            </w:r>
          </w:p>
        </w:tc>
        <w:tc>
          <w:tcPr>
            <w:tcW w:w="2322" w:type="dxa"/>
            <w:shd w:val="clear" w:color="auto" w:fill="auto"/>
          </w:tcPr>
          <w:p w:rsidR="00D80F16" w:rsidRPr="001648A7" w:rsidRDefault="00D80F16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10,11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D80F16" w:rsidRPr="004421C7" w:rsidRDefault="00D80F16" w:rsidP="0076671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instituie câte 1 unitate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la 20 elevi cu cerințe educaționale speciale și/sau dizabilitate (grad de dizabilitate mediu) și/sau câte 1 unitate pentru 10 elevi cu cerințe educaționale speciale și/sau dizabilitate (grad de dizabilitate accentuat, sever).</w:t>
            </w:r>
          </w:p>
        </w:tc>
        <w:tc>
          <w:tcPr>
            <w:tcW w:w="2070" w:type="dxa"/>
            <w:gridSpan w:val="2"/>
            <w:vMerge/>
            <w:shd w:val="clear" w:color="auto" w:fill="auto"/>
          </w:tcPr>
          <w:p w:rsidR="00D80F16" w:rsidRPr="00D851EC" w:rsidRDefault="00D80F16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16" w:rsidRPr="00D851EC" w:rsidTr="00766718">
        <w:trPr>
          <w:trHeight w:val="359"/>
          <w:jc w:val="center"/>
        </w:trPr>
        <w:tc>
          <w:tcPr>
            <w:tcW w:w="1366" w:type="dxa"/>
          </w:tcPr>
          <w:p w:rsidR="00D80F16" w:rsidRPr="00D851EC" w:rsidRDefault="00D80F16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234101</w:t>
            </w:r>
          </w:p>
        </w:tc>
        <w:tc>
          <w:tcPr>
            <w:tcW w:w="2322" w:type="dxa"/>
            <w:shd w:val="clear" w:color="auto" w:fill="auto"/>
          </w:tcPr>
          <w:p w:rsidR="00D80F16" w:rsidRPr="00D851EC" w:rsidRDefault="00D80F16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Asistent didactic/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asistentă didactică</w:t>
            </w:r>
          </w:p>
        </w:tc>
        <w:tc>
          <w:tcPr>
            <w:tcW w:w="6570" w:type="dxa"/>
            <w:gridSpan w:val="6"/>
            <w:shd w:val="clear" w:color="auto" w:fill="auto"/>
          </w:tcPr>
          <w:p w:rsidR="00D80F16" w:rsidRPr="001648A7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poate institui în instituțiile de învățământ alternativ, precum și în învățământul primar pentru clasele și grupele cu program prelungit în conformitate cu actele normative în vigoare.  </w:t>
            </w:r>
          </w:p>
        </w:tc>
      </w:tr>
      <w:tr w:rsidR="00D80F16" w:rsidRPr="00D851EC" w:rsidTr="00766718">
        <w:trPr>
          <w:trHeight w:val="359"/>
          <w:jc w:val="center"/>
        </w:trPr>
        <w:tc>
          <w:tcPr>
            <w:tcW w:w="1366" w:type="dxa"/>
          </w:tcPr>
          <w:p w:rsidR="00D80F16" w:rsidRPr="00D851EC" w:rsidRDefault="00D80F16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235201</w:t>
            </w:r>
          </w:p>
        </w:tc>
        <w:tc>
          <w:tcPr>
            <w:tcW w:w="2322" w:type="dxa"/>
            <w:shd w:val="clear" w:color="auto" w:fill="auto"/>
          </w:tcPr>
          <w:p w:rsidR="00D80F16" w:rsidRPr="00D80F16" w:rsidRDefault="00D80F16" w:rsidP="00D80F16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Cadru didactic de sprijin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10,11,</w:t>
            </w:r>
            <w:r w:rsidR="00AE0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6570" w:type="dxa"/>
            <w:gridSpan w:val="6"/>
            <w:shd w:val="clear" w:color="auto" w:fill="auto"/>
          </w:tcPr>
          <w:p w:rsidR="00D80F16" w:rsidRPr="00D851EC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instituie:</w:t>
            </w:r>
          </w:p>
          <w:p w:rsidR="00D80F16" w:rsidRPr="00D851EC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unitate pentru 10 elevi cu cerințe educaționale speciale și/sau dizabilitate (grad de dizabilitate mediu); </w:t>
            </w:r>
          </w:p>
          <w:p w:rsidR="00D80F16" w:rsidRPr="00D851EC" w:rsidRDefault="00D80F16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EC">
              <w:rPr>
                <w:rFonts w:ascii="Times New Roman" w:eastAsia="Times New Roman" w:hAnsi="Times New Roman" w:cs="Times New Roman"/>
                <w:sz w:val="24"/>
                <w:szCs w:val="24"/>
              </w:rPr>
              <w:t>1 unitate pentru 3 elevi cu cerințe educaționale speciale și/sau dizabilitate (grad de dizabilitate accentuat, sever).</w:t>
            </w:r>
          </w:p>
        </w:tc>
      </w:tr>
    </w:tbl>
    <w:p w:rsidR="00D80F16" w:rsidRDefault="004F7041" w:rsidP="003D4D4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57713">
        <w:rPr>
          <w:rFonts w:ascii="Times New Roman" w:hAnsi="Times New Roman" w:cs="Times New Roman"/>
          <w:sz w:val="24"/>
          <w:szCs w:val="24"/>
        </w:rPr>
        <w:t>) în tabelul „Personalul didactic auxiliar” norma pentru ocupația „</w:t>
      </w:r>
      <w:r w:rsidR="00957713" w:rsidRPr="00B559AC">
        <w:rPr>
          <w:rFonts w:ascii="Times New Roman" w:eastAsia="Times New Roman" w:hAnsi="Times New Roman" w:cs="Times New Roman"/>
          <w:sz w:val="24"/>
          <w:szCs w:val="24"/>
        </w:rPr>
        <w:t>Bibliotecar principal/ bibliotecară principală</w:t>
      </w:r>
      <w:r w:rsidR="00957713">
        <w:rPr>
          <w:rFonts w:ascii="Times New Roman" w:hAnsi="Times New Roman" w:cs="Times New Roman"/>
          <w:sz w:val="24"/>
          <w:szCs w:val="24"/>
        </w:rPr>
        <w:t xml:space="preserve">” </w:t>
      </w:r>
      <w:r w:rsidR="00203495">
        <w:rPr>
          <w:rFonts w:ascii="Times New Roman" w:hAnsi="Times New Roman" w:cs="Times New Roman"/>
          <w:sz w:val="24"/>
          <w:szCs w:val="24"/>
        </w:rPr>
        <w:t>pentru criteriul „</w:t>
      </w:r>
      <w:r w:rsidR="00203495" w:rsidRPr="00203495">
        <w:rPr>
          <w:rFonts w:ascii="Times New Roman" w:eastAsia="Times New Roman" w:hAnsi="Times New Roman" w:cs="Times New Roman"/>
          <w:sz w:val="24"/>
          <w:szCs w:val="24"/>
        </w:rPr>
        <w:t>De la 401</w:t>
      </w:r>
      <w:r w:rsidR="00203495" w:rsidRPr="00203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495" w:rsidRPr="00203495">
        <w:rPr>
          <w:rFonts w:ascii="Times New Roman" w:eastAsia="Times New Roman" w:hAnsi="Times New Roman" w:cs="Times New Roman"/>
          <w:sz w:val="24"/>
          <w:szCs w:val="24"/>
        </w:rPr>
        <w:t>până la 640</w:t>
      </w:r>
      <w:r w:rsidR="00203495">
        <w:rPr>
          <w:rFonts w:ascii="Times New Roman" w:hAnsi="Times New Roman" w:cs="Times New Roman"/>
          <w:sz w:val="24"/>
          <w:szCs w:val="24"/>
        </w:rPr>
        <w:t>” se substituie cu „0,5”;</w:t>
      </w:r>
    </w:p>
    <w:p w:rsidR="00203495" w:rsidRDefault="004F7041" w:rsidP="003D4D4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03495">
        <w:rPr>
          <w:rFonts w:ascii="Times New Roman" w:hAnsi="Times New Roman" w:cs="Times New Roman"/>
          <w:sz w:val="24"/>
          <w:szCs w:val="24"/>
        </w:rPr>
        <w:t xml:space="preserve">) </w:t>
      </w:r>
      <w:r w:rsidR="005E709D">
        <w:rPr>
          <w:rFonts w:ascii="Times New Roman" w:hAnsi="Times New Roman" w:cs="Times New Roman"/>
          <w:sz w:val="24"/>
          <w:szCs w:val="24"/>
        </w:rPr>
        <w:t>în nota 11, se exclude textul „</w:t>
      </w:r>
      <w:r w:rsidR="00AE0FBF">
        <w:rPr>
          <w:rFonts w:ascii="Times New Roman" w:hAnsi="Times New Roman" w:cs="Times New Roman"/>
          <w:sz w:val="24"/>
          <w:szCs w:val="24"/>
        </w:rPr>
        <w:t xml:space="preserve"> </w:t>
      </w:r>
      <w:r w:rsidR="00AE0F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E709D" w:rsidRPr="005B6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 necesitatea serviciului se va stabili în conformitate cu actele normative în vigoare</w:t>
      </w:r>
      <w:r w:rsidR="005E709D">
        <w:rPr>
          <w:rFonts w:ascii="Times New Roman" w:hAnsi="Times New Roman" w:cs="Times New Roman"/>
          <w:sz w:val="24"/>
          <w:szCs w:val="24"/>
        </w:rPr>
        <w:t>”;</w:t>
      </w:r>
    </w:p>
    <w:p w:rsidR="005E709D" w:rsidRDefault="004F7041" w:rsidP="003D4D4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E709D">
        <w:rPr>
          <w:rFonts w:ascii="Times New Roman" w:hAnsi="Times New Roman" w:cs="Times New Roman"/>
          <w:sz w:val="24"/>
          <w:szCs w:val="24"/>
        </w:rPr>
        <w:t xml:space="preserve">) nota 12, va avea următorul cuprins </w:t>
      </w:r>
    </w:p>
    <w:p w:rsidR="005E709D" w:rsidRDefault="005E709D" w:rsidP="003D4D4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E709D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1E8">
        <w:rPr>
          <w:rFonts w:ascii="Times New Roman" w:eastAsia="Times New Roman" w:hAnsi="Times New Roman" w:cs="Times New Roman"/>
          <w:sz w:val="24"/>
          <w:szCs w:val="24"/>
        </w:rPr>
        <w:t>Instituțiile de învățământ cu un număr mai mare de 641 de elevi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prin excepție de la cele menționate, </w:t>
      </w:r>
      <w:r w:rsidRPr="00C451E8">
        <w:rPr>
          <w:rFonts w:ascii="Times New Roman" w:eastAsia="Times New Roman" w:hAnsi="Times New Roman" w:cs="Times New Roman"/>
          <w:sz w:val="24"/>
          <w:szCs w:val="24"/>
        </w:rPr>
        <w:t xml:space="preserve">pot angaja 1 unitate de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451E8">
        <w:rPr>
          <w:rFonts w:ascii="Times New Roman" w:eastAsia="Times New Roman" w:hAnsi="Times New Roman" w:cs="Times New Roman"/>
          <w:sz w:val="24"/>
          <w:szCs w:val="24"/>
        </w:rPr>
        <w:t xml:space="preserve">adru didactic de sprijin </w:t>
      </w:r>
      <w:r>
        <w:rPr>
          <w:rFonts w:ascii="Times New Roman" w:eastAsia="Times New Roman" w:hAnsi="Times New Roman" w:cs="Times New Roman"/>
          <w:sz w:val="24"/>
          <w:szCs w:val="24"/>
        </w:rPr>
        <w:t>la momentul identificării necesității pentru cel puțin un copil.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E709D" w:rsidRDefault="004F7041" w:rsidP="003D4D4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E709D">
        <w:rPr>
          <w:rFonts w:ascii="Times New Roman" w:hAnsi="Times New Roman" w:cs="Times New Roman"/>
          <w:sz w:val="24"/>
          <w:szCs w:val="24"/>
        </w:rPr>
        <w:t>) în nota 13, cifrele „600” se substituie cu „400”;</w:t>
      </w:r>
    </w:p>
    <w:p w:rsidR="005E709D" w:rsidRDefault="004F7041" w:rsidP="003D4D4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E709D">
        <w:rPr>
          <w:rFonts w:ascii="Times New Roman" w:hAnsi="Times New Roman" w:cs="Times New Roman"/>
          <w:sz w:val="24"/>
          <w:szCs w:val="24"/>
        </w:rPr>
        <w:t>) tabelul „Personalul nedidactic” va avea următorul conținut:</w:t>
      </w:r>
    </w:p>
    <w:tbl>
      <w:tblPr>
        <w:tblStyle w:val="af2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031"/>
        <w:gridCol w:w="804"/>
        <w:gridCol w:w="344"/>
        <w:gridCol w:w="826"/>
        <w:gridCol w:w="331"/>
        <w:gridCol w:w="839"/>
        <w:gridCol w:w="1260"/>
        <w:gridCol w:w="215"/>
        <w:gridCol w:w="955"/>
        <w:gridCol w:w="202"/>
        <w:gridCol w:w="698"/>
      </w:tblGrid>
      <w:tr w:rsidR="005E709D" w:rsidRPr="00B559AC" w:rsidTr="00766718">
        <w:trPr>
          <w:trHeight w:val="20"/>
          <w:jc w:val="center"/>
        </w:trPr>
        <w:tc>
          <w:tcPr>
            <w:tcW w:w="1271" w:type="dxa"/>
            <w:vMerge w:val="restart"/>
            <w:shd w:val="clear" w:color="auto" w:fill="DBE5F1"/>
            <w:vAlign w:val="center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Codul ocupației</w:t>
            </w:r>
          </w:p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(CORM 006-2021)</w:t>
            </w:r>
          </w:p>
        </w:tc>
        <w:tc>
          <w:tcPr>
            <w:tcW w:w="2031" w:type="dxa"/>
            <w:vMerge w:val="restart"/>
            <w:shd w:val="clear" w:color="auto" w:fill="DBE5F1"/>
            <w:vAlign w:val="center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Tipul ocupației </w:t>
            </w:r>
          </w:p>
        </w:tc>
        <w:tc>
          <w:tcPr>
            <w:tcW w:w="6474" w:type="dxa"/>
            <w:gridSpan w:val="10"/>
            <w:shd w:val="clear" w:color="auto" w:fill="DBE5F1"/>
            <w:vAlign w:val="center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Criteriul de normare: numărul de elevi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  <w:vMerge/>
            <w:shd w:val="clear" w:color="auto" w:fill="DBE5F1"/>
            <w:vAlign w:val="center"/>
          </w:tcPr>
          <w:p w:rsidR="005E709D" w:rsidRPr="00B559AC" w:rsidRDefault="005E709D" w:rsidP="0076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vMerge/>
            <w:shd w:val="clear" w:color="auto" w:fill="DBE5F1"/>
            <w:vAlign w:val="center"/>
          </w:tcPr>
          <w:p w:rsidR="005E709D" w:rsidRPr="00B559AC" w:rsidRDefault="005E709D" w:rsidP="0076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DBE5F1"/>
            <w:vAlign w:val="center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 mult 641</w:t>
            </w:r>
          </w:p>
        </w:tc>
        <w:tc>
          <w:tcPr>
            <w:tcW w:w="1170" w:type="dxa"/>
            <w:gridSpan w:val="2"/>
            <w:shd w:val="clear" w:color="auto" w:fill="DBE5F1"/>
            <w:vAlign w:val="center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la 401</w:t>
            </w:r>
          </w:p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640</w:t>
            </w:r>
          </w:p>
        </w:tc>
        <w:tc>
          <w:tcPr>
            <w:tcW w:w="1170" w:type="dxa"/>
            <w:gridSpan w:val="2"/>
            <w:shd w:val="clear" w:color="auto" w:fill="DBE5F1"/>
            <w:vAlign w:val="center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400</w:t>
            </w:r>
          </w:p>
        </w:tc>
        <w:tc>
          <w:tcPr>
            <w:tcW w:w="1260" w:type="dxa"/>
            <w:shd w:val="clear" w:color="auto" w:fill="DBE5F1"/>
            <w:vAlign w:val="center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la 201</w:t>
            </w:r>
          </w:p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până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170" w:type="dxa"/>
            <w:gridSpan w:val="2"/>
            <w:shd w:val="clear" w:color="auto" w:fill="DBE5F1"/>
            <w:vAlign w:val="center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la 101</w:t>
            </w:r>
          </w:p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200</w:t>
            </w:r>
          </w:p>
        </w:tc>
        <w:tc>
          <w:tcPr>
            <w:tcW w:w="900" w:type="dxa"/>
            <w:gridSpan w:val="2"/>
            <w:shd w:val="clear" w:color="auto" w:fill="DBE5F1"/>
            <w:vAlign w:val="center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Până la 100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121922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Manager (șef/șefă) gospodărie </w:t>
            </w:r>
          </w:p>
        </w:tc>
        <w:tc>
          <w:tcPr>
            <w:tcW w:w="804" w:type="dxa"/>
            <w:vAlign w:val="center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412002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Secretar/secretară</w:t>
            </w:r>
          </w:p>
        </w:tc>
        <w:tc>
          <w:tcPr>
            <w:tcW w:w="804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322102</w:t>
            </w:r>
          </w:p>
        </w:tc>
        <w:tc>
          <w:tcPr>
            <w:tcW w:w="2031" w:type="dxa"/>
          </w:tcPr>
          <w:p w:rsidR="005E709D" w:rsidRPr="00B559AC" w:rsidRDefault="005E709D" w:rsidP="00AE0FB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Asistent medical/ asistentă medicală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14,15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121103</w:t>
            </w:r>
          </w:p>
        </w:tc>
        <w:tc>
          <w:tcPr>
            <w:tcW w:w="2031" w:type="dxa"/>
          </w:tcPr>
          <w:p w:rsidR="005E709D" w:rsidRPr="005E709D" w:rsidRDefault="005E709D" w:rsidP="005E709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Contabil-şef/ contabilă-șefă </w:t>
            </w:r>
            <w:r w:rsidR="00AE0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804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241106</w:t>
            </w:r>
          </w:p>
        </w:tc>
        <w:tc>
          <w:tcPr>
            <w:tcW w:w="2031" w:type="dxa"/>
          </w:tcPr>
          <w:p w:rsidR="005E709D" w:rsidRPr="005E709D" w:rsidRDefault="005E709D" w:rsidP="005E709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Contabil/ contabilă 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16, </w:t>
            </w:r>
            <w:r w:rsidR="00AE0F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804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60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263107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Economist/ economistă 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804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242318</w:t>
            </w:r>
          </w:p>
        </w:tc>
        <w:tc>
          <w:tcPr>
            <w:tcW w:w="20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Specialist/ specialistă în resurse umane</w:t>
            </w:r>
          </w:p>
        </w:tc>
        <w:tc>
          <w:tcPr>
            <w:tcW w:w="804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262102</w:t>
            </w:r>
          </w:p>
        </w:tc>
        <w:tc>
          <w:tcPr>
            <w:tcW w:w="20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Arhivar</w:t>
            </w:r>
          </w:p>
        </w:tc>
        <w:tc>
          <w:tcPr>
            <w:tcW w:w="804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251102 / </w:t>
            </w:r>
          </w:p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252101</w:t>
            </w:r>
          </w:p>
        </w:tc>
        <w:tc>
          <w:tcPr>
            <w:tcW w:w="20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E709D" w:rsidRPr="00AE0FBF" w:rsidRDefault="005E709D" w:rsidP="00E97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Analist/analistă date (principal) /  Administrator/ administratoare baze de date</w:t>
            </w:r>
            <w:r w:rsidR="00E97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24"/>
                      <w:vertAlign w:val="superscript"/>
                    </w:rPr>
                    <m:t>17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18"/>
                      <w:szCs w:val="24"/>
                      <w:vertAlign w:val="superscript"/>
                    </w:rPr>
                    <m:t>1</m:t>
                  </m:r>
                </m:sup>
              </m:sSup>
            </m:oMath>
          </w:p>
        </w:tc>
        <w:tc>
          <w:tcPr>
            <w:tcW w:w="804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962913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Ușier 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19, 20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 unitate pentru fiecare bloc de studii (amplasat separat)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818201</w:t>
            </w:r>
          </w:p>
        </w:tc>
        <w:tc>
          <w:tcPr>
            <w:tcW w:w="2031" w:type="dxa"/>
          </w:tcPr>
          <w:p w:rsidR="005E709D" w:rsidRPr="005E709D" w:rsidRDefault="005E709D" w:rsidP="005E28D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Fochist </w:t>
            </w:r>
            <w:r w:rsidR="005E28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18,19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Pentru cazangeria cu combustibil solid (cărbune, biomasă, lemne)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962908</w:t>
            </w:r>
          </w:p>
        </w:tc>
        <w:tc>
          <w:tcPr>
            <w:tcW w:w="2031" w:type="dxa"/>
          </w:tcPr>
          <w:p w:rsidR="005E709D" w:rsidRPr="005E709D" w:rsidRDefault="005E709D" w:rsidP="005E28DF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Paznic/paznică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E28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Pentru instituțiile care nu au posibilitatea de a transmite paza clădirii la servicii de pază militarizată, se vor institui 1 unitate/schimb. Numărul de unități și durata schimburilor se stabilește de către personalul de conducere al instituției , conform actelor normative în vigoare.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313132 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Operator/ operatoare supraveghere şi întreținere a cazanelor 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18, 19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Pentru sistem de încălzire cu gaze. Numărul unităților și durata schimburilor se stabilește de către personalul de conducere al instituției, conform Codului Muncii.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711205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Sobar 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18, 19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Pentru instituțiile cu sobe, câte 1 unitate la 5 sobe. 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961304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Măturător/ măturătoare </w:t>
            </w:r>
          </w:p>
        </w:tc>
        <w:tc>
          <w:tcPr>
            <w:tcW w:w="6474" w:type="dxa"/>
            <w:gridSpan w:val="10"/>
            <w:shd w:val="clear" w:color="auto" w:fill="auto"/>
          </w:tcPr>
          <w:p w:rsidR="005E709D" w:rsidRPr="00B559AC" w:rsidRDefault="005E709D" w:rsidP="007667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În corespundere cu normele de teritoriu dereticat, aprobate de APL, dar nu mai mult de 1 unitate la 1000 m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suprafață îngrijită.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515307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Muncitor/ muncitoare la îngrijirea complexă și reparația clădirilor</w:t>
            </w:r>
          </w:p>
        </w:tc>
        <w:tc>
          <w:tcPr>
            <w:tcW w:w="1148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75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911201</w:t>
            </w:r>
          </w:p>
        </w:tc>
        <w:tc>
          <w:tcPr>
            <w:tcW w:w="2031" w:type="dxa"/>
          </w:tcPr>
          <w:p w:rsidR="005E709D" w:rsidRPr="005E709D" w:rsidRDefault="005E709D" w:rsidP="005E709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Îngrijitor/ îngrijitoare încăperi </w:t>
            </w:r>
            <w:r w:rsidR="005E28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 unitate pentru 450 m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suprafață dereticată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962902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Garderobier/ garderobieră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766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1 unitate se stabilește în prezența utilajului amenajat a garderobelor, pentru perioada toamnă-iarnă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7312 (01/02/03/04/06/07)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Acordor de instrumente muzicale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3F1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718">
              <w:rPr>
                <w:rFonts w:ascii="Times New Roman" w:eastAsia="Times New Roman" w:hAnsi="Times New Roman" w:cs="Times New Roman"/>
                <w:sz w:val="24"/>
                <w:szCs w:val="24"/>
              </w:rPr>
              <w:t>În licee, școli primare și gimnazii, în care activează clase cu profil muzical (coral), artistic, teatral și coregrafic, la specialitățile respective se introduce funcția de acordor de instrumente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6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muzicale din 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766718">
              <w:rPr>
                <w:rFonts w:ascii="Times New Roman" w:eastAsia="Times New Roman" w:hAnsi="Times New Roman" w:cs="Times New Roman"/>
                <w:sz w:val="24"/>
                <w:szCs w:val="24"/>
              </w:rPr>
              <w:t>ulul 1,0 unitate pentru fiecare 30 de instrumente muzicale</w:t>
            </w:r>
            <w:r w:rsidR="003F1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În celelalte cazuri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e vor contracta servicii la necesitate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252302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Administrator/ administratoare rețea de calculatoare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Se vor contracta servicii la necesitate, în limita bugetului disponibil și cu aprobarea fondatorului, dar nu mai mult de 1 unitate.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833102/ 833103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Conducător/ conducătoare de autobuz /autocar/ autobuz de capacitate mică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Se instituie în instituțiile care dispun de transport pentru transportarea elevilor, conform necesităților și în corespundere cu actele normative în vigoare.</w:t>
            </w:r>
          </w:p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226405</w:t>
            </w:r>
          </w:p>
        </w:tc>
        <w:tc>
          <w:tcPr>
            <w:tcW w:w="2031" w:type="dxa"/>
          </w:tcPr>
          <w:p w:rsidR="005E709D" w:rsidRPr="00B559AC" w:rsidRDefault="005E709D" w:rsidP="007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>Kinetoterapeut/ kinetoterapeută</w:t>
            </w:r>
          </w:p>
        </w:tc>
        <w:tc>
          <w:tcPr>
            <w:tcW w:w="6474" w:type="dxa"/>
            <w:gridSpan w:val="10"/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necesitate, se vor apela specialiștii de la SAP sau Centrul Republican de Asistenţă Psihopedagogică (în continuare – CRAP) </w:t>
            </w:r>
          </w:p>
        </w:tc>
      </w:tr>
      <w:tr w:rsidR="005E709D" w:rsidRPr="00B559AC" w:rsidTr="00766718">
        <w:trPr>
          <w:trHeight w:val="20"/>
          <w:jc w:val="center"/>
        </w:trPr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E709D" w:rsidRPr="00B559AC" w:rsidRDefault="005E709D" w:rsidP="0076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E709D" w:rsidRPr="00C50730" w:rsidRDefault="005E709D" w:rsidP="00C50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 personal </w:t>
            </w:r>
            <w:r w:rsidR="003736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804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5E709D" w:rsidRPr="00B559AC" w:rsidRDefault="005E709D" w:rsidP="00766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7041" w:rsidRPr="004F7041" w:rsidRDefault="004064CE" w:rsidP="003D4D4B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7041">
        <w:rPr>
          <w:rFonts w:ascii="Times New Roman" w:hAnsi="Times New Roman" w:cs="Times New Roman"/>
          <w:sz w:val="24"/>
          <w:szCs w:val="24"/>
        </w:rPr>
        <w:t>în nota 1</w:t>
      </w:r>
      <w:r w:rsidRPr="004F7041">
        <w:rPr>
          <w:rFonts w:ascii="Times New Roman" w:hAnsi="Times New Roman" w:cs="Times New Roman"/>
          <w:sz w:val="24"/>
          <w:szCs w:val="24"/>
        </w:rPr>
        <w:t>7</w:t>
      </w:r>
      <w:r w:rsidRPr="004F7041">
        <w:rPr>
          <w:rFonts w:ascii="Times New Roman" w:hAnsi="Times New Roman" w:cs="Times New Roman"/>
          <w:sz w:val="24"/>
          <w:szCs w:val="24"/>
        </w:rPr>
        <w:t>, cifrele „600” se substituie cu „400”;</w:t>
      </w:r>
    </w:p>
    <w:p w:rsidR="005E709D" w:rsidRPr="004F7041" w:rsidRDefault="00AD5697" w:rsidP="003D4D4B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7041">
        <w:rPr>
          <w:rFonts w:ascii="Times New Roman" w:hAnsi="Times New Roman" w:cs="Times New Roman"/>
          <w:sz w:val="24"/>
          <w:szCs w:val="24"/>
        </w:rPr>
        <w:t>se completează cu nota 17</w:t>
      </w:r>
      <w:r w:rsidRPr="004F704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F7041">
        <w:rPr>
          <w:rFonts w:ascii="Times New Roman" w:hAnsi="Times New Roman" w:cs="Times New Roman"/>
          <w:sz w:val="24"/>
          <w:szCs w:val="24"/>
        </w:rPr>
        <w:t xml:space="preserve">cu următorul </w:t>
      </w:r>
      <w:r w:rsidR="005A3F96">
        <w:rPr>
          <w:rFonts w:ascii="Times New Roman" w:hAnsi="Times New Roman" w:cs="Times New Roman"/>
          <w:sz w:val="24"/>
          <w:szCs w:val="24"/>
        </w:rPr>
        <w:t>conținut</w:t>
      </w:r>
      <w:r w:rsidRPr="004F7041">
        <w:rPr>
          <w:rFonts w:ascii="Times New Roman" w:hAnsi="Times New Roman" w:cs="Times New Roman"/>
          <w:sz w:val="24"/>
          <w:szCs w:val="24"/>
        </w:rPr>
        <w:t>:</w:t>
      </w:r>
    </w:p>
    <w:p w:rsidR="00AD5697" w:rsidRPr="004064CE" w:rsidRDefault="00AD5697" w:rsidP="00AD56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D5697">
        <w:rPr>
          <w:rFonts w:ascii="Times New Roman" w:hAnsi="Times New Roman" w:cs="Times New Roman"/>
          <w:sz w:val="24"/>
          <w:szCs w:val="24"/>
        </w:rPr>
        <w:t>17</w:t>
      </w:r>
      <w:r w:rsidRPr="00AD56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697">
        <w:rPr>
          <w:rFonts w:ascii="Times New Roman" w:hAnsi="Times New Roman" w:cs="Times New Roman"/>
          <w:sz w:val="24"/>
          <w:szCs w:val="24"/>
        </w:rPr>
        <w:t>În</w:t>
      </w:r>
      <w:r w:rsidRPr="00766718">
        <w:rPr>
          <w:rFonts w:ascii="Times New Roman" w:hAnsi="Times New Roman" w:cs="Times New Roman"/>
          <w:sz w:val="24"/>
          <w:szCs w:val="24"/>
        </w:rPr>
        <w:t xml:space="preserve"> cazul identificării specialiștilor calificați și </w:t>
      </w:r>
      <w:r>
        <w:rPr>
          <w:rFonts w:ascii="Times New Roman" w:hAnsi="Times New Roman" w:cs="Times New Roman"/>
          <w:sz w:val="24"/>
          <w:szCs w:val="24"/>
        </w:rPr>
        <w:t>suficiența resurselor</w:t>
      </w:r>
      <w:r w:rsidRPr="00766718">
        <w:rPr>
          <w:rFonts w:ascii="Times New Roman" w:hAnsi="Times New Roman" w:cs="Times New Roman"/>
          <w:sz w:val="24"/>
          <w:szCs w:val="24"/>
        </w:rPr>
        <w:t xml:space="preserve"> financiare, se recomandă instituțiilor de învățământ </w:t>
      </w:r>
      <w:r w:rsidRPr="00437998">
        <w:rPr>
          <w:rFonts w:ascii="Times New Roman" w:hAnsi="Times New Roman" w:cs="Times New Roman"/>
          <w:sz w:val="24"/>
          <w:szCs w:val="24"/>
        </w:rPr>
        <w:t>institui</w:t>
      </w:r>
      <w:r w:rsidRPr="00123840">
        <w:rPr>
          <w:rFonts w:ascii="Times New Roman" w:hAnsi="Times New Roman" w:cs="Times New Roman"/>
          <w:sz w:val="24"/>
          <w:szCs w:val="24"/>
        </w:rPr>
        <w:t xml:space="preserve">rea posturilor de </w:t>
      </w:r>
      <w:r w:rsidRPr="00B63345">
        <w:rPr>
          <w:rFonts w:ascii="Times New Roman" w:hAnsi="Times New Roman" w:cs="Times New Roman"/>
          <w:sz w:val="24"/>
          <w:szCs w:val="24"/>
        </w:rPr>
        <w:t>analist.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E709D" w:rsidRPr="004F7041" w:rsidRDefault="004F7041" w:rsidP="003D4D4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Anexa nr.2, în punctul 4 se exclude textul „ </w:t>
      </w:r>
      <w:r w:rsidRPr="00D851EC">
        <w:rPr>
          <w:rFonts w:ascii="Times New Roman" w:eastAsia="Times New Roman" w:hAnsi="Times New Roman" w:cs="Times New Roman"/>
          <w:sz w:val="24"/>
          <w:szCs w:val="24"/>
        </w:rPr>
        <w:t>,amplasat pe altă adresă decât instituția de învățământ,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711A5" w:rsidRDefault="00D711A5" w:rsidP="00221FC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E3081" w:rsidRPr="001648A7" w:rsidRDefault="00D851EC" w:rsidP="001648A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0"/>
        </w:tabs>
        <w:spacing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081">
        <w:rPr>
          <w:rFonts w:ascii="Times New Roman" w:eastAsia="Times New Roman" w:hAnsi="Times New Roman" w:cs="Times New Roman"/>
          <w:sz w:val="24"/>
          <w:szCs w:val="24"/>
        </w:rPr>
        <w:t xml:space="preserve">Prezentul ordin </w:t>
      </w:r>
      <w:r w:rsidR="00047474">
        <w:rPr>
          <w:rFonts w:ascii="Georgia" w:hAnsi="Georgia"/>
          <w:color w:val="333333"/>
          <w:shd w:val="clear" w:color="auto" w:fill="FFFFFF"/>
        </w:rPr>
        <w:t xml:space="preserve">intră </w:t>
      </w:r>
      <w:r w:rsidR="00047474" w:rsidRPr="00047474">
        <w:rPr>
          <w:rFonts w:ascii="Times New Roman" w:eastAsia="Times New Roman" w:hAnsi="Times New Roman" w:cs="Times New Roman"/>
          <w:sz w:val="24"/>
          <w:szCs w:val="24"/>
        </w:rPr>
        <w:t>în vigoare la data publicării în Monitorul Oficial al Republicii Moldova.</w:t>
      </w:r>
    </w:p>
    <w:p w:rsidR="003E3081" w:rsidRDefault="003E3081" w:rsidP="001648A7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730" w:rsidRDefault="00C50730" w:rsidP="001648A7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730" w:rsidRDefault="00C50730" w:rsidP="001648A7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0A9" w:rsidRPr="00D851EC" w:rsidRDefault="00A700A9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7F6" w:rsidRDefault="00D851EC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1EC">
        <w:rPr>
          <w:rFonts w:ascii="Times New Roman" w:eastAsia="Times New Roman" w:hAnsi="Times New Roman" w:cs="Times New Roman"/>
          <w:b/>
          <w:sz w:val="24"/>
          <w:szCs w:val="24"/>
        </w:rPr>
        <w:t xml:space="preserve">Ministru                                 Dan </w:t>
      </w:r>
      <w:r w:rsidR="00796BE3">
        <w:rPr>
          <w:rFonts w:ascii="Times New Roman" w:eastAsia="Times New Roman" w:hAnsi="Times New Roman" w:cs="Times New Roman"/>
          <w:b/>
          <w:sz w:val="24"/>
          <w:szCs w:val="24"/>
        </w:rPr>
        <w:t>PERCIUN</w:t>
      </w:r>
    </w:p>
    <w:p w:rsidR="008F5C9C" w:rsidRDefault="008F5C9C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C9C" w:rsidRDefault="008F5C9C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C9C" w:rsidRDefault="008F5C9C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7F6" w:rsidRDefault="00C337F6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0730" w:rsidRDefault="00C5073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0730" w:rsidRDefault="00C5073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0730" w:rsidRDefault="00C5073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0730" w:rsidRDefault="00C5073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0730" w:rsidRDefault="00C5073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0730" w:rsidRDefault="00C5073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0730" w:rsidRDefault="00C5073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0730" w:rsidRDefault="00C5073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5CD9" w:rsidRDefault="00A35CD9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A35CD9" w:rsidRDefault="00A35CD9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5CD9" w:rsidRDefault="00A35CD9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5CD9" w:rsidRDefault="00A35CD9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5CD9" w:rsidRDefault="00A35CD9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5CD9" w:rsidRDefault="00A35CD9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350FE" w:rsidRDefault="00E350FE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0730" w:rsidRDefault="00C5073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0730" w:rsidRDefault="00C5073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7474" w:rsidRPr="00D851EC" w:rsidRDefault="0004747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337F6" w:rsidRPr="00D851EC" w:rsidRDefault="00796BE3" w:rsidP="00047474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BE3">
        <w:rPr>
          <w:rFonts w:ascii="Times New Roman" w:eastAsia="Times New Roman" w:hAnsi="Times New Roman" w:cs="Times New Roman"/>
          <w:i/>
          <w:sz w:val="20"/>
          <w:szCs w:val="24"/>
        </w:rPr>
        <w:t xml:space="preserve">Ex.: </w:t>
      </w:r>
      <w:r w:rsidR="00047474">
        <w:rPr>
          <w:rFonts w:ascii="Times New Roman" w:eastAsia="Times New Roman" w:hAnsi="Times New Roman" w:cs="Times New Roman"/>
          <w:i/>
          <w:sz w:val="20"/>
          <w:szCs w:val="24"/>
        </w:rPr>
        <w:t>A.Prisăcaru, 022-232785</w:t>
      </w:r>
    </w:p>
    <w:sectPr w:rsidR="00C337F6" w:rsidRPr="00D851EC">
      <w:pgSz w:w="11900" w:h="16820"/>
      <w:pgMar w:top="810" w:right="985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3D" w:rsidRDefault="0025313D" w:rsidP="00EB4F2F">
      <w:r>
        <w:separator/>
      </w:r>
    </w:p>
  </w:endnote>
  <w:endnote w:type="continuationSeparator" w:id="0">
    <w:p w:rsidR="0025313D" w:rsidRDefault="0025313D" w:rsidP="00EB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3D" w:rsidRDefault="0025313D" w:rsidP="00EB4F2F">
      <w:r>
        <w:separator/>
      </w:r>
    </w:p>
  </w:footnote>
  <w:footnote w:type="continuationSeparator" w:id="0">
    <w:p w:rsidR="0025313D" w:rsidRDefault="0025313D" w:rsidP="00EB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B67"/>
    <w:multiLevelType w:val="multilevel"/>
    <w:tmpl w:val="5A026F5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D300CD"/>
    <w:multiLevelType w:val="multilevel"/>
    <w:tmpl w:val="D81E78E0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9227B32"/>
    <w:multiLevelType w:val="hybridMultilevel"/>
    <w:tmpl w:val="DB061800"/>
    <w:lvl w:ilvl="0" w:tplc="405C95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758B"/>
    <w:multiLevelType w:val="hybridMultilevel"/>
    <w:tmpl w:val="FE687306"/>
    <w:lvl w:ilvl="0" w:tplc="A9EC55F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AA2042"/>
    <w:multiLevelType w:val="multilevel"/>
    <w:tmpl w:val="58D0BD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17A16"/>
    <w:multiLevelType w:val="multilevel"/>
    <w:tmpl w:val="F364C36C"/>
    <w:lvl w:ilvl="0">
      <w:start w:val="1"/>
      <w:numFmt w:val="decimal"/>
      <w:lvlText w:val="%1."/>
      <w:lvlJc w:val="left"/>
      <w:pPr>
        <w:ind w:left="324" w:hanging="262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•"/>
      <w:lvlJc w:val="left"/>
      <w:pPr>
        <w:ind w:left="1306" w:hanging="262"/>
      </w:pPr>
    </w:lvl>
    <w:lvl w:ilvl="2">
      <w:start w:val="1"/>
      <w:numFmt w:val="bullet"/>
      <w:lvlText w:val="•"/>
      <w:lvlJc w:val="left"/>
      <w:pPr>
        <w:ind w:left="2287" w:hanging="262"/>
      </w:pPr>
    </w:lvl>
    <w:lvl w:ilvl="3">
      <w:start w:val="1"/>
      <w:numFmt w:val="bullet"/>
      <w:lvlText w:val="•"/>
      <w:lvlJc w:val="left"/>
      <w:pPr>
        <w:ind w:left="3269" w:hanging="262"/>
      </w:pPr>
    </w:lvl>
    <w:lvl w:ilvl="4">
      <w:start w:val="1"/>
      <w:numFmt w:val="bullet"/>
      <w:lvlText w:val="•"/>
      <w:lvlJc w:val="left"/>
      <w:pPr>
        <w:ind w:left="4250" w:hanging="262"/>
      </w:pPr>
    </w:lvl>
    <w:lvl w:ilvl="5">
      <w:start w:val="1"/>
      <w:numFmt w:val="bullet"/>
      <w:lvlText w:val="•"/>
      <w:lvlJc w:val="left"/>
      <w:pPr>
        <w:ind w:left="5232" w:hanging="261"/>
      </w:pPr>
    </w:lvl>
    <w:lvl w:ilvl="6">
      <w:start w:val="1"/>
      <w:numFmt w:val="bullet"/>
      <w:lvlText w:val="•"/>
      <w:lvlJc w:val="left"/>
      <w:pPr>
        <w:ind w:left="6213" w:hanging="262"/>
      </w:pPr>
    </w:lvl>
    <w:lvl w:ilvl="7">
      <w:start w:val="1"/>
      <w:numFmt w:val="bullet"/>
      <w:lvlText w:val="•"/>
      <w:lvlJc w:val="left"/>
      <w:pPr>
        <w:ind w:left="7195" w:hanging="262"/>
      </w:pPr>
    </w:lvl>
    <w:lvl w:ilvl="8">
      <w:start w:val="1"/>
      <w:numFmt w:val="bullet"/>
      <w:lvlText w:val="•"/>
      <w:lvlJc w:val="left"/>
      <w:pPr>
        <w:ind w:left="8176" w:hanging="262"/>
      </w:pPr>
    </w:lvl>
  </w:abstractNum>
  <w:abstractNum w:abstractNumId="6" w15:restartNumberingAfterBreak="0">
    <w:nsid w:val="2BB04403"/>
    <w:multiLevelType w:val="multilevel"/>
    <w:tmpl w:val="C9C880F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9225C"/>
    <w:multiLevelType w:val="multilevel"/>
    <w:tmpl w:val="D64A9242"/>
    <w:lvl w:ilvl="0">
      <w:start w:val="1"/>
      <w:numFmt w:val="decimal"/>
      <w:lvlText w:val="%1)"/>
      <w:lvlJc w:val="left"/>
      <w:pPr>
        <w:ind w:left="296" w:hanging="262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•"/>
      <w:lvlJc w:val="left"/>
      <w:pPr>
        <w:ind w:left="1280" w:hanging="262"/>
      </w:pPr>
    </w:lvl>
    <w:lvl w:ilvl="2">
      <w:start w:val="1"/>
      <w:numFmt w:val="bullet"/>
      <w:lvlText w:val="•"/>
      <w:lvlJc w:val="left"/>
      <w:pPr>
        <w:ind w:left="2265" w:hanging="262"/>
      </w:pPr>
    </w:lvl>
    <w:lvl w:ilvl="3">
      <w:start w:val="1"/>
      <w:numFmt w:val="bullet"/>
      <w:lvlText w:val="•"/>
      <w:lvlJc w:val="left"/>
      <w:pPr>
        <w:ind w:left="3249" w:hanging="262"/>
      </w:pPr>
    </w:lvl>
    <w:lvl w:ilvl="4">
      <w:start w:val="1"/>
      <w:numFmt w:val="bullet"/>
      <w:lvlText w:val="•"/>
      <w:lvlJc w:val="left"/>
      <w:pPr>
        <w:ind w:left="4233" w:hanging="262"/>
      </w:pPr>
    </w:lvl>
    <w:lvl w:ilvl="5">
      <w:start w:val="1"/>
      <w:numFmt w:val="bullet"/>
      <w:lvlText w:val="•"/>
      <w:lvlJc w:val="left"/>
      <w:pPr>
        <w:ind w:left="5218" w:hanging="262"/>
      </w:pPr>
    </w:lvl>
    <w:lvl w:ilvl="6">
      <w:start w:val="1"/>
      <w:numFmt w:val="bullet"/>
      <w:lvlText w:val="•"/>
      <w:lvlJc w:val="left"/>
      <w:pPr>
        <w:ind w:left="6202" w:hanging="262"/>
      </w:pPr>
    </w:lvl>
    <w:lvl w:ilvl="7">
      <w:start w:val="1"/>
      <w:numFmt w:val="bullet"/>
      <w:lvlText w:val="•"/>
      <w:lvlJc w:val="left"/>
      <w:pPr>
        <w:ind w:left="7186" w:hanging="262"/>
      </w:pPr>
    </w:lvl>
    <w:lvl w:ilvl="8">
      <w:start w:val="1"/>
      <w:numFmt w:val="bullet"/>
      <w:lvlText w:val="•"/>
      <w:lvlJc w:val="left"/>
      <w:pPr>
        <w:ind w:left="8171" w:hanging="262"/>
      </w:pPr>
    </w:lvl>
  </w:abstractNum>
  <w:abstractNum w:abstractNumId="8" w15:restartNumberingAfterBreak="0">
    <w:nsid w:val="3C137304"/>
    <w:multiLevelType w:val="multilevel"/>
    <w:tmpl w:val="843A4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35C2"/>
    <w:multiLevelType w:val="multilevel"/>
    <w:tmpl w:val="3224F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168D9"/>
    <w:multiLevelType w:val="multilevel"/>
    <w:tmpl w:val="3258C054"/>
    <w:lvl w:ilvl="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00CF5"/>
    <w:multiLevelType w:val="multilevel"/>
    <w:tmpl w:val="6CB86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6875"/>
    <w:multiLevelType w:val="hybridMultilevel"/>
    <w:tmpl w:val="7EAE420A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4CDD"/>
    <w:multiLevelType w:val="hybridMultilevel"/>
    <w:tmpl w:val="F63606F0"/>
    <w:lvl w:ilvl="0" w:tplc="7E50577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E72325"/>
    <w:multiLevelType w:val="multilevel"/>
    <w:tmpl w:val="19380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A1EF9"/>
    <w:multiLevelType w:val="hybridMultilevel"/>
    <w:tmpl w:val="D6C0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F6978"/>
    <w:multiLevelType w:val="hybridMultilevel"/>
    <w:tmpl w:val="21DC652C"/>
    <w:lvl w:ilvl="0" w:tplc="849E37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645147"/>
    <w:multiLevelType w:val="hybridMultilevel"/>
    <w:tmpl w:val="9244DEDC"/>
    <w:lvl w:ilvl="0" w:tplc="3BEC2D52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66E77CA0"/>
    <w:multiLevelType w:val="hybridMultilevel"/>
    <w:tmpl w:val="79E4A592"/>
    <w:lvl w:ilvl="0" w:tplc="04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70538"/>
    <w:multiLevelType w:val="hybridMultilevel"/>
    <w:tmpl w:val="3F7A7B1C"/>
    <w:lvl w:ilvl="0" w:tplc="784684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13"/>
  </w:num>
  <w:num w:numId="13">
    <w:abstractNumId w:val="15"/>
  </w:num>
  <w:num w:numId="14">
    <w:abstractNumId w:val="17"/>
  </w:num>
  <w:num w:numId="15">
    <w:abstractNumId w:val="16"/>
  </w:num>
  <w:num w:numId="16">
    <w:abstractNumId w:val="19"/>
  </w:num>
  <w:num w:numId="17">
    <w:abstractNumId w:val="2"/>
  </w:num>
  <w:num w:numId="18">
    <w:abstractNumId w:val="12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F6"/>
    <w:rsid w:val="00022511"/>
    <w:rsid w:val="0002669A"/>
    <w:rsid w:val="0004455E"/>
    <w:rsid w:val="00047474"/>
    <w:rsid w:val="00051ED4"/>
    <w:rsid w:val="00052247"/>
    <w:rsid w:val="000735F5"/>
    <w:rsid w:val="000800DD"/>
    <w:rsid w:val="0008795B"/>
    <w:rsid w:val="00090FE6"/>
    <w:rsid w:val="000A0AA3"/>
    <w:rsid w:val="000C3BD3"/>
    <w:rsid w:val="000E7C62"/>
    <w:rsid w:val="00105F9F"/>
    <w:rsid w:val="001069A9"/>
    <w:rsid w:val="00123840"/>
    <w:rsid w:val="00126EBD"/>
    <w:rsid w:val="001421EA"/>
    <w:rsid w:val="00145E77"/>
    <w:rsid w:val="00154461"/>
    <w:rsid w:val="001648A7"/>
    <w:rsid w:val="0017782A"/>
    <w:rsid w:val="001864B2"/>
    <w:rsid w:val="00196CB4"/>
    <w:rsid w:val="001A0565"/>
    <w:rsid w:val="001A594B"/>
    <w:rsid w:val="001A7112"/>
    <w:rsid w:val="001B3346"/>
    <w:rsid w:val="001B7F98"/>
    <w:rsid w:val="001C1533"/>
    <w:rsid w:val="001C312B"/>
    <w:rsid w:val="001D5A1F"/>
    <w:rsid w:val="001E0EF5"/>
    <w:rsid w:val="001E57D8"/>
    <w:rsid w:val="001E6348"/>
    <w:rsid w:val="001F73A6"/>
    <w:rsid w:val="00203495"/>
    <w:rsid w:val="00207353"/>
    <w:rsid w:val="00214BC5"/>
    <w:rsid w:val="00220064"/>
    <w:rsid w:val="00221FCF"/>
    <w:rsid w:val="0024023B"/>
    <w:rsid w:val="00240AB2"/>
    <w:rsid w:val="002476C8"/>
    <w:rsid w:val="0025313D"/>
    <w:rsid w:val="00256913"/>
    <w:rsid w:val="00257DF0"/>
    <w:rsid w:val="002629CF"/>
    <w:rsid w:val="00287B85"/>
    <w:rsid w:val="00295EE1"/>
    <w:rsid w:val="002B5E36"/>
    <w:rsid w:val="002B683D"/>
    <w:rsid w:val="002C7ED7"/>
    <w:rsid w:val="002D63B2"/>
    <w:rsid w:val="002D6780"/>
    <w:rsid w:val="00304BFF"/>
    <w:rsid w:val="00304E46"/>
    <w:rsid w:val="00315098"/>
    <w:rsid w:val="00335809"/>
    <w:rsid w:val="00352936"/>
    <w:rsid w:val="00352DA9"/>
    <w:rsid w:val="00373675"/>
    <w:rsid w:val="00377908"/>
    <w:rsid w:val="00383CF0"/>
    <w:rsid w:val="003B0C2A"/>
    <w:rsid w:val="003B2110"/>
    <w:rsid w:val="003C374B"/>
    <w:rsid w:val="003C7190"/>
    <w:rsid w:val="003D4D4B"/>
    <w:rsid w:val="003D4E27"/>
    <w:rsid w:val="003D65EB"/>
    <w:rsid w:val="003E3081"/>
    <w:rsid w:val="003F144E"/>
    <w:rsid w:val="00406436"/>
    <w:rsid w:val="004064CE"/>
    <w:rsid w:val="004117C5"/>
    <w:rsid w:val="00423212"/>
    <w:rsid w:val="00437930"/>
    <w:rsid w:val="00437998"/>
    <w:rsid w:val="004421C7"/>
    <w:rsid w:val="00487015"/>
    <w:rsid w:val="004973AB"/>
    <w:rsid w:val="004B22DA"/>
    <w:rsid w:val="004B27FC"/>
    <w:rsid w:val="004C6D38"/>
    <w:rsid w:val="004E0945"/>
    <w:rsid w:val="004F155E"/>
    <w:rsid w:val="004F53DB"/>
    <w:rsid w:val="004F7041"/>
    <w:rsid w:val="00501E40"/>
    <w:rsid w:val="00521552"/>
    <w:rsid w:val="00527A56"/>
    <w:rsid w:val="005540A7"/>
    <w:rsid w:val="00562D92"/>
    <w:rsid w:val="00570994"/>
    <w:rsid w:val="0057673D"/>
    <w:rsid w:val="00582AC8"/>
    <w:rsid w:val="005840BE"/>
    <w:rsid w:val="00593CF8"/>
    <w:rsid w:val="00594CCD"/>
    <w:rsid w:val="005A19A7"/>
    <w:rsid w:val="005A2E2E"/>
    <w:rsid w:val="005A3F96"/>
    <w:rsid w:val="005B687D"/>
    <w:rsid w:val="005D211C"/>
    <w:rsid w:val="005D2DBA"/>
    <w:rsid w:val="005E1457"/>
    <w:rsid w:val="005E28DF"/>
    <w:rsid w:val="005E37EF"/>
    <w:rsid w:val="005E709D"/>
    <w:rsid w:val="005F33B4"/>
    <w:rsid w:val="0060181B"/>
    <w:rsid w:val="00601959"/>
    <w:rsid w:val="00603F33"/>
    <w:rsid w:val="006048C3"/>
    <w:rsid w:val="00605DA2"/>
    <w:rsid w:val="00614A27"/>
    <w:rsid w:val="00623970"/>
    <w:rsid w:val="00633A36"/>
    <w:rsid w:val="006605E2"/>
    <w:rsid w:val="006659B9"/>
    <w:rsid w:val="0067660E"/>
    <w:rsid w:val="00682EB3"/>
    <w:rsid w:val="006A7264"/>
    <w:rsid w:val="006E6788"/>
    <w:rsid w:val="00712832"/>
    <w:rsid w:val="007140E3"/>
    <w:rsid w:val="007165BB"/>
    <w:rsid w:val="00716789"/>
    <w:rsid w:val="00723C5E"/>
    <w:rsid w:val="0072493C"/>
    <w:rsid w:val="00724BA6"/>
    <w:rsid w:val="00740969"/>
    <w:rsid w:val="007513EA"/>
    <w:rsid w:val="007541B2"/>
    <w:rsid w:val="007642C8"/>
    <w:rsid w:val="00772A4A"/>
    <w:rsid w:val="0077729C"/>
    <w:rsid w:val="0079119C"/>
    <w:rsid w:val="00796BE3"/>
    <w:rsid w:val="007A12CC"/>
    <w:rsid w:val="007D6434"/>
    <w:rsid w:val="007E0A64"/>
    <w:rsid w:val="007F1D20"/>
    <w:rsid w:val="007F5069"/>
    <w:rsid w:val="008006E0"/>
    <w:rsid w:val="00801818"/>
    <w:rsid w:val="00802F2C"/>
    <w:rsid w:val="008167DA"/>
    <w:rsid w:val="00817443"/>
    <w:rsid w:val="008231DE"/>
    <w:rsid w:val="00830BE6"/>
    <w:rsid w:val="008375F2"/>
    <w:rsid w:val="00842AC5"/>
    <w:rsid w:val="008479C7"/>
    <w:rsid w:val="00847BF3"/>
    <w:rsid w:val="0085794D"/>
    <w:rsid w:val="008730A9"/>
    <w:rsid w:val="00892AA4"/>
    <w:rsid w:val="00893F97"/>
    <w:rsid w:val="008965DF"/>
    <w:rsid w:val="008A5DF0"/>
    <w:rsid w:val="008E21AF"/>
    <w:rsid w:val="008E284B"/>
    <w:rsid w:val="008E7504"/>
    <w:rsid w:val="008F0993"/>
    <w:rsid w:val="008F4CC1"/>
    <w:rsid w:val="008F5C9C"/>
    <w:rsid w:val="009211D4"/>
    <w:rsid w:val="009218D1"/>
    <w:rsid w:val="00922977"/>
    <w:rsid w:val="00944A74"/>
    <w:rsid w:val="00954422"/>
    <w:rsid w:val="00957713"/>
    <w:rsid w:val="009675CF"/>
    <w:rsid w:val="00991368"/>
    <w:rsid w:val="009A036B"/>
    <w:rsid w:val="009A1233"/>
    <w:rsid w:val="009C175A"/>
    <w:rsid w:val="009C4004"/>
    <w:rsid w:val="009C62EC"/>
    <w:rsid w:val="009C6F53"/>
    <w:rsid w:val="009D2753"/>
    <w:rsid w:val="009D5DD9"/>
    <w:rsid w:val="009E371F"/>
    <w:rsid w:val="009E5118"/>
    <w:rsid w:val="00A020AA"/>
    <w:rsid w:val="00A03A08"/>
    <w:rsid w:val="00A20857"/>
    <w:rsid w:val="00A209BF"/>
    <w:rsid w:val="00A2212A"/>
    <w:rsid w:val="00A236E2"/>
    <w:rsid w:val="00A26808"/>
    <w:rsid w:val="00A321BD"/>
    <w:rsid w:val="00A35CD9"/>
    <w:rsid w:val="00A45531"/>
    <w:rsid w:val="00A47E69"/>
    <w:rsid w:val="00A51264"/>
    <w:rsid w:val="00A56803"/>
    <w:rsid w:val="00A700A9"/>
    <w:rsid w:val="00A7646A"/>
    <w:rsid w:val="00A7668A"/>
    <w:rsid w:val="00A94AD4"/>
    <w:rsid w:val="00A95443"/>
    <w:rsid w:val="00AB5D50"/>
    <w:rsid w:val="00AB5F40"/>
    <w:rsid w:val="00AC1490"/>
    <w:rsid w:val="00AD5697"/>
    <w:rsid w:val="00AD7EA7"/>
    <w:rsid w:val="00AE0EC8"/>
    <w:rsid w:val="00AE0FBF"/>
    <w:rsid w:val="00AE2431"/>
    <w:rsid w:val="00AE5566"/>
    <w:rsid w:val="00AE57E3"/>
    <w:rsid w:val="00B30AE5"/>
    <w:rsid w:val="00B332BD"/>
    <w:rsid w:val="00B559AC"/>
    <w:rsid w:val="00B63345"/>
    <w:rsid w:val="00B65789"/>
    <w:rsid w:val="00BB0CD2"/>
    <w:rsid w:val="00BC036A"/>
    <w:rsid w:val="00BF08EB"/>
    <w:rsid w:val="00BF2551"/>
    <w:rsid w:val="00BF5E15"/>
    <w:rsid w:val="00C20536"/>
    <w:rsid w:val="00C337F6"/>
    <w:rsid w:val="00C436C8"/>
    <w:rsid w:val="00C451E8"/>
    <w:rsid w:val="00C50730"/>
    <w:rsid w:val="00C51EDD"/>
    <w:rsid w:val="00C57D08"/>
    <w:rsid w:val="00C76755"/>
    <w:rsid w:val="00CB3A60"/>
    <w:rsid w:val="00CC2926"/>
    <w:rsid w:val="00CE0202"/>
    <w:rsid w:val="00CE6F40"/>
    <w:rsid w:val="00D13DC4"/>
    <w:rsid w:val="00D465B2"/>
    <w:rsid w:val="00D50546"/>
    <w:rsid w:val="00D52876"/>
    <w:rsid w:val="00D53294"/>
    <w:rsid w:val="00D60FCD"/>
    <w:rsid w:val="00D627FD"/>
    <w:rsid w:val="00D711A5"/>
    <w:rsid w:val="00D7458F"/>
    <w:rsid w:val="00D80F16"/>
    <w:rsid w:val="00D851EC"/>
    <w:rsid w:val="00DA3A9D"/>
    <w:rsid w:val="00DB7831"/>
    <w:rsid w:val="00DC5D18"/>
    <w:rsid w:val="00DC682A"/>
    <w:rsid w:val="00DC7C4D"/>
    <w:rsid w:val="00DD2F7A"/>
    <w:rsid w:val="00DE3639"/>
    <w:rsid w:val="00DE7A26"/>
    <w:rsid w:val="00E074FF"/>
    <w:rsid w:val="00E10267"/>
    <w:rsid w:val="00E129D4"/>
    <w:rsid w:val="00E32842"/>
    <w:rsid w:val="00E33EB3"/>
    <w:rsid w:val="00E350FE"/>
    <w:rsid w:val="00E37B3F"/>
    <w:rsid w:val="00E41201"/>
    <w:rsid w:val="00E52B15"/>
    <w:rsid w:val="00E70BD6"/>
    <w:rsid w:val="00E73CC3"/>
    <w:rsid w:val="00E7481F"/>
    <w:rsid w:val="00E90959"/>
    <w:rsid w:val="00E97B35"/>
    <w:rsid w:val="00EB4CA9"/>
    <w:rsid w:val="00EB4F2F"/>
    <w:rsid w:val="00EC77F7"/>
    <w:rsid w:val="00EC78EA"/>
    <w:rsid w:val="00ED272D"/>
    <w:rsid w:val="00EE7B7E"/>
    <w:rsid w:val="00EF5CB1"/>
    <w:rsid w:val="00F01660"/>
    <w:rsid w:val="00F15D6F"/>
    <w:rsid w:val="00F21DCB"/>
    <w:rsid w:val="00F220FD"/>
    <w:rsid w:val="00F34F8A"/>
    <w:rsid w:val="00F376C4"/>
    <w:rsid w:val="00F37829"/>
    <w:rsid w:val="00F55FB0"/>
    <w:rsid w:val="00F643FF"/>
    <w:rsid w:val="00F65D30"/>
    <w:rsid w:val="00F712EF"/>
    <w:rsid w:val="00F844BA"/>
    <w:rsid w:val="00F92665"/>
    <w:rsid w:val="00F963DA"/>
    <w:rsid w:val="00FB3751"/>
    <w:rsid w:val="00FD1515"/>
    <w:rsid w:val="00FD39B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73F566-88CC-4D62-AB4B-AABECB0A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6C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E1643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46C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846C91"/>
    <w:rPr>
      <w:b/>
      <w:bCs/>
    </w:rPr>
  </w:style>
  <w:style w:type="paragraph" w:styleId="NormalWeb">
    <w:name w:val="Normal (Web)"/>
    <w:basedOn w:val="Normal"/>
    <w:uiPriority w:val="99"/>
    <w:rsid w:val="00463469"/>
    <w:pPr>
      <w:widowControl/>
      <w:spacing w:before="100" w:beforeAutospacing="1" w:after="100" w:afterAutospacing="1"/>
      <w:ind w:firstLine="720"/>
      <w:jc w:val="both"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D25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25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252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5F5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2F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0B42"/>
    <w:rPr>
      <w:sz w:val="16"/>
      <w:szCs w:val="16"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link w:val="ListParagraph"/>
    <w:uiPriority w:val="34"/>
    <w:locked/>
    <w:rsid w:val="00C515E7"/>
  </w:style>
  <w:style w:type="paragraph" w:styleId="BalloonText">
    <w:name w:val="Balloon Text"/>
    <w:basedOn w:val="Normal"/>
    <w:link w:val="BalloonTextChar"/>
    <w:uiPriority w:val="99"/>
    <w:semiHidden/>
    <w:unhideWhenUsed/>
    <w:rsid w:val="00046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12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1234"/>
    <w:pPr>
      <w:widowControl/>
      <w:tabs>
        <w:tab w:val="center" w:pos="4680"/>
        <w:tab w:val="right" w:pos="9360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E91234"/>
    <w:rPr>
      <w:lang w:val="ru-RU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68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D0849"/>
    <w:rPr>
      <w:i/>
      <w:iCs/>
    </w:rPr>
  </w:style>
  <w:style w:type="paragraph" w:styleId="Revision">
    <w:name w:val="Revision"/>
    <w:hidden/>
    <w:uiPriority w:val="99"/>
    <w:semiHidden/>
    <w:rsid w:val="00E22C13"/>
    <w:pPr>
      <w:widowControl/>
    </w:pPr>
  </w:style>
  <w:style w:type="table" w:customStyle="1" w:styleId="ae">
    <w:basedOn w:val="TableNormal"/>
    <w:pPr>
      <w:widowControl/>
    </w:pPr>
    <w:tblPr>
      <w:tblStyleRowBandSize w:val="1"/>
      <w:tblStyleColBandSize w:val="1"/>
    </w:tblPr>
  </w:style>
  <w:style w:type="table" w:customStyle="1" w:styleId="af">
    <w:basedOn w:val="TableNormal"/>
    <w:pPr>
      <w:widowControl/>
    </w:pPr>
    <w:tblPr>
      <w:tblStyleRowBandSize w:val="1"/>
      <w:tblStyleColBandSize w:val="1"/>
    </w:tblPr>
  </w:style>
  <w:style w:type="table" w:customStyle="1" w:styleId="af0">
    <w:basedOn w:val="TableNormal"/>
    <w:pPr>
      <w:widowControl/>
    </w:pPr>
    <w:tblPr>
      <w:tblStyleRowBandSize w:val="1"/>
      <w:tblStyleColBandSize w:val="1"/>
    </w:tblPr>
  </w:style>
  <w:style w:type="table" w:customStyle="1" w:styleId="af1">
    <w:basedOn w:val="TableNormal"/>
    <w:pPr>
      <w:widowControl/>
    </w:pPr>
    <w:tblPr>
      <w:tblStyleRowBandSize w:val="1"/>
      <w:tblStyleColBandSize w:val="1"/>
    </w:tblPr>
  </w:style>
  <w:style w:type="table" w:customStyle="1" w:styleId="af2">
    <w:basedOn w:val="Table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u8fmeYzkD3cyPQITU7BLpYnzg==">CgMxLjAyCGguZ2pkZ3hzOABqKAoUc3VnZ2VzdC5pd3BibGh2em5xMjYSEFZpY3RvcmlhIENhdGFub2lyITFoVDMtS0padC1FQlVpbmJkbHFzSXZZTHlPRG92MG1Lbw==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1E9869-E957-401C-9BC6-0971C799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Split&amp;Merge</dc:creator>
  <cp:lastModifiedBy>Angela Prisacaru</cp:lastModifiedBy>
  <cp:revision>29</cp:revision>
  <cp:lastPrinted>2023-11-14T12:04:00Z</cp:lastPrinted>
  <dcterms:created xsi:type="dcterms:W3CDTF">2024-04-18T04:55:00Z</dcterms:created>
  <dcterms:modified xsi:type="dcterms:W3CDTF">2024-04-18T06:21:00Z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LastSaved">
    <vt:filetime>2021-02-06T00:00:00Z</vt:filetime>
  </property>
</Properties>
</file>