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130" w:rsidRPr="0017198B" w:rsidRDefault="00F17130" w:rsidP="00F17130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7198B">
        <w:rPr>
          <w:rFonts w:ascii="Times New Roman" w:hAnsi="Times New Roman" w:cs="Times New Roman"/>
          <w:b/>
          <w:sz w:val="27"/>
          <w:szCs w:val="27"/>
        </w:rPr>
        <w:t>Notă informativă</w:t>
      </w:r>
    </w:p>
    <w:p w:rsidR="00CE35E2" w:rsidRDefault="00F17130" w:rsidP="00CE35E2">
      <w:pPr>
        <w:spacing w:after="0"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7198B">
        <w:rPr>
          <w:rFonts w:ascii="Times New Roman" w:hAnsi="Times New Roman" w:cs="Times New Roman"/>
          <w:b/>
          <w:sz w:val="27"/>
          <w:szCs w:val="27"/>
        </w:rPr>
        <w:t xml:space="preserve">la proiectul </w:t>
      </w:r>
      <w:r w:rsidR="00644CF9" w:rsidRPr="0017198B">
        <w:rPr>
          <w:rFonts w:ascii="Times New Roman" w:hAnsi="Times New Roman"/>
          <w:b/>
          <w:sz w:val="27"/>
          <w:szCs w:val="27"/>
        </w:rPr>
        <w:t>h</w:t>
      </w:r>
      <w:r w:rsidR="00A63EE0" w:rsidRPr="0017198B">
        <w:rPr>
          <w:rFonts w:ascii="Times New Roman" w:hAnsi="Times New Roman"/>
          <w:b/>
          <w:sz w:val="27"/>
          <w:szCs w:val="27"/>
        </w:rPr>
        <w:t xml:space="preserve">otărârii </w:t>
      </w:r>
      <w:r w:rsidRPr="0017198B">
        <w:rPr>
          <w:rFonts w:ascii="Times New Roman" w:hAnsi="Times New Roman"/>
          <w:b/>
          <w:sz w:val="27"/>
          <w:szCs w:val="27"/>
        </w:rPr>
        <w:t xml:space="preserve">de Guvern </w:t>
      </w:r>
      <w:r w:rsidR="00CE35E2">
        <w:rPr>
          <w:rFonts w:ascii="Times New Roman" w:hAnsi="Times New Roman" w:cs="Times New Roman"/>
          <w:b/>
          <w:sz w:val="27"/>
          <w:szCs w:val="27"/>
        </w:rPr>
        <w:t xml:space="preserve">privind activitatea </w:t>
      </w:r>
    </w:p>
    <w:p w:rsidR="00486FEB" w:rsidRPr="0017198B" w:rsidRDefault="00CE35E2" w:rsidP="00CE35E2">
      <w:pPr>
        <w:spacing w:after="0"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Comitetului Național Codex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Alimentarius</w:t>
      </w:r>
      <w:proofErr w:type="spellEnd"/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570"/>
      </w:tblGrid>
      <w:tr w:rsidR="00486FEB" w:rsidRPr="0017198B" w:rsidTr="00D81D4F">
        <w:tc>
          <w:tcPr>
            <w:tcW w:w="9570" w:type="dxa"/>
          </w:tcPr>
          <w:p w:rsidR="00486FEB" w:rsidRPr="0017198B" w:rsidRDefault="00A23DF2" w:rsidP="00D269AF">
            <w:pPr>
              <w:pStyle w:val="NoSpacing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1.</w:t>
            </w:r>
            <w:r w:rsidR="000B4E9E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Autorii proiectului</w:t>
            </w:r>
          </w:p>
        </w:tc>
      </w:tr>
      <w:tr w:rsidR="00486FEB" w:rsidRPr="0017198B" w:rsidTr="00D81D4F">
        <w:tc>
          <w:tcPr>
            <w:tcW w:w="9570" w:type="dxa"/>
          </w:tcPr>
          <w:p w:rsidR="00486FEB" w:rsidRPr="0017198B" w:rsidRDefault="00486FEB" w:rsidP="00A8639D">
            <w:pPr>
              <w:spacing w:after="0"/>
              <w:ind w:firstLine="596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>Ministerul Agriculturii</w:t>
            </w:r>
            <w:r w:rsidR="00A8639D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 și Industriei Alimentare</w:t>
            </w:r>
          </w:p>
        </w:tc>
      </w:tr>
      <w:tr w:rsidR="00486FEB" w:rsidRPr="0017198B" w:rsidTr="00D81D4F">
        <w:tc>
          <w:tcPr>
            <w:tcW w:w="9570" w:type="dxa"/>
          </w:tcPr>
          <w:p w:rsidR="00486FEB" w:rsidRPr="0017198B" w:rsidRDefault="00A23DF2" w:rsidP="00D269AF">
            <w:pPr>
              <w:pStyle w:val="NoSpacing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2.</w:t>
            </w:r>
            <w:r w:rsidR="000B4E9E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E31259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Condițiile</w:t>
            </w:r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ce au impus elaborarea proiectului de act normativ </w:t>
            </w:r>
            <w:r w:rsidR="00370F45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și</w:t>
            </w:r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370F45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finalitățile</w:t>
            </w:r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urmărite</w:t>
            </w:r>
          </w:p>
        </w:tc>
      </w:tr>
      <w:tr w:rsidR="00486FEB" w:rsidRPr="0017198B" w:rsidTr="007E7003">
        <w:trPr>
          <w:trHeight w:val="991"/>
        </w:trPr>
        <w:tc>
          <w:tcPr>
            <w:tcW w:w="9570" w:type="dxa"/>
          </w:tcPr>
          <w:p w:rsidR="00D33020" w:rsidRDefault="00CE35E2" w:rsidP="00D33020">
            <w:pPr>
              <w:pStyle w:val="Style7"/>
              <w:tabs>
                <w:tab w:val="left" w:leader="underscore" w:pos="9374"/>
              </w:tabs>
              <w:ind w:left="-14" w:firstLine="720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La moment sunt</w:t>
            </w:r>
            <w:r w:rsidR="00D33020" w:rsidRPr="00F10CFA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 în vigoare Hotărârea de Guvern</w:t>
            </w:r>
            <w:r w:rsidR="007D4B7E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 866/1999 despre instituirea Comitetului Național Codex </w:t>
            </w:r>
            <w:proofErr w:type="spellStart"/>
            <w:r w:rsidR="007D4B7E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Alimentarius</w:t>
            </w:r>
            <w:proofErr w:type="spellEnd"/>
            <w:r w:rsidR="007D4B7E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 și Hotărârea de Guvern 419/2000 despre aprobarea Regulamentului</w:t>
            </w:r>
            <w:r w:rsidR="00A02B0F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 Comitetului Național Codex </w:t>
            </w:r>
            <w:proofErr w:type="spellStart"/>
            <w:r w:rsidR="00A02B0F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Alimentarius</w:t>
            </w:r>
            <w:proofErr w:type="spellEnd"/>
            <w:r w:rsidR="00D33020" w:rsidRPr="00F10CFA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, dar s-a decis </w:t>
            </w:r>
            <w:r w:rsidR="00A02B0F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elaborarea unui</w:t>
            </w:r>
            <w:r w:rsidR="003D357D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 proiect de hotărâre de Guvern privind activitatea Comitetului Națion</w:t>
            </w:r>
            <w:r w:rsidR="00D904B2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al Codex </w:t>
            </w:r>
            <w:proofErr w:type="spellStart"/>
            <w:r w:rsidR="00D904B2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Alimentariu</w:t>
            </w:r>
            <w:r w:rsidR="00CF121D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s</w:t>
            </w:r>
            <w:proofErr w:type="spellEnd"/>
            <w:r w:rsidR="00D904B2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, iar Hotărâ</w:t>
            </w:r>
            <w:r w:rsidR="003D357D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rile anterioare vor fi abrogate</w:t>
            </w:r>
            <w:r w:rsidR="00D33020" w:rsidRPr="00F10CFA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.</w:t>
            </w:r>
            <w:r w:rsidR="0061286D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 </w:t>
            </w:r>
          </w:p>
          <w:p w:rsidR="001F45AD" w:rsidRDefault="001F45AD" w:rsidP="001F45AD">
            <w:pPr>
              <w:pStyle w:val="Style7"/>
              <w:tabs>
                <w:tab w:val="left" w:leader="underscore" w:pos="9374"/>
              </w:tabs>
              <w:ind w:left="-14" w:firstLine="720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În urma ședințelor organizate de către Agenția Națională pentru Siguranța Alimentelor cu membrii Comitetului Național Codex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Alimentarius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, s-a decis elaborarea unui singur act normativ complet care prevede activitatea Comitetului Național Codex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Alimentarius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. Acest fapt va facilita utilizarea legislației în contextul transpunerii </w:t>
            </w:r>
            <w:r w:rsidRPr="00E91FCD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acquis-</w:t>
            </w:r>
            <w:proofErr w:type="spellStart"/>
            <w:r w:rsidRPr="00E91FCD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ul</w:t>
            </w:r>
            <w:proofErr w:type="spellEnd"/>
            <w:r w:rsidRPr="00E91FCD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 comunitar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.</w:t>
            </w:r>
          </w:p>
          <w:p w:rsidR="00F567DB" w:rsidRPr="00F10CFA" w:rsidRDefault="001D1EC1" w:rsidP="001F45AD">
            <w:pPr>
              <w:pStyle w:val="Style7"/>
              <w:tabs>
                <w:tab w:val="left" w:leader="underscore" w:pos="9374"/>
              </w:tabs>
              <w:ind w:left="-14" w:firstLine="720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În proi</w:t>
            </w:r>
            <w:r w:rsidR="00A60DBD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ectul hotărârii vor fi indicate instituțiile competente</w:t>
            </w:r>
            <w:r w:rsidR="00704098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 actualizate </w:t>
            </w:r>
            <w:r w:rsidR="00EC185E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unde</w:t>
            </w:r>
            <w:r w:rsidR="00571CA3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 vor</w:t>
            </w:r>
            <w:r w:rsidR="00EC185E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 fi exclus</w:t>
            </w:r>
            <w:r w:rsidR="00571CA3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e persoanele responsabile și funcțiile acestora</w:t>
            </w:r>
            <w:r w:rsidR="00D906B4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,</w:t>
            </w:r>
            <w:r w:rsidR="001A7C2E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 și R</w:t>
            </w:r>
            <w:r w:rsidR="00EC185E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egulamentul Comitetului Național Codex </w:t>
            </w:r>
            <w:proofErr w:type="spellStart"/>
            <w:r w:rsidR="00EC185E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Ali</w:t>
            </w:r>
            <w:r w:rsidR="001A7C2E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mentarius</w:t>
            </w:r>
            <w:proofErr w:type="spellEnd"/>
            <w:r w:rsidR="001A7C2E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 ajustat și actualizat.</w:t>
            </w:r>
          </w:p>
        </w:tc>
      </w:tr>
      <w:tr w:rsidR="00A23DF2" w:rsidRPr="0017198B" w:rsidTr="00D81D4F">
        <w:tc>
          <w:tcPr>
            <w:tcW w:w="9570" w:type="dxa"/>
          </w:tcPr>
          <w:p w:rsidR="00A23DF2" w:rsidRPr="0017198B" w:rsidRDefault="00A23DF2" w:rsidP="00A23DF2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3.</w:t>
            </w:r>
            <w:r w:rsidR="000B4E9E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Descrierea gradului de compatibilitate pentru proiectele care au ca scop armonizarea </w:t>
            </w:r>
            <w:r w:rsidR="00401DDF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legislației</w:t>
            </w: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01DDF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naționale</w:t>
            </w: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cu </w:t>
            </w:r>
            <w:r w:rsidR="00401DDF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legislația</w:t>
            </w: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Uniunii Europene</w:t>
            </w:r>
          </w:p>
        </w:tc>
      </w:tr>
      <w:tr w:rsidR="00A23DF2" w:rsidRPr="0017198B" w:rsidTr="00D81D4F">
        <w:tc>
          <w:tcPr>
            <w:tcW w:w="9570" w:type="dxa"/>
          </w:tcPr>
          <w:p w:rsidR="00642C64" w:rsidRPr="00642C64" w:rsidRDefault="00874DA3" w:rsidP="001F45AD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 w:rsidRPr="0017198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Preze</w:t>
            </w:r>
            <w:r w:rsidR="00430806" w:rsidRPr="0017198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ntul proiect are drept scop ajus</w:t>
            </w:r>
            <w:r w:rsidRPr="0017198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tarea cadrului normativ național</w:t>
            </w:r>
            <w:r w:rsidR="00717CD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.</w:t>
            </w:r>
            <w:bookmarkStart w:id="0" w:name="_GoBack"/>
            <w:bookmarkEnd w:id="0"/>
          </w:p>
        </w:tc>
      </w:tr>
      <w:tr w:rsidR="00486FEB" w:rsidRPr="0017198B" w:rsidTr="00D81D4F">
        <w:tc>
          <w:tcPr>
            <w:tcW w:w="9570" w:type="dxa"/>
          </w:tcPr>
          <w:p w:rsidR="00486FEB" w:rsidRPr="0017198B" w:rsidRDefault="00A23DF2" w:rsidP="00D269AF">
            <w:pPr>
              <w:pStyle w:val="NoSpacing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4.</w:t>
            </w:r>
            <w:r w:rsidR="000B4E9E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Principalele prevederi ale proiectului </w:t>
            </w:r>
            <w:r w:rsidR="00401DDF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și</w:t>
            </w:r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01DDF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evidențierea</w:t>
            </w:r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elementelor noi</w:t>
            </w:r>
          </w:p>
        </w:tc>
      </w:tr>
      <w:tr w:rsidR="00486FEB" w:rsidRPr="0017198B" w:rsidTr="00590D7A">
        <w:trPr>
          <w:trHeight w:val="274"/>
        </w:trPr>
        <w:tc>
          <w:tcPr>
            <w:tcW w:w="9570" w:type="dxa"/>
          </w:tcPr>
          <w:p w:rsidR="002930A2" w:rsidRDefault="002930A2" w:rsidP="006954E9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o-RO"/>
              </w:rPr>
              <w:t>Principalele prevederi ale p</w:t>
            </w:r>
            <w:r w:rsidR="00AC1079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o-RO"/>
              </w:rPr>
              <w:t>roiectul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o-RO"/>
              </w:rPr>
              <w:t>ui</w:t>
            </w:r>
            <w:r w:rsidR="00AC1079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o-RO"/>
              </w:rPr>
              <w:t xml:space="preserve"> hotărârii de Guvern privind activitatea Comitetului Național Codex </w:t>
            </w:r>
            <w:proofErr w:type="spellStart"/>
            <w:r w:rsidR="00AC1079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o-RO"/>
              </w:rPr>
              <w:t>Alimentarius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o-RO"/>
              </w:rPr>
              <w:t xml:space="preserve"> sunt următoarele:</w:t>
            </w:r>
          </w:p>
          <w:p w:rsidR="00EB17CD" w:rsidRDefault="002930A2" w:rsidP="002930A2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 w:rsidRPr="0077528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</w:t>
            </w:r>
            <w:r w:rsidR="005245B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a)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instituirea C</w:t>
            </w:r>
            <w:r w:rsidR="00081A8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omitetului Național Codex </w:t>
            </w:r>
            <w:proofErr w:type="spellStart"/>
            <w:r w:rsidR="00081A8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Alimentarius</w:t>
            </w:r>
            <w:proofErr w:type="spellEnd"/>
            <w:r w:rsidR="00081A8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cu statut de organ consultativ al </w:t>
            </w:r>
            <w:r w:rsidR="006E256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Guvernului Republicii Moldova în problemele unificării cerințelor față de calitatea și </w:t>
            </w:r>
            <w:r w:rsidR="00F0307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siguranța circuitului alimentar și ale propagării principiilor alimentației sănătoase în </w:t>
            </w:r>
            <w:r w:rsidR="00A5600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conformitate cu recomandările Comisiei Codex </w:t>
            </w:r>
            <w:proofErr w:type="spellStart"/>
            <w:r w:rsidR="00A5600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Alimentarius</w:t>
            </w:r>
            <w:proofErr w:type="spellEnd"/>
            <w:r w:rsidR="00A5600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și se aprobă componența lui instituțională</w:t>
            </w:r>
            <w:r w:rsidR="00401A5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. În Hotărârea Guvernului</w:t>
            </w:r>
            <w:r w:rsidR="003E420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866/1999</w:t>
            </w:r>
            <w:r w:rsidR="00A50BA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este instituită Componența nominală a Comitetului Național Codex </w:t>
            </w:r>
            <w:proofErr w:type="spellStart"/>
            <w:r w:rsidR="00A50BA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Alimentarius</w:t>
            </w:r>
            <w:proofErr w:type="spellEnd"/>
            <w:r w:rsidR="00A50BA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dar conform </w:t>
            </w:r>
            <w:r w:rsidR="001B021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modificărilor</w:t>
            </w:r>
            <w:r w:rsidR="008872F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ulterioare</w:t>
            </w:r>
            <w:r w:rsidR="001B021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de redenumire a instituțiilor</w:t>
            </w:r>
            <w:r w:rsidR="00C61CF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, actul normativ nu a fost actualizat și </w:t>
            </w:r>
            <w:r w:rsidR="00D3662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informația este învechită, respectiv s-a decis de a ajusta cadrul normativ și de a indica doar instituțiile competente </w:t>
            </w:r>
            <w:r w:rsidR="008872F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fără f</w:t>
            </w:r>
            <w:r w:rsidR="00D90075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uncția și persoana responsabilă, fapt care în consecință va avea un impact pozitiv pe term</w:t>
            </w:r>
            <w:r w:rsidR="007734B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en îndelungat fără a fi necesară</w:t>
            </w:r>
            <w:r w:rsidR="00D90075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modificare</w:t>
            </w:r>
            <w:r w:rsidR="007734B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a permanentă a membrilor și funcț</w:t>
            </w:r>
            <w:r w:rsidR="00D90075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iile acestora.</w:t>
            </w:r>
          </w:p>
          <w:p w:rsidR="005245B9" w:rsidRDefault="005245B9" w:rsidP="002930A2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b) </w:t>
            </w:r>
            <w:r w:rsidR="00F6654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Regulamentul Comitetului Național Codex </w:t>
            </w:r>
            <w:proofErr w:type="spellStart"/>
            <w:r w:rsidR="00F6654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Alimentarius</w:t>
            </w:r>
            <w:proofErr w:type="spellEnd"/>
            <w:r w:rsidR="00E4171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, care conține următoarele capitole:</w:t>
            </w:r>
          </w:p>
          <w:p w:rsidR="005245B9" w:rsidRDefault="005245B9" w:rsidP="002930A2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- </w:t>
            </w:r>
            <w:r w:rsidR="0064168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dispoziții generale;</w:t>
            </w:r>
          </w:p>
          <w:p w:rsidR="00641683" w:rsidRDefault="00641683" w:rsidP="002930A2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- organizarea activității comitetului;</w:t>
            </w:r>
          </w:p>
          <w:p w:rsidR="00641683" w:rsidRDefault="00641683" w:rsidP="002930A2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- obiectivele principale și funcțiile de bază ale comitetului;</w:t>
            </w:r>
          </w:p>
          <w:p w:rsidR="00641683" w:rsidRDefault="00641683" w:rsidP="002930A2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- </w:t>
            </w:r>
            <w:r w:rsidR="008B78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grupurile de lucru ale comitetului;</w:t>
            </w:r>
          </w:p>
          <w:p w:rsidR="008B78FD" w:rsidRDefault="008B78FD" w:rsidP="002930A2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- obligațiunile membrilor comitetului;</w:t>
            </w:r>
          </w:p>
          <w:p w:rsidR="008B78FD" w:rsidRDefault="008B78FD" w:rsidP="002930A2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- drepturile membrilor comitetului;</w:t>
            </w:r>
          </w:p>
          <w:p w:rsidR="008B78FD" w:rsidRDefault="008B78FD" w:rsidP="002930A2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-</w:t>
            </w:r>
            <w:r w:rsidR="00AC5FCE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activitatea financiară;</w:t>
            </w:r>
          </w:p>
          <w:p w:rsidR="00AC5FCE" w:rsidRDefault="00AC5FCE" w:rsidP="002930A2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- încetarea activității comitetului.</w:t>
            </w:r>
          </w:p>
          <w:p w:rsidR="003F72D8" w:rsidRPr="0017198B" w:rsidRDefault="00255DDD" w:rsidP="002930A2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lastRenderedPageBreak/>
              <w:t xml:space="preserve">c) se abrogă </w:t>
            </w:r>
            <w:r w:rsidRPr="00255DD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Hotărârea de Guvern 866/1999 despre instituirea Comitetului Național Codex </w:t>
            </w:r>
            <w:proofErr w:type="spellStart"/>
            <w:r w:rsidRPr="00255DD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Alimentarius</w:t>
            </w:r>
            <w:proofErr w:type="spellEnd"/>
            <w:r w:rsidRPr="00255DD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și Hotărârea de Guvern 419/2000 despre aprobarea Regulamentului Comitetului Național Codex </w:t>
            </w:r>
            <w:proofErr w:type="spellStart"/>
            <w:r w:rsidRPr="00255DD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Alimentarius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.</w:t>
            </w:r>
          </w:p>
        </w:tc>
      </w:tr>
      <w:tr w:rsidR="00486FEB" w:rsidRPr="0017198B" w:rsidTr="00D81D4F">
        <w:tc>
          <w:tcPr>
            <w:tcW w:w="9570" w:type="dxa"/>
          </w:tcPr>
          <w:p w:rsidR="00486FEB" w:rsidRPr="0017198B" w:rsidRDefault="00A23DF2" w:rsidP="00D269AF">
            <w:pPr>
              <w:pStyle w:val="NoSpacing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5.</w:t>
            </w:r>
            <w:r w:rsidR="000B4E9E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Fundamentarea </w:t>
            </w:r>
            <w:proofErr w:type="spellStart"/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economico</w:t>
            </w:r>
            <w:proofErr w:type="spellEnd"/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-financiară</w:t>
            </w:r>
          </w:p>
        </w:tc>
      </w:tr>
      <w:tr w:rsidR="00486FEB" w:rsidRPr="0017198B" w:rsidTr="00F534ED">
        <w:trPr>
          <w:trHeight w:val="274"/>
        </w:trPr>
        <w:tc>
          <w:tcPr>
            <w:tcW w:w="9570" w:type="dxa"/>
          </w:tcPr>
          <w:p w:rsidR="001D4D56" w:rsidRPr="0017198B" w:rsidRDefault="000B4E9E" w:rsidP="00FF4F12">
            <w:pPr>
              <w:pStyle w:val="NoSpacing"/>
              <w:ind w:firstLine="60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>Implementarea acestui proiect nu necesită alocarea resurselor financiare suplimentare de la bugetul de stat</w:t>
            </w:r>
            <w:r w:rsidR="00BD75C0">
              <w:rPr>
                <w:rFonts w:ascii="Times New Roman" w:hAnsi="Times New Roman" w:cs="Times New Roman"/>
                <w:sz w:val="27"/>
                <w:szCs w:val="27"/>
              </w:rPr>
              <w:t xml:space="preserve"> deoarece conform punctului 2 din proiectul de hotărâre, Membrii Comitetului Național</w:t>
            </w:r>
            <w:r w:rsidR="0096055C">
              <w:rPr>
                <w:rFonts w:ascii="Times New Roman" w:hAnsi="Times New Roman" w:cs="Times New Roman"/>
                <w:sz w:val="27"/>
                <w:szCs w:val="27"/>
              </w:rPr>
              <w:t xml:space="preserve"> Codex </w:t>
            </w:r>
            <w:proofErr w:type="spellStart"/>
            <w:r w:rsidR="0096055C">
              <w:rPr>
                <w:rFonts w:ascii="Times New Roman" w:hAnsi="Times New Roman" w:cs="Times New Roman"/>
                <w:sz w:val="27"/>
                <w:szCs w:val="27"/>
              </w:rPr>
              <w:t>Alimentarius</w:t>
            </w:r>
            <w:proofErr w:type="spellEnd"/>
            <w:r w:rsidR="0096055C">
              <w:rPr>
                <w:rFonts w:ascii="Times New Roman" w:hAnsi="Times New Roman" w:cs="Times New Roman"/>
                <w:sz w:val="27"/>
                <w:szCs w:val="27"/>
              </w:rPr>
              <w:t xml:space="preserve"> vor fi remunerați la locul serviciului lor de bază</w:t>
            </w:r>
            <w:r w:rsidR="00BD75C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</w:tc>
      </w:tr>
      <w:tr w:rsidR="00486FEB" w:rsidRPr="0017198B" w:rsidTr="00D81D4F">
        <w:tc>
          <w:tcPr>
            <w:tcW w:w="9570" w:type="dxa"/>
          </w:tcPr>
          <w:p w:rsidR="00486FEB" w:rsidRPr="0017198B" w:rsidRDefault="00A23DF2" w:rsidP="00D269AF">
            <w:pPr>
              <w:pStyle w:val="NoSpacing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6.</w:t>
            </w:r>
            <w:r w:rsidR="000B4E9E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Modul de încorporare a actului în cadrul normativ în vigoare</w:t>
            </w:r>
          </w:p>
        </w:tc>
      </w:tr>
      <w:tr w:rsidR="00486FEB" w:rsidRPr="0017198B" w:rsidTr="00C837C9">
        <w:trPr>
          <w:trHeight w:val="125"/>
        </w:trPr>
        <w:tc>
          <w:tcPr>
            <w:tcW w:w="9570" w:type="dxa"/>
          </w:tcPr>
          <w:p w:rsidR="00651AB5" w:rsidRPr="00255DDD" w:rsidRDefault="00A870DC" w:rsidP="00C837C9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o-RO"/>
              </w:rPr>
            </w:pPr>
            <w:r w:rsidRPr="00255DD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o-RO"/>
              </w:rPr>
              <w:t>Proiectul nu prevede introducerea modificărilor în alte acte normative.</w:t>
            </w:r>
          </w:p>
          <w:p w:rsidR="00BD75C0" w:rsidRPr="0017198B" w:rsidRDefault="00BD75C0" w:rsidP="00C837C9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55DD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o-RO"/>
              </w:rPr>
              <w:t xml:space="preserve">Proiectul prevede abrogarea </w:t>
            </w:r>
            <w:r w:rsidR="00255DD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o-RO"/>
              </w:rPr>
              <w:t>Hotărârii</w:t>
            </w:r>
            <w:r w:rsidR="0096055C" w:rsidRPr="00255DD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o-RO"/>
              </w:rPr>
              <w:t xml:space="preserve"> de Guvern 866/1999 despre instituirea Comitetului Național</w:t>
            </w:r>
            <w:r w:rsidR="00255DD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o-RO"/>
              </w:rPr>
              <w:t xml:space="preserve"> Codex </w:t>
            </w:r>
            <w:proofErr w:type="spellStart"/>
            <w:r w:rsidR="00255DD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o-RO"/>
              </w:rPr>
              <w:t>Alimentarius</w:t>
            </w:r>
            <w:proofErr w:type="spellEnd"/>
            <w:r w:rsidR="00255DD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o-RO"/>
              </w:rPr>
              <w:t xml:space="preserve"> și Hotărârii</w:t>
            </w:r>
            <w:r w:rsidR="0096055C" w:rsidRPr="00255DD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o-RO"/>
              </w:rPr>
              <w:t xml:space="preserve"> de Guvern 419/2000 despre aprobarea Regulamentului Comitetului Național Codex </w:t>
            </w:r>
            <w:proofErr w:type="spellStart"/>
            <w:r w:rsidR="0096055C" w:rsidRPr="00255DD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o-RO"/>
              </w:rPr>
              <w:t>Alimentarius</w:t>
            </w:r>
            <w:proofErr w:type="spellEnd"/>
            <w:r w:rsidR="00AD2E6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o-RO"/>
              </w:rPr>
              <w:t>.</w:t>
            </w:r>
          </w:p>
        </w:tc>
      </w:tr>
      <w:tr w:rsidR="00486FEB" w:rsidRPr="0017198B" w:rsidTr="00D81D4F">
        <w:tc>
          <w:tcPr>
            <w:tcW w:w="9570" w:type="dxa"/>
          </w:tcPr>
          <w:p w:rsidR="00486FEB" w:rsidRPr="0017198B" w:rsidRDefault="00A23DF2" w:rsidP="00D269AF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7.</w:t>
            </w:r>
            <w:r w:rsidR="00442B64" w:rsidRPr="0017198B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r w:rsidR="00486FEB" w:rsidRPr="0017198B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Avizarea </w:t>
            </w:r>
            <w:r w:rsidR="00A85C85" w:rsidRPr="0017198B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și</w:t>
            </w:r>
            <w:r w:rsidR="00486FEB" w:rsidRPr="0017198B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consultarea publică a proiectului</w:t>
            </w:r>
          </w:p>
        </w:tc>
      </w:tr>
      <w:tr w:rsidR="00486FEB" w:rsidRPr="0017198B" w:rsidTr="00D81D4F">
        <w:tc>
          <w:tcPr>
            <w:tcW w:w="9570" w:type="dxa"/>
          </w:tcPr>
          <w:p w:rsidR="007A68E9" w:rsidRPr="0017198B" w:rsidRDefault="00CE4E30" w:rsidP="002C4D87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Astfel, în conformitate cu art. 32 din Legea nr. 100/2017 cu privire la actele normative, </w:t>
            </w:r>
            <w:r w:rsidRPr="0017198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anunțul privind inițierea elaborării proiectului de act normativ </w:t>
            </w:r>
            <w:r w:rsidR="00746CB8" w:rsidRPr="0017198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a fost</w:t>
            </w:r>
            <w:r w:rsidRPr="0017198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plasat pe pagina web al Ministerului Agriculturii</w:t>
            </w:r>
            <w:r w:rsidR="003D637F" w:rsidRPr="0017198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și Industriei </w:t>
            </w:r>
            <w:r w:rsidR="00107210" w:rsidRPr="0017198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Alimentare</w:t>
            </w:r>
            <w:r w:rsidR="003D637F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r:id="rId5" w:history="1">
              <w:r w:rsidR="00FC275E" w:rsidRPr="0017198B">
                <w:rPr>
                  <w:rStyle w:val="Hyperlink"/>
                  <w:rFonts w:ascii="Times New Roman" w:hAnsi="Times New Roman" w:cs="Times New Roman"/>
                  <w:sz w:val="27"/>
                  <w:szCs w:val="27"/>
                </w:rPr>
                <w:t>https://maia.gov.md</w:t>
              </w:r>
            </w:hyperlink>
            <w:r w:rsidR="00496917" w:rsidRPr="0017198B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B603E0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>la compartimentul ,,Transparență decizională/</w:t>
            </w:r>
            <w:r w:rsidR="0006074F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 proiecte de documente</w:t>
            </w: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>”</w:t>
            </w:r>
            <w:r w:rsidR="0006074F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 și pe portalul</w:t>
            </w:r>
            <w:r w:rsidR="002C4D87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6" w:history="1">
              <w:r w:rsidR="0016427A" w:rsidRPr="0017198B">
                <w:rPr>
                  <w:rStyle w:val="Hyperlink"/>
                  <w:rFonts w:ascii="Times New Roman" w:hAnsi="Times New Roman" w:cs="Times New Roman"/>
                  <w:sz w:val="27"/>
                  <w:szCs w:val="27"/>
                </w:rPr>
                <w:t>http://www.particip.gov.md</w:t>
              </w:r>
            </w:hyperlink>
            <w:r w:rsidR="00C837C9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  <w:p w:rsidR="001D4D56" w:rsidRPr="0017198B" w:rsidRDefault="00C837C9" w:rsidP="00541C2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020494" w:rsidRPr="00020494">
              <w:rPr>
                <w:rStyle w:val="Hyperlink"/>
                <w:rFonts w:ascii="Times New Roman" w:hAnsi="Times New Roman" w:cs="Times New Roman"/>
                <w:sz w:val="27"/>
                <w:szCs w:val="27"/>
              </w:rPr>
              <w:t>https://particip.gov.md/ro/document/stages/anunt-cu-privire-la-initierea-elaborarii-proiectului-hotararii-guvernului-privind-activitatea-comitetului-national-codex-alimentarius/12400</w:t>
            </w: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). </w:t>
            </w:r>
          </w:p>
        </w:tc>
      </w:tr>
      <w:tr w:rsidR="00C151CE" w:rsidRPr="0017198B" w:rsidTr="00D81D4F">
        <w:tc>
          <w:tcPr>
            <w:tcW w:w="9570" w:type="dxa"/>
          </w:tcPr>
          <w:p w:rsidR="00C151CE" w:rsidRPr="0017198B" w:rsidRDefault="00C151CE" w:rsidP="00C151C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8. Constatările expertizei anticorupție</w:t>
            </w:r>
          </w:p>
        </w:tc>
      </w:tr>
      <w:tr w:rsidR="00C151CE" w:rsidRPr="0017198B" w:rsidTr="00D81D4F">
        <w:tc>
          <w:tcPr>
            <w:tcW w:w="9570" w:type="dxa"/>
          </w:tcPr>
          <w:p w:rsidR="001D4D56" w:rsidRPr="001F45AD" w:rsidRDefault="000D6E08" w:rsidP="001F45AD">
            <w:pPr>
              <w:tabs>
                <w:tab w:val="left" w:pos="884"/>
                <w:tab w:val="left" w:pos="1196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7198B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În temeiul art. 34 </w:t>
            </w:r>
            <w:r w:rsidR="00A85C85" w:rsidRPr="0017198B">
              <w:rPr>
                <w:rFonts w:ascii="Times New Roman" w:hAnsi="Times New Roman"/>
                <w:sz w:val="27"/>
                <w:szCs w:val="27"/>
                <w:lang w:eastAsia="ru-RU"/>
              </w:rPr>
              <w:t>și</w:t>
            </w:r>
            <w:r w:rsidRPr="0017198B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35 din Legea nr. 100/2017 cu privire la actele normative, proiectul urmează a fi supus expertizei anticorupție, care va fi efectuată de către Centrul Național Anticorupție.</w:t>
            </w:r>
          </w:p>
        </w:tc>
      </w:tr>
      <w:tr w:rsidR="00C151CE" w:rsidRPr="0017198B" w:rsidTr="00D81D4F">
        <w:tc>
          <w:tcPr>
            <w:tcW w:w="9570" w:type="dxa"/>
          </w:tcPr>
          <w:p w:rsidR="00C151CE" w:rsidRPr="0017198B" w:rsidRDefault="00C151CE" w:rsidP="008A6D1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9. Constatările expertizei de compatibilitate</w:t>
            </w:r>
          </w:p>
        </w:tc>
      </w:tr>
      <w:tr w:rsidR="00C151CE" w:rsidRPr="0017198B" w:rsidTr="007E7003">
        <w:trPr>
          <w:trHeight w:val="70"/>
        </w:trPr>
        <w:tc>
          <w:tcPr>
            <w:tcW w:w="9570" w:type="dxa"/>
          </w:tcPr>
          <w:p w:rsidR="001D4D56" w:rsidRPr="0017198B" w:rsidRDefault="00973D29" w:rsidP="001F45AD">
            <w:pPr>
              <w:pStyle w:val="Other0"/>
              <w:shd w:val="clear" w:color="auto" w:fill="auto"/>
              <w:ind w:firstLine="572"/>
              <w:jc w:val="both"/>
              <w:rPr>
                <w:color w:val="000000"/>
                <w:sz w:val="27"/>
                <w:szCs w:val="27"/>
                <w:lang w:val="ro-RO" w:eastAsia="ro-RO" w:bidi="ro-RO"/>
              </w:rPr>
            </w:pPr>
            <w:r w:rsidRPr="0017198B">
              <w:rPr>
                <w:color w:val="000000"/>
                <w:sz w:val="27"/>
                <w:szCs w:val="27"/>
                <w:lang w:val="ro-RO" w:eastAsia="ro-RO" w:bidi="ro-RO"/>
              </w:rPr>
              <w:t xml:space="preserve">Proiectul </w:t>
            </w:r>
            <w:r w:rsidR="00CA3657">
              <w:rPr>
                <w:color w:val="000000"/>
                <w:sz w:val="27"/>
                <w:szCs w:val="27"/>
                <w:lang w:val="ro-RO" w:eastAsia="ro-RO" w:bidi="ro-RO"/>
              </w:rPr>
              <w:t>urmează a fi</w:t>
            </w:r>
            <w:r w:rsidRPr="0017198B">
              <w:rPr>
                <w:color w:val="000000"/>
                <w:sz w:val="27"/>
                <w:szCs w:val="27"/>
                <w:lang w:val="ro-RO" w:eastAsia="ro-RO" w:bidi="ro-RO"/>
              </w:rPr>
              <w:t xml:space="preserve"> supus expertizei de compatibilitate în conformitate cu art. 36 din Legea nr. 100/2017 cu privire la actele normative</w:t>
            </w:r>
            <w:r w:rsidR="00FE5709">
              <w:rPr>
                <w:color w:val="000000"/>
                <w:sz w:val="27"/>
                <w:szCs w:val="27"/>
                <w:lang w:val="ro-RO" w:eastAsia="ro-RO" w:bidi="ro-RO"/>
              </w:rPr>
              <w:t>, efectuată de către Centrul de Armonizare a legislației</w:t>
            </w:r>
            <w:r w:rsidRPr="0017198B">
              <w:rPr>
                <w:color w:val="000000"/>
                <w:sz w:val="27"/>
                <w:szCs w:val="27"/>
                <w:lang w:val="ro-RO" w:eastAsia="ro-RO" w:bidi="ro-RO"/>
              </w:rPr>
              <w:t xml:space="preserve">. </w:t>
            </w:r>
          </w:p>
        </w:tc>
      </w:tr>
      <w:tr w:rsidR="00C151CE" w:rsidRPr="0017198B" w:rsidTr="00D81D4F">
        <w:tc>
          <w:tcPr>
            <w:tcW w:w="9570" w:type="dxa"/>
          </w:tcPr>
          <w:p w:rsidR="00C151CE" w:rsidRPr="0017198B" w:rsidRDefault="00C151CE" w:rsidP="00C837C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10. Constatările expertizei juridice</w:t>
            </w:r>
          </w:p>
        </w:tc>
      </w:tr>
      <w:tr w:rsidR="00C151CE" w:rsidRPr="0017198B" w:rsidTr="00D81D4F">
        <w:tc>
          <w:tcPr>
            <w:tcW w:w="9570" w:type="dxa"/>
          </w:tcPr>
          <w:p w:rsidR="001D4D56" w:rsidRPr="001F45AD" w:rsidRDefault="00584FFD" w:rsidP="001F45AD">
            <w:pPr>
              <w:tabs>
                <w:tab w:val="left" w:pos="993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7198B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Proiectul urmează </w:t>
            </w:r>
            <w:r w:rsidR="00CA3657">
              <w:rPr>
                <w:rFonts w:ascii="Times New Roman" w:hAnsi="Times New Roman"/>
                <w:sz w:val="27"/>
                <w:szCs w:val="27"/>
                <w:lang w:eastAsia="ru-RU"/>
              </w:rPr>
              <w:t>va fi</w:t>
            </w:r>
            <w:r w:rsidRPr="0017198B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supus expertizei juridice în corespundere cu art. 37 din Legea nr. 100/2017 cu privire la actele normative</w:t>
            </w:r>
            <w:r w:rsidR="00D764D9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, </w:t>
            </w:r>
            <w:r w:rsidR="00CA74C5">
              <w:rPr>
                <w:rFonts w:ascii="Times New Roman" w:hAnsi="Times New Roman"/>
                <w:sz w:val="27"/>
                <w:szCs w:val="27"/>
                <w:lang w:eastAsia="ru-RU"/>
              </w:rPr>
              <w:t>ce va fi efectuată de Ministerul Justiției</w:t>
            </w:r>
            <w:r w:rsidRPr="0017198B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</w:t>
            </w:r>
          </w:p>
        </w:tc>
      </w:tr>
      <w:tr w:rsidR="00C151CE" w:rsidRPr="0017198B" w:rsidTr="00D81D4F">
        <w:tc>
          <w:tcPr>
            <w:tcW w:w="9570" w:type="dxa"/>
          </w:tcPr>
          <w:p w:rsidR="00C151CE" w:rsidRPr="0017198B" w:rsidRDefault="00C151CE" w:rsidP="00C837C9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11. Constatările altor expertize</w:t>
            </w:r>
          </w:p>
        </w:tc>
      </w:tr>
      <w:tr w:rsidR="00C151CE" w:rsidRPr="0017198B" w:rsidTr="00861855">
        <w:trPr>
          <w:trHeight w:val="557"/>
        </w:trPr>
        <w:tc>
          <w:tcPr>
            <w:tcW w:w="9570" w:type="dxa"/>
          </w:tcPr>
          <w:p w:rsidR="001D4D56" w:rsidRPr="00CE5203" w:rsidRDefault="00CE5203" w:rsidP="00CE5203">
            <w:pPr>
              <w:pStyle w:val="BodyText"/>
              <w:ind w:firstLine="572"/>
              <w:jc w:val="both"/>
              <w:rPr>
                <w:sz w:val="27"/>
                <w:szCs w:val="27"/>
                <w:lang w:val="ro-MD" w:eastAsia="ru-RU"/>
              </w:rPr>
            </w:pPr>
            <w:r w:rsidRPr="00CE5203">
              <w:rPr>
                <w:sz w:val="27"/>
                <w:szCs w:val="27"/>
                <w:lang w:val="ro-MD" w:eastAsia="ru-RU"/>
              </w:rPr>
              <w:t>Proiectul nu conține aspecte ce vizează reglementarea activității de întreprinzător în contextul Legii nr. 235/2006 cu privire la principiile de bază de reglementare a activității de întreprinzător, astfel nefiind necesar examinarea proiectului de către Grupul de lucru pentru reglementarea activității de întreprinzător.</w:t>
            </w:r>
          </w:p>
        </w:tc>
      </w:tr>
    </w:tbl>
    <w:p w:rsidR="00486FEB" w:rsidRPr="0017198B" w:rsidRDefault="00486FEB" w:rsidP="00486FEB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B5B07" w:rsidRPr="0017198B" w:rsidRDefault="00FB5B07" w:rsidP="00486FEB">
      <w:pPr>
        <w:pStyle w:val="NoSpacing"/>
        <w:ind w:firstLine="426"/>
        <w:rPr>
          <w:rFonts w:ascii="Times New Roman" w:hAnsi="Times New Roman" w:cs="Times New Roman"/>
          <w:sz w:val="27"/>
          <w:szCs w:val="27"/>
        </w:rPr>
      </w:pPr>
    </w:p>
    <w:p w:rsidR="007B4275" w:rsidRPr="0017198B" w:rsidRDefault="007B4275" w:rsidP="00486FEB">
      <w:pPr>
        <w:pStyle w:val="NoSpacing"/>
        <w:ind w:firstLine="426"/>
        <w:rPr>
          <w:rFonts w:ascii="Times New Roman" w:hAnsi="Times New Roman" w:cs="Times New Roman"/>
          <w:sz w:val="27"/>
          <w:szCs w:val="27"/>
        </w:rPr>
      </w:pPr>
    </w:p>
    <w:p w:rsidR="00BD7590" w:rsidRPr="0017198B" w:rsidRDefault="00BD7590" w:rsidP="00486FEB">
      <w:pPr>
        <w:pStyle w:val="NoSpacing"/>
        <w:ind w:firstLine="426"/>
        <w:rPr>
          <w:rFonts w:ascii="Times New Roman" w:hAnsi="Times New Roman" w:cs="Times New Roman"/>
          <w:sz w:val="27"/>
          <w:szCs w:val="27"/>
        </w:rPr>
      </w:pPr>
    </w:p>
    <w:p w:rsidR="000A430A" w:rsidRPr="0034406D" w:rsidRDefault="00A85C85" w:rsidP="00F202C2">
      <w:pPr>
        <w:pStyle w:val="NoSpacing"/>
        <w:ind w:left="708"/>
        <w:rPr>
          <w:rFonts w:ascii="Times New Roman" w:hAnsi="Times New Roman" w:cs="Times New Roman"/>
          <w:b/>
          <w:sz w:val="27"/>
          <w:szCs w:val="27"/>
        </w:rPr>
      </w:pPr>
      <w:r w:rsidRPr="0017198B">
        <w:rPr>
          <w:rFonts w:ascii="Times New Roman" w:hAnsi="Times New Roman" w:cs="Times New Roman"/>
          <w:b/>
          <w:sz w:val="27"/>
          <w:szCs w:val="27"/>
        </w:rPr>
        <w:t>Secretar de Stat</w:t>
      </w:r>
      <w:r w:rsidR="00E367D2" w:rsidRPr="0017198B">
        <w:rPr>
          <w:rFonts w:ascii="Times New Roman" w:hAnsi="Times New Roman" w:cs="Times New Roman"/>
          <w:b/>
          <w:sz w:val="27"/>
          <w:szCs w:val="27"/>
        </w:rPr>
        <w:tab/>
      </w:r>
      <w:r w:rsidR="00F202C2" w:rsidRPr="0017198B">
        <w:rPr>
          <w:rFonts w:ascii="Times New Roman" w:hAnsi="Times New Roman" w:cs="Times New Roman"/>
          <w:b/>
          <w:sz w:val="27"/>
          <w:szCs w:val="27"/>
        </w:rPr>
        <w:tab/>
      </w:r>
      <w:r w:rsidR="00E367D2" w:rsidRPr="0017198B"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="00E828DB" w:rsidRPr="001719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202C2" w:rsidRPr="0017198B">
        <w:rPr>
          <w:rFonts w:ascii="Times New Roman" w:hAnsi="Times New Roman" w:cs="Times New Roman"/>
          <w:b/>
          <w:sz w:val="27"/>
          <w:szCs w:val="27"/>
        </w:rPr>
        <w:tab/>
      </w:r>
      <w:r w:rsidR="007B4275" w:rsidRPr="0017198B">
        <w:rPr>
          <w:rFonts w:ascii="Times New Roman" w:hAnsi="Times New Roman" w:cs="Times New Roman"/>
          <w:b/>
          <w:sz w:val="27"/>
          <w:szCs w:val="27"/>
        </w:rPr>
        <w:tab/>
      </w:r>
      <w:r w:rsidR="007B4275" w:rsidRPr="0017198B">
        <w:rPr>
          <w:rFonts w:ascii="Times New Roman" w:hAnsi="Times New Roman" w:cs="Times New Roman"/>
          <w:b/>
          <w:sz w:val="27"/>
          <w:szCs w:val="27"/>
        </w:rPr>
        <w:tab/>
      </w:r>
      <w:r w:rsidR="00F202C2" w:rsidRPr="0017198B">
        <w:rPr>
          <w:rFonts w:ascii="Times New Roman" w:hAnsi="Times New Roman" w:cs="Times New Roman"/>
          <w:b/>
          <w:sz w:val="27"/>
          <w:szCs w:val="27"/>
        </w:rPr>
        <w:tab/>
      </w:r>
      <w:r w:rsidRPr="0017198B">
        <w:rPr>
          <w:rFonts w:ascii="Times New Roman" w:hAnsi="Times New Roman" w:cs="Times New Roman"/>
          <w:b/>
          <w:sz w:val="27"/>
          <w:szCs w:val="27"/>
        </w:rPr>
        <w:t>Iurie SCRIPNIC</w:t>
      </w:r>
    </w:p>
    <w:sectPr w:rsidR="000A430A" w:rsidRPr="0034406D" w:rsidSect="00400084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908E0"/>
    <w:multiLevelType w:val="hybridMultilevel"/>
    <w:tmpl w:val="6F7C6156"/>
    <w:lvl w:ilvl="0" w:tplc="7110CEF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A1AD3"/>
    <w:multiLevelType w:val="hybridMultilevel"/>
    <w:tmpl w:val="305E1106"/>
    <w:lvl w:ilvl="0" w:tplc="B9407642">
      <w:start w:val="4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8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" w15:restartNumberingAfterBreak="0">
    <w:nsid w:val="4C966968"/>
    <w:multiLevelType w:val="hybridMultilevel"/>
    <w:tmpl w:val="60C27012"/>
    <w:lvl w:ilvl="0" w:tplc="79E82560">
      <w:start w:val="4"/>
      <w:numFmt w:val="bullet"/>
      <w:lvlText w:val="-"/>
      <w:lvlJc w:val="left"/>
      <w:pPr>
        <w:ind w:left="95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EB"/>
    <w:rsid w:val="00004A9C"/>
    <w:rsid w:val="000127F2"/>
    <w:rsid w:val="00016AA5"/>
    <w:rsid w:val="00016F01"/>
    <w:rsid w:val="00020494"/>
    <w:rsid w:val="000262E0"/>
    <w:rsid w:val="0002761C"/>
    <w:rsid w:val="0003270B"/>
    <w:rsid w:val="00034C9B"/>
    <w:rsid w:val="0003558E"/>
    <w:rsid w:val="00035BC7"/>
    <w:rsid w:val="00051E7C"/>
    <w:rsid w:val="0006074F"/>
    <w:rsid w:val="00062419"/>
    <w:rsid w:val="00081A8C"/>
    <w:rsid w:val="000833E2"/>
    <w:rsid w:val="000A3406"/>
    <w:rsid w:val="000A3A4E"/>
    <w:rsid w:val="000A430A"/>
    <w:rsid w:val="000B4E9E"/>
    <w:rsid w:val="000D6E08"/>
    <w:rsid w:val="0010000D"/>
    <w:rsid w:val="00107210"/>
    <w:rsid w:val="00107725"/>
    <w:rsid w:val="00110F2F"/>
    <w:rsid w:val="00116568"/>
    <w:rsid w:val="001231A2"/>
    <w:rsid w:val="00144EA8"/>
    <w:rsid w:val="00162A5F"/>
    <w:rsid w:val="00162FFC"/>
    <w:rsid w:val="0016427A"/>
    <w:rsid w:val="0017198B"/>
    <w:rsid w:val="0017223F"/>
    <w:rsid w:val="001A5E50"/>
    <w:rsid w:val="001A7C2E"/>
    <w:rsid w:val="001B0210"/>
    <w:rsid w:val="001B2F54"/>
    <w:rsid w:val="001C256F"/>
    <w:rsid w:val="001C6EE6"/>
    <w:rsid w:val="001D0E7E"/>
    <w:rsid w:val="001D1EC1"/>
    <w:rsid w:val="001D4D56"/>
    <w:rsid w:val="001E5B54"/>
    <w:rsid w:val="001F45AD"/>
    <w:rsid w:val="001F7992"/>
    <w:rsid w:val="00225F7A"/>
    <w:rsid w:val="00233411"/>
    <w:rsid w:val="00233E2C"/>
    <w:rsid w:val="002340E2"/>
    <w:rsid w:val="00241469"/>
    <w:rsid w:val="002473EA"/>
    <w:rsid w:val="00253CEA"/>
    <w:rsid w:val="00255DDD"/>
    <w:rsid w:val="00262E75"/>
    <w:rsid w:val="00263F07"/>
    <w:rsid w:val="00264461"/>
    <w:rsid w:val="00270B08"/>
    <w:rsid w:val="00280960"/>
    <w:rsid w:val="00283665"/>
    <w:rsid w:val="002930A2"/>
    <w:rsid w:val="00293C9D"/>
    <w:rsid w:val="002B417F"/>
    <w:rsid w:val="002B5BA6"/>
    <w:rsid w:val="002C018D"/>
    <w:rsid w:val="002C0A26"/>
    <w:rsid w:val="002C1A09"/>
    <w:rsid w:val="002C4D87"/>
    <w:rsid w:val="002F4294"/>
    <w:rsid w:val="00304449"/>
    <w:rsid w:val="003103A5"/>
    <w:rsid w:val="00327C6F"/>
    <w:rsid w:val="0034406D"/>
    <w:rsid w:val="00350C24"/>
    <w:rsid w:val="00354205"/>
    <w:rsid w:val="00370F45"/>
    <w:rsid w:val="00395A7F"/>
    <w:rsid w:val="003A52F4"/>
    <w:rsid w:val="003C27A3"/>
    <w:rsid w:val="003D357D"/>
    <w:rsid w:val="003D637F"/>
    <w:rsid w:val="003E4200"/>
    <w:rsid w:val="003E5369"/>
    <w:rsid w:val="003F27A5"/>
    <w:rsid w:val="003F72D8"/>
    <w:rsid w:val="00400084"/>
    <w:rsid w:val="00401A52"/>
    <w:rsid w:val="00401DDF"/>
    <w:rsid w:val="00404DA4"/>
    <w:rsid w:val="00430806"/>
    <w:rsid w:val="00431AC6"/>
    <w:rsid w:val="00442B64"/>
    <w:rsid w:val="00450EA8"/>
    <w:rsid w:val="00455E2A"/>
    <w:rsid w:val="004633DA"/>
    <w:rsid w:val="00463B42"/>
    <w:rsid w:val="00465EC3"/>
    <w:rsid w:val="00473C83"/>
    <w:rsid w:val="00475573"/>
    <w:rsid w:val="00486FEB"/>
    <w:rsid w:val="00491E09"/>
    <w:rsid w:val="00493FFF"/>
    <w:rsid w:val="00496917"/>
    <w:rsid w:val="00496AF8"/>
    <w:rsid w:val="004A28AB"/>
    <w:rsid w:val="004C1277"/>
    <w:rsid w:val="004C1CDB"/>
    <w:rsid w:val="004C30B5"/>
    <w:rsid w:val="004C437D"/>
    <w:rsid w:val="004C52A2"/>
    <w:rsid w:val="004D035B"/>
    <w:rsid w:val="004D044A"/>
    <w:rsid w:val="004E7716"/>
    <w:rsid w:val="004F7410"/>
    <w:rsid w:val="005000B2"/>
    <w:rsid w:val="0050186F"/>
    <w:rsid w:val="00502E57"/>
    <w:rsid w:val="005245B9"/>
    <w:rsid w:val="005357AD"/>
    <w:rsid w:val="00541C20"/>
    <w:rsid w:val="005570BB"/>
    <w:rsid w:val="00563F8B"/>
    <w:rsid w:val="00571BB5"/>
    <w:rsid w:val="00571CA3"/>
    <w:rsid w:val="005736F9"/>
    <w:rsid w:val="0057690D"/>
    <w:rsid w:val="00581E5B"/>
    <w:rsid w:val="0058460D"/>
    <w:rsid w:val="00584FFD"/>
    <w:rsid w:val="00586E32"/>
    <w:rsid w:val="00590D7A"/>
    <w:rsid w:val="00592F8C"/>
    <w:rsid w:val="005A4961"/>
    <w:rsid w:val="005A6C93"/>
    <w:rsid w:val="005B0F0F"/>
    <w:rsid w:val="005D6D6E"/>
    <w:rsid w:val="005E014C"/>
    <w:rsid w:val="005E5D1D"/>
    <w:rsid w:val="005F432F"/>
    <w:rsid w:val="0061286D"/>
    <w:rsid w:val="00613BCE"/>
    <w:rsid w:val="00630DB6"/>
    <w:rsid w:val="0063310F"/>
    <w:rsid w:val="00635276"/>
    <w:rsid w:val="00641683"/>
    <w:rsid w:val="00642C64"/>
    <w:rsid w:val="006445BE"/>
    <w:rsid w:val="00644CF9"/>
    <w:rsid w:val="00651AB5"/>
    <w:rsid w:val="00655D30"/>
    <w:rsid w:val="00657130"/>
    <w:rsid w:val="00673601"/>
    <w:rsid w:val="0068098E"/>
    <w:rsid w:val="006877C8"/>
    <w:rsid w:val="006954E9"/>
    <w:rsid w:val="006A3296"/>
    <w:rsid w:val="006A3833"/>
    <w:rsid w:val="006A5360"/>
    <w:rsid w:val="006A61AE"/>
    <w:rsid w:val="006D0D7F"/>
    <w:rsid w:val="006D1855"/>
    <w:rsid w:val="006E2567"/>
    <w:rsid w:val="006E2D24"/>
    <w:rsid w:val="006E4FBB"/>
    <w:rsid w:val="00700062"/>
    <w:rsid w:val="00704098"/>
    <w:rsid w:val="007048A8"/>
    <w:rsid w:val="007106F4"/>
    <w:rsid w:val="00714EBC"/>
    <w:rsid w:val="007166B0"/>
    <w:rsid w:val="00717CDA"/>
    <w:rsid w:val="00732FA6"/>
    <w:rsid w:val="00746CB8"/>
    <w:rsid w:val="0075635E"/>
    <w:rsid w:val="00771B2A"/>
    <w:rsid w:val="007734BC"/>
    <w:rsid w:val="0077528C"/>
    <w:rsid w:val="00775337"/>
    <w:rsid w:val="00776C34"/>
    <w:rsid w:val="007A3D4A"/>
    <w:rsid w:val="007A68E9"/>
    <w:rsid w:val="007A6F61"/>
    <w:rsid w:val="007B4275"/>
    <w:rsid w:val="007C4E53"/>
    <w:rsid w:val="007C54B6"/>
    <w:rsid w:val="007D0F8B"/>
    <w:rsid w:val="007D4B7E"/>
    <w:rsid w:val="007E0829"/>
    <w:rsid w:val="007E2EDA"/>
    <w:rsid w:val="007E64FD"/>
    <w:rsid w:val="007E7003"/>
    <w:rsid w:val="007E7A6F"/>
    <w:rsid w:val="007F0028"/>
    <w:rsid w:val="007F3DCB"/>
    <w:rsid w:val="007F43C5"/>
    <w:rsid w:val="00816506"/>
    <w:rsid w:val="0081715B"/>
    <w:rsid w:val="00831AEE"/>
    <w:rsid w:val="0083546D"/>
    <w:rsid w:val="00843CE1"/>
    <w:rsid w:val="00844B37"/>
    <w:rsid w:val="00847435"/>
    <w:rsid w:val="00861855"/>
    <w:rsid w:val="00862533"/>
    <w:rsid w:val="00864276"/>
    <w:rsid w:val="00874DA3"/>
    <w:rsid w:val="00876D54"/>
    <w:rsid w:val="00877D4B"/>
    <w:rsid w:val="008872F2"/>
    <w:rsid w:val="00891B62"/>
    <w:rsid w:val="008A5B0A"/>
    <w:rsid w:val="008A6D1F"/>
    <w:rsid w:val="008B78FD"/>
    <w:rsid w:val="008C4568"/>
    <w:rsid w:val="008D0905"/>
    <w:rsid w:val="008D0D76"/>
    <w:rsid w:val="008D560C"/>
    <w:rsid w:val="008D7E8C"/>
    <w:rsid w:val="008E6EA8"/>
    <w:rsid w:val="008F0A61"/>
    <w:rsid w:val="008F6D8D"/>
    <w:rsid w:val="00901C37"/>
    <w:rsid w:val="0090772F"/>
    <w:rsid w:val="00913A0C"/>
    <w:rsid w:val="0091756A"/>
    <w:rsid w:val="009248D9"/>
    <w:rsid w:val="00931918"/>
    <w:rsid w:val="009570C0"/>
    <w:rsid w:val="0096055C"/>
    <w:rsid w:val="00963667"/>
    <w:rsid w:val="00965497"/>
    <w:rsid w:val="00973D29"/>
    <w:rsid w:val="0098272B"/>
    <w:rsid w:val="00986E0A"/>
    <w:rsid w:val="00987E9B"/>
    <w:rsid w:val="009A0E0D"/>
    <w:rsid w:val="009A4AD6"/>
    <w:rsid w:val="009A5AD9"/>
    <w:rsid w:val="009E79B0"/>
    <w:rsid w:val="009E7FDB"/>
    <w:rsid w:val="009F73D7"/>
    <w:rsid w:val="00A02B0F"/>
    <w:rsid w:val="00A07C67"/>
    <w:rsid w:val="00A23DF2"/>
    <w:rsid w:val="00A50BA3"/>
    <w:rsid w:val="00A512FA"/>
    <w:rsid w:val="00A5600A"/>
    <w:rsid w:val="00A60DBD"/>
    <w:rsid w:val="00A63EE0"/>
    <w:rsid w:val="00A64BF9"/>
    <w:rsid w:val="00A85C85"/>
    <w:rsid w:val="00A8639D"/>
    <w:rsid w:val="00A870DC"/>
    <w:rsid w:val="00A951A0"/>
    <w:rsid w:val="00A9689A"/>
    <w:rsid w:val="00AB1D1B"/>
    <w:rsid w:val="00AC1079"/>
    <w:rsid w:val="00AC5FCE"/>
    <w:rsid w:val="00AC710E"/>
    <w:rsid w:val="00AD2E62"/>
    <w:rsid w:val="00AD3298"/>
    <w:rsid w:val="00AD4612"/>
    <w:rsid w:val="00AE4A04"/>
    <w:rsid w:val="00AF0598"/>
    <w:rsid w:val="00AF77BB"/>
    <w:rsid w:val="00B02A6B"/>
    <w:rsid w:val="00B074B6"/>
    <w:rsid w:val="00B32754"/>
    <w:rsid w:val="00B371A0"/>
    <w:rsid w:val="00B544B2"/>
    <w:rsid w:val="00B603E0"/>
    <w:rsid w:val="00B6612F"/>
    <w:rsid w:val="00B66D44"/>
    <w:rsid w:val="00B75824"/>
    <w:rsid w:val="00B8016C"/>
    <w:rsid w:val="00B87A89"/>
    <w:rsid w:val="00B9239C"/>
    <w:rsid w:val="00BA1D8C"/>
    <w:rsid w:val="00BA6EC5"/>
    <w:rsid w:val="00BB098B"/>
    <w:rsid w:val="00BB3028"/>
    <w:rsid w:val="00BB4BFA"/>
    <w:rsid w:val="00BC27E1"/>
    <w:rsid w:val="00BC5DA2"/>
    <w:rsid w:val="00BD1209"/>
    <w:rsid w:val="00BD7590"/>
    <w:rsid w:val="00BD75C0"/>
    <w:rsid w:val="00BE7944"/>
    <w:rsid w:val="00BE7FB2"/>
    <w:rsid w:val="00C00D97"/>
    <w:rsid w:val="00C151CE"/>
    <w:rsid w:val="00C27B0A"/>
    <w:rsid w:val="00C32D2F"/>
    <w:rsid w:val="00C412BF"/>
    <w:rsid w:val="00C4505D"/>
    <w:rsid w:val="00C52E2B"/>
    <w:rsid w:val="00C52F9A"/>
    <w:rsid w:val="00C61643"/>
    <w:rsid w:val="00C61CF9"/>
    <w:rsid w:val="00C67269"/>
    <w:rsid w:val="00C6776C"/>
    <w:rsid w:val="00C77F1F"/>
    <w:rsid w:val="00C837C9"/>
    <w:rsid w:val="00CA3657"/>
    <w:rsid w:val="00CA3D58"/>
    <w:rsid w:val="00CA65A8"/>
    <w:rsid w:val="00CA74C5"/>
    <w:rsid w:val="00CB015E"/>
    <w:rsid w:val="00CB4017"/>
    <w:rsid w:val="00CB7C28"/>
    <w:rsid w:val="00CC2925"/>
    <w:rsid w:val="00CE220B"/>
    <w:rsid w:val="00CE3352"/>
    <w:rsid w:val="00CE35E2"/>
    <w:rsid w:val="00CE44CF"/>
    <w:rsid w:val="00CE4E30"/>
    <w:rsid w:val="00CE5203"/>
    <w:rsid w:val="00CF121D"/>
    <w:rsid w:val="00CF4FFF"/>
    <w:rsid w:val="00D001F1"/>
    <w:rsid w:val="00D11F66"/>
    <w:rsid w:val="00D219D5"/>
    <w:rsid w:val="00D22AE1"/>
    <w:rsid w:val="00D33020"/>
    <w:rsid w:val="00D332E6"/>
    <w:rsid w:val="00D333DE"/>
    <w:rsid w:val="00D36623"/>
    <w:rsid w:val="00D37F90"/>
    <w:rsid w:val="00D4097D"/>
    <w:rsid w:val="00D40CC0"/>
    <w:rsid w:val="00D472A1"/>
    <w:rsid w:val="00D51740"/>
    <w:rsid w:val="00D56AE3"/>
    <w:rsid w:val="00D764D9"/>
    <w:rsid w:val="00D810FA"/>
    <w:rsid w:val="00D81D4F"/>
    <w:rsid w:val="00D856B1"/>
    <w:rsid w:val="00D90075"/>
    <w:rsid w:val="00D904B2"/>
    <w:rsid w:val="00D906B4"/>
    <w:rsid w:val="00DA3482"/>
    <w:rsid w:val="00DA3649"/>
    <w:rsid w:val="00DB19D7"/>
    <w:rsid w:val="00DB25E4"/>
    <w:rsid w:val="00DD6ACE"/>
    <w:rsid w:val="00DF0C38"/>
    <w:rsid w:val="00DF2E54"/>
    <w:rsid w:val="00DF5566"/>
    <w:rsid w:val="00DF5E14"/>
    <w:rsid w:val="00DF63A5"/>
    <w:rsid w:val="00E03919"/>
    <w:rsid w:val="00E1359F"/>
    <w:rsid w:val="00E2262C"/>
    <w:rsid w:val="00E265EC"/>
    <w:rsid w:val="00E31259"/>
    <w:rsid w:val="00E367D2"/>
    <w:rsid w:val="00E41712"/>
    <w:rsid w:val="00E44A2C"/>
    <w:rsid w:val="00E46302"/>
    <w:rsid w:val="00E47394"/>
    <w:rsid w:val="00E57802"/>
    <w:rsid w:val="00E6576A"/>
    <w:rsid w:val="00E674C9"/>
    <w:rsid w:val="00E80BDB"/>
    <w:rsid w:val="00E828DB"/>
    <w:rsid w:val="00E86DEF"/>
    <w:rsid w:val="00E91FCD"/>
    <w:rsid w:val="00E93983"/>
    <w:rsid w:val="00E97EF3"/>
    <w:rsid w:val="00EA5D19"/>
    <w:rsid w:val="00EB15DE"/>
    <w:rsid w:val="00EB17CD"/>
    <w:rsid w:val="00EB277C"/>
    <w:rsid w:val="00EB75EA"/>
    <w:rsid w:val="00EC0124"/>
    <w:rsid w:val="00EC117F"/>
    <w:rsid w:val="00EC185E"/>
    <w:rsid w:val="00EC657D"/>
    <w:rsid w:val="00EC6634"/>
    <w:rsid w:val="00EE7F1D"/>
    <w:rsid w:val="00EF4971"/>
    <w:rsid w:val="00F03073"/>
    <w:rsid w:val="00F10CFA"/>
    <w:rsid w:val="00F17130"/>
    <w:rsid w:val="00F202C2"/>
    <w:rsid w:val="00F257E8"/>
    <w:rsid w:val="00F31D6D"/>
    <w:rsid w:val="00F3249C"/>
    <w:rsid w:val="00F35626"/>
    <w:rsid w:val="00F45219"/>
    <w:rsid w:val="00F534ED"/>
    <w:rsid w:val="00F55F24"/>
    <w:rsid w:val="00F567DB"/>
    <w:rsid w:val="00F576A5"/>
    <w:rsid w:val="00F57A22"/>
    <w:rsid w:val="00F66549"/>
    <w:rsid w:val="00F70DC5"/>
    <w:rsid w:val="00F71E91"/>
    <w:rsid w:val="00F72214"/>
    <w:rsid w:val="00F94778"/>
    <w:rsid w:val="00F97851"/>
    <w:rsid w:val="00FB5B07"/>
    <w:rsid w:val="00FB6DA2"/>
    <w:rsid w:val="00FC275E"/>
    <w:rsid w:val="00FE5709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86292-7A44-4508-AF83-CBE7378D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FEB"/>
    <w:pPr>
      <w:spacing w:after="160" w:line="259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C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0">
    <w:name w:val="Font Style20"/>
    <w:basedOn w:val="DefaultParagraphFont"/>
    <w:uiPriority w:val="99"/>
    <w:rsid w:val="00486FEB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486FEB"/>
    <w:pPr>
      <w:spacing w:after="0" w:line="240" w:lineRule="auto"/>
    </w:pPr>
    <w:rPr>
      <w:lang w:val="ro-RO"/>
    </w:rPr>
  </w:style>
  <w:style w:type="table" w:styleId="TableGrid">
    <w:name w:val="Table Grid"/>
    <w:basedOn w:val="TableNormal"/>
    <w:uiPriority w:val="59"/>
    <w:rsid w:val="0048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86FEB"/>
    <w:rPr>
      <w:lang w:val="ro-RO"/>
    </w:rPr>
  </w:style>
  <w:style w:type="character" w:customStyle="1" w:styleId="2">
    <w:name w:val="Основной текст (2)"/>
    <w:basedOn w:val="DefaultParagraphFont"/>
    <w:rsid w:val="00486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docheader">
    <w:name w:val="doc_header"/>
    <w:basedOn w:val="DefaultParagraphFont"/>
    <w:rsid w:val="002B417F"/>
  </w:style>
  <w:style w:type="character" w:customStyle="1" w:styleId="1">
    <w:name w:val="Заголовок №1"/>
    <w:basedOn w:val="DefaultParagraphFont"/>
    <w:rsid w:val="007F00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o-RO" w:eastAsia="ro-RO" w:bidi="ro-RO"/>
    </w:rPr>
  </w:style>
  <w:style w:type="character" w:customStyle="1" w:styleId="20">
    <w:name w:val="Основной текст (2) + Курсив"/>
    <w:rsid w:val="005A6C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C151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4EB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EBC"/>
    <w:rPr>
      <w:rFonts w:ascii="Segoe UI" w:hAnsi="Segoe UI" w:cs="Segoe UI"/>
      <w:sz w:val="18"/>
      <w:szCs w:val="18"/>
      <w:lang w:val="ro-RO"/>
    </w:rPr>
  </w:style>
  <w:style w:type="character" w:customStyle="1" w:styleId="object">
    <w:name w:val="object"/>
    <w:basedOn w:val="DefaultParagraphFont"/>
    <w:rsid w:val="00144EA8"/>
  </w:style>
  <w:style w:type="paragraph" w:styleId="ListParagraph">
    <w:name w:val="List Paragraph"/>
    <w:basedOn w:val="Normal"/>
    <w:uiPriority w:val="34"/>
    <w:qFormat/>
    <w:rsid w:val="008F6D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4C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644C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Other">
    <w:name w:val="Other_"/>
    <w:basedOn w:val="DefaultParagraphFont"/>
    <w:link w:val="Other0"/>
    <w:locked/>
    <w:rsid w:val="006E2D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6E2D2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BodyText">
    <w:name w:val="Body Text"/>
    <w:basedOn w:val="Normal"/>
    <w:link w:val="BodyTextChar"/>
    <w:unhideWhenUsed/>
    <w:qFormat/>
    <w:rsid w:val="006E2D2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BodyTextChar">
    <w:name w:val="Body Text Char"/>
    <w:basedOn w:val="DefaultParagraphFont"/>
    <w:link w:val="BodyText"/>
    <w:rsid w:val="006E2D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Style7">
    <w:name w:val="Style7"/>
    <w:basedOn w:val="Normal"/>
    <w:uiPriority w:val="99"/>
    <w:rsid w:val="00D33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hyperlink" Target="https://maia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8903</TotalTime>
  <Pages>2</Pages>
  <Words>825</Words>
  <Characters>4787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Sandu</dc:creator>
  <cp:lastModifiedBy>1</cp:lastModifiedBy>
  <cp:revision>53</cp:revision>
  <cp:lastPrinted>2024-04-30T12:03:00Z</cp:lastPrinted>
  <dcterms:created xsi:type="dcterms:W3CDTF">2022-12-02T07:07:00Z</dcterms:created>
  <dcterms:modified xsi:type="dcterms:W3CDTF">2024-05-02T06:30:00Z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a1ab2528299a39d00a14f510c2be99f55d728546dc48069a695d146f801c00d7</vt:lpwstr>
  </property>
</Properties>
</file>