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02" w:rsidRPr="00421A3D" w:rsidRDefault="00410802" w:rsidP="0041080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1A3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410802" w:rsidRPr="00421A3D" w:rsidRDefault="00410802" w:rsidP="00410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1A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hotărârii Guvernului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privind aprobarea Metodologiei comune de investigare a accidentelor și incidentelor maritime</w:t>
      </w:r>
    </w:p>
    <w:p w:rsidR="00410802" w:rsidRPr="00325B9F" w:rsidRDefault="00410802" w:rsidP="0041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1. Denumirea autorului și, după caz, a participanților la elaborarea proiectului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5414E4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414E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Proiectul hotărârii Guvernului </w:t>
            </w:r>
            <w:r w:rsidRPr="00410802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privind aprobarea Metodologiei comune de investigare a accidentelor și incidentelor maritime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5414E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 fost elaborat de către Ministerul Infrastru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cturii și Dezvoltării Regionale.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2. Condițiile ce au impus elaborarea proiectului de act normativ și finalitățile urmărite</w:t>
            </w:r>
          </w:p>
        </w:tc>
      </w:tr>
      <w:tr w:rsidR="00410802" w:rsidRPr="0020152F" w:rsidTr="004602DC">
        <w:trPr>
          <w:trHeight w:val="557"/>
        </w:trPr>
        <w:tc>
          <w:tcPr>
            <w:tcW w:w="5000" w:type="pct"/>
          </w:tcPr>
          <w:p w:rsidR="000C2155" w:rsidRDefault="00410802" w:rsidP="00B16C7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A52D3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Elaborarea proiectului hotărârii Guvernului </w:t>
            </w:r>
            <w:r w:rsidR="004C3855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privind aprobarea Metodologiei comune de investigare a accidentelor și incidentelor maritime </w:t>
            </w:r>
            <w:r w:rsidR="00E43641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rezidă din necesitatea cre</w:t>
            </w:r>
            <w:r w:rsidR="005E68EF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ării</w:t>
            </w:r>
            <w:r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7B799C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ș</w:t>
            </w:r>
            <w:r w:rsidR="005E68EF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i stabilirii</w:t>
            </w:r>
            <w:r w:rsidR="007B799C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unei abordări comune pentru investigațiile privind siguranța maritimă</w:t>
            </w:r>
            <w:r w:rsidR="00CA53FB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 care să fie aplicabilă tuturor investigațiilor</w:t>
            </w:r>
            <w:r w:rsidR="00B16C7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pe domeniul naval</w:t>
            </w:r>
            <w:r w:rsidR="00CA53FB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B16C71" w:rsidRPr="00B16C71" w:rsidRDefault="00B16C71" w:rsidP="00B16C7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524E74" w:rsidRDefault="00C532B7" w:rsidP="00B16C7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Republica Moldova se confruntă cu un ascendent al accidentelor și incidentelor care vizează direct siguranța în transportul naval, situație care a impus crearea cadrului normativ primar, specific, necesar </w:t>
            </w:r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pentru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investigarea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tehnică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accidentelor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incidentelor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16C71" w:rsidRPr="00B16C71" w:rsidRDefault="00B16C71" w:rsidP="00B16C7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B16C71" w:rsidRDefault="00524E74" w:rsidP="00A52D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</w:pPr>
            <w:r w:rsidRPr="00A52D3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Reieșind din faptul că, accidentele și incidentele în transporturi nu erau </w:t>
            </w:r>
            <w:r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investigate din punct de vedere al siguranței, făcând doar obiectul anchetelor organelor judiciare care urmăresc stabilirea răspunderii sau a culpei, și totodată, </w:t>
            </w:r>
            <w:r w:rsidR="001E64A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lipsa unei structuri de investigație independente organizațional și juridic în luarea deciziilor, care să asigure implementarea activității de investigare privind siguranț</w:t>
            </w:r>
            <w:r w:rsidR="00EA5C2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a </w:t>
            </w:r>
            <w:r w:rsidR="001E64A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în cazul accidentelor și incidentelor din transporturi, în conformitate cu exigențele prevederilor Acordului de Asociere și a Organizațiilor Internaționale de profil, la care Republica Moldova face parte, a </w:t>
            </w:r>
            <w:proofErr w:type="spellStart"/>
            <w:r w:rsidR="001E64A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dus</w:t>
            </w:r>
            <w:proofErr w:type="spellEnd"/>
            <w:r w:rsidR="001E64A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 w:rsidR="002527A3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adoptarea</w:t>
            </w:r>
            <w:proofErr w:type="spellEnd"/>
            <w:r w:rsidR="002527A3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Legii</w:t>
            </w:r>
            <w:proofErr w:type="spellEnd"/>
            <w:r w:rsidR="00EA5C2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 </w:t>
            </w:r>
            <w:proofErr w:type="spellStart"/>
            <w:r w:rsidR="00EA5C2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nr</w:t>
            </w:r>
            <w:proofErr w:type="spellEnd"/>
            <w:r w:rsidR="00EA5C26"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. 213/2021 </w:t>
            </w:r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cu privire la </w:t>
            </w:r>
            <w:proofErr w:type="spellStart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investigarea</w:t>
            </w:r>
            <w:proofErr w:type="spellEnd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accidentelor</w:t>
            </w:r>
            <w:proofErr w:type="spellEnd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incidentelor</w:t>
            </w:r>
            <w:proofErr w:type="spellEnd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în </w:t>
            </w:r>
            <w:proofErr w:type="spellStart"/>
            <w:r w:rsidR="00EA5C26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transporturi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constituirea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Biroului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Investigare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gram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a</w:t>
            </w:r>
            <w:proofErr w:type="gram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Accidentelor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Incidentelor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în </w:t>
            </w:r>
            <w:proofErr w:type="spellStart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Transporturi</w:t>
            </w:r>
            <w:proofErr w:type="spellEnd"/>
            <w:r w:rsidR="000F55AD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.</w:t>
            </w:r>
          </w:p>
          <w:p w:rsidR="00B16C71" w:rsidRPr="00B16C71" w:rsidRDefault="00B16C71" w:rsidP="00A52D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8"/>
                <w:szCs w:val="8"/>
                <w:lang w:val="en-US"/>
                <w14:ligatures w14:val="standardContextual"/>
              </w:rPr>
            </w:pPr>
          </w:p>
          <w:p w:rsidR="00B97C74" w:rsidRPr="00B16C71" w:rsidRDefault="00D803E9" w:rsidP="00A52D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Legea</w:t>
            </w:r>
            <w:proofErr w:type="spellEnd"/>
            <w:r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>evocată</w:t>
            </w:r>
            <w:proofErr w:type="spellEnd"/>
            <w:r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are ca scop prevenirea producerii evenimentelor în transport, îmbunătățirea siguranței în domeniile transportului aerian, feroviar și naval, garantând un nivel înalt de eficiență, promptitudine și calitate a investigațiilor, de asemenea stabilește norme privind disponibilitatea în timp util a informațiilor referitoare la toate persoanele și mărfurile periculoase aflate la bordul unei aeronave, unei nave sau al unui material rulant implicat</w:t>
            </w:r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într-un eveniment de transport, pe când Biroul de Investigare a Accidentelor și Incidentelor în Transporturi</w:t>
            </w:r>
            <w:r w:rsidR="00136557" w:rsidRPr="00A52D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este </w:t>
            </w:r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desemnat să organizeze investigații tehnice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privind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siguranța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cu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scopul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de a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determina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cauzele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şi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circumstanțele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în care s-au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produs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evenimentele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în transport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şi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de a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emite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recomandări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privind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siguranța</w:t>
            </w:r>
            <w:proofErr w:type="spellEnd"/>
            <w:r w:rsidR="00136557"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.</w:t>
            </w:r>
          </w:p>
          <w:p w:rsidR="00FC5588" w:rsidRPr="00B16C71" w:rsidRDefault="00FC5588" w:rsidP="00A52D3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8"/>
                <w:szCs w:val="8"/>
                <w14:ligatures w14:val="standardContextual"/>
              </w:rPr>
            </w:pPr>
          </w:p>
          <w:p w:rsidR="003432A7" w:rsidRDefault="00FC5588" w:rsidP="00FC5C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  <w:r w:rsidRPr="00FC558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Cu toate </w:t>
            </w:r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că a fost aprobat cadrul normativ primar, la</w:t>
            </w:r>
            <w:r w:rsidRPr="00FC558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etapa</w:t>
            </w:r>
            <w:proofErr w:type="spellEnd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actuală</w:t>
            </w:r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nu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există</w:t>
            </w:r>
            <w:proofErr w:type="spellEnd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o </w:t>
            </w:r>
            <w:proofErr w:type="spellStart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metodologie</w:t>
            </w:r>
            <w:proofErr w:type="spellEnd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comună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care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să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fie </w:t>
            </w:r>
            <w:proofErr w:type="spellStart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aplicabilă</w:t>
            </w:r>
            <w:proofErr w:type="spellEnd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tuturor</w:t>
            </w:r>
            <w:proofErr w:type="spellEnd"/>
            <w:r w:rsidR="00387638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evenimentelor din transportul naval</w:t>
            </w:r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. În acest sens a fost elaborat proiectul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prezentei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hotărâri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Guvern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, care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va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defini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caracteristicile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unei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bune</w:t>
            </w:r>
            <w:proofErr w:type="spellEnd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1F0C6F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investigații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privind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siguranța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și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va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crea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mediul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necesar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în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vederea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efectuării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unei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investigații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metodice</w:t>
            </w:r>
            <w:proofErr w:type="spellEnd"/>
            <w:r w:rsidR="005C7F4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care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să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reducă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riscul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accidente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și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incidente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viitoare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și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să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reducă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consecințele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grave cum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ar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fi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pierderea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vieți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omenești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sau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de nave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și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poluarea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mediului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marin</w:t>
            </w:r>
            <w:proofErr w:type="spellEnd"/>
            <w:r w:rsidR="003432A7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.</w:t>
            </w:r>
          </w:p>
          <w:p w:rsidR="00920072" w:rsidRPr="00FC5CED" w:rsidRDefault="001F0C6F" w:rsidP="00FC5C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8"/>
                <w:szCs w:val="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  </w:t>
            </w:r>
          </w:p>
          <w:p w:rsidR="00524E74" w:rsidRPr="00A52D3B" w:rsidRDefault="00920072" w:rsidP="00A52D3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A52D3B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În același timp, intervenția normative rezultă și din prevederile </w:t>
            </w:r>
            <w:r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Acordului de Asociere al Republicii Moldova cu Uniunea Europeană (ratificat prin Legea 112/2014), în speță Anexa XXVIII-D „Normele aplicabile transportului maritim internațional”, având termen de implementare - anul 2019).</w:t>
            </w:r>
          </w:p>
          <w:p w:rsidR="00E033B1" w:rsidRDefault="00CE5BBC" w:rsidP="00E033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lastRenderedPageBreak/>
              <w:t>Astfel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, cadrul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normativ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existent </w:t>
            </w:r>
            <w:proofErr w:type="spellStart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aplicabil</w:t>
            </w:r>
            <w:proofErr w:type="spellEnd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această</w:t>
            </w:r>
            <w:proofErr w:type="spellEnd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1F6503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>etapă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are un domeniu general de aplicare privind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evenimentele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transportului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aerian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feroviar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 naval, </w:t>
            </w:r>
            <w:proofErr w:type="spellStart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A5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proiectul hotărârii Guvernului privind aprobarea Metodologiei comune de investigare a accidentelor și incidentelor maritime </w:t>
            </w:r>
            <w:r w:rsidR="00C750D2" w:rsidRPr="00A52D3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vine să stabilească o abordare comună restrânsă aplicabilă tuturor investigațiilor privind siguranța doar pe domeniul transportului naval. Respectiv, aplicarea unei metodologii comune cât și a unei abordări obiective și sistematice ar permite consolidarea siguranței maritime.</w:t>
            </w:r>
          </w:p>
          <w:p w:rsidR="00E033B1" w:rsidRPr="00E033B1" w:rsidRDefault="00E033B1" w:rsidP="00E033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EE7E7E" w:rsidRPr="00E033B1" w:rsidRDefault="00EE7E7E" w:rsidP="00E033B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Finalitatea urmărită prin aprobarea acestui proiect este de a </w:t>
            </w:r>
            <w:r w:rsidR="001F4BC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îmbunătăți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siguranța în transport</w:t>
            </w:r>
            <w:r w:rsidR="001F4BC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investigarea cauzelor producerii </w:t>
            </w:r>
            <w:proofErr w:type="spellStart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evenimentelor</w:t>
            </w:r>
            <w:proofErr w:type="spellEnd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înt</w:t>
            </w:r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proofErr w:type="spellEnd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-un mod </w:t>
            </w:r>
            <w:proofErr w:type="spellStart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obiectiv</w:t>
            </w:r>
            <w:proofErr w:type="spellEnd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imparțial</w:t>
            </w:r>
            <w:proofErr w:type="spellEnd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transparent, </w:t>
            </w:r>
            <w:proofErr w:type="spellStart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reducerea</w:t>
            </w:r>
            <w:proofErr w:type="spellEnd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pierderilor</w:t>
            </w:r>
            <w:proofErr w:type="spellEnd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vieți</w:t>
            </w:r>
            <w:proofErr w:type="spellEnd"/>
            <w:r w:rsidR="001F4BC5" w:rsidRPr="001F4BC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omenești cauzate </w:t>
            </w:r>
            <w:r w:rsidR="008F4B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 evenimentele în transporturi.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lastRenderedPageBreak/>
              <w:t>3. Descrierea gradului de compatibilitate pentru proiectele care au ca scop armonizarea legislației naționale cu legislația Uniunii Europene</w:t>
            </w:r>
          </w:p>
        </w:tc>
      </w:tr>
      <w:tr w:rsidR="00410802" w:rsidRPr="00A44B50" w:rsidTr="004602DC">
        <w:tc>
          <w:tcPr>
            <w:tcW w:w="5000" w:type="pct"/>
          </w:tcPr>
          <w:p w:rsidR="00A94878" w:rsidRDefault="00410802" w:rsidP="00A948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ro-RO" w:eastAsia="ru-RU"/>
              </w:rPr>
            </w:pP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Intervenția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normativă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referitoare </w:t>
            </w:r>
            <w:r w:rsidR="00244437"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la </w:t>
            </w:r>
            <w:r w:rsidR="0024443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metodologia comună pentru investigarea accidentelor și incidentelor maritime</w:t>
            </w:r>
            <w:r w:rsidR="00244437"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rezultă</w:t>
            </w:r>
            <w:r w:rsidR="0024443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după cum am mai menționat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inclusiv, din prevederile Acordului de Asociere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Republicii Moldova cu Uniunea Europeană (ratificat prin Legea 112/2014), în speță Anexa XXVIII-D „Normele aplicabile transportului maritim internațional”</w:t>
            </w:r>
            <w:r w:rsidR="001F7EF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A94878" w:rsidRPr="00A94878" w:rsidRDefault="00A94878" w:rsidP="00A948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410802" w:rsidRPr="00F11312" w:rsidRDefault="00410802" w:rsidP="00A948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ro-RO" w:eastAsia="ru-RU"/>
              </w:rPr>
            </w:pP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În acest fel, prin prezenta</w:t>
            </w:r>
            <w:r w:rsidR="001F7EF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hotărâre urmează a fi transpus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D0766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Regulamentul</w:t>
            </w:r>
            <w:r w:rsidR="001F7EFE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UE nr. 1286/2011 al Comisiei din 9 decembrie 2011, de adoptare a unei metodologii comune de investigare a accidentelor și incidentelor maritime elaborate în conformitate cu articolul 5 alin. (4) din Directiva 2009/18/CE a Parlamentului European și a Consiliului.</w:t>
            </w:r>
          </w:p>
          <w:p w:rsidR="00410802" w:rsidRPr="00F11312" w:rsidRDefault="00410802" w:rsidP="004602DC">
            <w:pPr>
              <w:pStyle w:val="NoSpacing"/>
              <w:spacing w:after="60"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410802" w:rsidRPr="003B79EB" w:rsidRDefault="00410802" w:rsidP="004602DC">
            <w:pPr>
              <w:pStyle w:val="NoSpacing"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revederile Directivei menționate supra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D137D4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converg cu prevederile Organizației Maritime Internaționale la care Republica Moldova este parte.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4. Principalele prevederi ale proiectului și evidențierea elementelor noi</w:t>
            </w:r>
          </w:p>
        </w:tc>
      </w:tr>
      <w:tr w:rsidR="00410802" w:rsidRPr="00421A3D" w:rsidTr="004602DC">
        <w:tc>
          <w:tcPr>
            <w:tcW w:w="5000" w:type="pct"/>
          </w:tcPr>
          <w:p w:rsidR="00410802" w:rsidRDefault="00410802" w:rsidP="00D115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D258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Proiectul de act normativ reglementează aspectele cheie privind </w:t>
            </w:r>
            <w:r w:rsidR="007A17CF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disponibilitatea operațională,  evaluarea inițială și răspunsul la acesta, strategia și colectarea probelor, procesul de analiză în scopul de a identifica factorii determinați și factorii contributivi cât și emiterea recomandărilor privind siguranța.</w:t>
            </w:r>
          </w:p>
          <w:p w:rsidR="00AD2F9F" w:rsidRPr="00AD2F9F" w:rsidRDefault="00AD2F9F" w:rsidP="00D115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7A17CF" w:rsidRDefault="00B56DEB" w:rsidP="00D115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56D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În partea ce ține de </w:t>
            </w:r>
            <w:r w:rsidRPr="00B56DEB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disponibilitatea operațională</w:t>
            </w:r>
            <w:r w:rsidRPr="00B56D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="00AD2F9F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Biroul</w:t>
            </w:r>
            <w:r w:rsidRPr="00B56D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trebui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B56D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să aibă un plan elaborat din timp pentru a se asigura că nu apar întârzieri ca urmare a lipsei de informații relevante.</w:t>
            </w:r>
          </w:p>
          <w:p w:rsidR="00AD2F9F" w:rsidRPr="00AD2F9F" w:rsidRDefault="00AD2F9F" w:rsidP="00D115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936A91" w:rsidRDefault="00AD2F9F" w:rsidP="00D115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AD2F9F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Evaluarea inițială și răspunsul la acesta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Pr="00AD2F9F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tunci când primesc o notificare, Biroul de Investigare a Accidentelor și Incidentelor în Transporturi trebuie să evalueze situația. Evaluarea inițială are un rol decisiv în procesul prin care Biroul își formează o idee generală privind situația cât mai repede posibil, reduc la minim riscul potențial de dispariție a probelor și stabilesc ce informații sunt necesare pentru luarea măsurilor adecvate.</w:t>
            </w:r>
          </w:p>
          <w:p w:rsidR="00936A91" w:rsidRPr="00936A91" w:rsidRDefault="00936A91" w:rsidP="00D115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ro-RO" w:eastAsia="ru-RU"/>
              </w:rPr>
            </w:pPr>
          </w:p>
          <w:p w:rsidR="00FF1BAA" w:rsidRDefault="00EA1C1F" w:rsidP="00D11525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EA1C1F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Strategia și colectarea probelor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-</w:t>
            </w:r>
            <w:r w:rsidR="00936A91" w:rsidRPr="00936A9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Biroul de Investigare a Accidentelor și Incidentelor în Transporturi în legătură strânsă cu organele statelor interesate în mod deosebit, trebuie să elaboreze rapid o strategie referitoare la domeniul de aplicare, orientarea și calendarul investigației. Biroul trebuie să vegheze la aplicarea planului pe parcursul investigației, înainte de încheierea etapei de colectare a probelor, trebuie să se fi asigurat, în măsura în care este posibil, că toate probele care ar fi putut avea o legătură cu accidentul sau incidentul au fost colectate din toate locurile.</w:t>
            </w:r>
          </w:p>
          <w:p w:rsidR="00FF1BAA" w:rsidRPr="00FF1BAA" w:rsidRDefault="00FF1BAA" w:rsidP="00FF1BAA">
            <w:pPr>
              <w:pStyle w:val="NoSpacing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8"/>
                <w:szCs w:val="8"/>
                <w:lang w:val="ro-RO"/>
              </w:rPr>
            </w:pPr>
          </w:p>
          <w:p w:rsidR="00C51363" w:rsidRDefault="008B3FBB" w:rsidP="00C51363">
            <w:pPr>
              <w:pStyle w:val="NoSpacing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F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Procesul de analiză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- </w:t>
            </w:r>
            <w:proofErr w:type="spellStart"/>
            <w:r w:rsidR="00FF1BAA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upă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fost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colectate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probele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datele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suplimentare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corelate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acestea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Biroul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Investigare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Accidentelor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Incidentelor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Transporturi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cooperare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alte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state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interesate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în mod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deosebit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situație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trebuie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să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analizeze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în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scopul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identifica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factorii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determinanți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factorii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contributivi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În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acest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sens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investigatorii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trebuie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să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țină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cont de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interesul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variabil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probelor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colectate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să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caute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cel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mai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bun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mijloc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soluționare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ambiguităților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conflictelor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>dintre</w:t>
            </w:r>
            <w:proofErr w:type="spellEnd"/>
            <w:r w:rsidR="00FF1BAA" w:rsidRPr="00FF1B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probe.</w:t>
            </w:r>
          </w:p>
          <w:p w:rsidR="00C51363" w:rsidRPr="00C51363" w:rsidRDefault="00C51363" w:rsidP="00D11525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:rsidR="00410802" w:rsidRDefault="00CA1F30" w:rsidP="000C2155">
            <w:pPr>
              <w:pStyle w:val="NoSpacing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F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>Recomandări privind siguranța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- </w:t>
            </w:r>
            <w:r w:rsidR="00C513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t</w:t>
            </w:r>
            <w:r w:rsidR="00C51363" w:rsidRPr="00C513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oate recomandările privind siguranța trebuie să se bazeze pe analiză. Ele trebuie adresate acelor organizații sau persoane care sunt cel mai bine plasate pentru a institui acțiuni corective. Recomandările pot avea la bază investigațiile privind siguranța ori cercetări sau analize ale datelor abstracte</w:t>
            </w:r>
            <w:r w:rsidR="00C513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.</w:t>
            </w:r>
          </w:p>
          <w:p w:rsidR="000C2155" w:rsidRPr="000C2155" w:rsidRDefault="000C2155" w:rsidP="00D11525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  <w:p w:rsidR="00410802" w:rsidRPr="000C2155" w:rsidRDefault="00410802" w:rsidP="004C7E06">
            <w:pPr>
              <w:pStyle w:val="NoSpacing"/>
              <w:spacing w:before="60" w:after="60"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Așa deci, prin </w:t>
            </w:r>
            <w:r w:rsidRPr="00EE18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și transpunerea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215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Regulamentul</w:t>
            </w:r>
            <w:r w:rsidR="004C7E0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ui</w:t>
            </w:r>
            <w:r w:rsidR="000C215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UE nr. 1286/2011 al Comisiei din 9 decembrie 2011, de adoptare a unei metodologii comune de investigare a accidentelor și incidentelor maritime elaborate în conformitate cu articolul 5 alin. (4) din Directiva 2009/18/CE a Parlamentului European și a Consiliului</w:t>
            </w:r>
            <w:r w:rsidRPr="00EE18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va fi </w:t>
            </w:r>
            <w:r w:rsidR="004C7E06" w:rsidRPr="004C7E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</w:t>
            </w:r>
            <w:r w:rsidR="004C7E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ită</w:t>
            </w:r>
            <w:r w:rsidR="004C7E06" w:rsidRPr="004C7E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abordare comună aplicabilă tuturor investigațiilor accidentelor și incidentelor maritime desfășurate  în conformitate cu prevederile Legii nr. 213/2021 cu privire la investigarea accidentelor și incidentelor în transporturi și definește caracteristicile unei bune investigații privind siguranța.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lastRenderedPageBreak/>
              <w:t>5. Fundamentarea economico-financiară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F24D8B" w:rsidRPr="00627B4F" w:rsidRDefault="00F24D8B" w:rsidP="00F24D8B">
            <w:pPr>
              <w:widowControl w:val="0"/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le</w:t>
            </w:r>
            <w:r w:rsidRPr="00627B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m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ta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r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27B4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e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ct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l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u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</w:t>
            </w:r>
            <w:r w:rsidRPr="00627B4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im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p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li</w:t>
            </w:r>
            <w:r w:rsidRPr="00627B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c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627B4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al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o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ca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27B4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e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27B4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mi</w:t>
            </w:r>
            <w:r w:rsidRPr="00627B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jl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acel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627B4F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f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627B4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627B4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27B4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c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t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r w:rsidRPr="00627B4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g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et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27B4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l</w:t>
            </w:r>
            <w:r w:rsidRPr="00627B4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u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27B4F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627B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</w:p>
          <w:p w:rsidR="00410802" w:rsidRPr="00736CB6" w:rsidRDefault="00F24D8B" w:rsidP="00F24D8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B4F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s</w:t>
            </w:r>
            <w:r w:rsidRPr="00627B4F">
              <w:rPr>
                <w:rFonts w:ascii="Times New Roman" w:eastAsia="Times New Roman" w:hAnsi="Times New Roman" w:cs="Times New Roman"/>
                <w:spacing w:val="-2"/>
                <w:position w:val="-1"/>
                <w:sz w:val="24"/>
                <w:szCs w:val="24"/>
                <w:lang w:val="en-US"/>
              </w:rPr>
              <w:t>tat</w:t>
            </w:r>
            <w:r w:rsidRPr="00627B4F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/>
              </w:rPr>
              <w:t>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6. Modul de încorporare a actului în cadrul normativ în vigoare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16DB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Prezentul proiect nu contravine Constituției Republicii Moldova 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cadrului normativ național</w:t>
            </w:r>
            <w:r w:rsidRPr="00C16DB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="00A20A48" w:rsidRPr="00A20A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A20A48" w:rsidRPr="00A20A4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Potrivit dispozițiilor art.3 alin.(1) din Legea nr.213/2021 cu privire la investigarea accidentelor și incidentelor în transporturi, autoritatea administrativă centrală, aflată în subordinea Guvernului, desemnată să organizeze investigații tehnice privind siguranța cu scopul de a determina cauzele și circumstanțele în care s-au produs evenimentele în transport și de a emite recomandări privind siguranța este Biroul de Investigare a Accidentelor </w:t>
            </w:r>
            <w:r w:rsidR="00A20A4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și Incidentelor în Transporturi, care își va desfășura activitatea </w:t>
            </w:r>
            <w:r w:rsidR="004F34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conformitate cu metodologia comună pentru investigarea accidentelor și incidentelor maritime.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7. Avizarea şi consultarea publică a proiectului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4F3494" w:rsidRDefault="00410802" w:rsidP="004602DC">
            <w:pPr>
              <w:pStyle w:val="NoSpacing"/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Anunțul </w:t>
            </w:r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cu privire la inițierea elaborării proiectului Hotărârii Guvernului </w:t>
            </w:r>
            <w:r w:rsidR="004F3494" w:rsidRPr="004F3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privind aprobarea Metodologiei comune de investigare a accidentelor și incidentelor maritime</w:t>
            </w:r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a fost plasat pe pagina oficială a Ministerului,  </w:t>
            </w:r>
            <w:hyperlink r:id="rId5" w:history="1">
              <w:r w:rsidRPr="00A44B50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o-RO" w:eastAsia="ru-RU"/>
                </w:rPr>
                <w:t>www.midr.gov.md</w:t>
              </w:r>
            </w:hyperlink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și pe platforma </w:t>
            </w:r>
            <w:hyperlink r:id="rId6" w:history="1">
              <w:r w:rsidRPr="00A44B50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o-RO" w:eastAsia="ru-RU"/>
                </w:rPr>
                <w:t>www.particip.gov.md</w:t>
              </w:r>
            </w:hyperlink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RO" w:eastAsia="ru-RU"/>
              </w:rPr>
              <w:t xml:space="preserve"> </w:t>
            </w:r>
            <w:r w:rsidRPr="00A44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.</w:t>
            </w:r>
          </w:p>
          <w:p w:rsidR="00410802" w:rsidRPr="00D11525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val="en-US" w:eastAsia="ru-RU"/>
              </w:rPr>
            </w:pPr>
          </w:p>
          <w:p w:rsidR="00410802" w:rsidRPr="00A11E00" w:rsidRDefault="00410802" w:rsidP="00A11E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A4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 xml:space="preserve">Proiectul </w:t>
            </w:r>
            <w:r w:rsidR="003D0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urmează să fie</w:t>
            </w:r>
            <w:r w:rsidRPr="00A4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 xml:space="preserve"> avizat de Ministerul Finanțelor, Ministerul Justiției, Ministerul Afacerilor </w:t>
            </w:r>
            <w:r w:rsidR="00A1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Interne</w:t>
            </w:r>
            <w:r w:rsidRPr="00A4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 xml:space="preserve">Centrul de Armonizare a Legislației, </w:t>
            </w:r>
            <w:r w:rsidR="001917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 xml:space="preserve">Biroul de Investigarea a Accidentelor și Incidentelor, </w:t>
            </w:r>
            <w:bookmarkStart w:id="0" w:name="_GoBack"/>
            <w:bookmarkEnd w:id="0"/>
            <w:r w:rsidRPr="00A44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Agenția Navală a Republicii Moldova</w:t>
            </w:r>
            <w:r w:rsidR="00A1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, Î.S. ,,Portul Fluvial Ungheni” și ÎCS ,,</w:t>
            </w:r>
            <w:proofErr w:type="spellStart"/>
            <w:r w:rsidR="00A1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Danube</w:t>
            </w:r>
            <w:proofErr w:type="spellEnd"/>
            <w:r w:rsidR="00A1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="00A1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Logistics</w:t>
            </w:r>
            <w:proofErr w:type="spellEnd"/>
            <w:r w:rsidR="00A11E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MD" w:eastAsia="ru-RU"/>
              </w:rPr>
              <w:t>” SRL.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8. Constatările expertizei anticorupție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Proiectul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de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hotărâre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va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fi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supus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expertizei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anticorupție, conform art. 35 din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Legea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nr.100/2017 cu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privire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la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actele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normative,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iar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rezultatele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acesteia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vor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fi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incluse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în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sinteza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obiecțiilor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și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propunerilor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la </w:t>
            </w:r>
            <w:proofErr w:type="spellStart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proiect</w:t>
            </w:r>
            <w:proofErr w:type="spellEnd"/>
            <w:r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9. Constatările expertizei de compatibilitate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052F95" w:rsidRDefault="00410802" w:rsidP="003D0809">
            <w:pPr>
              <w:pStyle w:val="NoSpacing"/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052F9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Proiectul de hotărâre </w:t>
            </w:r>
            <w:r w:rsidR="003D0809" w:rsidRPr="00325B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o-RO"/>
              </w:rPr>
              <w:t>va fi supus</w:t>
            </w:r>
            <w:r w:rsidR="003D0809" w:rsidRPr="00052F9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52F9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expertizei de compatibilitate, conform art. 36 din Legea nr.100/2017 cu privire la actele normative, iar rezultatele examinării acesteia </w:t>
            </w:r>
            <w:proofErr w:type="spellStart"/>
            <w:r w:rsidR="003D0809" w:rsidRPr="00325B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o-RO"/>
              </w:rPr>
              <w:t>vor</w:t>
            </w:r>
            <w:proofErr w:type="spellEnd"/>
            <w:r w:rsidR="003D0809" w:rsidRPr="00325B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o-RO"/>
              </w:rPr>
              <w:t xml:space="preserve"> fi </w:t>
            </w:r>
            <w:r w:rsidRPr="00052F9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incluse în sinteza obiecțiilor și propunerilor la proiect. 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10. Constatările expertizei juridice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3D08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hotărâre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08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3D08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</w:t>
            </w:r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supus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expertizei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conform art.37 din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nr.100/2017 cu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examinării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0809"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>vor</w:t>
            </w:r>
            <w:proofErr w:type="spellEnd"/>
            <w:r w:rsidR="003D0809" w:rsidRPr="00325B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o-RO"/>
              </w:rPr>
              <w:t xml:space="preserve"> fi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incluse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sinteza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obiecțiilor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propunerilor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325B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10802" w:rsidRPr="00325B9F" w:rsidTr="004602DC">
        <w:tc>
          <w:tcPr>
            <w:tcW w:w="5000" w:type="pct"/>
          </w:tcPr>
          <w:p w:rsidR="00410802" w:rsidRPr="00325B9F" w:rsidRDefault="00410802" w:rsidP="0046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32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11. Constatările altor expertize</w:t>
            </w:r>
          </w:p>
        </w:tc>
      </w:tr>
      <w:tr w:rsidR="00410802" w:rsidRPr="00325B9F" w:rsidTr="004602DC">
        <w:tc>
          <w:tcPr>
            <w:tcW w:w="5000" w:type="pct"/>
          </w:tcPr>
          <w:p w:rsidR="006E639B" w:rsidRDefault="006E639B" w:rsidP="006E6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Proiectul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conține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prevederi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reglementare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activității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întreprinzător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în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contextul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Legii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nr.235/2006 cu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privire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principiile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bază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reglementare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activității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întreprinzător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astfel</w:t>
            </w:r>
            <w:proofErr w:type="spellEnd"/>
          </w:p>
          <w:p w:rsidR="00410802" w:rsidRPr="006E639B" w:rsidRDefault="006E639B" w:rsidP="006E6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</w:pP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fost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elaborată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analiza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impactului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la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proiect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, care a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fost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examinată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susținută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condiț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ionat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către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Grupul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lucru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pentru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reglementarea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activității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întreprinzător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în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ședinț</w:t>
            </w:r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lucru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din 30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aprilie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curent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val="en-US"/>
                <w14:ligatures w14:val="standardContextual"/>
              </w:rPr>
              <w:t>.</w:t>
            </w:r>
          </w:p>
        </w:tc>
      </w:tr>
    </w:tbl>
    <w:p w:rsidR="00410802" w:rsidRPr="00325B9F" w:rsidRDefault="00410802" w:rsidP="004108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10802" w:rsidRPr="00325B9F" w:rsidRDefault="00410802" w:rsidP="004108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10802" w:rsidRPr="0044094D" w:rsidRDefault="00410802" w:rsidP="00410802">
      <w:pPr>
        <w:spacing w:line="240" w:lineRule="auto"/>
        <w:ind w:firstLine="709"/>
        <w:contextualSpacing/>
        <w:jc w:val="both"/>
        <w:rPr>
          <w:color w:val="0563C1" w:themeColor="hyperlink"/>
          <w:sz w:val="18"/>
          <w:szCs w:val="18"/>
          <w:u w:val="single"/>
          <w:lang w:val="fr-FR"/>
        </w:rPr>
      </w:pPr>
      <w:r w:rsidRPr="00325B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general al ministerului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</w:t>
      </w:r>
      <w:r w:rsidRPr="00325B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Angela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ȚURCANU</w:t>
      </w:r>
    </w:p>
    <w:p w:rsidR="00410802" w:rsidRPr="00BB2875" w:rsidRDefault="00410802" w:rsidP="00410802">
      <w:pPr>
        <w:spacing w:after="0"/>
        <w:ind w:firstLine="709"/>
        <w:jc w:val="both"/>
        <w:rPr>
          <w:lang w:val="fr-FR"/>
        </w:rPr>
      </w:pPr>
    </w:p>
    <w:p w:rsidR="00410802" w:rsidRPr="00421A3D" w:rsidRDefault="00410802" w:rsidP="00410802">
      <w:pPr>
        <w:spacing w:after="0"/>
        <w:ind w:firstLine="709"/>
        <w:jc w:val="both"/>
        <w:rPr>
          <w:lang w:val="fr-FR"/>
        </w:rPr>
      </w:pPr>
    </w:p>
    <w:p w:rsidR="004407BE" w:rsidRDefault="004407BE"/>
    <w:sectPr w:rsidR="004407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857C3"/>
    <w:multiLevelType w:val="hybridMultilevel"/>
    <w:tmpl w:val="212E33C6"/>
    <w:lvl w:ilvl="0" w:tplc="6DE68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BE"/>
    <w:rsid w:val="000B41CB"/>
    <w:rsid w:val="000C2155"/>
    <w:rsid w:val="000E0D13"/>
    <w:rsid w:val="000F55AD"/>
    <w:rsid w:val="00136557"/>
    <w:rsid w:val="0019172B"/>
    <w:rsid w:val="001E64A6"/>
    <w:rsid w:val="001F0C6F"/>
    <w:rsid w:val="001F4BC5"/>
    <w:rsid w:val="001F6503"/>
    <w:rsid w:val="001F7EFE"/>
    <w:rsid w:val="00220593"/>
    <w:rsid w:val="00244437"/>
    <w:rsid w:val="002527A3"/>
    <w:rsid w:val="003432A7"/>
    <w:rsid w:val="00387638"/>
    <w:rsid w:val="003D0809"/>
    <w:rsid w:val="00410802"/>
    <w:rsid w:val="004407BE"/>
    <w:rsid w:val="004C3855"/>
    <w:rsid w:val="004C7E06"/>
    <w:rsid w:val="004F3494"/>
    <w:rsid w:val="00524E74"/>
    <w:rsid w:val="00585B35"/>
    <w:rsid w:val="005C7F4C"/>
    <w:rsid w:val="005E68EF"/>
    <w:rsid w:val="006E639B"/>
    <w:rsid w:val="007A17CF"/>
    <w:rsid w:val="007B799C"/>
    <w:rsid w:val="00822399"/>
    <w:rsid w:val="008B3FBB"/>
    <w:rsid w:val="008F4B7E"/>
    <w:rsid w:val="00920072"/>
    <w:rsid w:val="00936A91"/>
    <w:rsid w:val="00A11E00"/>
    <w:rsid w:val="00A20A48"/>
    <w:rsid w:val="00A52D3B"/>
    <w:rsid w:val="00A94878"/>
    <w:rsid w:val="00AD2F9F"/>
    <w:rsid w:val="00AF5DF6"/>
    <w:rsid w:val="00B16C71"/>
    <w:rsid w:val="00B56DEB"/>
    <w:rsid w:val="00B97C74"/>
    <w:rsid w:val="00C51363"/>
    <w:rsid w:val="00C532B7"/>
    <w:rsid w:val="00C750D2"/>
    <w:rsid w:val="00CA1F30"/>
    <w:rsid w:val="00CA53FB"/>
    <w:rsid w:val="00CE5BBC"/>
    <w:rsid w:val="00D0766E"/>
    <w:rsid w:val="00D11525"/>
    <w:rsid w:val="00D803E9"/>
    <w:rsid w:val="00D82B29"/>
    <w:rsid w:val="00E00DAE"/>
    <w:rsid w:val="00E033B1"/>
    <w:rsid w:val="00E42CB9"/>
    <w:rsid w:val="00E43641"/>
    <w:rsid w:val="00EA1C1F"/>
    <w:rsid w:val="00EA5C26"/>
    <w:rsid w:val="00EE7E7E"/>
    <w:rsid w:val="00EF576A"/>
    <w:rsid w:val="00F236F2"/>
    <w:rsid w:val="00F24D8B"/>
    <w:rsid w:val="00F92AAF"/>
    <w:rsid w:val="00FC5588"/>
    <w:rsid w:val="00FC5CED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EA5DF-E94A-CF4A-9B37-FB09DA16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02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C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802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108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802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C2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idr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adela.cazacu</dc:creator>
  <cp:keywords/>
  <dc:description/>
  <cp:lastModifiedBy>Adela Cazacu</cp:lastModifiedBy>
  <cp:revision>107</cp:revision>
  <dcterms:created xsi:type="dcterms:W3CDTF">2024-02-16T13:25:00Z</dcterms:created>
  <dcterms:modified xsi:type="dcterms:W3CDTF">2024-05-02T13:27:00Z</dcterms:modified>
</cp:coreProperties>
</file>