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38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</w:tblGrid>
      <w:tr w:rsidR="004D7B6F" w:rsidRPr="004D7B6F" w14:paraId="693E6330" w14:textId="77777777" w:rsidTr="00CB61DD">
        <w:trPr>
          <w:trHeight w:val="1294"/>
        </w:trPr>
        <w:tc>
          <w:tcPr>
            <w:tcW w:w="9381" w:type="dxa"/>
            <w:tcBorders>
              <w:top w:val="nil"/>
              <w:left w:val="nil"/>
              <w:right w:val="nil"/>
            </w:tcBorders>
          </w:tcPr>
          <w:p w14:paraId="55889DB8" w14:textId="77777777" w:rsidR="004D7B6F" w:rsidRPr="004D7B6F" w:rsidRDefault="004D7B6F" w:rsidP="00A71BDF">
            <w:pPr>
              <w:spacing w:line="307" w:lineRule="exact"/>
              <w:jc w:val="center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NOTĂ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INFORMATIVĂ</w:t>
            </w:r>
          </w:p>
          <w:p w14:paraId="3F91AF53" w14:textId="77777777" w:rsidR="00E605BB" w:rsidRDefault="004D7B6F" w:rsidP="00E605BB">
            <w:pPr>
              <w:spacing w:line="242" w:lineRule="auto"/>
              <w:ind w:left="72" w:right="68" w:firstLine="5"/>
              <w:jc w:val="center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 xml:space="preserve">la proiectul hotărârii Guvernului </w:t>
            </w:r>
            <w:r w:rsidR="00E605BB">
              <w:rPr>
                <w:b/>
                <w:sz w:val="28"/>
                <w:szCs w:val="22"/>
                <w:lang w:eastAsia="en-US"/>
              </w:rPr>
              <w:t>c</w:t>
            </w:r>
            <w:r w:rsidR="00E605BB" w:rsidRPr="00E605BB">
              <w:rPr>
                <w:b/>
                <w:sz w:val="28"/>
                <w:szCs w:val="22"/>
                <w:lang w:eastAsia="en-US"/>
              </w:rPr>
              <w:t>u privire la alocarea mijloacelor financiare Inspectoratului General al Poliției,</w:t>
            </w:r>
            <w:r w:rsidR="00E605BB">
              <w:rPr>
                <w:b/>
                <w:sz w:val="28"/>
                <w:szCs w:val="22"/>
                <w:lang w:eastAsia="en-US"/>
              </w:rPr>
              <w:t xml:space="preserve"> </w:t>
            </w:r>
            <w:r w:rsidR="00E605BB" w:rsidRPr="00E605BB">
              <w:rPr>
                <w:b/>
                <w:sz w:val="28"/>
                <w:szCs w:val="22"/>
                <w:lang w:eastAsia="en-US"/>
              </w:rPr>
              <w:t xml:space="preserve">din fondul </w:t>
            </w:r>
          </w:p>
          <w:p w14:paraId="4B49CCB0" w14:textId="38C02D2B" w:rsidR="004D7B6F" w:rsidRPr="004D7B6F" w:rsidRDefault="00E605BB" w:rsidP="00E605BB">
            <w:pPr>
              <w:spacing w:line="242" w:lineRule="auto"/>
              <w:ind w:left="72" w:right="68" w:firstLine="5"/>
              <w:jc w:val="center"/>
              <w:rPr>
                <w:b/>
                <w:sz w:val="12"/>
                <w:szCs w:val="12"/>
                <w:lang w:eastAsia="en-US"/>
              </w:rPr>
            </w:pPr>
            <w:r w:rsidRPr="00E605BB">
              <w:rPr>
                <w:b/>
                <w:sz w:val="28"/>
                <w:szCs w:val="22"/>
                <w:lang w:eastAsia="en-US"/>
              </w:rPr>
              <w:t>de rezervă al Guvernului</w:t>
            </w:r>
          </w:p>
        </w:tc>
      </w:tr>
      <w:tr w:rsidR="004D7B6F" w:rsidRPr="004D7B6F" w14:paraId="7ACEDB8C" w14:textId="77777777" w:rsidTr="00CB61DD">
        <w:trPr>
          <w:trHeight w:val="352"/>
        </w:trPr>
        <w:tc>
          <w:tcPr>
            <w:tcW w:w="9381" w:type="dxa"/>
            <w:tcBorders>
              <w:left w:val="single" w:sz="6" w:space="0" w:color="000000"/>
            </w:tcBorders>
          </w:tcPr>
          <w:p w14:paraId="19700DD1" w14:textId="77777777" w:rsidR="004D7B6F" w:rsidRPr="004D7B6F" w:rsidRDefault="004D7B6F" w:rsidP="000402A0">
            <w:pPr>
              <w:spacing w:before="10"/>
              <w:ind w:left="164" w:right="140" w:firstLine="572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1.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Denumirea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autorului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și,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după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caz,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participanților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la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elaborarea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</w:p>
        </w:tc>
      </w:tr>
      <w:tr w:rsidR="004D7B6F" w:rsidRPr="004D7B6F" w14:paraId="0791FE4B" w14:textId="77777777" w:rsidTr="00CB61DD">
        <w:trPr>
          <w:trHeight w:val="1029"/>
        </w:trPr>
        <w:tc>
          <w:tcPr>
            <w:tcW w:w="9381" w:type="dxa"/>
            <w:tcBorders>
              <w:left w:val="single" w:sz="6" w:space="0" w:color="000000"/>
            </w:tcBorders>
          </w:tcPr>
          <w:p w14:paraId="6CC974C8" w14:textId="726AD3F1" w:rsidR="004D7B6F" w:rsidRPr="004D7B6F" w:rsidRDefault="004D7B6F" w:rsidP="00E605BB">
            <w:pPr>
              <w:spacing w:before="3"/>
              <w:ind w:left="141" w:right="106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hotărârii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Guvernului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E605BB" w:rsidRPr="00E605BB">
              <w:rPr>
                <w:sz w:val="28"/>
                <w:szCs w:val="22"/>
                <w:lang w:eastAsia="en-US"/>
              </w:rPr>
              <w:t>cu privire la alocarea mijloacelor financiare Inspectoratului General al Poliției, din fondul de rezervă al Guvernului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="00572C1B">
              <w:rPr>
                <w:spacing w:val="1"/>
                <w:sz w:val="28"/>
                <w:szCs w:val="22"/>
                <w:lang w:eastAsia="en-US"/>
              </w:rPr>
              <w:t>este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elaborat de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către</w:t>
            </w:r>
            <w:r w:rsidRPr="004D7B6F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Ministerul Afacerilor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Interne.</w:t>
            </w:r>
          </w:p>
        </w:tc>
      </w:tr>
      <w:tr w:rsidR="004D7B6F" w:rsidRPr="004D7B6F" w14:paraId="3AC9BE17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06D52A70" w14:textId="77777777" w:rsidR="00866111" w:rsidRPr="004D7B6F" w:rsidRDefault="004D7B6F" w:rsidP="00CB61DD">
            <w:pPr>
              <w:spacing w:before="10"/>
              <w:ind w:left="170" w:right="140" w:firstLine="566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2.</w:t>
            </w:r>
            <w:r w:rsidRPr="004D7B6F">
              <w:rPr>
                <w:b/>
                <w:spacing w:val="1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Condițiile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ce</w:t>
            </w:r>
            <w:r w:rsidRPr="004D7B6F">
              <w:rPr>
                <w:b/>
                <w:spacing w:val="1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au</w:t>
            </w:r>
            <w:r w:rsidRPr="004D7B6F">
              <w:rPr>
                <w:b/>
                <w:spacing w:val="1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impus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elaborarea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18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act</w:t>
            </w:r>
            <w:r w:rsidRPr="004D7B6F">
              <w:rPr>
                <w:b/>
                <w:spacing w:val="1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normativ</w:t>
            </w:r>
            <w:r w:rsidRPr="004D7B6F">
              <w:rPr>
                <w:b/>
                <w:spacing w:val="2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</w:t>
            </w:r>
            <w:r w:rsidRPr="004D7B6F">
              <w:rPr>
                <w:b/>
                <w:spacing w:val="1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finalitățile</w:t>
            </w:r>
            <w:r w:rsidR="00866111">
              <w:rPr>
                <w:b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urmărite</w:t>
            </w:r>
          </w:p>
        </w:tc>
      </w:tr>
      <w:tr w:rsidR="004D7B6F" w:rsidRPr="004D7B6F" w14:paraId="0E2A9D9F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2F705546" w14:textId="1682555F" w:rsidR="006B0F88" w:rsidRDefault="006B0F88" w:rsidP="006B0F88">
            <w:pPr>
              <w:spacing w:before="5"/>
              <w:ind w:left="141" w:right="112" w:firstLine="595"/>
              <w:jc w:val="both"/>
              <w:rPr>
                <w:sz w:val="28"/>
                <w:szCs w:val="22"/>
                <w:lang w:eastAsia="en-US"/>
              </w:rPr>
            </w:pPr>
            <w:r w:rsidRPr="006B0F88">
              <w:rPr>
                <w:sz w:val="28"/>
                <w:szCs w:val="22"/>
                <w:lang w:eastAsia="en-US"/>
              </w:rPr>
              <w:t xml:space="preserve">În contextul aprobării </w:t>
            </w:r>
            <w:bookmarkStart w:id="0" w:name="_Hlk165616990"/>
            <w:r>
              <w:rPr>
                <w:sz w:val="28"/>
                <w:szCs w:val="22"/>
                <w:lang w:eastAsia="en-US"/>
              </w:rPr>
              <w:t>H</w:t>
            </w:r>
            <w:r w:rsidRPr="006B0F88">
              <w:rPr>
                <w:sz w:val="28"/>
                <w:szCs w:val="22"/>
                <w:lang w:eastAsia="en-US"/>
              </w:rPr>
              <w:t>otărârii Guvernului</w:t>
            </w:r>
            <w:r>
              <w:rPr>
                <w:sz w:val="28"/>
                <w:szCs w:val="22"/>
                <w:lang w:eastAsia="en-US"/>
              </w:rPr>
              <w:t xml:space="preserve"> nr. 410/2022 cu privire la aprobarea </w:t>
            </w:r>
            <w:r w:rsidRPr="006B0F88">
              <w:rPr>
                <w:sz w:val="28"/>
                <w:szCs w:val="22"/>
                <w:lang w:eastAsia="en-US"/>
              </w:rPr>
              <w:t>Programului activităţilor de reintegrare a ţării pentru anul 2022</w:t>
            </w:r>
            <w:bookmarkEnd w:id="0"/>
            <w:r>
              <w:rPr>
                <w:sz w:val="28"/>
                <w:szCs w:val="22"/>
                <w:lang w:eastAsia="en-US"/>
              </w:rPr>
              <w:t xml:space="preserve">, </w:t>
            </w:r>
            <w:bookmarkStart w:id="1" w:name="_Hlk165617185"/>
            <w:r w:rsidRPr="006B0F88">
              <w:rPr>
                <w:sz w:val="28"/>
                <w:szCs w:val="22"/>
                <w:lang w:eastAsia="en-US"/>
              </w:rPr>
              <w:t>Inspectoratului General al Poliției</w:t>
            </w:r>
            <w:r w:rsidR="00EC12E3">
              <w:rPr>
                <w:sz w:val="28"/>
                <w:szCs w:val="22"/>
                <w:lang w:eastAsia="en-US"/>
              </w:rPr>
              <w:t xml:space="preserve"> (în continuare – IGP)</w:t>
            </w:r>
            <w:r w:rsidRPr="006B0F88">
              <w:rPr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i-</w:t>
            </w:r>
            <w:r w:rsidRPr="006B0F88">
              <w:rPr>
                <w:sz w:val="28"/>
                <w:szCs w:val="22"/>
                <w:lang w:eastAsia="en-US"/>
              </w:rPr>
              <w:t>a fost alocată suma de 800 000,00 lei pentru reparația și/sau dotarea Sectorului de poliție nr.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  <w:r w:rsidRPr="006B0F88">
              <w:rPr>
                <w:sz w:val="28"/>
                <w:szCs w:val="22"/>
                <w:lang w:eastAsia="en-US"/>
              </w:rPr>
              <w:t>1 (Holercani) s</w:t>
            </w:r>
            <w:r>
              <w:rPr>
                <w:sz w:val="28"/>
                <w:szCs w:val="22"/>
                <w:lang w:eastAsia="en-US"/>
              </w:rPr>
              <w:t xml:space="preserve">atul </w:t>
            </w:r>
            <w:r w:rsidRPr="006B0F88">
              <w:rPr>
                <w:sz w:val="28"/>
                <w:szCs w:val="22"/>
                <w:lang w:eastAsia="en-US"/>
              </w:rPr>
              <w:t>Ustia al Inspectoratului de poliție Dubăsari</w:t>
            </w:r>
            <w:bookmarkEnd w:id="1"/>
            <w:r w:rsidRPr="006B0F88">
              <w:rPr>
                <w:sz w:val="28"/>
                <w:szCs w:val="22"/>
                <w:lang w:eastAsia="en-US"/>
              </w:rPr>
              <w:t>. Estimările costurilor la acest obiectiv au fost realizate în baza documentației de deviz, elaborată de către Consiliul raional Dubăsari, în lipsa unei expertize a stării tehnice a sediului (dat fiind faptul că acesta datează din anul 1953), precum și în lipsa unui proiect.</w:t>
            </w:r>
          </w:p>
          <w:p w14:paraId="551D8C59" w14:textId="70AEAEB7" w:rsidR="00EC12E3" w:rsidRPr="00EC12E3" w:rsidRDefault="00EC12E3" w:rsidP="00EC12E3">
            <w:pPr>
              <w:spacing w:before="5"/>
              <w:ind w:left="141" w:right="112" w:firstLine="595"/>
              <w:jc w:val="both"/>
              <w:rPr>
                <w:sz w:val="28"/>
                <w:szCs w:val="22"/>
                <w:lang w:eastAsia="en-US"/>
              </w:rPr>
            </w:pPr>
            <w:r w:rsidRPr="00EC12E3">
              <w:rPr>
                <w:sz w:val="28"/>
                <w:szCs w:val="22"/>
                <w:lang w:eastAsia="en-US"/>
              </w:rPr>
              <w:t>Av</w:t>
            </w:r>
            <w:r>
              <w:rPr>
                <w:sz w:val="28"/>
                <w:szCs w:val="22"/>
                <w:lang w:eastAsia="en-US"/>
              </w:rPr>
              <w:t>â</w:t>
            </w:r>
            <w:r w:rsidRPr="00EC12E3">
              <w:rPr>
                <w:sz w:val="28"/>
                <w:szCs w:val="22"/>
                <w:lang w:eastAsia="en-US"/>
              </w:rPr>
              <w:t>nd la bază mijloacele financiare alocate pentru</w:t>
            </w:r>
            <w:r>
              <w:rPr>
                <w:sz w:val="28"/>
                <w:szCs w:val="22"/>
                <w:lang w:eastAsia="en-US"/>
              </w:rPr>
              <w:t xml:space="preserve"> exercițiul menționat</w:t>
            </w:r>
            <w:r w:rsidRPr="00EC12E3">
              <w:rPr>
                <w:sz w:val="28"/>
                <w:szCs w:val="22"/>
                <w:lang w:eastAsia="en-US"/>
              </w:rPr>
              <w:t>,</w:t>
            </w:r>
            <w:r>
              <w:rPr>
                <w:sz w:val="28"/>
                <w:szCs w:val="22"/>
                <w:lang w:eastAsia="en-US"/>
              </w:rPr>
              <w:t xml:space="preserve"> precum și în vederea</w:t>
            </w:r>
            <w:r w:rsidRPr="00EC12E3">
              <w:rPr>
                <w:sz w:val="28"/>
                <w:szCs w:val="22"/>
                <w:lang w:eastAsia="en-US"/>
              </w:rPr>
              <w:t xml:space="preserve"> asigurării corectitudinii și consecutivității proceselor necesare asigurării lucrărilor de reparație/reconstrucție în raport cu starea reală a sediului, urmare </w:t>
            </w:r>
            <w:r>
              <w:rPr>
                <w:sz w:val="28"/>
                <w:szCs w:val="22"/>
                <w:lang w:eastAsia="en-US"/>
              </w:rPr>
              <w:t xml:space="preserve">a </w:t>
            </w:r>
            <w:r w:rsidRPr="00EC12E3">
              <w:rPr>
                <w:sz w:val="28"/>
                <w:szCs w:val="22"/>
                <w:lang w:eastAsia="en-US"/>
              </w:rPr>
              <w:t>consultării specialiștilor în domeniul construcției, în lipsa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  <w:r w:rsidRPr="00EC12E3">
              <w:rPr>
                <w:sz w:val="28"/>
                <w:szCs w:val="22"/>
                <w:lang w:eastAsia="en-US"/>
              </w:rPr>
              <w:t>acte</w:t>
            </w:r>
            <w:r>
              <w:rPr>
                <w:sz w:val="28"/>
                <w:szCs w:val="22"/>
                <w:lang w:eastAsia="en-US"/>
              </w:rPr>
              <w:t>lor</w:t>
            </w:r>
            <w:r w:rsidRPr="00EC12E3">
              <w:rPr>
                <w:sz w:val="28"/>
                <w:szCs w:val="22"/>
                <w:lang w:eastAsia="en-US"/>
              </w:rPr>
              <w:t xml:space="preserve"> care </w:t>
            </w:r>
            <w:r>
              <w:rPr>
                <w:sz w:val="28"/>
                <w:szCs w:val="22"/>
                <w:lang w:eastAsia="en-US"/>
              </w:rPr>
              <w:t xml:space="preserve">să </w:t>
            </w:r>
            <w:r w:rsidRPr="00EC12E3">
              <w:rPr>
                <w:sz w:val="28"/>
                <w:szCs w:val="22"/>
                <w:lang w:eastAsia="en-US"/>
              </w:rPr>
              <w:t>atest</w:t>
            </w:r>
            <w:r>
              <w:rPr>
                <w:sz w:val="28"/>
                <w:szCs w:val="22"/>
                <w:lang w:eastAsia="en-US"/>
              </w:rPr>
              <w:t>e</w:t>
            </w:r>
            <w:r w:rsidRPr="00EC12E3">
              <w:rPr>
                <w:sz w:val="28"/>
                <w:szCs w:val="22"/>
                <w:lang w:eastAsia="en-US"/>
              </w:rPr>
              <w:t xml:space="preserve"> starea sediului, prin intermediul platformei guvernamentale de achiziții publice ,,</w:t>
            </w:r>
            <w:proofErr w:type="spellStart"/>
            <w:r w:rsidRPr="00EC12E3">
              <w:rPr>
                <w:sz w:val="28"/>
                <w:szCs w:val="22"/>
                <w:lang w:eastAsia="en-US"/>
              </w:rPr>
              <w:t>MTender</w:t>
            </w:r>
            <w:proofErr w:type="spellEnd"/>
            <w:r w:rsidRPr="00EC12E3">
              <w:rPr>
                <w:sz w:val="28"/>
                <w:szCs w:val="22"/>
                <w:lang w:eastAsia="en-US"/>
              </w:rPr>
              <w:t xml:space="preserve">”, la data de 16.08.2022 de către </w:t>
            </w:r>
            <w:r>
              <w:rPr>
                <w:sz w:val="28"/>
                <w:szCs w:val="22"/>
                <w:lang w:eastAsia="en-US"/>
              </w:rPr>
              <w:t>IGP</w:t>
            </w:r>
            <w:r w:rsidRPr="00EC12E3">
              <w:rPr>
                <w:sz w:val="28"/>
                <w:szCs w:val="22"/>
                <w:lang w:eastAsia="en-US"/>
              </w:rPr>
              <w:t xml:space="preserve"> a fost inițiată procedura de elaborare a studiului de fezabilitate pentru expertizarea tehnică a clădirii și reconstruirea încăperilor existente din cadrul sediului Inspectoratului de </w:t>
            </w:r>
            <w:r>
              <w:rPr>
                <w:sz w:val="28"/>
                <w:szCs w:val="22"/>
                <w:lang w:eastAsia="en-US"/>
              </w:rPr>
              <w:t>p</w:t>
            </w:r>
            <w:r w:rsidRPr="00EC12E3">
              <w:rPr>
                <w:sz w:val="28"/>
                <w:szCs w:val="22"/>
                <w:lang w:eastAsia="en-US"/>
              </w:rPr>
              <w:t xml:space="preserve">oliție Dubăsari, în vederea amplasării Sectorului de poliție prenotat. Suma necesară pentru elaborare a constituit 39 400,00 lei, fără TVA. </w:t>
            </w:r>
          </w:p>
          <w:p w14:paraId="7EA10C94" w14:textId="59E1E8C4" w:rsidR="006B0F88" w:rsidRDefault="00EC12E3" w:rsidP="00EC12E3">
            <w:pPr>
              <w:spacing w:before="5"/>
              <w:ind w:left="141" w:right="112" w:firstLine="595"/>
              <w:jc w:val="both"/>
              <w:rPr>
                <w:sz w:val="28"/>
                <w:szCs w:val="22"/>
                <w:lang w:eastAsia="en-US"/>
              </w:rPr>
            </w:pPr>
            <w:r w:rsidRPr="00EC12E3">
              <w:rPr>
                <w:sz w:val="28"/>
                <w:szCs w:val="22"/>
                <w:lang w:eastAsia="en-US"/>
              </w:rPr>
              <w:t xml:space="preserve">În cadrul procedurii de achiziționare a serviciilor sus menționate a participat doar un singur operator economic, </w:t>
            </w:r>
            <w:r>
              <w:rPr>
                <w:sz w:val="28"/>
                <w:szCs w:val="22"/>
                <w:lang w:eastAsia="en-US"/>
              </w:rPr>
              <w:t>iar</w:t>
            </w:r>
            <w:r w:rsidRPr="00EC12E3">
              <w:rPr>
                <w:sz w:val="28"/>
                <w:szCs w:val="22"/>
                <w:lang w:eastAsia="en-US"/>
              </w:rPr>
              <w:t xml:space="preserve"> ca urmare a evaluării ofertei acestuia, s-a  constatat că corespunde cerințelor înaintate în caietul de sarcini și poate fi desemnat c</w:t>
            </w:r>
            <w:r>
              <w:rPr>
                <w:sz w:val="28"/>
                <w:szCs w:val="22"/>
                <w:lang w:eastAsia="en-US"/>
              </w:rPr>
              <w:t>â</w:t>
            </w:r>
            <w:r w:rsidRPr="00EC12E3">
              <w:rPr>
                <w:sz w:val="28"/>
                <w:szCs w:val="22"/>
                <w:lang w:eastAsia="en-US"/>
              </w:rPr>
              <w:t>știgător pentru serviciile prenotate.</w:t>
            </w:r>
          </w:p>
          <w:p w14:paraId="77EE0BA7" w14:textId="56258990" w:rsidR="004D7B6F" w:rsidRDefault="00B7147B" w:rsidP="00983C07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Urmare a inspectărilor realizate la fața locului, precum și documentației tehnice disponibile, puse la dispoziția </w:t>
            </w:r>
            <w:r>
              <w:rPr>
                <w:spacing w:val="1"/>
                <w:sz w:val="28"/>
                <w:szCs w:val="22"/>
                <w:lang w:eastAsia="en-US"/>
              </w:rPr>
              <w:t>agentului economic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>, pe lângă multiplele recomandări de ordin general, legate de sistemul constructiv al obiectivului, a fost recomandată inclusiv demolarea acoperișului și planșeului avariat existent.</w:t>
            </w:r>
          </w:p>
          <w:p w14:paraId="18546777" w14:textId="0DB4BF2F" w:rsidR="00B7147B" w:rsidRPr="00B7147B" w:rsidRDefault="00B7147B" w:rsidP="00B7147B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>
              <w:rPr>
                <w:spacing w:val="1"/>
                <w:sz w:val="28"/>
                <w:szCs w:val="22"/>
                <w:lang w:eastAsia="en-US"/>
              </w:rPr>
              <w:t>Î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n cadrul studiului de fezabilitate s-a decis că este necesară elaborarea documentației de proiect și deviz, aprobată în ordinea stabilită. </w:t>
            </w:r>
          </w:p>
          <w:p w14:paraId="7911F13B" w14:textId="153A4990" w:rsidR="00B7147B" w:rsidRPr="00B7147B" w:rsidRDefault="00B7147B" w:rsidP="00B7147B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 w:rsidRPr="00B7147B">
              <w:rPr>
                <w:spacing w:val="1"/>
                <w:sz w:val="28"/>
                <w:szCs w:val="22"/>
                <w:lang w:eastAsia="en-US"/>
              </w:rPr>
              <w:t>În conformitate cu proiectul și devizul general elaborat de către proiectant, suma necesară pentru execuția lucrărilor de reconstrucție a Sectorului de poliție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nr. 1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 din satul Ustia, r-nul Dubăsari constituie suma de 3 985 980 mii lei.</w:t>
            </w:r>
          </w:p>
          <w:p w14:paraId="274801A1" w14:textId="1294ACEF" w:rsidR="006B0F88" w:rsidRDefault="00B7147B" w:rsidP="00B7147B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La 03 mai 2023 </w:t>
            </w:r>
            <w:r>
              <w:rPr>
                <w:spacing w:val="1"/>
                <w:sz w:val="28"/>
                <w:szCs w:val="22"/>
                <w:lang w:eastAsia="en-US"/>
              </w:rPr>
              <w:t>pe platforma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B7147B">
              <w:rPr>
                <w:spacing w:val="1"/>
                <w:sz w:val="28"/>
                <w:szCs w:val="22"/>
                <w:lang w:eastAsia="en-US"/>
              </w:rPr>
              <w:t>MTender</w:t>
            </w:r>
            <w:proofErr w:type="spellEnd"/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 ID a avut loc deschiderea ofertelor (au participat 7 operatori economici) referitor la achiziționarea lucrărilor de 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lastRenderedPageBreak/>
              <w:t>reconstrucție a Sectorului de poliție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nr. 1 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>din s.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Ustia, r-nul Dubăsari, cel mai mic preț oferit </w:t>
            </w:r>
            <w:r>
              <w:rPr>
                <w:spacing w:val="1"/>
                <w:sz w:val="28"/>
                <w:szCs w:val="22"/>
                <w:lang w:eastAsia="en-US"/>
              </w:rPr>
              <w:t>fiind de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 2 811 990 lei, inclusiv TVA, în acest sens fiind încheiat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un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 xml:space="preserve"> contract de antrepriză. Mijloacele financiare alocate de la bugetul de stat pentru reconstrucția </w:t>
            </w:r>
            <w:r>
              <w:rPr>
                <w:spacing w:val="1"/>
                <w:sz w:val="28"/>
                <w:szCs w:val="22"/>
                <w:lang w:eastAsia="en-US"/>
              </w:rPr>
              <w:t>S</w:t>
            </w:r>
            <w:r w:rsidRPr="00B7147B">
              <w:rPr>
                <w:spacing w:val="1"/>
                <w:sz w:val="28"/>
                <w:szCs w:val="22"/>
                <w:lang w:eastAsia="en-US"/>
              </w:rPr>
              <w:t>ectorului de poliție a constituit 2 900 000 lei.</w:t>
            </w:r>
          </w:p>
          <w:p w14:paraId="515F557E" w14:textId="77777777" w:rsidR="006B0F88" w:rsidRDefault="00201F76" w:rsidP="00983C07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 w:rsidRPr="00201F76">
              <w:rPr>
                <w:spacing w:val="1"/>
                <w:sz w:val="28"/>
                <w:szCs w:val="22"/>
                <w:lang w:eastAsia="en-US"/>
              </w:rPr>
              <w:t>Pe parcursul demarării lucrărilor și anume la etapa inițială de desfaceri și de demolare,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Inspectoratul General al Poliției a fost </w:t>
            </w:r>
            <w:r>
              <w:rPr>
                <w:spacing w:val="1"/>
                <w:sz w:val="28"/>
                <w:szCs w:val="22"/>
                <w:lang w:eastAsia="en-US"/>
              </w:rPr>
              <w:t>sesizat de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operatorul economic care  a  informat că în procesul de execuție a lucrărilor de desfacere a acoperișului, pereților exteriori, s-a depistat că fundația clădirii prezintă multiple fisuri și nu este rezistentă, mai mult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,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exist</w:t>
            </w:r>
            <w:r>
              <w:rPr>
                <w:spacing w:val="1"/>
                <w:sz w:val="28"/>
                <w:szCs w:val="22"/>
                <w:lang w:eastAsia="en-US"/>
              </w:rPr>
              <w:t>a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riscul de surpare a peretelui care leagă construcția existentă de muzeul Inspectoratului de poliție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Dubăsari.</w:t>
            </w:r>
          </w:p>
          <w:p w14:paraId="44E47070" w14:textId="5695ECA3" w:rsidR="00201F76" w:rsidRDefault="00201F76" w:rsidP="00983C07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>
              <w:rPr>
                <w:spacing w:val="1"/>
                <w:sz w:val="28"/>
                <w:szCs w:val="22"/>
                <w:lang w:eastAsia="en-US"/>
              </w:rPr>
              <w:t>D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e către </w:t>
            </w:r>
            <w:r>
              <w:rPr>
                <w:spacing w:val="1"/>
                <w:sz w:val="28"/>
                <w:szCs w:val="22"/>
                <w:lang w:eastAsia="en-US"/>
              </w:rPr>
              <w:t>IGP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a fost convocată o </w:t>
            </w:r>
            <w:r w:rsidR="00D95D7F">
              <w:rPr>
                <w:spacing w:val="1"/>
                <w:sz w:val="28"/>
                <w:szCs w:val="22"/>
                <w:lang w:eastAsia="en-US"/>
              </w:rPr>
              <w:t>C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omisie, cu ieșirea la fața locului în scopul evaluării reale a </w:t>
            </w:r>
            <w:r>
              <w:rPr>
                <w:spacing w:val="1"/>
                <w:sz w:val="28"/>
                <w:szCs w:val="22"/>
                <w:lang w:eastAsia="en-US"/>
              </w:rPr>
              <w:t>situației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. Ca urmare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, s-a concluzionat că,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în </w:t>
            </w:r>
            <w:r>
              <w:rPr>
                <w:spacing w:val="1"/>
                <w:sz w:val="28"/>
                <w:szCs w:val="22"/>
                <w:lang w:eastAsia="en-US"/>
              </w:rPr>
              <w:t>vederea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exploatării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unei construcții durabile și calitative, este necesară prezentarea de către proiectant a unor soluții reieșind din situația creată care să asigure o construcție durabilă și asigurarea continuității lucrărilor.</w:t>
            </w:r>
          </w:p>
          <w:p w14:paraId="3009399F" w14:textId="2137C992" w:rsidR="00201F76" w:rsidRDefault="00201F76" w:rsidP="00983C07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>
              <w:rPr>
                <w:spacing w:val="1"/>
                <w:sz w:val="28"/>
                <w:szCs w:val="22"/>
                <w:lang w:eastAsia="en-US"/>
              </w:rPr>
              <w:t xml:space="preserve">Astfel,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proiectantul 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a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operat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ajustări </w:t>
            </w:r>
            <w:r>
              <w:rPr>
                <w:spacing w:val="1"/>
                <w:sz w:val="28"/>
                <w:szCs w:val="22"/>
                <w:lang w:eastAsia="en-US"/>
              </w:rPr>
              <w:t>î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n documentația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inițială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de proiect</w:t>
            </w:r>
            <w:r>
              <w:rPr>
                <w:spacing w:val="1"/>
                <w:sz w:val="28"/>
                <w:szCs w:val="22"/>
                <w:lang w:eastAsia="en-US"/>
              </w:rPr>
              <w:t>, care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au fost strict necesare, având în vedere că expertiza tehnică a fost executată pentru unele porțiuni de fundații și pereți (selectiv), iar în procesul demontării însă,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au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apăr</w:t>
            </w:r>
            <w:r>
              <w:rPr>
                <w:spacing w:val="1"/>
                <w:sz w:val="28"/>
                <w:szCs w:val="22"/>
                <w:lang w:eastAsia="en-US"/>
              </w:rPr>
              <w:t>ut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bookmarkStart w:id="2" w:name="_Hlk165617544"/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lucrări ascunse care nu puteau fi prevăzute în cadrul expertizei tehnice </w:t>
            </w:r>
            <w:bookmarkEnd w:id="2"/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sau în procesul elaborării documentației 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inițiale 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de proiect. Astfel, conform situației reale au fost adoptate soluții tehnice noi</w:t>
            </w:r>
            <w:r>
              <w:rPr>
                <w:spacing w:val="1"/>
                <w:sz w:val="28"/>
                <w:szCs w:val="22"/>
                <w:lang w:eastAsia="en-US"/>
              </w:rPr>
              <w:t>.</w:t>
            </w:r>
          </w:p>
          <w:p w14:paraId="4A007238" w14:textId="2232D6DD" w:rsidR="00201F76" w:rsidRPr="00CB61DD" w:rsidRDefault="00201F76" w:rsidP="00201F76">
            <w:pPr>
              <w:spacing w:before="5"/>
              <w:ind w:left="141" w:right="112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În acest sens, având la bază modificările efectuate în proiectul de execuție de către proiectant, conform devizului de cheltuieli, </w:t>
            </w:r>
            <w:bookmarkStart w:id="3" w:name="_Hlk165617342"/>
            <w:r w:rsidRPr="00201F76">
              <w:rPr>
                <w:spacing w:val="1"/>
                <w:sz w:val="28"/>
                <w:szCs w:val="22"/>
                <w:lang w:eastAsia="en-US"/>
              </w:rPr>
              <w:t>este necesar</w:t>
            </w:r>
            <w:r>
              <w:rPr>
                <w:spacing w:val="1"/>
                <w:sz w:val="28"/>
                <w:szCs w:val="22"/>
                <w:lang w:eastAsia="en-US"/>
              </w:rPr>
              <w:t>ă alocarea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1"/>
                <w:sz w:val="28"/>
                <w:szCs w:val="22"/>
                <w:lang w:eastAsia="en-US"/>
              </w:rPr>
              <w:t>mijloacelor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financiare </w:t>
            </w:r>
            <w:r>
              <w:rPr>
                <w:spacing w:val="1"/>
                <w:sz w:val="28"/>
                <w:szCs w:val="22"/>
                <w:lang w:eastAsia="en-US"/>
              </w:rPr>
              <w:t>în sumă de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630 000,00 lei, inclusiv TVA pentru finalizarea integrală a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lucrărilor la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 xml:space="preserve"> obiectivul </w:t>
            </w:r>
            <w:r>
              <w:rPr>
                <w:spacing w:val="1"/>
                <w:sz w:val="28"/>
                <w:szCs w:val="22"/>
                <w:lang w:eastAsia="en-US"/>
              </w:rPr>
              <w:t>menționat</w:t>
            </w:r>
            <w:r w:rsidRPr="00201F76">
              <w:rPr>
                <w:spacing w:val="1"/>
                <w:sz w:val="28"/>
                <w:szCs w:val="22"/>
                <w:lang w:eastAsia="en-US"/>
              </w:rPr>
              <w:t>, conform prețurilor prezentate în cadrul procedurii de achiziție de agentul economic</w:t>
            </w:r>
            <w:bookmarkEnd w:id="3"/>
            <w:r>
              <w:rPr>
                <w:spacing w:val="1"/>
                <w:sz w:val="28"/>
                <w:szCs w:val="22"/>
                <w:lang w:eastAsia="en-US"/>
              </w:rPr>
              <w:t>.</w:t>
            </w:r>
          </w:p>
        </w:tc>
      </w:tr>
      <w:tr w:rsidR="004D7B6F" w:rsidRPr="004D7B6F" w14:paraId="1CC5FA32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13ED96FC" w14:textId="77777777" w:rsidR="004D7B6F" w:rsidRPr="004D7B6F" w:rsidRDefault="004D7B6F" w:rsidP="004D7B6F">
            <w:pPr>
              <w:ind w:left="141" w:right="101" w:firstLine="595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lastRenderedPageBreak/>
              <w:t>3.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Descrierea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gradului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compatibilitate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pentru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proiectele</w:t>
            </w:r>
            <w:r w:rsidRPr="004D7B6F">
              <w:rPr>
                <w:b/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care</w:t>
            </w:r>
            <w:r w:rsidRPr="004D7B6F">
              <w:rPr>
                <w:b/>
                <w:spacing w:val="50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au</w:t>
            </w:r>
            <w:r w:rsidRPr="004D7B6F">
              <w:rPr>
                <w:b/>
                <w:spacing w:val="5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</w:t>
            </w:r>
            <w:r w:rsidRPr="004D7B6F">
              <w:rPr>
                <w:b/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scop</w:t>
            </w:r>
            <w:r w:rsidR="00866111">
              <w:rPr>
                <w:b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armonizarea</w:t>
            </w:r>
            <w:r w:rsidRPr="004D7B6F">
              <w:rPr>
                <w:b/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legislației naționale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cu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legislația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Uniunii Europene.</w:t>
            </w:r>
          </w:p>
        </w:tc>
      </w:tr>
      <w:tr w:rsidR="004D7B6F" w:rsidRPr="004D7B6F" w14:paraId="399BE70B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721C0FED" w14:textId="1377A51B" w:rsidR="00866111" w:rsidRPr="00866111" w:rsidRDefault="004D7B6F" w:rsidP="00866111">
            <w:pPr>
              <w:spacing w:before="10"/>
              <w:ind w:left="170" w:right="158" w:firstLine="566"/>
              <w:jc w:val="both"/>
              <w:rPr>
                <w:spacing w:val="-67"/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are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ca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scop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armonizarea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="008718AA">
              <w:rPr>
                <w:sz w:val="28"/>
                <w:szCs w:val="22"/>
                <w:lang w:eastAsia="en-US"/>
              </w:rPr>
              <w:t>legislației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naționale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cu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legislația</w:t>
            </w:r>
            <w:r w:rsidR="00201F76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Uniun</w:t>
            </w:r>
            <w:r w:rsidR="00201F76">
              <w:rPr>
                <w:sz w:val="28"/>
                <w:szCs w:val="22"/>
                <w:lang w:eastAsia="en-US"/>
              </w:rPr>
              <w:t xml:space="preserve">ii </w:t>
            </w:r>
            <w:r w:rsidR="00866111">
              <w:rPr>
                <w:spacing w:val="-67"/>
                <w:sz w:val="28"/>
                <w:szCs w:val="22"/>
                <w:lang w:eastAsia="en-US"/>
              </w:rPr>
              <w:t xml:space="preserve">  </w:t>
            </w:r>
            <w:r w:rsidRPr="004D7B6F">
              <w:rPr>
                <w:sz w:val="28"/>
                <w:szCs w:val="22"/>
                <w:lang w:eastAsia="en-US"/>
              </w:rPr>
              <w:t>Europene.</w:t>
            </w:r>
          </w:p>
        </w:tc>
      </w:tr>
      <w:tr w:rsidR="004D7B6F" w:rsidRPr="004D7B6F" w14:paraId="40A68ECC" w14:textId="77777777" w:rsidTr="00CB61DD">
        <w:trPr>
          <w:trHeight w:val="4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2CFB52DC" w14:textId="77777777" w:rsidR="004D7B6F" w:rsidRPr="004D7B6F" w:rsidRDefault="004D7B6F" w:rsidP="004D7B6F">
            <w:pPr>
              <w:spacing w:before="10"/>
              <w:ind w:left="170" w:firstLine="566"/>
              <w:jc w:val="both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4.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Principalele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prevederi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ale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  <w:r w:rsidRPr="004D7B6F">
              <w:rPr>
                <w:b/>
                <w:spacing w:val="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evidențierea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elementelor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noi</w:t>
            </w:r>
          </w:p>
        </w:tc>
      </w:tr>
      <w:tr w:rsidR="004D7B6F" w:rsidRPr="004D7B6F" w14:paraId="221407DD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0814543B" w14:textId="3E5F0617" w:rsidR="00B518B9" w:rsidRDefault="004D7B6F" w:rsidP="004D7B6F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 w:rsidRPr="004D7B6F">
              <w:rPr>
                <w:sz w:val="28"/>
                <w:szCs w:val="28"/>
                <w:lang w:eastAsia="en-US"/>
              </w:rPr>
              <w:t>Proiectul</w:t>
            </w:r>
            <w:r w:rsidR="00B518B9">
              <w:rPr>
                <w:sz w:val="28"/>
                <w:szCs w:val="28"/>
                <w:lang w:eastAsia="en-US"/>
              </w:rPr>
              <w:t xml:space="preserve"> prevede alocarea mijloacelor financiare Inspectoratului General al Poliției al Ministerului Afacerilor Interne în vederea acoperirii cheltuielilor suplimentare care au apărut în procesul de </w:t>
            </w:r>
            <w:r w:rsidR="003A2CF9">
              <w:rPr>
                <w:sz w:val="28"/>
                <w:szCs w:val="28"/>
                <w:lang w:eastAsia="en-US"/>
              </w:rPr>
              <w:t>reconstrucție</w:t>
            </w:r>
            <w:r w:rsidR="00B518B9">
              <w:rPr>
                <w:sz w:val="28"/>
                <w:szCs w:val="28"/>
                <w:lang w:eastAsia="en-US"/>
              </w:rPr>
              <w:t xml:space="preserve"> a sediului Sectorului de poliție nr. 1 (s. Ustia) a</w:t>
            </w:r>
            <w:r w:rsidR="003A2CF9">
              <w:rPr>
                <w:sz w:val="28"/>
                <w:szCs w:val="28"/>
                <w:lang w:eastAsia="en-US"/>
              </w:rPr>
              <w:t>l</w:t>
            </w:r>
            <w:r w:rsidR="00B518B9">
              <w:rPr>
                <w:sz w:val="28"/>
                <w:szCs w:val="28"/>
                <w:lang w:eastAsia="en-US"/>
              </w:rPr>
              <w:t xml:space="preserve"> Inspectoratului de poliție Dubăsari.</w:t>
            </w:r>
          </w:p>
          <w:p w14:paraId="6C8AC0D1" w14:textId="6A84F0C3" w:rsidR="006C2223" w:rsidRPr="004D7B6F" w:rsidRDefault="00B518B9" w:rsidP="00B518B9">
            <w:pPr>
              <w:spacing w:before="4" w:line="242" w:lineRule="auto"/>
              <w:ind w:left="167" w:right="15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Pe cale de consecință, Ministerul Finanțelor urmează să efectueze </w:t>
            </w:r>
            <w:r w:rsidRPr="00B518B9">
              <w:rPr>
                <w:sz w:val="28"/>
                <w:szCs w:val="28"/>
                <w:lang w:eastAsia="en-US"/>
              </w:rPr>
              <w:t>plata mijloacelor financiare</w:t>
            </w:r>
            <w:r>
              <w:rPr>
                <w:sz w:val="28"/>
                <w:szCs w:val="28"/>
                <w:lang w:eastAsia="en-US"/>
              </w:rPr>
              <w:t xml:space="preserve"> în sumă de 630 000,00 lei pe contul </w:t>
            </w:r>
            <w:r w:rsidRPr="00B518B9">
              <w:rPr>
                <w:sz w:val="28"/>
                <w:szCs w:val="28"/>
                <w:lang w:eastAsia="en-US"/>
              </w:rPr>
              <w:t>Inspectoratului General al Poliției, în conformitate cu prevederile punctului 16 din Regulamentul privind gestionarea fondurilor de urgență ale Guvernului, aprobat prin Hotărârea Guvernului nr. 862/2015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D7B6F" w:rsidRPr="004D7B6F" w14:paraId="10EF3A82" w14:textId="77777777" w:rsidTr="00CB61DD">
        <w:trPr>
          <w:trHeight w:val="281"/>
        </w:trPr>
        <w:tc>
          <w:tcPr>
            <w:tcW w:w="9381" w:type="dxa"/>
            <w:tcBorders>
              <w:left w:val="single" w:sz="6" w:space="0" w:color="000000"/>
            </w:tcBorders>
          </w:tcPr>
          <w:p w14:paraId="757E7F86" w14:textId="77777777" w:rsidR="004D7B6F" w:rsidRPr="004D7B6F" w:rsidRDefault="004D7B6F" w:rsidP="004D7B6F">
            <w:pPr>
              <w:spacing w:before="4" w:line="242" w:lineRule="auto"/>
              <w:ind w:right="34"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4D7B6F">
              <w:rPr>
                <w:b/>
                <w:sz w:val="28"/>
                <w:szCs w:val="28"/>
                <w:lang w:eastAsia="en-US"/>
              </w:rPr>
              <w:t xml:space="preserve">5. Fundamentarea </w:t>
            </w:r>
            <w:proofErr w:type="spellStart"/>
            <w:r w:rsidRPr="004D7B6F">
              <w:rPr>
                <w:b/>
                <w:sz w:val="28"/>
                <w:szCs w:val="28"/>
                <w:lang w:eastAsia="en-US"/>
              </w:rPr>
              <w:t>economico</w:t>
            </w:r>
            <w:proofErr w:type="spellEnd"/>
            <w:r w:rsidRPr="004D7B6F">
              <w:rPr>
                <w:b/>
                <w:sz w:val="28"/>
                <w:szCs w:val="28"/>
                <w:lang w:eastAsia="en-US"/>
              </w:rPr>
              <w:t>-financiară</w:t>
            </w:r>
          </w:p>
        </w:tc>
      </w:tr>
      <w:tr w:rsidR="004D7B6F" w:rsidRPr="004D7B6F" w14:paraId="6D2D813B" w14:textId="77777777" w:rsidTr="00137C42">
        <w:trPr>
          <w:trHeight w:val="416"/>
        </w:trPr>
        <w:tc>
          <w:tcPr>
            <w:tcW w:w="9381" w:type="dxa"/>
            <w:tcBorders>
              <w:left w:val="single" w:sz="6" w:space="0" w:color="000000"/>
            </w:tcBorders>
          </w:tcPr>
          <w:p w14:paraId="44A44666" w14:textId="4EB4D442" w:rsidR="004D7B6F" w:rsidRPr="00434F16" w:rsidRDefault="00B518B9" w:rsidP="00434F16">
            <w:pPr>
              <w:spacing w:before="10"/>
              <w:ind w:left="141" w:right="110" w:firstLine="595"/>
              <w:jc w:val="both"/>
              <w:rPr>
                <w:spacing w:val="1"/>
                <w:sz w:val="28"/>
                <w:szCs w:val="22"/>
                <w:lang w:eastAsia="en-US"/>
              </w:rPr>
            </w:pPr>
            <w:r w:rsidRPr="00B518B9">
              <w:rPr>
                <w:spacing w:val="1"/>
                <w:sz w:val="28"/>
                <w:szCs w:val="22"/>
                <w:lang w:eastAsia="en-US"/>
              </w:rPr>
              <w:t xml:space="preserve">Realizarea proiectului implică cheltuieli financiare publice 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din contul </w:t>
            </w:r>
            <w:r w:rsidR="00434F16" w:rsidRPr="00434F16">
              <w:rPr>
                <w:spacing w:val="1"/>
                <w:sz w:val="28"/>
                <w:szCs w:val="22"/>
                <w:lang w:eastAsia="en-US"/>
              </w:rPr>
              <w:t>fondul</w:t>
            </w:r>
            <w:r w:rsidR="00434F16">
              <w:rPr>
                <w:spacing w:val="1"/>
                <w:sz w:val="28"/>
                <w:szCs w:val="22"/>
                <w:lang w:eastAsia="en-US"/>
              </w:rPr>
              <w:t>ui</w:t>
            </w:r>
            <w:r w:rsidR="00434F16" w:rsidRPr="00434F16">
              <w:rPr>
                <w:spacing w:val="1"/>
                <w:sz w:val="28"/>
                <w:szCs w:val="22"/>
                <w:lang w:eastAsia="en-US"/>
              </w:rPr>
              <w:t xml:space="preserve"> de rezervă</w:t>
            </w:r>
            <w:r w:rsidR="00434F16">
              <w:rPr>
                <w:spacing w:val="1"/>
                <w:sz w:val="28"/>
                <w:szCs w:val="22"/>
                <w:lang w:eastAsia="en-US"/>
              </w:rPr>
              <w:t xml:space="preserve"> al Guvernului în sumă de 630 000,00 lei.</w:t>
            </w:r>
          </w:p>
        </w:tc>
      </w:tr>
      <w:tr w:rsidR="004D7B6F" w:rsidRPr="004D7B6F" w14:paraId="3EF2EE9A" w14:textId="77777777" w:rsidTr="00CB61DD">
        <w:trPr>
          <w:trHeight w:val="286"/>
        </w:trPr>
        <w:tc>
          <w:tcPr>
            <w:tcW w:w="9381" w:type="dxa"/>
            <w:tcBorders>
              <w:left w:val="single" w:sz="6" w:space="0" w:color="000000"/>
            </w:tcBorders>
          </w:tcPr>
          <w:p w14:paraId="05C3ADE5" w14:textId="77777777"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6.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Modul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încorporare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 actului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în</w:t>
            </w:r>
            <w:r w:rsidRPr="004D7B6F">
              <w:rPr>
                <w:b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cadrul normativ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în</w:t>
            </w:r>
            <w:r w:rsidRPr="004D7B6F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vigoare</w:t>
            </w:r>
          </w:p>
        </w:tc>
      </w:tr>
      <w:tr w:rsidR="004D7B6F" w:rsidRPr="004D7B6F" w14:paraId="23EA526D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08B85D92" w14:textId="77777777" w:rsidR="004D7B6F" w:rsidRPr="004D7B6F" w:rsidRDefault="004D7B6F" w:rsidP="00310D5F">
            <w:pPr>
              <w:spacing w:before="9"/>
              <w:ind w:left="141" w:right="140" w:firstLine="595"/>
              <w:jc w:val="both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lastRenderedPageBreak/>
              <w:t>Proiectul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se</w:t>
            </w:r>
            <w:r w:rsidRPr="004D7B6F">
              <w:rPr>
                <w:spacing w:val="49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încadrează</w:t>
            </w:r>
            <w:r w:rsidRPr="004D7B6F"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în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cadrul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normativ</w:t>
            </w:r>
            <w:r w:rsidRPr="004D7B6F"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existent,</w:t>
            </w:r>
            <w:r w:rsidRPr="004D7B6F">
              <w:rPr>
                <w:spacing w:val="50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iar</w:t>
            </w:r>
            <w:r w:rsidRPr="004D7B6F"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aprobarea</w:t>
            </w:r>
            <w:r w:rsidR="0049125E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acestuia</w:t>
            </w:r>
            <w:r w:rsidRPr="004D7B6F"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50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va</w:t>
            </w:r>
            <w:r w:rsidR="0049125E">
              <w:rPr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genera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ca</w:t>
            </w:r>
            <w:r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o</w:t>
            </w:r>
            <w:r w:rsidRPr="004D7B6F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consecință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necesitatea amendării altor</w:t>
            </w:r>
            <w:r w:rsidRPr="004D7B6F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acte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normative.</w:t>
            </w:r>
          </w:p>
        </w:tc>
      </w:tr>
      <w:tr w:rsidR="004D7B6F" w:rsidRPr="004D7B6F" w14:paraId="28A935B3" w14:textId="77777777" w:rsidTr="00CB61DD">
        <w:trPr>
          <w:trHeight w:val="244"/>
        </w:trPr>
        <w:tc>
          <w:tcPr>
            <w:tcW w:w="9381" w:type="dxa"/>
            <w:tcBorders>
              <w:left w:val="single" w:sz="6" w:space="0" w:color="000000"/>
            </w:tcBorders>
          </w:tcPr>
          <w:p w14:paraId="6F68F5C3" w14:textId="77777777"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7.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Avizarea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și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consultarea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publică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</w:t>
            </w:r>
            <w:r w:rsidRPr="004D7B6F">
              <w:rPr>
                <w:b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proiectului</w:t>
            </w:r>
          </w:p>
        </w:tc>
      </w:tr>
      <w:tr w:rsidR="004D7B6F" w:rsidRPr="004D7B6F" w14:paraId="3A92A37B" w14:textId="77777777" w:rsidTr="00CB61DD">
        <w:trPr>
          <w:trHeight w:val="6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1E2223D3" w14:textId="77777777" w:rsidR="00821DA0" w:rsidRPr="00821DA0" w:rsidRDefault="00821DA0" w:rsidP="00821DA0">
            <w:pPr>
              <w:spacing w:before="7"/>
              <w:ind w:left="141" w:right="103" w:firstLine="595"/>
              <w:jc w:val="both"/>
              <w:rPr>
                <w:sz w:val="28"/>
                <w:szCs w:val="22"/>
                <w:lang w:eastAsia="en-US"/>
              </w:rPr>
            </w:pPr>
            <w:r w:rsidRPr="00821DA0">
              <w:rPr>
                <w:sz w:val="28"/>
                <w:szCs w:val="22"/>
                <w:lang w:eastAsia="en-US"/>
              </w:rPr>
              <w:t>Pentru asigurarea transparenței în procesul decizional, pe portalul particip.gov.md a fost publicat anunțul privind inițierea procesului de elaborare a proiectului hotărârii de Guvern în cauză.</w:t>
            </w:r>
          </w:p>
          <w:p w14:paraId="1EC51977" w14:textId="2A41B844" w:rsidR="00821DA0" w:rsidRPr="00821DA0" w:rsidRDefault="00821DA0" w:rsidP="00821DA0">
            <w:pPr>
              <w:spacing w:before="7"/>
              <w:ind w:left="141" w:right="103" w:firstLine="595"/>
              <w:jc w:val="both"/>
              <w:rPr>
                <w:sz w:val="28"/>
                <w:szCs w:val="22"/>
                <w:lang w:eastAsia="en-US"/>
              </w:rPr>
            </w:pPr>
            <w:r w:rsidRPr="00821DA0">
              <w:rPr>
                <w:sz w:val="28"/>
                <w:szCs w:val="22"/>
                <w:lang w:eastAsia="en-US"/>
              </w:rPr>
              <w:t xml:space="preserve"> (</w:t>
            </w:r>
            <w:hyperlink r:id="rId7" w:history="1">
              <w:r w:rsidRPr="00CF2BD3">
                <w:rPr>
                  <w:rStyle w:val="Hyperlink"/>
                  <w:sz w:val="28"/>
                  <w:szCs w:val="22"/>
                  <w:lang w:eastAsia="en-US"/>
                </w:rPr>
                <w:t>https://particip.gov.md/ro/document/stages/*/12433</w:t>
              </w:r>
            </w:hyperlink>
            <w:r w:rsidRPr="00821DA0">
              <w:rPr>
                <w:sz w:val="28"/>
                <w:szCs w:val="22"/>
                <w:lang w:eastAsia="en-US"/>
              </w:rPr>
              <w:t>)</w:t>
            </w:r>
          </w:p>
          <w:p w14:paraId="60E133F2" w14:textId="71BAEFCC" w:rsidR="004D7B6F" w:rsidRPr="004D7B6F" w:rsidRDefault="00821DA0" w:rsidP="00821DA0">
            <w:pPr>
              <w:spacing w:before="7"/>
              <w:ind w:left="141" w:right="103" w:firstLine="595"/>
              <w:jc w:val="both"/>
              <w:rPr>
                <w:sz w:val="28"/>
                <w:szCs w:val="22"/>
                <w:lang w:eastAsia="en-US"/>
              </w:rPr>
            </w:pPr>
            <w:r w:rsidRPr="00821DA0">
              <w:rPr>
                <w:sz w:val="28"/>
                <w:szCs w:val="22"/>
                <w:lang w:eastAsia="en-US"/>
              </w:rPr>
              <w:t xml:space="preserve">Totodată, proiectul a fost plasat pe pagina web oficială a Ministerului Afacerilor Interne, la directoriul ,,Transparența”, secțiunea ,,Consultări publice” </w:t>
            </w:r>
            <w:hyperlink r:id="rId8" w:history="1">
              <w:r w:rsidRPr="00CF2BD3">
                <w:rPr>
                  <w:rStyle w:val="Hyperlink"/>
                  <w:sz w:val="28"/>
                  <w:szCs w:val="22"/>
                  <w:lang w:eastAsia="en-US"/>
                </w:rPr>
                <w:t>https://mai.gov.md/ro/consultari-publice</w:t>
              </w:r>
            </w:hyperlink>
            <w:r w:rsidRPr="00821DA0"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4D7B6F" w:rsidRPr="004D7B6F" w14:paraId="74EC5D44" w14:textId="77777777" w:rsidTr="00CB61DD">
        <w:trPr>
          <w:trHeight w:val="70"/>
        </w:trPr>
        <w:tc>
          <w:tcPr>
            <w:tcW w:w="9381" w:type="dxa"/>
            <w:tcBorders>
              <w:left w:val="single" w:sz="6" w:space="0" w:color="000000"/>
            </w:tcBorders>
          </w:tcPr>
          <w:p w14:paraId="269673FC" w14:textId="77777777" w:rsidR="004D7B6F" w:rsidRPr="004D7B6F" w:rsidRDefault="004D7B6F" w:rsidP="004D7B6F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8.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anticorupție</w:t>
            </w:r>
          </w:p>
        </w:tc>
      </w:tr>
      <w:tr w:rsidR="004D7B6F" w:rsidRPr="004D7B6F" w14:paraId="12482A12" w14:textId="77777777" w:rsidTr="00CB61DD">
        <w:trPr>
          <w:trHeight w:val="274"/>
        </w:trPr>
        <w:tc>
          <w:tcPr>
            <w:tcW w:w="9381" w:type="dxa"/>
            <w:tcBorders>
              <w:left w:val="single" w:sz="6" w:space="0" w:color="000000"/>
            </w:tcBorders>
          </w:tcPr>
          <w:p w14:paraId="2AC2E7ED" w14:textId="19FE3F4A" w:rsidR="002A259B" w:rsidRPr="004D7B6F" w:rsidRDefault="003202B4" w:rsidP="003202B4">
            <w:pPr>
              <w:spacing w:before="1"/>
              <w:ind w:left="141" w:right="211" w:firstLine="595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Va fi completat după efectuarea</w:t>
            </w:r>
            <w:r w:rsidR="003B0DCC">
              <w:rPr>
                <w:sz w:val="28"/>
                <w:szCs w:val="22"/>
                <w:lang w:eastAsia="en-US"/>
              </w:rPr>
              <w:t xml:space="preserve"> expertiz</w:t>
            </w:r>
            <w:r>
              <w:rPr>
                <w:sz w:val="28"/>
                <w:szCs w:val="22"/>
                <w:lang w:eastAsia="en-US"/>
              </w:rPr>
              <w:t>ei</w:t>
            </w:r>
            <w:r w:rsidR="003B0DCC">
              <w:rPr>
                <w:sz w:val="28"/>
                <w:szCs w:val="22"/>
                <w:lang w:eastAsia="en-US"/>
              </w:rPr>
              <w:t xml:space="preserve"> anticorupție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4D7B6F" w:rsidRPr="004D7B6F" w14:paraId="302C965C" w14:textId="77777777" w:rsidTr="00CB61DD">
        <w:trPr>
          <w:trHeight w:val="276"/>
        </w:trPr>
        <w:tc>
          <w:tcPr>
            <w:tcW w:w="9381" w:type="dxa"/>
            <w:tcBorders>
              <w:left w:val="single" w:sz="6" w:space="0" w:color="000000"/>
            </w:tcBorders>
          </w:tcPr>
          <w:p w14:paraId="7582A623" w14:textId="77777777" w:rsidR="004D7B6F" w:rsidRPr="004D7B6F" w:rsidRDefault="004D7B6F" w:rsidP="004D7B6F">
            <w:pPr>
              <w:spacing w:before="12" w:line="320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9.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de</w:t>
            </w:r>
            <w:r w:rsidRPr="004D7B6F">
              <w:rPr>
                <w:b/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compatibilitate</w:t>
            </w:r>
          </w:p>
        </w:tc>
      </w:tr>
      <w:tr w:rsidR="004D7B6F" w:rsidRPr="004D7B6F" w14:paraId="0DD8AE7C" w14:textId="77777777" w:rsidTr="00CB61DD">
        <w:trPr>
          <w:trHeight w:val="211"/>
        </w:trPr>
        <w:tc>
          <w:tcPr>
            <w:tcW w:w="9381" w:type="dxa"/>
            <w:tcBorders>
              <w:left w:val="single" w:sz="6" w:space="0" w:color="000000"/>
            </w:tcBorders>
          </w:tcPr>
          <w:p w14:paraId="399114D3" w14:textId="77777777" w:rsidR="004D7B6F" w:rsidRPr="004D7B6F" w:rsidRDefault="004D7B6F" w:rsidP="004D7B6F">
            <w:pPr>
              <w:spacing w:before="7"/>
              <w:ind w:left="736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necesită</w:t>
            </w:r>
            <w:r w:rsidRPr="004D7B6F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o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expertiză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de</w:t>
            </w:r>
            <w:r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compatibilitate.</w:t>
            </w:r>
          </w:p>
        </w:tc>
      </w:tr>
      <w:tr w:rsidR="004D7B6F" w:rsidRPr="004D7B6F" w14:paraId="42BC3840" w14:textId="77777777" w:rsidTr="00CB61DD">
        <w:trPr>
          <w:trHeight w:val="172"/>
        </w:trPr>
        <w:tc>
          <w:tcPr>
            <w:tcW w:w="9381" w:type="dxa"/>
            <w:tcBorders>
              <w:left w:val="single" w:sz="6" w:space="0" w:color="000000"/>
            </w:tcBorders>
          </w:tcPr>
          <w:p w14:paraId="4CAA77A1" w14:textId="77777777" w:rsidR="004D7B6F" w:rsidRPr="004D7B6F" w:rsidRDefault="004D7B6F" w:rsidP="004D7B6F">
            <w:pPr>
              <w:spacing w:before="12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10.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expertizei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juridice</w:t>
            </w:r>
          </w:p>
        </w:tc>
      </w:tr>
      <w:tr w:rsidR="002A259B" w:rsidRPr="004D7B6F" w14:paraId="695F9190" w14:textId="77777777" w:rsidTr="00710316">
        <w:trPr>
          <w:trHeight w:val="107"/>
        </w:trPr>
        <w:tc>
          <w:tcPr>
            <w:tcW w:w="9381" w:type="dxa"/>
          </w:tcPr>
          <w:p w14:paraId="49C6C425" w14:textId="78BDA23B" w:rsidR="003B0DCC" w:rsidRPr="002A259B" w:rsidRDefault="003202B4" w:rsidP="002A259B">
            <w:pPr>
              <w:spacing w:before="9"/>
              <w:ind w:left="170" w:firstLine="566"/>
              <w:jc w:val="both"/>
              <w:rPr>
                <w:sz w:val="28"/>
                <w:szCs w:val="28"/>
                <w:lang w:eastAsia="en-US"/>
              </w:rPr>
            </w:pPr>
            <w:r w:rsidRPr="003202B4">
              <w:rPr>
                <w:sz w:val="28"/>
                <w:szCs w:val="28"/>
                <w:lang w:eastAsia="en-US"/>
              </w:rPr>
              <w:t xml:space="preserve">Va fi completat după efectuarea expertizei </w:t>
            </w:r>
            <w:r>
              <w:rPr>
                <w:sz w:val="28"/>
                <w:szCs w:val="28"/>
                <w:lang w:eastAsia="en-US"/>
              </w:rPr>
              <w:t>juridice</w:t>
            </w:r>
          </w:p>
        </w:tc>
      </w:tr>
      <w:tr w:rsidR="002A259B" w:rsidRPr="004D7B6F" w14:paraId="0C7173AC" w14:textId="77777777" w:rsidTr="00CB61DD">
        <w:trPr>
          <w:trHeight w:val="324"/>
        </w:trPr>
        <w:tc>
          <w:tcPr>
            <w:tcW w:w="9381" w:type="dxa"/>
            <w:tcBorders>
              <w:left w:val="single" w:sz="6" w:space="0" w:color="000000"/>
            </w:tcBorders>
          </w:tcPr>
          <w:p w14:paraId="12601E27" w14:textId="77777777" w:rsidR="002A259B" w:rsidRPr="004D7B6F" w:rsidRDefault="002A259B" w:rsidP="002A259B">
            <w:pPr>
              <w:spacing w:before="14" w:line="318" w:lineRule="exact"/>
              <w:ind w:left="736"/>
              <w:rPr>
                <w:b/>
                <w:sz w:val="28"/>
                <w:szCs w:val="22"/>
                <w:lang w:eastAsia="en-US"/>
              </w:rPr>
            </w:pPr>
            <w:r w:rsidRPr="004D7B6F">
              <w:rPr>
                <w:b/>
                <w:sz w:val="28"/>
                <w:szCs w:val="22"/>
                <w:lang w:eastAsia="en-US"/>
              </w:rPr>
              <w:t>11.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Constatările</w:t>
            </w:r>
            <w:r w:rsidRPr="004D7B6F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altor</w:t>
            </w:r>
            <w:r w:rsidRPr="004D7B6F">
              <w:rPr>
                <w:b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b/>
                <w:sz w:val="28"/>
                <w:szCs w:val="22"/>
                <w:lang w:eastAsia="en-US"/>
              </w:rPr>
              <w:t>expertize</w:t>
            </w:r>
          </w:p>
        </w:tc>
      </w:tr>
      <w:tr w:rsidR="002A259B" w:rsidRPr="004D7B6F" w14:paraId="0055C37A" w14:textId="77777777" w:rsidTr="00CB61DD">
        <w:trPr>
          <w:trHeight w:val="286"/>
        </w:trPr>
        <w:tc>
          <w:tcPr>
            <w:tcW w:w="9381" w:type="dxa"/>
            <w:tcBorders>
              <w:left w:val="single" w:sz="6" w:space="0" w:color="000000"/>
            </w:tcBorders>
          </w:tcPr>
          <w:p w14:paraId="776F351E" w14:textId="77777777" w:rsidR="002A259B" w:rsidRPr="004D7B6F" w:rsidRDefault="002A259B" w:rsidP="002A259B">
            <w:pPr>
              <w:spacing w:before="9"/>
              <w:ind w:left="736"/>
              <w:rPr>
                <w:sz w:val="28"/>
                <w:szCs w:val="22"/>
                <w:lang w:eastAsia="en-US"/>
              </w:rPr>
            </w:pPr>
            <w:r w:rsidRPr="004D7B6F">
              <w:rPr>
                <w:sz w:val="28"/>
                <w:szCs w:val="22"/>
                <w:lang w:eastAsia="en-US"/>
              </w:rPr>
              <w:t>Proiectul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nu</w:t>
            </w:r>
            <w:r w:rsidRPr="004D7B6F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necesită</w:t>
            </w:r>
            <w:r w:rsidRPr="004D7B6F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efectuarea</w:t>
            </w:r>
            <w:r w:rsidRPr="004D7B6F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altor</w:t>
            </w:r>
            <w:r w:rsidRPr="004D7B6F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4D7B6F">
              <w:rPr>
                <w:sz w:val="28"/>
                <w:szCs w:val="22"/>
                <w:lang w:eastAsia="en-US"/>
              </w:rPr>
              <w:t>expertize.</w:t>
            </w:r>
          </w:p>
        </w:tc>
      </w:tr>
    </w:tbl>
    <w:p w14:paraId="7538D14B" w14:textId="77777777" w:rsidR="004D7B6F" w:rsidRDefault="004D7B6F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14:paraId="57DEF59A" w14:textId="77777777" w:rsidR="003202B4" w:rsidRDefault="003202B4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14:paraId="34B39462" w14:textId="77777777" w:rsidR="003202B4" w:rsidRPr="004D7B6F" w:rsidRDefault="003202B4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14:paraId="1FC2305F" w14:textId="77777777" w:rsidR="004D7B6F" w:rsidRDefault="004D7B6F" w:rsidP="004D7B6F">
      <w:pPr>
        <w:widowControl w:val="0"/>
        <w:autoSpaceDE w:val="0"/>
        <w:autoSpaceDN w:val="0"/>
        <w:spacing w:before="1"/>
        <w:rPr>
          <w:sz w:val="26"/>
          <w:szCs w:val="26"/>
          <w:lang w:eastAsia="en-US"/>
        </w:rPr>
      </w:pPr>
    </w:p>
    <w:p w14:paraId="134E5CB4" w14:textId="741DD050" w:rsidR="004D7B6F" w:rsidRPr="004D7B6F" w:rsidRDefault="00420AE5" w:rsidP="008B4430">
      <w:pPr>
        <w:widowControl w:val="0"/>
        <w:tabs>
          <w:tab w:val="left" w:pos="8516"/>
        </w:tabs>
        <w:autoSpaceDE w:val="0"/>
        <w:autoSpaceDN w:val="0"/>
        <w:ind w:left="142" w:right="-284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Ministru</w:t>
      </w:r>
      <w:r w:rsidR="004719D0">
        <w:rPr>
          <w:b/>
          <w:sz w:val="28"/>
          <w:szCs w:val="22"/>
          <w:lang w:eastAsia="en-US"/>
        </w:rPr>
        <w:t xml:space="preserve"> a</w:t>
      </w:r>
      <w:r w:rsidR="005A660D">
        <w:rPr>
          <w:b/>
          <w:sz w:val="28"/>
          <w:szCs w:val="22"/>
          <w:lang w:eastAsia="en-US"/>
        </w:rPr>
        <w:t>l</w:t>
      </w:r>
      <w:r>
        <w:rPr>
          <w:b/>
          <w:sz w:val="28"/>
          <w:szCs w:val="22"/>
          <w:lang w:eastAsia="en-US"/>
        </w:rPr>
        <w:t xml:space="preserve"> afacerilor interne</w:t>
      </w:r>
      <w:r w:rsidR="0049125E" w:rsidRPr="0064233F">
        <w:rPr>
          <w:b/>
          <w:sz w:val="28"/>
          <w:szCs w:val="22"/>
          <w:lang w:eastAsia="en-US"/>
        </w:rPr>
        <w:t xml:space="preserve">       </w:t>
      </w:r>
      <w:r w:rsidR="004D7B6F" w:rsidRPr="0064233F">
        <w:rPr>
          <w:b/>
          <w:sz w:val="28"/>
          <w:szCs w:val="22"/>
          <w:lang w:eastAsia="en-US"/>
        </w:rPr>
        <w:t xml:space="preserve">           </w:t>
      </w:r>
      <w:r w:rsidR="006C50A3" w:rsidRPr="0064233F">
        <w:rPr>
          <w:b/>
          <w:sz w:val="28"/>
          <w:szCs w:val="22"/>
          <w:lang w:eastAsia="en-US"/>
        </w:rPr>
        <w:t xml:space="preserve">   </w:t>
      </w:r>
      <w:r>
        <w:rPr>
          <w:b/>
          <w:sz w:val="28"/>
          <w:szCs w:val="22"/>
          <w:lang w:eastAsia="en-US"/>
        </w:rPr>
        <w:t xml:space="preserve">                                 </w:t>
      </w:r>
      <w:r w:rsidR="004719D0">
        <w:rPr>
          <w:b/>
          <w:sz w:val="28"/>
          <w:szCs w:val="22"/>
          <w:lang w:eastAsia="en-US"/>
        </w:rPr>
        <w:t xml:space="preserve">   </w:t>
      </w:r>
      <w:r>
        <w:rPr>
          <w:b/>
          <w:sz w:val="28"/>
          <w:szCs w:val="22"/>
          <w:lang w:eastAsia="en-US"/>
        </w:rPr>
        <w:t>Adrian EFROS</w:t>
      </w:r>
    </w:p>
    <w:p w14:paraId="404712DF" w14:textId="77777777" w:rsidR="004D7B6F" w:rsidRPr="00145A9D" w:rsidRDefault="004D7B6F" w:rsidP="00145A9D">
      <w:pPr>
        <w:jc w:val="both"/>
        <w:rPr>
          <w:sz w:val="18"/>
          <w:szCs w:val="18"/>
        </w:rPr>
      </w:pPr>
    </w:p>
    <w:sectPr w:rsidR="004D7B6F" w:rsidRPr="00145A9D" w:rsidSect="00675BD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7BAB3" w14:textId="77777777" w:rsidR="00675BDC" w:rsidRDefault="00675BDC">
      <w:r>
        <w:separator/>
      </w:r>
    </w:p>
  </w:endnote>
  <w:endnote w:type="continuationSeparator" w:id="0">
    <w:p w14:paraId="5B191EE8" w14:textId="77777777" w:rsidR="00675BDC" w:rsidRDefault="0067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37BA" w14:textId="77777777" w:rsidR="004D7B6F" w:rsidRDefault="004D7B6F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4A862A" wp14:editId="46099C07">
              <wp:simplePos x="0" y="0"/>
              <wp:positionH relativeFrom="page">
                <wp:posOffset>1401445</wp:posOffset>
              </wp:positionH>
              <wp:positionV relativeFrom="page">
                <wp:posOffset>9433560</wp:posOffset>
              </wp:positionV>
              <wp:extent cx="1784985" cy="131445"/>
              <wp:effectExtent l="0" t="0" r="0" b="0"/>
              <wp:wrapNone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C18C4" w14:textId="77777777" w:rsidR="004D7B6F" w:rsidRDefault="004D7B6F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</w:p>
                        <w:p w14:paraId="701F00ED" w14:textId="77777777" w:rsidR="004D7B6F" w:rsidRDefault="004D7B6F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0D1B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10.35pt;margin-top:742.8pt;width:140.55pt;height:1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05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" filled="f" stroked="f">
              <v:textbox inset="0,0,0,0">
                <w:txbxContent>
                  <w:p w:rsidR="004D7B6F" w:rsidRDefault="004D7B6F">
                    <w:pPr>
                      <w:spacing w:before="13"/>
                      <w:ind w:left="20"/>
                      <w:rPr>
                        <w:sz w:val="15"/>
                      </w:rPr>
                    </w:pPr>
                  </w:p>
                  <w:p w:rsidR="004D7B6F" w:rsidRDefault="004D7B6F">
                    <w:pPr>
                      <w:spacing w:before="13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3B034" w14:textId="77777777" w:rsidR="00675BDC" w:rsidRDefault="00675BDC">
      <w:r>
        <w:separator/>
      </w:r>
    </w:p>
  </w:footnote>
  <w:footnote w:type="continuationSeparator" w:id="0">
    <w:p w14:paraId="3F2CC615" w14:textId="77777777" w:rsidR="00675BDC" w:rsidRDefault="0067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CD92" w14:textId="77777777" w:rsidR="004D7B6F" w:rsidRDefault="004D7B6F">
    <w:pPr>
      <w:pStyle w:val="Corp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A8C18" wp14:editId="032D6A0F">
              <wp:simplePos x="0" y="0"/>
              <wp:positionH relativeFrom="page">
                <wp:posOffset>4284980</wp:posOffset>
              </wp:positionH>
              <wp:positionV relativeFrom="page">
                <wp:posOffset>669925</wp:posOffset>
              </wp:positionV>
              <wp:extent cx="136525" cy="1581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8DCD" w14:textId="77777777" w:rsidR="004D7B6F" w:rsidRDefault="004D7B6F">
                          <w:pPr>
                            <w:spacing w:before="10"/>
                            <w:ind w:left="6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8128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37.4pt;margin-top:52.75pt;width:10.75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1yxAIAAK4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" filled="f" stroked="f">
              <v:textbox inset="0,0,0,0">
                <w:txbxContent>
                  <w:p w:rsidR="004D7B6F" w:rsidRDefault="004D7B6F">
                    <w:pPr>
                      <w:spacing w:before="10"/>
                      <w:ind w:left="6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EA"/>
    <w:rsid w:val="00036EEF"/>
    <w:rsid w:val="000402A0"/>
    <w:rsid w:val="00084F55"/>
    <w:rsid w:val="00087453"/>
    <w:rsid w:val="000A322C"/>
    <w:rsid w:val="000B02E6"/>
    <w:rsid w:val="000D0DAE"/>
    <w:rsid w:val="000E0E6A"/>
    <w:rsid w:val="000E1251"/>
    <w:rsid w:val="000E2767"/>
    <w:rsid w:val="000E32BC"/>
    <w:rsid w:val="00137C42"/>
    <w:rsid w:val="00145A9D"/>
    <w:rsid w:val="001730B2"/>
    <w:rsid w:val="001C7A00"/>
    <w:rsid w:val="001E29F8"/>
    <w:rsid w:val="001E5B1C"/>
    <w:rsid w:val="001F6189"/>
    <w:rsid w:val="00201F76"/>
    <w:rsid w:val="00271311"/>
    <w:rsid w:val="00280ED0"/>
    <w:rsid w:val="002A259B"/>
    <w:rsid w:val="002D6558"/>
    <w:rsid w:val="00310D5F"/>
    <w:rsid w:val="003202B4"/>
    <w:rsid w:val="00353BA4"/>
    <w:rsid w:val="003A2CF9"/>
    <w:rsid w:val="003B0DCC"/>
    <w:rsid w:val="00420AE5"/>
    <w:rsid w:val="00434F16"/>
    <w:rsid w:val="00440548"/>
    <w:rsid w:val="004719D0"/>
    <w:rsid w:val="0049125E"/>
    <w:rsid w:val="004B52EA"/>
    <w:rsid w:val="004D7B6F"/>
    <w:rsid w:val="004F5A25"/>
    <w:rsid w:val="00511AD4"/>
    <w:rsid w:val="00561090"/>
    <w:rsid w:val="00572C1B"/>
    <w:rsid w:val="005A660D"/>
    <w:rsid w:val="005C5327"/>
    <w:rsid w:val="005D19B8"/>
    <w:rsid w:val="005F7A9A"/>
    <w:rsid w:val="00602294"/>
    <w:rsid w:val="00606978"/>
    <w:rsid w:val="00625D84"/>
    <w:rsid w:val="00641146"/>
    <w:rsid w:val="0064233F"/>
    <w:rsid w:val="00654B2F"/>
    <w:rsid w:val="00665C22"/>
    <w:rsid w:val="00675BDC"/>
    <w:rsid w:val="0068070F"/>
    <w:rsid w:val="0069733B"/>
    <w:rsid w:val="006B0F88"/>
    <w:rsid w:val="006C2223"/>
    <w:rsid w:val="006C50A3"/>
    <w:rsid w:val="007224BD"/>
    <w:rsid w:val="0074501B"/>
    <w:rsid w:val="00752987"/>
    <w:rsid w:val="00790D13"/>
    <w:rsid w:val="007E48B5"/>
    <w:rsid w:val="00821DA0"/>
    <w:rsid w:val="008266E2"/>
    <w:rsid w:val="00844956"/>
    <w:rsid w:val="00866111"/>
    <w:rsid w:val="008718AA"/>
    <w:rsid w:val="00893211"/>
    <w:rsid w:val="00895ACF"/>
    <w:rsid w:val="008A4146"/>
    <w:rsid w:val="008B4430"/>
    <w:rsid w:val="008C2C29"/>
    <w:rsid w:val="008F4D68"/>
    <w:rsid w:val="0090188D"/>
    <w:rsid w:val="00934142"/>
    <w:rsid w:val="009752BB"/>
    <w:rsid w:val="00983C07"/>
    <w:rsid w:val="009A5270"/>
    <w:rsid w:val="009B62C4"/>
    <w:rsid w:val="009C2DC5"/>
    <w:rsid w:val="009C7F0E"/>
    <w:rsid w:val="009F2031"/>
    <w:rsid w:val="00A00AF7"/>
    <w:rsid w:val="00A0139E"/>
    <w:rsid w:val="00A0770D"/>
    <w:rsid w:val="00A265EE"/>
    <w:rsid w:val="00A469F9"/>
    <w:rsid w:val="00A66918"/>
    <w:rsid w:val="00A71BDF"/>
    <w:rsid w:val="00A92C2F"/>
    <w:rsid w:val="00AB42D3"/>
    <w:rsid w:val="00B2346D"/>
    <w:rsid w:val="00B518B9"/>
    <w:rsid w:val="00B7147B"/>
    <w:rsid w:val="00B90345"/>
    <w:rsid w:val="00B9209B"/>
    <w:rsid w:val="00B94AFC"/>
    <w:rsid w:val="00B967F2"/>
    <w:rsid w:val="00BE50E9"/>
    <w:rsid w:val="00C005A0"/>
    <w:rsid w:val="00C15D07"/>
    <w:rsid w:val="00C8708A"/>
    <w:rsid w:val="00C919E9"/>
    <w:rsid w:val="00CB61DD"/>
    <w:rsid w:val="00CC209E"/>
    <w:rsid w:val="00CC2618"/>
    <w:rsid w:val="00CD2082"/>
    <w:rsid w:val="00D24D3D"/>
    <w:rsid w:val="00D4409C"/>
    <w:rsid w:val="00D95D7F"/>
    <w:rsid w:val="00DB6FC7"/>
    <w:rsid w:val="00DD4801"/>
    <w:rsid w:val="00DE23AE"/>
    <w:rsid w:val="00E01166"/>
    <w:rsid w:val="00E605BB"/>
    <w:rsid w:val="00EA7B96"/>
    <w:rsid w:val="00EC12E3"/>
    <w:rsid w:val="00EF6701"/>
    <w:rsid w:val="00F37D74"/>
    <w:rsid w:val="00F83135"/>
    <w:rsid w:val="00FD3E8F"/>
    <w:rsid w:val="00FD7B25"/>
    <w:rsid w:val="00FF3FBF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938F"/>
  <w15:docId w15:val="{C9DDA2A1-7E35-4F79-AEE2-87EEDD1B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606978"/>
  </w:style>
  <w:style w:type="character" w:styleId="Hyperlink">
    <w:name w:val="Hyperlink"/>
    <w:rsid w:val="0060697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0697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06978"/>
    <w:rPr>
      <w:rFonts w:ascii="Tahoma" w:eastAsia="Times New Roman" w:hAnsi="Tahoma" w:cs="Tahoma"/>
      <w:sz w:val="16"/>
      <w:szCs w:val="16"/>
      <w:lang w:val="ro-RO" w:eastAsia="ru-R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4D7B6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4D7B6F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customStyle="1" w:styleId="TableNormal">
    <w:name w:val="Table Normal"/>
    <w:uiPriority w:val="2"/>
    <w:semiHidden/>
    <w:unhideWhenUsed/>
    <w:qFormat/>
    <w:rsid w:val="004D7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iuneNerezolvat">
    <w:name w:val="Unresolved Mention"/>
    <w:basedOn w:val="Fontdeparagrafimplicit"/>
    <w:uiPriority w:val="99"/>
    <w:semiHidden/>
    <w:unhideWhenUsed/>
    <w:rsid w:val="0082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.gov.md/ro/consultari-publ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*/12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B119-AA36-48E4-A31D-B0559CF3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1112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Sergiu Sofroni</cp:lastModifiedBy>
  <cp:revision>66</cp:revision>
  <cp:lastPrinted>2023-09-04T05:58:00Z</cp:lastPrinted>
  <dcterms:created xsi:type="dcterms:W3CDTF">2023-05-03T05:29:00Z</dcterms:created>
  <dcterms:modified xsi:type="dcterms:W3CDTF">2024-05-03T06:07:00Z</dcterms:modified>
</cp:coreProperties>
</file>