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88F57" w14:textId="77777777" w:rsidR="00F44FF0" w:rsidRPr="00770D9C" w:rsidRDefault="00F44FF0" w:rsidP="005D46E2">
      <w:pPr>
        <w:spacing w:after="120" w:line="240" w:lineRule="auto"/>
        <w:jc w:val="center"/>
        <w:rPr>
          <w:rFonts w:ascii="Times New Roman" w:hAnsi="Times New Roman" w:cs="Times New Roman"/>
          <w:b/>
          <w:sz w:val="28"/>
          <w:szCs w:val="28"/>
        </w:rPr>
      </w:pPr>
      <w:bookmarkStart w:id="0" w:name="_GoBack"/>
      <w:bookmarkEnd w:id="0"/>
      <w:r w:rsidRPr="00770D9C">
        <w:rPr>
          <w:rFonts w:ascii="Times New Roman" w:hAnsi="Times New Roman" w:cs="Times New Roman"/>
          <w:b/>
          <w:sz w:val="28"/>
          <w:szCs w:val="28"/>
        </w:rPr>
        <w:t xml:space="preserve">NOTA INFORMATIVĂ </w:t>
      </w:r>
    </w:p>
    <w:p w14:paraId="3DBFFBAF" w14:textId="77777777" w:rsidR="00AB76F6" w:rsidRPr="00770D9C" w:rsidRDefault="00F44FF0" w:rsidP="005D46E2">
      <w:pPr>
        <w:spacing w:after="120" w:line="240" w:lineRule="auto"/>
        <w:jc w:val="center"/>
        <w:rPr>
          <w:rFonts w:ascii="Times New Roman" w:hAnsi="Times New Roman" w:cs="Times New Roman"/>
          <w:b/>
          <w:sz w:val="28"/>
          <w:szCs w:val="28"/>
        </w:rPr>
      </w:pPr>
      <w:proofErr w:type="gramStart"/>
      <w:r w:rsidRPr="00770D9C">
        <w:rPr>
          <w:rFonts w:ascii="Times New Roman" w:hAnsi="Times New Roman" w:cs="Times New Roman"/>
          <w:b/>
          <w:sz w:val="28"/>
          <w:szCs w:val="28"/>
        </w:rPr>
        <w:t>la</w:t>
      </w:r>
      <w:proofErr w:type="gramEnd"/>
      <w:r w:rsidRPr="00770D9C">
        <w:rPr>
          <w:rFonts w:ascii="Times New Roman" w:hAnsi="Times New Roman" w:cs="Times New Roman"/>
          <w:b/>
          <w:sz w:val="28"/>
          <w:szCs w:val="28"/>
        </w:rPr>
        <w:t xml:space="preserve"> proiectul Strategiei Naționale de Apărare</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4154D0" w:rsidRPr="00770D9C" w14:paraId="4287AA0B"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744D1" w14:textId="77777777" w:rsidR="004154D0" w:rsidRPr="00770D9C" w:rsidRDefault="004154D0" w:rsidP="00C870C0">
            <w:pPr>
              <w:numPr>
                <w:ilvl w:val="3"/>
                <w:numId w:val="1"/>
              </w:numPr>
              <w:tabs>
                <w:tab w:val="left" w:pos="284"/>
                <w:tab w:val="left" w:pos="1196"/>
              </w:tabs>
              <w:spacing w:after="0" w:line="240" w:lineRule="auto"/>
              <w:ind w:left="0" w:firstLine="0"/>
              <w:jc w:val="both"/>
              <w:rPr>
                <w:rFonts w:ascii="Times New Roman" w:eastAsia="Calibri" w:hAnsi="Times New Roman"/>
                <w:b/>
                <w:sz w:val="28"/>
                <w:szCs w:val="28"/>
                <w:lang w:eastAsia="ru-RU"/>
              </w:rPr>
            </w:pPr>
            <w:r w:rsidRPr="00770D9C">
              <w:rPr>
                <w:rFonts w:ascii="Times New Roman" w:hAnsi="Times New Roman"/>
                <w:b/>
                <w:sz w:val="28"/>
                <w:szCs w:val="28"/>
              </w:rPr>
              <w:t>Denumirea autorului şi, după caz, a participanţilor la elaborarea proiectului</w:t>
            </w:r>
          </w:p>
        </w:tc>
      </w:tr>
      <w:tr w:rsidR="004154D0" w:rsidRPr="00770D9C" w14:paraId="483BB29E"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69933099" w14:textId="77777777" w:rsidR="004154D0" w:rsidRPr="00770D9C" w:rsidRDefault="00F44FF0"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 Proiectul Strategiei Naționale de Apărare a fost elaborat de Ministerul </w:t>
            </w:r>
            <w:proofErr w:type="gramStart"/>
            <w:r w:rsidRPr="00770D9C">
              <w:rPr>
                <w:rFonts w:ascii="Times New Roman" w:eastAsia="SimSun" w:hAnsi="Times New Roman" w:cs="Times New Roman"/>
                <w:sz w:val="28"/>
                <w:szCs w:val="28"/>
                <w:lang w:eastAsia="zh-CN"/>
              </w:rPr>
              <w:t>Apărării  în</w:t>
            </w:r>
            <w:proofErr w:type="gramEnd"/>
            <w:r w:rsidRPr="00770D9C">
              <w:rPr>
                <w:rFonts w:ascii="Times New Roman" w:eastAsia="SimSun" w:hAnsi="Times New Roman" w:cs="Times New Roman"/>
                <w:sz w:val="28"/>
                <w:szCs w:val="28"/>
                <w:lang w:eastAsia="zh-CN"/>
              </w:rPr>
              <w:t xml:space="preserve"> temeiul </w:t>
            </w:r>
            <w:r w:rsidRPr="00770D9C">
              <w:rPr>
                <w:rFonts w:ascii="Times New Roman" w:hAnsi="Times New Roman" w:cs="Times New Roman"/>
                <w:sz w:val="28"/>
                <w:szCs w:val="28"/>
              </w:rPr>
              <w:t xml:space="preserve">Legii nr. 345/2003 cu privire la apărarea națională, </w:t>
            </w:r>
            <w:r w:rsidRPr="00770D9C">
              <w:rPr>
                <w:rFonts w:ascii="Times New Roman" w:eastAsia="SimSun" w:hAnsi="Times New Roman" w:cs="Times New Roman"/>
                <w:sz w:val="28"/>
                <w:szCs w:val="28"/>
                <w:lang w:eastAsia="zh-CN"/>
              </w:rPr>
              <w:t>(Capitolul IV</w:t>
            </w:r>
            <w:r w:rsidRPr="00770D9C">
              <w:rPr>
                <w:rFonts w:ascii="Times New Roman" w:eastAsia="SimSun" w:hAnsi="Times New Roman" w:cs="Times New Roman"/>
                <w:sz w:val="28"/>
                <w:szCs w:val="28"/>
                <w:vertAlign w:val="superscript"/>
                <w:lang w:eastAsia="zh-CN"/>
              </w:rPr>
              <w:t xml:space="preserve">1 </w:t>
            </w:r>
            <w:r w:rsidRPr="00770D9C">
              <w:rPr>
                <w:rFonts w:ascii="Times New Roman" w:eastAsia="SimSun" w:hAnsi="Times New Roman" w:cs="Times New Roman"/>
                <w:sz w:val="28"/>
                <w:szCs w:val="28"/>
                <w:lang w:eastAsia="zh-CN"/>
              </w:rPr>
              <w:t>„Planificarea apărării naționale” art. 36</w:t>
            </w:r>
            <w:r w:rsidRPr="00770D9C">
              <w:rPr>
                <w:rFonts w:ascii="Times New Roman" w:eastAsia="SimSun" w:hAnsi="Times New Roman" w:cs="Times New Roman"/>
                <w:sz w:val="28"/>
                <w:szCs w:val="28"/>
                <w:vertAlign w:val="superscript"/>
                <w:lang w:eastAsia="zh-CN"/>
              </w:rPr>
              <w:t>5</w:t>
            </w:r>
            <w:r w:rsidRPr="00770D9C">
              <w:rPr>
                <w:rFonts w:ascii="Times New Roman" w:eastAsia="SimSun" w:hAnsi="Times New Roman" w:cs="Times New Roman"/>
                <w:sz w:val="28"/>
                <w:szCs w:val="28"/>
                <w:lang w:eastAsia="zh-CN"/>
              </w:rPr>
              <w:t>)</w:t>
            </w:r>
            <w:r w:rsidR="005A4549" w:rsidRPr="00770D9C">
              <w:rPr>
                <w:rFonts w:ascii="Times New Roman" w:eastAsia="SimSun" w:hAnsi="Times New Roman" w:cs="Times New Roman"/>
                <w:sz w:val="28"/>
                <w:szCs w:val="28"/>
                <w:lang w:eastAsia="zh-CN"/>
              </w:rPr>
              <w:t xml:space="preserve"> și Decretul</w:t>
            </w:r>
            <w:r w:rsidR="0057325B" w:rsidRPr="00770D9C">
              <w:rPr>
                <w:rFonts w:ascii="Times New Roman" w:eastAsia="SimSun" w:hAnsi="Times New Roman" w:cs="Times New Roman"/>
                <w:sz w:val="28"/>
                <w:szCs w:val="28"/>
                <w:lang w:eastAsia="zh-CN"/>
              </w:rPr>
              <w:t>ui</w:t>
            </w:r>
            <w:r w:rsidR="005A4549" w:rsidRPr="00770D9C">
              <w:rPr>
                <w:rFonts w:ascii="Times New Roman" w:eastAsia="SimSun" w:hAnsi="Times New Roman" w:cs="Times New Roman"/>
                <w:sz w:val="28"/>
                <w:szCs w:val="28"/>
                <w:lang w:eastAsia="zh-CN"/>
              </w:rPr>
              <w:t xml:space="preserve"> privind constituirea Comisiei pentru elaborarea Strategiei naționale de apărare a Republicii Moldova (Decretul nr. 1313-IX din 22.01.2024, publicat în MO nr. 32-35 (9069-9072) din 25.01.2024).</w:t>
            </w:r>
          </w:p>
          <w:p w14:paraId="4EBC5E29" w14:textId="77777777" w:rsidR="00E36273" w:rsidRDefault="0057325B"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Preşedintele Republicii Moldova, fiind Comandant Suprem al Forțelor Armate, exercită conducerea generală a sistemului naţional de apărare şi coordonează activitatea autorităţilor administraţiei publice în domeniul apărării naţionale. În acest sens, Preș</w:t>
            </w:r>
            <w:proofErr w:type="gramStart"/>
            <w:r w:rsidRPr="00770D9C">
              <w:rPr>
                <w:rFonts w:ascii="Times New Roman" w:eastAsia="SimSun" w:hAnsi="Times New Roman" w:cs="Times New Roman"/>
                <w:sz w:val="28"/>
                <w:szCs w:val="28"/>
                <w:lang w:eastAsia="zh-CN"/>
              </w:rPr>
              <w:t>edintele  iniţiază</w:t>
            </w:r>
            <w:proofErr w:type="gramEnd"/>
            <w:r w:rsidRPr="00770D9C">
              <w:rPr>
                <w:rFonts w:ascii="Times New Roman" w:eastAsia="SimSun" w:hAnsi="Times New Roman" w:cs="Times New Roman"/>
                <w:sz w:val="28"/>
                <w:szCs w:val="28"/>
                <w:lang w:eastAsia="zh-CN"/>
              </w:rPr>
              <w:t xml:space="preserve"> procesul de elaborare  a Strategiei Naţionale de Apărare, conform Constituției Republicii Moldova și Legii organice privind apărarea națională. </w:t>
            </w:r>
          </w:p>
          <w:p w14:paraId="2B75190C" w14:textId="77777777" w:rsidR="00E36273" w:rsidRPr="00770D9C" w:rsidRDefault="00E36273" w:rsidP="00E36273">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B124DC">
              <w:rPr>
                <w:rFonts w:ascii="Times New Roman" w:eastAsia="SimSun" w:hAnsi="Times New Roman" w:cs="Times New Roman"/>
                <w:sz w:val="28"/>
                <w:szCs w:val="28"/>
                <w:lang w:eastAsia="zh-CN"/>
              </w:rPr>
              <w:t>În vederea realizării obiectivelor naţionale în domeniul de securitate şi apărare stabilite în strategia securităţii naţionale, Guvernul elaborează strategia naţională de apărare, ce identifică potenţialele riscuri şi ameninţări în domeniul apărării, reieşind din mediul de securitate, stabileşte obiectivele politicii de apărare, precum şi căile şi resursele necesare pentru realizarea acestora</w:t>
            </w:r>
            <w:r>
              <w:rPr>
                <w:rFonts w:ascii="Times New Roman" w:eastAsia="SimSun" w:hAnsi="Times New Roman" w:cs="Times New Roman"/>
                <w:sz w:val="28"/>
                <w:szCs w:val="28"/>
                <w:lang w:eastAsia="zh-CN"/>
              </w:rPr>
              <w:t>, și</w:t>
            </w:r>
            <w:r w:rsidRPr="00E36273">
              <w:rPr>
                <w:rFonts w:ascii="Times New Roman" w:eastAsia="SimSun" w:hAnsi="Times New Roman" w:cs="Times New Roman"/>
                <w:sz w:val="28"/>
                <w:szCs w:val="28"/>
                <w:lang w:eastAsia="zh-CN"/>
              </w:rPr>
              <w:t xml:space="preserve"> o prezintă Preşedintelui Republicii Moldova pentru a fi înaintată spre aprobare Parlamentului</w:t>
            </w:r>
            <w:r w:rsidRPr="00B124DC">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 xml:space="preserve"> Ministerul Apărării participă și conduce </w:t>
            </w:r>
            <w:r w:rsidRPr="00B124DC">
              <w:rPr>
                <w:rFonts w:ascii="Times New Roman" w:eastAsia="SimSun" w:hAnsi="Times New Roman" w:cs="Times New Roman"/>
                <w:sz w:val="28"/>
                <w:szCs w:val="28"/>
                <w:lang w:eastAsia="zh-CN"/>
              </w:rPr>
              <w:t>procesul de elaborare a strategiei naţionale de apărare</w:t>
            </w:r>
            <w:r>
              <w:rPr>
                <w:rFonts w:ascii="Times New Roman" w:eastAsia="SimSun" w:hAnsi="Times New Roman" w:cs="Times New Roman"/>
                <w:sz w:val="28"/>
                <w:szCs w:val="28"/>
                <w:lang w:eastAsia="zh-CN"/>
              </w:rPr>
              <w:t>.</w:t>
            </w:r>
          </w:p>
          <w:p w14:paraId="464EA625" w14:textId="77777777" w:rsidR="0057325B" w:rsidRDefault="0057325B"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Această particularitate deosebește această strategie și cea de securitate națională de restul documentelor de politici, care sunt subordonate în exclusivitate prevederilor Hotărârii Guvernului nr. 386/2020 cu privire la planificarea, elaborarea, aprobarea, implementarea, monitorizarea și evaluarea documentelor de politici publice. </w:t>
            </w:r>
          </w:p>
          <w:p w14:paraId="5248A98A" w14:textId="77777777" w:rsidR="0057325B" w:rsidRPr="00770D9C" w:rsidRDefault="0057325B"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Strategia Națională de Apărare a fost elaborată conform prevederilor </w:t>
            </w:r>
            <w:proofErr w:type="gramStart"/>
            <w:r w:rsidRPr="00770D9C">
              <w:rPr>
                <w:rFonts w:ascii="Times New Roman" w:eastAsia="SimSun" w:hAnsi="Times New Roman" w:cs="Times New Roman"/>
                <w:sz w:val="28"/>
                <w:szCs w:val="28"/>
                <w:lang w:eastAsia="zh-CN"/>
              </w:rPr>
              <w:t>Legii  organice</w:t>
            </w:r>
            <w:proofErr w:type="gramEnd"/>
            <w:r w:rsidRPr="00770D9C">
              <w:rPr>
                <w:rFonts w:ascii="Times New Roman" w:eastAsia="SimSun" w:hAnsi="Times New Roman" w:cs="Times New Roman"/>
                <w:sz w:val="28"/>
                <w:szCs w:val="28"/>
                <w:lang w:eastAsia="zh-CN"/>
              </w:rPr>
              <w:t xml:space="preserve"> nr. 345/2003 cu privire la apărarea națională, care stabilește structura, conținutul și modalitate de elaborare </w:t>
            </w:r>
            <w:proofErr w:type="gramStart"/>
            <w:r w:rsidRPr="00770D9C">
              <w:rPr>
                <w:rFonts w:ascii="Times New Roman" w:eastAsia="SimSun" w:hAnsi="Times New Roman" w:cs="Times New Roman"/>
                <w:sz w:val="28"/>
                <w:szCs w:val="28"/>
                <w:lang w:eastAsia="zh-CN"/>
              </w:rPr>
              <w:t>a</w:t>
            </w:r>
            <w:proofErr w:type="gramEnd"/>
            <w:r w:rsidRPr="00770D9C">
              <w:rPr>
                <w:rFonts w:ascii="Times New Roman" w:eastAsia="SimSun" w:hAnsi="Times New Roman" w:cs="Times New Roman"/>
                <w:sz w:val="28"/>
                <w:szCs w:val="28"/>
                <w:lang w:eastAsia="zh-CN"/>
              </w:rPr>
              <w:t xml:space="preserve"> acesteia.</w:t>
            </w:r>
          </w:p>
          <w:p w14:paraId="489CF3A4" w14:textId="77777777" w:rsidR="00664F88" w:rsidRPr="00770D9C" w:rsidRDefault="0057325B" w:rsidP="00E36273">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Prin Decretul Președintelui Republicii Moldova </w:t>
            </w:r>
            <w:r w:rsidR="00B14572">
              <w:rPr>
                <w:rFonts w:ascii="Times New Roman" w:eastAsia="SimSun" w:hAnsi="Times New Roman" w:cs="Times New Roman"/>
                <w:sz w:val="28"/>
                <w:szCs w:val="28"/>
                <w:lang w:eastAsia="zh-CN"/>
              </w:rPr>
              <w:t>sus</w:t>
            </w:r>
            <w:r w:rsidRPr="00770D9C">
              <w:rPr>
                <w:rFonts w:ascii="Times New Roman" w:eastAsia="SimSun" w:hAnsi="Times New Roman" w:cs="Times New Roman"/>
                <w:sz w:val="28"/>
                <w:szCs w:val="28"/>
                <w:lang w:eastAsia="zh-CN"/>
              </w:rPr>
              <w:t>menționat a fost instituită Comisia</w:t>
            </w:r>
            <w:r w:rsidR="0014795C" w:rsidRPr="00770D9C">
              <w:rPr>
                <w:rStyle w:val="FootnoteReference"/>
                <w:rFonts w:ascii="Times New Roman" w:eastAsia="SimSun" w:hAnsi="Times New Roman" w:cs="Times New Roman"/>
                <w:sz w:val="28"/>
                <w:szCs w:val="28"/>
                <w:lang w:eastAsia="zh-CN"/>
              </w:rPr>
              <w:footnoteReference w:id="1"/>
            </w:r>
            <w:r w:rsidRPr="00770D9C">
              <w:rPr>
                <w:rFonts w:ascii="Times New Roman" w:eastAsia="SimSun" w:hAnsi="Times New Roman" w:cs="Times New Roman"/>
                <w:sz w:val="28"/>
                <w:szCs w:val="28"/>
                <w:lang w:eastAsia="zh-CN"/>
              </w:rPr>
              <w:t xml:space="preserve"> pentru elaborarea Strategiei naţionale de apărare, care va asigura abordarea comprehensivă și incluzivă a tuturor instituțiilor cu atribuții în domeniu apărării în procesul de definitivare a acestui document. </w:t>
            </w:r>
            <w:proofErr w:type="gramStart"/>
            <w:r w:rsidRPr="00770D9C">
              <w:rPr>
                <w:rFonts w:ascii="Times New Roman" w:eastAsia="SimSun" w:hAnsi="Times New Roman" w:cs="Times New Roman"/>
                <w:sz w:val="28"/>
                <w:szCs w:val="28"/>
                <w:lang w:eastAsia="zh-CN"/>
              </w:rPr>
              <w:t>Conform</w:t>
            </w:r>
            <w:proofErr w:type="gramEnd"/>
            <w:r w:rsidRPr="00770D9C">
              <w:rPr>
                <w:rFonts w:ascii="Times New Roman" w:eastAsia="SimSun" w:hAnsi="Times New Roman" w:cs="Times New Roman"/>
                <w:sz w:val="28"/>
                <w:szCs w:val="28"/>
                <w:lang w:eastAsia="zh-CN"/>
              </w:rPr>
              <w:t xml:space="preserve"> Decretului, Comisia va prezenta Guvernului pentru aprobare, în termen de până la 5 luni proiectul Strategiei Naționale de Apărare. </w:t>
            </w:r>
            <w:r w:rsidR="00E36273">
              <w:rPr>
                <w:rFonts w:ascii="Times New Roman" w:eastAsia="SimSun" w:hAnsi="Times New Roman" w:cs="Times New Roman"/>
                <w:sz w:val="28"/>
                <w:szCs w:val="28"/>
                <w:lang w:eastAsia="zh-CN"/>
              </w:rPr>
              <w:t xml:space="preserve"> </w:t>
            </w:r>
            <w:r w:rsidR="00AB0086" w:rsidRPr="00770D9C">
              <w:rPr>
                <w:rFonts w:ascii="Times New Roman" w:eastAsia="SimSun" w:hAnsi="Times New Roman" w:cs="Times New Roman"/>
                <w:sz w:val="28"/>
                <w:szCs w:val="28"/>
                <w:lang w:eastAsia="zh-CN"/>
              </w:rPr>
              <w:t xml:space="preserve">În acest sens, </w:t>
            </w:r>
            <w:r w:rsidR="00E36273">
              <w:rPr>
                <w:rFonts w:ascii="Times New Roman" w:eastAsia="SimSun" w:hAnsi="Times New Roman" w:cs="Times New Roman"/>
                <w:sz w:val="28"/>
                <w:szCs w:val="28"/>
                <w:lang w:eastAsia="zh-CN"/>
              </w:rPr>
              <w:t xml:space="preserve"> pentru a asigura </w:t>
            </w:r>
            <w:r w:rsidR="00AB0086" w:rsidRPr="00770D9C">
              <w:rPr>
                <w:rFonts w:ascii="Times New Roman" w:eastAsia="SimSun" w:hAnsi="Times New Roman" w:cs="Times New Roman"/>
                <w:sz w:val="28"/>
                <w:szCs w:val="28"/>
                <w:lang w:eastAsia="zh-CN"/>
              </w:rPr>
              <w:t xml:space="preserve">a </w:t>
            </w:r>
            <w:r w:rsidR="0014795C">
              <w:rPr>
                <w:rFonts w:ascii="Times New Roman" w:eastAsia="SimSun" w:hAnsi="Times New Roman" w:cs="Times New Roman"/>
                <w:sz w:val="28"/>
                <w:szCs w:val="28"/>
                <w:lang w:eastAsia="zh-CN"/>
              </w:rPr>
              <w:t>asigurat procesul de elaborare a strategiei</w:t>
            </w:r>
            <w:r w:rsidR="00AB0086" w:rsidRPr="00770D9C">
              <w:rPr>
                <w:rFonts w:ascii="Times New Roman" w:eastAsia="SimSun" w:hAnsi="Times New Roman" w:cs="Times New Roman"/>
                <w:sz w:val="28"/>
                <w:szCs w:val="28"/>
                <w:lang w:eastAsia="zh-CN"/>
              </w:rPr>
              <w:t xml:space="preserve">, </w:t>
            </w:r>
            <w:r w:rsidR="00E36273" w:rsidRPr="00770D9C">
              <w:rPr>
                <w:rFonts w:ascii="Times New Roman" w:eastAsia="SimSun" w:hAnsi="Times New Roman" w:cs="Times New Roman"/>
                <w:sz w:val="28"/>
                <w:szCs w:val="28"/>
                <w:lang w:eastAsia="zh-CN"/>
              </w:rPr>
              <w:t xml:space="preserve">Comisia SNA </w:t>
            </w:r>
            <w:r w:rsidR="00E36273">
              <w:rPr>
                <w:rFonts w:ascii="Times New Roman" w:eastAsia="SimSun" w:hAnsi="Times New Roman" w:cs="Times New Roman"/>
                <w:sz w:val="28"/>
                <w:szCs w:val="28"/>
                <w:lang w:eastAsia="zh-CN"/>
              </w:rPr>
              <w:t xml:space="preserve">a </w:t>
            </w:r>
            <w:r w:rsidR="00AB0086" w:rsidRPr="00770D9C">
              <w:rPr>
                <w:rFonts w:ascii="Times New Roman" w:eastAsia="SimSun" w:hAnsi="Times New Roman" w:cs="Times New Roman"/>
                <w:sz w:val="28"/>
                <w:szCs w:val="28"/>
                <w:lang w:eastAsia="zh-CN"/>
              </w:rPr>
              <w:t>înființa</w:t>
            </w:r>
            <w:r w:rsidR="00E36273">
              <w:rPr>
                <w:rFonts w:ascii="Times New Roman" w:eastAsia="SimSun" w:hAnsi="Times New Roman" w:cs="Times New Roman"/>
                <w:sz w:val="28"/>
                <w:szCs w:val="28"/>
                <w:lang w:eastAsia="zh-CN"/>
              </w:rPr>
              <w:t>t</w:t>
            </w:r>
            <w:r w:rsidR="00AB0086" w:rsidRPr="00770D9C">
              <w:rPr>
                <w:rFonts w:ascii="Times New Roman" w:eastAsia="SimSun" w:hAnsi="Times New Roman" w:cs="Times New Roman"/>
                <w:sz w:val="28"/>
                <w:szCs w:val="28"/>
                <w:lang w:eastAsia="zh-CN"/>
              </w:rPr>
              <w:t xml:space="preserve"> Grupul de Lucru Interinstituțional</w:t>
            </w:r>
            <w:r w:rsidR="0014795C">
              <w:rPr>
                <w:rFonts w:ascii="Times New Roman" w:eastAsia="SimSun" w:hAnsi="Times New Roman" w:cs="Times New Roman"/>
                <w:sz w:val="28"/>
                <w:szCs w:val="28"/>
                <w:lang w:eastAsia="zh-CN"/>
              </w:rPr>
              <w:t>,</w:t>
            </w:r>
            <w:r w:rsidR="00AB0086" w:rsidRPr="00770D9C">
              <w:rPr>
                <w:rFonts w:ascii="Times New Roman" w:eastAsia="SimSun" w:hAnsi="Times New Roman" w:cs="Times New Roman"/>
                <w:sz w:val="28"/>
                <w:szCs w:val="28"/>
                <w:lang w:eastAsia="zh-CN"/>
              </w:rPr>
              <w:t xml:space="preserve"> (compus din următoarele ministerele și instituții: Serviciul Consiliului Suprem de Securitate, Ministerul Afacerilor Externe,  Ministerul Afacerilor Interne (cu Inspectoratele generale vizate), </w:t>
            </w:r>
            <w:r w:rsidR="00AB0086" w:rsidRPr="00770D9C">
              <w:rPr>
                <w:rFonts w:ascii="Times New Roman" w:eastAsia="SimSun" w:hAnsi="Times New Roman" w:cs="Times New Roman"/>
                <w:sz w:val="28"/>
                <w:szCs w:val="28"/>
                <w:lang w:eastAsia="zh-CN"/>
              </w:rPr>
              <w:lastRenderedPageBreak/>
              <w:t xml:space="preserve">Serviciul de Informații și Securitate, Ministerul Dezvoltării Economice și Digitalizării, Ministerul Infrastructurii şi Dezvoltării Regionale, Serviciul de Protecție și Pază de Stat, Ministerul Finanţelor, Ministerul Energiei, Ministerul Educaţiei şi Cercetării, </w:t>
            </w:r>
            <w:r w:rsidR="00B14572" w:rsidRPr="00770D9C">
              <w:rPr>
                <w:rFonts w:ascii="Times New Roman" w:eastAsia="SimSun" w:hAnsi="Times New Roman" w:cs="Times New Roman"/>
                <w:sz w:val="28"/>
                <w:szCs w:val="28"/>
                <w:lang w:eastAsia="zh-CN"/>
              </w:rPr>
              <w:t xml:space="preserve">Ministerul Culturii, </w:t>
            </w:r>
            <w:r w:rsidR="00AB0086" w:rsidRPr="00770D9C">
              <w:rPr>
                <w:rFonts w:ascii="Times New Roman" w:eastAsia="SimSun" w:hAnsi="Times New Roman" w:cs="Times New Roman"/>
                <w:sz w:val="28"/>
                <w:szCs w:val="28"/>
                <w:lang w:eastAsia="zh-CN"/>
              </w:rPr>
              <w:t xml:space="preserve">Ministerul Sănătăţii, Ministerul Muncii şi Protecţiei Sociale, Ministerul </w:t>
            </w:r>
            <w:r w:rsidR="00B14572">
              <w:rPr>
                <w:rFonts w:ascii="Times New Roman" w:eastAsia="SimSun" w:hAnsi="Times New Roman" w:cs="Times New Roman"/>
                <w:sz w:val="28"/>
                <w:szCs w:val="28"/>
                <w:lang w:eastAsia="zh-CN"/>
              </w:rPr>
              <w:t>Mediului, Ministerul Justiţiei) împuternicit</w:t>
            </w:r>
            <w:r w:rsidR="00AB0086" w:rsidRPr="00770D9C">
              <w:rPr>
                <w:rFonts w:ascii="Times New Roman" w:eastAsia="SimSun" w:hAnsi="Times New Roman" w:cs="Times New Roman"/>
                <w:sz w:val="28"/>
                <w:szCs w:val="28"/>
                <w:lang w:eastAsia="zh-CN"/>
              </w:rPr>
              <w:t xml:space="preserve"> cu elaborarea strategiei. </w:t>
            </w:r>
          </w:p>
        </w:tc>
      </w:tr>
      <w:tr w:rsidR="004154D0" w:rsidRPr="00770D9C" w14:paraId="7D234682"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4041A6" w14:textId="77777777" w:rsidR="004154D0" w:rsidRPr="00770D9C" w:rsidRDefault="004154D0">
            <w:pPr>
              <w:tabs>
                <w:tab w:val="left" w:pos="884"/>
                <w:tab w:val="left" w:pos="1196"/>
              </w:tabs>
              <w:spacing w:after="0" w:line="240" w:lineRule="auto"/>
              <w:jc w:val="both"/>
              <w:rPr>
                <w:rFonts w:ascii="Times New Roman" w:eastAsia="Calibri" w:hAnsi="Times New Roman"/>
                <w:sz w:val="28"/>
                <w:szCs w:val="28"/>
                <w:lang w:eastAsia="ru-RU"/>
              </w:rPr>
            </w:pPr>
            <w:r w:rsidRPr="00770D9C">
              <w:rPr>
                <w:rFonts w:ascii="Times New Roman" w:hAnsi="Times New Roman"/>
                <w:sz w:val="28"/>
                <w:szCs w:val="28"/>
              </w:rPr>
              <w:lastRenderedPageBreak/>
              <w:t xml:space="preserve">2. </w:t>
            </w:r>
            <w:r w:rsidRPr="00770D9C">
              <w:rPr>
                <w:rFonts w:ascii="Times New Roman" w:hAnsi="Times New Roman"/>
                <w:b/>
                <w:sz w:val="28"/>
                <w:szCs w:val="28"/>
              </w:rPr>
              <w:t>Condiţiile ce au impus elaborarea proiectului de act normativ şi finalităţile urmărite</w:t>
            </w:r>
          </w:p>
        </w:tc>
      </w:tr>
      <w:tr w:rsidR="004154D0" w:rsidRPr="00770D9C" w14:paraId="19199A95"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4D54D4D3" w14:textId="77777777" w:rsidR="0094797B" w:rsidRDefault="00F44FF0"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Elaborarea unui nou document strategic în domeniu apărării - proiectul Strategiei Naționale de Apărare</w:t>
            </w:r>
            <w:r w:rsidR="00B14572">
              <w:rPr>
                <w:rFonts w:ascii="Times New Roman" w:eastAsia="SimSun" w:hAnsi="Times New Roman" w:cs="Times New Roman"/>
                <w:sz w:val="28"/>
                <w:szCs w:val="28"/>
                <w:lang w:eastAsia="zh-CN"/>
              </w:rPr>
              <w:t xml:space="preserve"> - a fost determinat de mai mulți</w:t>
            </w:r>
            <w:r w:rsidRPr="00770D9C">
              <w:rPr>
                <w:rFonts w:ascii="Times New Roman" w:eastAsia="SimSun" w:hAnsi="Times New Roman" w:cs="Times New Roman"/>
                <w:sz w:val="28"/>
                <w:szCs w:val="28"/>
                <w:lang w:eastAsia="zh-CN"/>
              </w:rPr>
              <w:t xml:space="preserve"> factori și anume:</w:t>
            </w:r>
          </w:p>
          <w:p w14:paraId="4A757632" w14:textId="77777777" w:rsidR="0094797B" w:rsidRDefault="0094797B" w:rsidP="0094797B">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F44FF0" w:rsidRPr="00770D9C">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 xml:space="preserve">aprobarea unei noi Strategii de Securitate Națională a Republicii Moldova (aprobată prin </w:t>
            </w:r>
            <w:r w:rsidRPr="00B14572">
              <w:rPr>
                <w:rFonts w:ascii="Times New Roman" w:eastAsia="SimSun" w:hAnsi="Times New Roman" w:cs="Times New Roman"/>
                <w:sz w:val="28"/>
                <w:szCs w:val="28"/>
                <w:lang w:eastAsia="zh-CN"/>
              </w:rPr>
              <w:t>Hotărârea Parlamentului nr. 391/2023 din 15.12.2023</w:t>
            </w:r>
            <w:r w:rsidRPr="00B14572">
              <w:rPr>
                <w:rFonts w:ascii="Times New Roman" w:eastAsia="SimSun" w:hAnsi="Times New Roman" w:cs="Times New Roman"/>
                <w:sz w:val="28"/>
                <w:szCs w:val="28"/>
                <w:lang w:eastAsia="zh-CN"/>
              </w:rPr>
              <w:footnoteReference w:id="2"/>
            </w:r>
            <w:r>
              <w:rPr>
                <w:rFonts w:ascii="Times New Roman" w:eastAsia="SimSun" w:hAnsi="Times New Roman" w:cs="Times New Roman"/>
                <w:sz w:val="28"/>
                <w:szCs w:val="28"/>
                <w:lang w:eastAsia="zh-CN"/>
              </w:rPr>
              <w:t>);</w:t>
            </w:r>
          </w:p>
          <w:p w14:paraId="17444A50" w14:textId="77777777" w:rsidR="0094797B" w:rsidRPr="00770D9C" w:rsidRDefault="0094797B" w:rsidP="0094797B">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necesitatea actualizării viziunii privind asigurarea apărării naţionale a statului</w:t>
            </w:r>
            <w:r>
              <w:rPr>
                <w:rFonts w:ascii="Times New Roman" w:eastAsia="SimSun" w:hAnsi="Times New Roman" w:cs="Times New Roman"/>
                <w:sz w:val="28"/>
                <w:szCs w:val="28"/>
                <w:lang w:eastAsia="zh-CN"/>
              </w:rPr>
              <w:t xml:space="preserve"> și </w:t>
            </w:r>
            <w:r w:rsidRPr="00770D9C">
              <w:rPr>
                <w:rFonts w:ascii="Times New Roman" w:eastAsia="SimSun" w:hAnsi="Times New Roman" w:cs="Times New Roman"/>
                <w:sz w:val="28"/>
                <w:szCs w:val="28"/>
                <w:lang w:eastAsia="zh-CN"/>
              </w:rPr>
              <w:t xml:space="preserve">adaptării capabilităților sectorului de apărare la provocările emergente, </w:t>
            </w:r>
            <w:r>
              <w:rPr>
                <w:rFonts w:ascii="Times New Roman" w:eastAsia="SimSun" w:hAnsi="Times New Roman" w:cs="Times New Roman"/>
                <w:sz w:val="28"/>
                <w:szCs w:val="28"/>
                <w:lang w:eastAsia="zh-CN"/>
              </w:rPr>
              <w:t>mai ales ca urmare a războiului din Ucraina;</w:t>
            </w:r>
          </w:p>
          <w:p w14:paraId="31E392FD" w14:textId="77777777" w:rsidR="0094797B" w:rsidRDefault="0094797B"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Pr="00770D9C">
              <w:rPr>
                <w:rFonts w:ascii="Times New Roman" w:eastAsia="SimSun" w:hAnsi="Times New Roman" w:cs="Times New Roman"/>
                <w:sz w:val="28"/>
                <w:szCs w:val="28"/>
                <w:lang w:eastAsia="zh-CN"/>
              </w:rPr>
              <w:t xml:space="preserve"> </w:t>
            </w:r>
            <w:proofErr w:type="gramStart"/>
            <w:r>
              <w:rPr>
                <w:rFonts w:ascii="Times New Roman" w:eastAsia="SimSun" w:hAnsi="Times New Roman" w:cs="Times New Roman"/>
                <w:sz w:val="28"/>
                <w:szCs w:val="28"/>
                <w:lang w:eastAsia="zh-CN"/>
              </w:rPr>
              <w:t>prevederile</w:t>
            </w:r>
            <w:proofErr w:type="gramEnd"/>
            <w:r>
              <w:rPr>
                <w:rFonts w:ascii="Times New Roman" w:eastAsia="SimSun" w:hAnsi="Times New Roman" w:cs="Times New Roman"/>
                <w:sz w:val="28"/>
                <w:szCs w:val="28"/>
                <w:lang w:eastAsia="zh-CN"/>
              </w:rPr>
              <w:t xml:space="preserve"> </w:t>
            </w:r>
            <w:r w:rsidR="00AE5245" w:rsidRPr="00770D9C">
              <w:rPr>
                <w:rFonts w:ascii="Times New Roman" w:hAnsi="Times New Roman" w:cs="Times New Roman"/>
                <w:sz w:val="28"/>
                <w:szCs w:val="28"/>
              </w:rPr>
              <w:t>Leg</w:t>
            </w:r>
            <w:r>
              <w:rPr>
                <w:rFonts w:ascii="Times New Roman" w:hAnsi="Times New Roman" w:cs="Times New Roman"/>
                <w:sz w:val="28"/>
                <w:szCs w:val="28"/>
              </w:rPr>
              <w:t>ii</w:t>
            </w:r>
            <w:r w:rsidR="00AE5245" w:rsidRPr="00770D9C">
              <w:rPr>
                <w:rFonts w:ascii="Times New Roman" w:hAnsi="Times New Roman" w:cs="Times New Roman"/>
                <w:sz w:val="28"/>
                <w:szCs w:val="28"/>
              </w:rPr>
              <w:t xml:space="preserve"> nr. 345/2003 cu privire la apărarea națională, </w:t>
            </w:r>
            <w:r w:rsidR="00AE5245" w:rsidRPr="00770D9C">
              <w:rPr>
                <w:rFonts w:ascii="Times New Roman" w:eastAsia="SimSun" w:hAnsi="Times New Roman" w:cs="Times New Roman"/>
                <w:sz w:val="28"/>
                <w:szCs w:val="28"/>
                <w:lang w:eastAsia="zh-CN"/>
              </w:rPr>
              <w:t>(Capitolul IV</w:t>
            </w:r>
            <w:r w:rsidR="00AE5245" w:rsidRPr="00770D9C">
              <w:rPr>
                <w:rFonts w:ascii="Times New Roman" w:eastAsia="SimSun" w:hAnsi="Times New Roman" w:cs="Times New Roman"/>
                <w:sz w:val="28"/>
                <w:szCs w:val="28"/>
                <w:vertAlign w:val="superscript"/>
                <w:lang w:eastAsia="zh-CN"/>
              </w:rPr>
              <w:t xml:space="preserve">1 </w:t>
            </w:r>
            <w:r w:rsidR="00AE5245" w:rsidRPr="00770D9C">
              <w:rPr>
                <w:rFonts w:ascii="Times New Roman" w:eastAsia="SimSun" w:hAnsi="Times New Roman" w:cs="Times New Roman"/>
                <w:sz w:val="28"/>
                <w:szCs w:val="28"/>
                <w:lang w:eastAsia="zh-CN"/>
              </w:rPr>
              <w:t>„Planificarea apărării naționale”</w:t>
            </w:r>
            <w:r w:rsidR="00AE5245">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privind elaborarea documentelor </w:t>
            </w:r>
            <w:r w:rsidR="00F44FF0" w:rsidRPr="00770D9C">
              <w:rPr>
                <w:rFonts w:ascii="Times New Roman" w:eastAsia="SimSun" w:hAnsi="Times New Roman" w:cs="Times New Roman"/>
                <w:sz w:val="28"/>
                <w:szCs w:val="28"/>
                <w:lang w:eastAsia="zh-CN"/>
              </w:rPr>
              <w:t>în baza cărora se realizează planificarea apărării, ce</w:t>
            </w:r>
            <w:r>
              <w:rPr>
                <w:rFonts w:ascii="Times New Roman" w:eastAsia="SimSun" w:hAnsi="Times New Roman" w:cs="Times New Roman"/>
                <w:sz w:val="28"/>
                <w:szCs w:val="28"/>
                <w:lang w:eastAsia="zh-CN"/>
              </w:rPr>
              <w:t xml:space="preserve"> condiționează</w:t>
            </w:r>
            <w:r w:rsidR="00F44FF0" w:rsidRPr="00770D9C">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elaborarea unei noi </w:t>
            </w:r>
            <w:r w:rsidR="00F44FF0" w:rsidRPr="00770D9C">
              <w:rPr>
                <w:rFonts w:ascii="Times New Roman" w:eastAsia="SimSun" w:hAnsi="Times New Roman" w:cs="Times New Roman"/>
                <w:sz w:val="28"/>
                <w:szCs w:val="28"/>
                <w:lang w:eastAsia="zh-CN"/>
              </w:rPr>
              <w:t>Strategi</w:t>
            </w:r>
            <w:r>
              <w:rPr>
                <w:rFonts w:ascii="Times New Roman" w:eastAsia="SimSun" w:hAnsi="Times New Roman" w:cs="Times New Roman"/>
                <w:sz w:val="28"/>
                <w:szCs w:val="28"/>
                <w:lang w:eastAsia="zh-CN"/>
              </w:rPr>
              <w:t>i</w:t>
            </w:r>
            <w:r w:rsidR="00F44FF0" w:rsidRPr="00770D9C">
              <w:rPr>
                <w:rFonts w:ascii="Times New Roman" w:eastAsia="SimSun" w:hAnsi="Times New Roman" w:cs="Times New Roman"/>
                <w:sz w:val="28"/>
                <w:szCs w:val="28"/>
                <w:lang w:eastAsia="zh-CN"/>
              </w:rPr>
              <w:t xml:space="preserve"> Național</w:t>
            </w:r>
            <w:r>
              <w:rPr>
                <w:rFonts w:ascii="Times New Roman" w:eastAsia="SimSun" w:hAnsi="Times New Roman" w:cs="Times New Roman"/>
                <w:sz w:val="28"/>
                <w:szCs w:val="28"/>
                <w:lang w:eastAsia="zh-CN"/>
              </w:rPr>
              <w:t>e</w:t>
            </w:r>
            <w:r w:rsidR="00F44FF0" w:rsidRPr="00770D9C">
              <w:rPr>
                <w:rFonts w:ascii="Times New Roman" w:eastAsia="SimSun" w:hAnsi="Times New Roman" w:cs="Times New Roman"/>
                <w:sz w:val="28"/>
                <w:szCs w:val="28"/>
                <w:lang w:eastAsia="zh-CN"/>
              </w:rPr>
              <w:t xml:space="preserve"> de Apărare în termen de până la șase luni de la aprobarea Strategiei Securității Naționale</w:t>
            </w:r>
            <w:r w:rsidR="00A6318E" w:rsidRPr="00770D9C">
              <w:rPr>
                <w:rFonts w:ascii="Times New Roman" w:eastAsia="SimSun" w:hAnsi="Times New Roman" w:cs="Times New Roman"/>
                <w:sz w:val="28"/>
                <w:szCs w:val="28"/>
                <w:lang w:eastAsia="zh-CN"/>
              </w:rPr>
              <w:t xml:space="preserve"> (SSN)</w:t>
            </w:r>
            <w:r w:rsidR="00AE5245">
              <w:rPr>
                <w:rFonts w:ascii="Times New Roman" w:eastAsia="SimSun" w:hAnsi="Times New Roman" w:cs="Times New Roman"/>
                <w:sz w:val="28"/>
                <w:szCs w:val="28"/>
                <w:lang w:eastAsia="zh-CN"/>
              </w:rPr>
              <w:t xml:space="preserve">. </w:t>
            </w:r>
          </w:p>
          <w:p w14:paraId="028AC908" w14:textId="77777777" w:rsidR="0094797B" w:rsidRDefault="0094797B" w:rsidP="0094797B">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4D1F7B" w:rsidRPr="00770D9C">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prevederile </w:t>
            </w:r>
            <w:r w:rsidR="004D1F7B" w:rsidRPr="00770D9C">
              <w:rPr>
                <w:rFonts w:ascii="Times New Roman" w:eastAsia="SimSun" w:hAnsi="Times New Roman" w:cs="Times New Roman"/>
                <w:sz w:val="28"/>
                <w:szCs w:val="28"/>
                <w:lang w:eastAsia="zh-CN"/>
              </w:rPr>
              <w:t>Planul</w:t>
            </w:r>
            <w:r>
              <w:rPr>
                <w:rFonts w:ascii="Times New Roman" w:eastAsia="SimSun" w:hAnsi="Times New Roman" w:cs="Times New Roman"/>
                <w:sz w:val="28"/>
                <w:szCs w:val="28"/>
                <w:lang w:eastAsia="zh-CN"/>
              </w:rPr>
              <w:t>ui</w:t>
            </w:r>
            <w:r w:rsidR="004D1F7B" w:rsidRPr="00770D9C">
              <w:rPr>
                <w:rFonts w:ascii="Times New Roman" w:eastAsia="SimSun" w:hAnsi="Times New Roman" w:cs="Times New Roman"/>
                <w:sz w:val="28"/>
                <w:szCs w:val="28"/>
                <w:lang w:eastAsia="zh-CN"/>
              </w:rPr>
              <w:t xml:space="preserve"> de acțiuni ai Guvernului</w:t>
            </w:r>
            <w:r w:rsidR="00DE7443" w:rsidRPr="00B14572">
              <w:rPr>
                <w:rFonts w:ascii="Times New Roman" w:hAnsi="Times New Roman" w:cs="Times New Roman"/>
                <w:sz w:val="28"/>
                <w:szCs w:val="28"/>
                <w:vertAlign w:val="superscript"/>
              </w:rPr>
              <w:footnoteReference w:id="3"/>
            </w:r>
            <w:r w:rsidR="004D1F7B" w:rsidRPr="00770D9C">
              <w:rPr>
                <w:rFonts w:ascii="Times New Roman" w:eastAsia="SimSun" w:hAnsi="Times New Roman" w:cs="Times New Roman"/>
                <w:sz w:val="28"/>
                <w:szCs w:val="28"/>
                <w:lang w:eastAsia="zh-CN"/>
              </w:rPr>
              <w:t xml:space="preserve"> (Capitolul „Apărare”, acț. 9.1 „Aprobarea </w:t>
            </w:r>
            <w:r w:rsidR="00770D9C" w:rsidRPr="00770D9C">
              <w:rPr>
                <w:rFonts w:ascii="Times New Roman" w:eastAsia="SimSun" w:hAnsi="Times New Roman" w:cs="Times New Roman"/>
                <w:sz w:val="28"/>
                <w:szCs w:val="28"/>
                <w:lang w:eastAsia="zh-CN"/>
              </w:rPr>
              <w:t>Hotărârii</w:t>
            </w:r>
            <w:r w:rsidR="004D1F7B" w:rsidRPr="00770D9C">
              <w:rPr>
                <w:rFonts w:ascii="Times New Roman" w:eastAsia="SimSun" w:hAnsi="Times New Roman" w:cs="Times New Roman"/>
                <w:sz w:val="28"/>
                <w:szCs w:val="28"/>
                <w:lang w:eastAsia="zh-CN"/>
              </w:rPr>
              <w:t xml:space="preserve"> de Guvern cu privire la aprobarea proiectului hotărârii Parlamentului pentru aprobarea Strategiei naționale de apărare”);</w:t>
            </w:r>
            <w:r w:rsidR="004D1F7B" w:rsidRPr="00B14572">
              <w:rPr>
                <w:rFonts w:ascii="Times New Roman" w:eastAsia="SimSun" w:hAnsi="Times New Roman" w:cs="Times New Roman"/>
                <w:sz w:val="28"/>
                <w:szCs w:val="28"/>
                <w:lang w:eastAsia="zh-CN"/>
              </w:rPr>
              <w:t xml:space="preserve"> </w:t>
            </w:r>
            <w:r w:rsidR="004D1F7B" w:rsidRPr="00770D9C">
              <w:rPr>
                <w:rFonts w:ascii="Times New Roman" w:eastAsia="SimSun" w:hAnsi="Times New Roman" w:cs="Times New Roman"/>
                <w:sz w:val="28"/>
                <w:szCs w:val="28"/>
                <w:lang w:eastAsia="zh-CN"/>
              </w:rPr>
              <w:t xml:space="preserve"> </w:t>
            </w:r>
          </w:p>
          <w:p w14:paraId="214EF892" w14:textId="77777777" w:rsidR="0094797B" w:rsidRDefault="0094797B" w:rsidP="0094797B">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Pr="0094797B">
              <w:rPr>
                <w:rFonts w:ascii="Times New Roman" w:eastAsia="SimSun" w:hAnsi="Times New Roman" w:cs="Times New Roman"/>
                <w:sz w:val="28"/>
                <w:szCs w:val="28"/>
                <w:lang w:eastAsia="zh-CN"/>
              </w:rPr>
              <w:t xml:space="preserve">prevederile </w:t>
            </w:r>
            <w:r w:rsidR="004D1F7B" w:rsidRPr="00770D9C">
              <w:rPr>
                <w:rFonts w:ascii="Times New Roman" w:eastAsia="SimSun" w:hAnsi="Times New Roman" w:cs="Times New Roman"/>
                <w:sz w:val="28"/>
                <w:szCs w:val="28"/>
                <w:lang w:eastAsia="zh-CN"/>
              </w:rPr>
              <w:t>Planul Național de Acțiuni pentru Aderarea Republicii Moldova la Uniunea Europeană pe anii 2024-2027 (Cluster 6 „Relații externe” Capitolul 31 „Politică externă, securitate și apărare”, acț.6)</w:t>
            </w:r>
            <w:r w:rsidR="00F02DCB" w:rsidRPr="00770D9C">
              <w:rPr>
                <w:rFonts w:ascii="Times New Roman" w:eastAsia="SimSun" w:hAnsi="Times New Roman" w:cs="Times New Roman"/>
                <w:sz w:val="28"/>
                <w:szCs w:val="28"/>
                <w:lang w:eastAsia="zh-CN"/>
              </w:rPr>
              <w:t xml:space="preserve"> și </w:t>
            </w:r>
            <w:r w:rsidR="004D1F7B" w:rsidRPr="00770D9C">
              <w:rPr>
                <w:rFonts w:ascii="Times New Roman" w:eastAsia="SimSun" w:hAnsi="Times New Roman" w:cs="Times New Roman"/>
                <w:sz w:val="28"/>
                <w:szCs w:val="28"/>
                <w:lang w:eastAsia="zh-CN"/>
              </w:rPr>
              <w:t>A</w:t>
            </w:r>
            <w:r w:rsidR="00DE7443" w:rsidRPr="00770D9C">
              <w:rPr>
                <w:rFonts w:ascii="Times New Roman" w:eastAsia="SimSun" w:hAnsi="Times New Roman" w:cs="Times New Roman"/>
                <w:sz w:val="28"/>
                <w:szCs w:val="28"/>
                <w:lang w:eastAsia="zh-CN"/>
              </w:rPr>
              <w:t xml:space="preserve">cordului de </w:t>
            </w:r>
            <w:r w:rsidR="004D1F7B" w:rsidRPr="00770D9C">
              <w:rPr>
                <w:rFonts w:ascii="Times New Roman" w:eastAsia="SimSun" w:hAnsi="Times New Roman" w:cs="Times New Roman"/>
                <w:sz w:val="28"/>
                <w:szCs w:val="28"/>
                <w:lang w:eastAsia="zh-CN"/>
              </w:rPr>
              <w:t>A</w:t>
            </w:r>
            <w:r w:rsidR="00DE7443" w:rsidRPr="00770D9C">
              <w:rPr>
                <w:rFonts w:ascii="Times New Roman" w:eastAsia="SimSun" w:hAnsi="Times New Roman" w:cs="Times New Roman"/>
                <w:sz w:val="28"/>
                <w:szCs w:val="28"/>
                <w:lang w:eastAsia="zh-CN"/>
              </w:rPr>
              <w:t>sociere</w:t>
            </w:r>
            <w:r w:rsidR="004D1F7B" w:rsidRPr="00770D9C">
              <w:rPr>
                <w:rFonts w:ascii="Times New Roman" w:eastAsia="SimSun" w:hAnsi="Times New Roman" w:cs="Times New Roman"/>
                <w:sz w:val="28"/>
                <w:szCs w:val="28"/>
                <w:lang w:eastAsia="zh-CN"/>
              </w:rPr>
              <w:t> -Art.5, alin.1;</w:t>
            </w:r>
          </w:p>
          <w:p w14:paraId="6DA2C983" w14:textId="77777777" w:rsidR="004D1F7B" w:rsidRPr="00770D9C" w:rsidRDefault="0094797B" w:rsidP="0094797B">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proofErr w:type="gramStart"/>
            <w:r>
              <w:rPr>
                <w:rFonts w:ascii="Times New Roman" w:eastAsia="SimSun" w:hAnsi="Times New Roman" w:cs="Times New Roman"/>
                <w:sz w:val="28"/>
                <w:szCs w:val="28"/>
                <w:lang w:eastAsia="zh-CN"/>
              </w:rPr>
              <w:t>obiectivele</w:t>
            </w:r>
            <w:proofErr w:type="gramEnd"/>
            <w:r w:rsidR="00DE7443" w:rsidRPr="00770D9C">
              <w:rPr>
                <w:rFonts w:ascii="Times New Roman" w:eastAsia="SimSun" w:hAnsi="Times New Roman" w:cs="Times New Roman"/>
                <w:sz w:val="28"/>
                <w:szCs w:val="28"/>
                <w:lang w:eastAsia="zh-CN"/>
              </w:rPr>
              <w:t xml:space="preserve"> Planului național de dezvoltare pentru anii 2024-2026</w:t>
            </w:r>
            <w:r w:rsidR="00DE7443" w:rsidRPr="00B14572">
              <w:rPr>
                <w:rFonts w:ascii="Times New Roman" w:hAnsi="Times New Roman" w:cs="Times New Roman"/>
                <w:sz w:val="28"/>
                <w:szCs w:val="28"/>
                <w:vertAlign w:val="superscript"/>
              </w:rPr>
              <w:footnoteReference w:id="4"/>
            </w:r>
            <w:r w:rsidR="00DE7443" w:rsidRPr="00B14572">
              <w:rPr>
                <w:rFonts w:ascii="Times New Roman" w:hAnsi="Times New Roman" w:cs="Times New Roman"/>
                <w:sz w:val="28"/>
                <w:szCs w:val="28"/>
                <w:vertAlign w:val="superscript"/>
              </w:rPr>
              <w:t>,</w:t>
            </w:r>
            <w:r w:rsidR="00DE7443" w:rsidRPr="00770D9C">
              <w:rPr>
                <w:rFonts w:ascii="Times New Roman" w:eastAsia="SimSun" w:hAnsi="Times New Roman" w:cs="Times New Roman"/>
                <w:sz w:val="28"/>
                <w:szCs w:val="28"/>
                <w:lang w:eastAsia="zh-CN"/>
              </w:rPr>
              <w:t xml:space="preserve"> prin Acțiunea</w:t>
            </w:r>
            <w:r w:rsidR="004D1F7B" w:rsidRPr="00770D9C">
              <w:rPr>
                <w:rFonts w:ascii="Times New Roman" w:eastAsia="SimSun" w:hAnsi="Times New Roman" w:cs="Times New Roman"/>
                <w:sz w:val="28"/>
                <w:szCs w:val="28"/>
                <w:lang w:eastAsia="zh-CN"/>
              </w:rPr>
              <w:t xml:space="preserve"> 9.2</w:t>
            </w:r>
            <w:r w:rsidR="00DE7443" w:rsidRPr="00770D9C">
              <w:rPr>
                <w:rFonts w:ascii="Times New Roman" w:eastAsia="SimSun" w:hAnsi="Times New Roman" w:cs="Times New Roman"/>
                <w:sz w:val="28"/>
                <w:szCs w:val="28"/>
                <w:lang w:eastAsia="zh-CN"/>
              </w:rPr>
              <w:t xml:space="preserve">.1 „Ajustarea cadrului de politici în domeniul politicii de apărare pentru asigurarea securității militare a statului.” </w:t>
            </w:r>
            <w:r w:rsidR="004D1F7B" w:rsidRPr="00770D9C">
              <w:rPr>
                <w:rFonts w:ascii="Times New Roman" w:eastAsia="SimSun" w:hAnsi="Times New Roman" w:cs="Times New Roman"/>
                <w:sz w:val="28"/>
                <w:szCs w:val="28"/>
                <w:lang w:eastAsia="zh-CN"/>
              </w:rPr>
              <w:t xml:space="preserve"> </w:t>
            </w:r>
          </w:p>
        </w:tc>
      </w:tr>
      <w:tr w:rsidR="004154D0" w:rsidRPr="00770D9C" w14:paraId="2CBBF515"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C0080" w14:textId="77777777" w:rsidR="004154D0" w:rsidRPr="00770D9C" w:rsidRDefault="004154D0">
            <w:pPr>
              <w:tabs>
                <w:tab w:val="left" w:pos="884"/>
                <w:tab w:val="left" w:pos="1196"/>
              </w:tabs>
              <w:spacing w:after="0" w:line="240" w:lineRule="auto"/>
              <w:jc w:val="both"/>
              <w:rPr>
                <w:rFonts w:ascii="Times New Roman" w:eastAsia="Calibri" w:hAnsi="Times New Roman"/>
                <w:sz w:val="28"/>
                <w:szCs w:val="28"/>
                <w:lang w:eastAsia="ru-RU"/>
              </w:rPr>
            </w:pPr>
            <w:r w:rsidRPr="00770D9C">
              <w:rPr>
                <w:rFonts w:ascii="Times New Roman" w:hAnsi="Times New Roman"/>
                <w:sz w:val="28"/>
                <w:szCs w:val="28"/>
              </w:rPr>
              <w:t xml:space="preserve">3. </w:t>
            </w:r>
            <w:r w:rsidRPr="00770D9C">
              <w:rPr>
                <w:rFonts w:ascii="Times New Roman" w:hAnsi="Times New Roman"/>
                <w:b/>
                <w:sz w:val="28"/>
                <w:szCs w:val="28"/>
              </w:rPr>
              <w:t>Descrierea gradului de compatibilitate pentru proiectele care au ca scop armonizarea legislaţiei naţionale cu legislaţia Uniunii Europene</w:t>
            </w:r>
          </w:p>
        </w:tc>
      </w:tr>
      <w:tr w:rsidR="004154D0" w:rsidRPr="00770D9C" w14:paraId="710B4676"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41B60484" w14:textId="77777777" w:rsidR="00AB0086" w:rsidRPr="00770D9C" w:rsidRDefault="00635A52"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 </w:t>
            </w:r>
            <w:r w:rsidR="00AB0086" w:rsidRPr="00770D9C">
              <w:rPr>
                <w:rFonts w:ascii="Times New Roman" w:eastAsia="SimSun" w:hAnsi="Times New Roman" w:cs="Times New Roman"/>
                <w:sz w:val="28"/>
                <w:szCs w:val="28"/>
                <w:lang w:eastAsia="zh-CN"/>
              </w:rPr>
              <w:t xml:space="preserve">Proiectul Strategiei Naționale de Apărare </w:t>
            </w:r>
            <w:proofErr w:type="gramStart"/>
            <w:r w:rsidR="00AB0086" w:rsidRPr="00770D9C">
              <w:rPr>
                <w:rFonts w:ascii="Times New Roman" w:eastAsia="SimSun" w:hAnsi="Times New Roman" w:cs="Times New Roman"/>
                <w:sz w:val="28"/>
                <w:szCs w:val="28"/>
                <w:lang w:eastAsia="zh-CN"/>
              </w:rPr>
              <w:t>nu are</w:t>
            </w:r>
            <w:proofErr w:type="gramEnd"/>
            <w:r w:rsidR="00AB0086" w:rsidRPr="00770D9C">
              <w:rPr>
                <w:rFonts w:ascii="Times New Roman" w:eastAsia="SimSun" w:hAnsi="Times New Roman" w:cs="Times New Roman"/>
                <w:sz w:val="28"/>
                <w:szCs w:val="28"/>
                <w:lang w:eastAsia="zh-CN"/>
              </w:rPr>
              <w:t xml:space="preserve"> drept scop armonizarea legislaţiei naţionale cu legislaţia Uniunii Europene şi nu contravine legislaţiei comunitare.</w:t>
            </w:r>
          </w:p>
          <w:p w14:paraId="7ED80647" w14:textId="619A6C98" w:rsidR="00AB0086" w:rsidRPr="00770D9C" w:rsidRDefault="00635A52"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Totodată, conceptual</w:t>
            </w:r>
            <w:r w:rsidR="00B14572">
              <w:rPr>
                <w:rFonts w:ascii="Times New Roman" w:eastAsia="SimSun" w:hAnsi="Times New Roman" w:cs="Times New Roman"/>
                <w:sz w:val="28"/>
                <w:szCs w:val="28"/>
                <w:lang w:eastAsia="zh-CN"/>
              </w:rPr>
              <w:t>,</w:t>
            </w:r>
            <w:r w:rsidRPr="00770D9C">
              <w:rPr>
                <w:rFonts w:ascii="Times New Roman" w:eastAsia="SimSun" w:hAnsi="Times New Roman" w:cs="Times New Roman"/>
                <w:sz w:val="28"/>
                <w:szCs w:val="28"/>
                <w:lang w:eastAsia="zh-CN"/>
              </w:rPr>
              <w:t xml:space="preserve"> d</w:t>
            </w:r>
            <w:r w:rsidR="005A4549" w:rsidRPr="00770D9C">
              <w:rPr>
                <w:rFonts w:ascii="Times New Roman" w:eastAsia="SimSun" w:hAnsi="Times New Roman" w:cs="Times New Roman"/>
                <w:sz w:val="28"/>
                <w:szCs w:val="28"/>
                <w:lang w:eastAsia="zh-CN"/>
              </w:rPr>
              <w:t>ocumente de referință</w:t>
            </w:r>
            <w:r w:rsidRPr="00770D9C">
              <w:rPr>
                <w:rFonts w:ascii="Times New Roman" w:eastAsia="SimSun" w:hAnsi="Times New Roman" w:cs="Times New Roman"/>
                <w:sz w:val="28"/>
                <w:szCs w:val="28"/>
                <w:lang w:eastAsia="zh-CN"/>
              </w:rPr>
              <w:t>,</w:t>
            </w:r>
            <w:r w:rsidR="00AB0086" w:rsidRPr="00770D9C">
              <w:rPr>
                <w:rFonts w:ascii="Times New Roman" w:eastAsia="SimSun" w:hAnsi="Times New Roman" w:cs="Times New Roman"/>
                <w:sz w:val="28"/>
                <w:szCs w:val="28"/>
                <w:lang w:eastAsia="zh-CN"/>
              </w:rPr>
              <w:t xml:space="preserve"> a</w:t>
            </w:r>
            <w:r w:rsidR="007A5F2D">
              <w:rPr>
                <w:rFonts w:ascii="Times New Roman" w:eastAsia="SimSun" w:hAnsi="Times New Roman" w:cs="Times New Roman"/>
                <w:sz w:val="28"/>
                <w:szCs w:val="28"/>
                <w:lang w:eastAsia="zh-CN"/>
              </w:rPr>
              <w:t xml:space="preserve">u </w:t>
            </w:r>
            <w:proofErr w:type="gramStart"/>
            <w:r w:rsidR="007A5F2D">
              <w:rPr>
                <w:rFonts w:ascii="Times New Roman" w:eastAsia="SimSun" w:hAnsi="Times New Roman" w:cs="Times New Roman"/>
                <w:sz w:val="28"/>
                <w:szCs w:val="28"/>
                <w:lang w:eastAsia="zh-CN"/>
              </w:rPr>
              <w:t xml:space="preserve">fost </w:t>
            </w:r>
            <w:r w:rsidR="00AB0086" w:rsidRPr="00770D9C">
              <w:rPr>
                <w:rFonts w:ascii="Times New Roman" w:eastAsia="SimSun" w:hAnsi="Times New Roman" w:cs="Times New Roman"/>
                <w:sz w:val="28"/>
                <w:szCs w:val="28"/>
                <w:lang w:eastAsia="zh-CN"/>
              </w:rPr>
              <w:t xml:space="preserve"> considerate</w:t>
            </w:r>
            <w:proofErr w:type="gramEnd"/>
            <w:r w:rsidR="00AB0086" w:rsidRPr="00770D9C">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 xml:space="preserve"> </w:t>
            </w:r>
            <w:r w:rsidR="00AB0086" w:rsidRPr="00770D9C">
              <w:rPr>
                <w:rFonts w:ascii="Times New Roman" w:eastAsia="SimSun" w:hAnsi="Times New Roman" w:cs="Times New Roman"/>
                <w:sz w:val="28"/>
                <w:szCs w:val="28"/>
                <w:lang w:eastAsia="zh-CN"/>
              </w:rPr>
              <w:t>Strategia Globală pentru Politica Externă și de Securitate a UE (2016) și Busola Strategică pentru Securitate și Apărare (2022)</w:t>
            </w:r>
            <w:r w:rsidR="00B15690">
              <w:rPr>
                <w:rStyle w:val="FootnoteReference"/>
                <w:rFonts w:ascii="Times New Roman" w:eastAsia="SimSun" w:hAnsi="Times New Roman" w:cs="Times New Roman"/>
                <w:sz w:val="28"/>
                <w:szCs w:val="28"/>
                <w:lang w:eastAsia="zh-CN"/>
              </w:rPr>
              <w:footnoteReference w:id="5"/>
            </w:r>
            <w:r w:rsidR="00F92816">
              <w:rPr>
                <w:rFonts w:ascii="Times New Roman" w:eastAsia="SimSun" w:hAnsi="Times New Roman" w:cs="Times New Roman"/>
                <w:sz w:val="28"/>
                <w:szCs w:val="28"/>
                <w:lang w:eastAsia="zh-CN"/>
              </w:rPr>
              <w:t>.</w:t>
            </w:r>
          </w:p>
          <w:p w14:paraId="4075D930" w14:textId="77777777" w:rsidR="005A4549" w:rsidRDefault="00AB0086"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B14572">
              <w:rPr>
                <w:rFonts w:ascii="Times New Roman" w:eastAsia="SimSun" w:hAnsi="Times New Roman" w:cs="Times New Roman"/>
                <w:sz w:val="28"/>
                <w:szCs w:val="28"/>
                <w:lang w:eastAsia="zh-CN"/>
              </w:rPr>
              <w:t>Conform Decretului Prezidenţial</w:t>
            </w:r>
            <w:r w:rsidRPr="00770D9C">
              <w:rPr>
                <w:rFonts w:ascii="Times New Roman" w:eastAsia="SimSun" w:hAnsi="Times New Roman" w:cs="Times New Roman"/>
                <w:sz w:val="28"/>
                <w:szCs w:val="28"/>
                <w:lang w:eastAsia="zh-CN"/>
              </w:rPr>
              <w:t xml:space="preserve"> privind constituirea Comisiei pentru elaborarea Strategiei naționale de apărare (SNA) a Republicii Moldova</w:t>
            </w:r>
            <w:r w:rsidRPr="00B14572">
              <w:rPr>
                <w:rFonts w:ascii="Times New Roman" w:eastAsia="SimSun" w:hAnsi="Times New Roman" w:cs="Times New Roman"/>
                <w:sz w:val="28"/>
                <w:szCs w:val="28"/>
                <w:lang w:eastAsia="zh-CN"/>
              </w:rPr>
              <w:t xml:space="preserve">,  Comisia a fost mandatată </w:t>
            </w:r>
            <w:r w:rsidRPr="00B14572">
              <w:rPr>
                <w:rFonts w:ascii="Times New Roman" w:eastAsia="SimSun" w:hAnsi="Times New Roman" w:cs="Times New Roman"/>
                <w:sz w:val="28"/>
                <w:szCs w:val="28"/>
                <w:lang w:eastAsia="zh-CN"/>
              </w:rPr>
              <w:lastRenderedPageBreak/>
              <w:t xml:space="preserve">să elaboreze SNA în conformitate cu politicile şi direcţiile de apărare prevăzute în </w:t>
            </w:r>
            <w:r w:rsidRPr="00770D9C">
              <w:rPr>
                <w:rFonts w:ascii="Times New Roman" w:eastAsia="SimSun" w:hAnsi="Times New Roman" w:cs="Times New Roman"/>
                <w:sz w:val="28"/>
                <w:szCs w:val="28"/>
                <w:lang w:eastAsia="zh-CN"/>
              </w:rPr>
              <w:t>Strategia Securității Naţionale</w:t>
            </w:r>
            <w:r w:rsidRPr="00B14572">
              <w:rPr>
                <w:rFonts w:ascii="Times New Roman" w:eastAsia="SimSun" w:hAnsi="Times New Roman" w:cs="Times New Roman"/>
                <w:sz w:val="28"/>
                <w:szCs w:val="28"/>
                <w:lang w:eastAsia="zh-CN"/>
              </w:rPr>
              <w:t xml:space="preserve"> (SSN), care</w:t>
            </w:r>
            <w:r w:rsidRPr="00770D9C">
              <w:rPr>
                <w:rFonts w:ascii="Times New Roman" w:eastAsia="SimSun" w:hAnsi="Times New Roman" w:cs="Times New Roman"/>
                <w:sz w:val="28"/>
                <w:szCs w:val="28"/>
                <w:lang w:eastAsia="zh-CN"/>
              </w:rPr>
              <w:t xml:space="preserve">, la rândul său, </w:t>
            </w:r>
            <w:r w:rsidR="005A4549" w:rsidRPr="00770D9C">
              <w:rPr>
                <w:rFonts w:ascii="Times New Roman" w:eastAsia="SimSun" w:hAnsi="Times New Roman" w:cs="Times New Roman"/>
                <w:sz w:val="28"/>
                <w:szCs w:val="28"/>
                <w:lang w:eastAsia="zh-CN"/>
              </w:rPr>
              <w:t>a fost inspirat în mod semnificativ de Busola Strategică a UE și se bazează</w:t>
            </w:r>
            <w:r w:rsidR="005A4549" w:rsidRPr="00B14572">
              <w:rPr>
                <w:rFonts w:ascii="Times New Roman" w:eastAsia="SimSun" w:hAnsi="Times New Roman" w:cs="Times New Roman"/>
                <w:sz w:val="28"/>
                <w:szCs w:val="28"/>
                <w:lang w:eastAsia="zh-CN"/>
              </w:rPr>
              <w:t xml:space="preserve"> pe unele dintre obiectivele sale fundamentale</w:t>
            </w:r>
            <w:r w:rsidR="00A6318E" w:rsidRPr="00B14572">
              <w:rPr>
                <w:rFonts w:ascii="Times New Roman" w:eastAsia="SimSun" w:hAnsi="Times New Roman" w:cs="Times New Roman"/>
                <w:sz w:val="28"/>
                <w:szCs w:val="28"/>
                <w:lang w:eastAsia="zh-CN"/>
              </w:rPr>
              <w:t xml:space="preserve"> și </w:t>
            </w:r>
            <w:r w:rsidR="005A4549" w:rsidRPr="00B14572">
              <w:rPr>
                <w:rFonts w:ascii="Times New Roman" w:eastAsia="SimSun" w:hAnsi="Times New Roman" w:cs="Times New Roman"/>
                <w:sz w:val="28"/>
                <w:szCs w:val="28"/>
                <w:lang w:eastAsia="zh-CN"/>
              </w:rPr>
              <w:t xml:space="preserve">viziuni strategice comune stabilite de documentul privind politica de securitate şi apărare a UE. </w:t>
            </w:r>
            <w:r w:rsidR="00A6318E" w:rsidRPr="00B14572">
              <w:rPr>
                <w:rFonts w:ascii="Times New Roman" w:eastAsia="SimSun" w:hAnsi="Times New Roman" w:cs="Times New Roman"/>
                <w:sz w:val="28"/>
                <w:szCs w:val="28"/>
                <w:lang w:eastAsia="zh-CN"/>
              </w:rPr>
              <w:t>SSN</w:t>
            </w:r>
            <w:r w:rsidR="005A4549" w:rsidRPr="00B14572">
              <w:rPr>
                <w:rFonts w:ascii="Times New Roman" w:eastAsia="SimSun" w:hAnsi="Times New Roman" w:cs="Times New Roman"/>
                <w:sz w:val="28"/>
                <w:szCs w:val="28"/>
                <w:lang w:eastAsia="zh-CN"/>
              </w:rPr>
              <w:t xml:space="preserve"> subliniază în mod direct faptul că Republica Moldova, în calitate de stat candidat la UE, se va alinia treptat la obiectivele Acordului Strategic al UE și va încerca să asigure o securitate cu</w:t>
            </w:r>
            <w:r w:rsidR="00A6318E" w:rsidRPr="00B14572">
              <w:rPr>
                <w:rFonts w:ascii="Times New Roman" w:eastAsia="SimSun" w:hAnsi="Times New Roman" w:cs="Times New Roman"/>
                <w:sz w:val="28"/>
                <w:szCs w:val="28"/>
                <w:lang w:eastAsia="zh-CN"/>
              </w:rPr>
              <w:t>p</w:t>
            </w:r>
            <w:r w:rsidR="005A4549" w:rsidRPr="00B14572">
              <w:rPr>
                <w:rFonts w:ascii="Times New Roman" w:eastAsia="SimSun" w:hAnsi="Times New Roman" w:cs="Times New Roman"/>
                <w:sz w:val="28"/>
                <w:szCs w:val="28"/>
                <w:lang w:eastAsia="zh-CN"/>
              </w:rPr>
              <w:t>rinzătoare, creșterea rezilienței naționale în cadrul obiectivului său strategic de aderare la Uniunea Europeană. De asemenea, S</w:t>
            </w:r>
            <w:r w:rsidR="00A6318E" w:rsidRPr="00B14572">
              <w:rPr>
                <w:rFonts w:ascii="Times New Roman" w:eastAsia="SimSun" w:hAnsi="Times New Roman" w:cs="Times New Roman"/>
                <w:sz w:val="28"/>
                <w:szCs w:val="28"/>
                <w:lang w:eastAsia="zh-CN"/>
              </w:rPr>
              <w:t>S</w:t>
            </w:r>
            <w:r w:rsidR="005A4549" w:rsidRPr="00B14572">
              <w:rPr>
                <w:rFonts w:ascii="Times New Roman" w:eastAsia="SimSun" w:hAnsi="Times New Roman" w:cs="Times New Roman"/>
                <w:sz w:val="28"/>
                <w:szCs w:val="28"/>
                <w:lang w:eastAsia="zh-CN"/>
              </w:rPr>
              <w:t>N declară că Republica Moldova se va alinia PESC a UE, îşi va extinde participarea la misiuni şi operaţiuni sub egida UE, în special în cadrul PSAC, pentru a asigura pacea și stabilitatea în vecinătatea UE, se va asigura cooperarea cu UE pentru combaterea amenințărilor hibride și se va alinia la agenda UE privind schimbările climatice.</w:t>
            </w:r>
            <w:r w:rsidR="00F92816">
              <w:rPr>
                <w:rFonts w:ascii="Times New Roman" w:eastAsia="SimSun" w:hAnsi="Times New Roman" w:cs="Times New Roman"/>
                <w:sz w:val="28"/>
                <w:szCs w:val="28"/>
                <w:lang w:eastAsia="zh-CN"/>
              </w:rPr>
              <w:t xml:space="preserve"> </w:t>
            </w:r>
          </w:p>
          <w:p w14:paraId="0419E8F9" w14:textId="77777777" w:rsidR="00F92816" w:rsidRPr="00770D9C" w:rsidRDefault="00F92816" w:rsidP="0094797B">
            <w:pPr>
              <w:tabs>
                <w:tab w:val="left" w:pos="884"/>
                <w:tab w:val="left" w:pos="1196"/>
              </w:tabs>
              <w:spacing w:after="0" w:line="240" w:lineRule="auto"/>
              <w:ind w:firstLine="737"/>
              <w:jc w:val="both"/>
              <w:rPr>
                <w:rFonts w:ascii="Times New Roman" w:eastAsia="Calibri" w:hAnsi="Times New Roman"/>
                <w:sz w:val="28"/>
                <w:szCs w:val="28"/>
                <w:lang w:eastAsia="ru-RU"/>
              </w:rPr>
            </w:pPr>
            <w:r>
              <w:rPr>
                <w:rFonts w:ascii="Times New Roman" w:eastAsia="SimSun" w:hAnsi="Times New Roman" w:cs="Times New Roman"/>
                <w:sz w:val="28"/>
                <w:szCs w:val="28"/>
                <w:lang w:eastAsia="zh-CN"/>
              </w:rPr>
              <w:t>În acest context, proiectul SNA expres prevede unul din obiectivele generale i</w:t>
            </w:r>
            <w:r w:rsidRPr="00F92816">
              <w:rPr>
                <w:rFonts w:ascii="Times New Roman" w:eastAsia="SimSun" w:hAnsi="Times New Roman" w:cs="Times New Roman"/>
                <w:sz w:val="28"/>
                <w:szCs w:val="28"/>
                <w:lang w:eastAsia="zh-CN"/>
              </w:rPr>
              <w:t>ntegrarea în arhitectura de securitate și apărare a Uniunii Europene</w:t>
            </w:r>
            <w:r>
              <w:rPr>
                <w:rFonts w:ascii="Times New Roman" w:eastAsia="SimSun" w:hAnsi="Times New Roman" w:cs="Times New Roman"/>
                <w:sz w:val="28"/>
                <w:szCs w:val="28"/>
                <w:lang w:eastAsia="zh-CN"/>
              </w:rPr>
              <w:t xml:space="preserve">, </w:t>
            </w:r>
            <w:r w:rsidR="0094797B">
              <w:rPr>
                <w:rFonts w:ascii="Times New Roman" w:eastAsia="SimSun" w:hAnsi="Times New Roman" w:cs="Times New Roman"/>
                <w:sz w:val="28"/>
                <w:szCs w:val="28"/>
                <w:lang w:eastAsia="zh-CN"/>
              </w:rPr>
              <w:t>susținut de</w:t>
            </w:r>
            <w:r>
              <w:rPr>
                <w:rFonts w:ascii="Times New Roman" w:eastAsia="SimSun" w:hAnsi="Times New Roman" w:cs="Times New Roman"/>
                <w:sz w:val="28"/>
                <w:szCs w:val="28"/>
                <w:lang w:eastAsia="zh-CN"/>
              </w:rPr>
              <w:t xml:space="preserve"> obiective specifice și direcții de acțiune corespunzătoare atingerii acestui nivel de ambiții. </w:t>
            </w:r>
          </w:p>
        </w:tc>
      </w:tr>
      <w:tr w:rsidR="004154D0" w:rsidRPr="00770D9C" w14:paraId="4EFF6C95"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9B0AF0" w14:textId="77777777" w:rsidR="004154D0" w:rsidRPr="00770D9C" w:rsidRDefault="004154D0">
            <w:pPr>
              <w:tabs>
                <w:tab w:val="left" w:pos="884"/>
                <w:tab w:val="left" w:pos="1196"/>
              </w:tabs>
              <w:spacing w:after="0" w:line="240" w:lineRule="auto"/>
              <w:jc w:val="both"/>
              <w:rPr>
                <w:rFonts w:ascii="Times New Roman" w:eastAsia="Calibri" w:hAnsi="Times New Roman"/>
                <w:b/>
                <w:sz w:val="28"/>
                <w:szCs w:val="28"/>
                <w:lang w:eastAsia="ru-RU"/>
              </w:rPr>
            </w:pPr>
            <w:r w:rsidRPr="00770D9C">
              <w:rPr>
                <w:rFonts w:ascii="Times New Roman" w:hAnsi="Times New Roman"/>
                <w:b/>
                <w:sz w:val="28"/>
                <w:szCs w:val="28"/>
              </w:rPr>
              <w:lastRenderedPageBreak/>
              <w:t>4. Principalele prevederi ale proiectului şi evidenţierea elementelor noi</w:t>
            </w:r>
          </w:p>
        </w:tc>
      </w:tr>
      <w:tr w:rsidR="004154D0" w:rsidRPr="00770D9C" w14:paraId="162DFAFB"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37F57056" w14:textId="77777777" w:rsidR="00246CFB" w:rsidRPr="00B14572" w:rsidRDefault="00246CFB"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Strategia națională de apărare precedentă a fost aprobată în anul 2018 </w:t>
            </w:r>
            <w:r w:rsidR="00B14572">
              <w:rPr>
                <w:rFonts w:ascii="Times New Roman" w:eastAsia="SimSun" w:hAnsi="Times New Roman" w:cs="Times New Roman"/>
                <w:sz w:val="28"/>
                <w:szCs w:val="28"/>
                <w:lang w:eastAsia="zh-CN"/>
              </w:rPr>
              <w:t>(</w:t>
            </w:r>
            <w:r w:rsidR="00B14572" w:rsidRPr="00B14572">
              <w:rPr>
                <w:rFonts w:ascii="Times New Roman" w:eastAsia="SimSun" w:hAnsi="Times New Roman" w:cs="Times New Roman"/>
                <w:sz w:val="28"/>
                <w:szCs w:val="28"/>
                <w:lang w:eastAsia="zh-CN"/>
              </w:rPr>
              <w:t xml:space="preserve">Hotărârea Parlamentului nr. </w:t>
            </w:r>
            <w:r w:rsidRPr="00770D9C">
              <w:rPr>
                <w:rFonts w:ascii="Times New Roman" w:eastAsia="SimSun" w:hAnsi="Times New Roman" w:cs="Times New Roman"/>
                <w:sz w:val="28"/>
                <w:szCs w:val="28"/>
                <w:lang w:eastAsia="zh-CN"/>
              </w:rPr>
              <w:t xml:space="preserve">134/2018) cu un Plan de acţiuni privind realizarea acesteia, care </w:t>
            </w:r>
            <w:r w:rsidRPr="00B14572">
              <w:rPr>
                <w:rFonts w:ascii="Times New Roman" w:eastAsia="SimSun" w:hAnsi="Times New Roman" w:cs="Times New Roman"/>
                <w:sz w:val="28"/>
                <w:szCs w:val="28"/>
                <w:lang w:eastAsia="zh-CN"/>
              </w:rPr>
              <w:t xml:space="preserve">au fost focusate în exclusivitate pe consolidarea, menţinerea şi asigurarea parametrilor de funcţionare a sistemului naţional de apărare actual şi identificarea potenţialului de dezvoltare şi/sau modernizare. De menționat că implementarea prevederilor SNA s-a produs în raport cu alocările bugetare, utilizându-le în mod cel mai eficient, dar și cu suportul partenerilor externi. </w:t>
            </w:r>
          </w:p>
          <w:p w14:paraId="5DE375C5" w14:textId="77777777" w:rsidR="00246CFB" w:rsidRPr="00770D9C" w:rsidRDefault="00246CFB"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Termenul prevăzut pentru implementarea acestei strategii a expirat, însă viziunile de lungă durată a acestei strategii în partea ce vizează dezvoltarea şi modernizarea</w:t>
            </w:r>
            <w:r w:rsidRPr="00B14572">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capabilităților sistemului național de apărare, rămân valabile și necesită a fi asigurate și continuate  - impunând întocmirea unei strategiei noi. Multe dintre etapele și obiectivele descrise în strategie sunt deja în curs de desfășurare și necesită o continuitate de efort.</w:t>
            </w:r>
          </w:p>
          <w:p w14:paraId="7A2A014C" w14:textId="77777777" w:rsidR="00246CFB" w:rsidRPr="00770D9C" w:rsidRDefault="00246CFB"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Actualmente, Parlamentul, Președintele și Guvernul acordă o prioritate înaltă domeniului de apărare națională, la fel ca și procesului de modernizare și dezvoltare a acestuia - fapt stipulat în Strategia Securității Naționale, recent aprobată. </w:t>
            </w:r>
          </w:p>
          <w:p w14:paraId="3880AEAE" w14:textId="77777777" w:rsidR="00246CFB" w:rsidRPr="00B14572" w:rsidRDefault="00246CFB"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B14572">
              <w:rPr>
                <w:rFonts w:ascii="Times New Roman" w:eastAsia="SimSun" w:hAnsi="Times New Roman" w:cs="Times New Roman"/>
                <w:sz w:val="28"/>
                <w:szCs w:val="28"/>
                <w:lang w:eastAsia="zh-CN"/>
              </w:rPr>
              <w:t>Realizarea acestui obiectiv presupune creşterea graduală anuală a bugetului apărării, fapt asigurat prin angajamentul asumat de actuală Strategia Securității Naționale, care a stabilit creșterea treptată a investițiilor în bugetul de apărare, astfel încât, să atingă 1% din Produsul Intern Brut (PIB) până în 2030, apropiindu-ne de media alocărilor bugetare europene.</w:t>
            </w:r>
          </w:p>
          <w:p w14:paraId="3BBA1C9B" w14:textId="77777777" w:rsidR="007753B9" w:rsidRPr="00770D9C" w:rsidRDefault="007753B9"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SNA identifică potenţialele ameninţări și estimează riscuri în domeniul apărării, determină obiectivele politicii de apărare, direcţiile de acţiune prioritare, misiunile, cerinţele specifice şi principalele modalităţi pentru asigurarea apărării naţionale, resursele (umane, materiale, financiare), care urmează să fie asigurate în vederea generării capabilităţilor militare necesare îndeplinirii misiunilor constituţionale. </w:t>
            </w:r>
          </w:p>
          <w:p w14:paraId="6DE84684" w14:textId="77777777" w:rsidR="00606C7D" w:rsidRDefault="007753B9"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În procesul elaborării strategiei s</w:t>
            </w:r>
            <w:r w:rsidR="00B14572">
              <w:rPr>
                <w:rFonts w:ascii="Times New Roman" w:eastAsia="SimSun" w:hAnsi="Times New Roman" w:cs="Times New Roman"/>
                <w:sz w:val="28"/>
                <w:szCs w:val="28"/>
                <w:lang w:eastAsia="zh-CN"/>
              </w:rPr>
              <w:t>-a</w:t>
            </w:r>
            <w:r w:rsidRPr="00770D9C">
              <w:rPr>
                <w:rFonts w:ascii="Times New Roman" w:eastAsia="SimSun" w:hAnsi="Times New Roman" w:cs="Times New Roman"/>
                <w:sz w:val="28"/>
                <w:szCs w:val="28"/>
                <w:lang w:eastAsia="zh-CN"/>
              </w:rPr>
              <w:t xml:space="preserve"> țin</w:t>
            </w:r>
            <w:r w:rsidR="00B14572">
              <w:rPr>
                <w:rFonts w:ascii="Times New Roman" w:eastAsia="SimSun" w:hAnsi="Times New Roman" w:cs="Times New Roman"/>
                <w:sz w:val="28"/>
                <w:szCs w:val="28"/>
                <w:lang w:eastAsia="zh-CN"/>
              </w:rPr>
              <w:t>ut</w:t>
            </w:r>
            <w:r w:rsidRPr="00770D9C">
              <w:rPr>
                <w:rFonts w:ascii="Times New Roman" w:eastAsia="SimSun" w:hAnsi="Times New Roman" w:cs="Times New Roman"/>
                <w:sz w:val="28"/>
                <w:szCs w:val="28"/>
                <w:lang w:eastAsia="zh-CN"/>
              </w:rPr>
              <w:t xml:space="preserve"> cont de caracterul comprehensiv și integrat al apărării, care înglob</w:t>
            </w:r>
            <w:r w:rsidR="00B14572">
              <w:rPr>
                <w:rFonts w:ascii="Times New Roman" w:eastAsia="SimSun" w:hAnsi="Times New Roman" w:cs="Times New Roman"/>
                <w:sz w:val="28"/>
                <w:szCs w:val="28"/>
                <w:lang w:eastAsia="zh-CN"/>
              </w:rPr>
              <w:t>ează</w:t>
            </w:r>
            <w:r w:rsidRPr="00770D9C">
              <w:rPr>
                <w:rFonts w:ascii="Times New Roman" w:eastAsia="SimSun" w:hAnsi="Times New Roman" w:cs="Times New Roman"/>
                <w:sz w:val="28"/>
                <w:szCs w:val="28"/>
                <w:lang w:eastAsia="zh-CN"/>
              </w:rPr>
              <w:t xml:space="preserve"> efortul tutor entităților cu atribuții în domeniu apărării</w:t>
            </w:r>
            <w:r w:rsidR="00B14572">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urmări</w:t>
            </w:r>
            <w:r w:rsidR="00B14572">
              <w:rPr>
                <w:rFonts w:ascii="Times New Roman" w:eastAsia="SimSun" w:hAnsi="Times New Roman" w:cs="Times New Roman"/>
                <w:sz w:val="28"/>
                <w:szCs w:val="28"/>
                <w:lang w:eastAsia="zh-CN"/>
              </w:rPr>
              <w:t>nd scopul de</w:t>
            </w:r>
            <w:r w:rsidRPr="00770D9C">
              <w:rPr>
                <w:rFonts w:ascii="Times New Roman" w:eastAsia="SimSun" w:hAnsi="Times New Roman" w:cs="Times New Roman"/>
                <w:sz w:val="28"/>
                <w:szCs w:val="28"/>
                <w:lang w:eastAsia="zh-CN"/>
              </w:rPr>
              <w:t xml:space="preserve"> consolidare</w:t>
            </w:r>
            <w:r w:rsidR="00B14572">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a mecanismului de conlucrare inter-</w:t>
            </w:r>
            <w:r w:rsidRPr="00770D9C">
              <w:rPr>
                <w:rFonts w:ascii="Times New Roman" w:eastAsia="SimSun" w:hAnsi="Times New Roman" w:cs="Times New Roman"/>
                <w:sz w:val="28"/>
                <w:szCs w:val="28"/>
                <w:lang w:eastAsia="zh-CN"/>
              </w:rPr>
              <w:lastRenderedPageBreak/>
              <w:t>instituţională, care presupune sincronizarea eforturilor şi resurselor statului.</w:t>
            </w:r>
            <w:r w:rsidRPr="00B14572">
              <w:rPr>
                <w:rFonts w:ascii="Times New Roman" w:eastAsia="SimSun" w:hAnsi="Times New Roman" w:cs="Times New Roman"/>
                <w:sz w:val="28"/>
                <w:szCs w:val="28"/>
                <w:lang w:eastAsia="zh-CN"/>
              </w:rPr>
              <w:t xml:space="preserve"> </w:t>
            </w:r>
          </w:p>
          <w:p w14:paraId="02E6187D" w14:textId="77777777" w:rsidR="007753B9" w:rsidRPr="00770D9C" w:rsidRDefault="007753B9"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Totodată, a f</w:t>
            </w:r>
            <w:r w:rsidR="00B14572">
              <w:rPr>
                <w:rFonts w:ascii="Times New Roman" w:eastAsia="SimSun" w:hAnsi="Times New Roman" w:cs="Times New Roman"/>
                <w:sz w:val="28"/>
                <w:szCs w:val="28"/>
                <w:lang w:eastAsia="zh-CN"/>
              </w:rPr>
              <w:t>ost</w:t>
            </w:r>
            <w:r w:rsidRPr="00770D9C">
              <w:rPr>
                <w:rFonts w:ascii="Times New Roman" w:eastAsia="SimSun" w:hAnsi="Times New Roman" w:cs="Times New Roman"/>
                <w:sz w:val="28"/>
                <w:szCs w:val="28"/>
                <w:lang w:eastAsia="zh-CN"/>
              </w:rPr>
              <w:t xml:space="preserve"> luată în considerație abordarea conceptuală a capacității de reziliență a statului și a societății, stabilită în Strategia Securității Naționale, care va sta la baza funcționalității sistemului național de apărare în cazul unei potențiale agresiuni armate. Astfel, dezvoltarea și modernizarea capacităților de apărare</w:t>
            </w:r>
            <w:r w:rsidR="00B14572">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 v</w:t>
            </w:r>
            <w:r w:rsidR="00B14572">
              <w:rPr>
                <w:rFonts w:ascii="Times New Roman" w:eastAsia="SimSun" w:hAnsi="Times New Roman" w:cs="Times New Roman"/>
                <w:sz w:val="28"/>
                <w:szCs w:val="28"/>
                <w:lang w:eastAsia="zh-CN"/>
              </w:rPr>
              <w:t>a</w:t>
            </w:r>
            <w:r w:rsidRPr="00770D9C">
              <w:rPr>
                <w:rFonts w:ascii="Times New Roman" w:eastAsia="SimSun" w:hAnsi="Times New Roman" w:cs="Times New Roman"/>
                <w:sz w:val="28"/>
                <w:szCs w:val="28"/>
                <w:lang w:eastAsia="zh-CN"/>
              </w:rPr>
              <w:t xml:space="preserve"> deveni </w:t>
            </w:r>
            <w:r w:rsidR="00606C7D">
              <w:rPr>
                <w:rFonts w:ascii="Times New Roman" w:eastAsia="SimSun" w:hAnsi="Times New Roman" w:cs="Times New Roman"/>
                <w:sz w:val="28"/>
                <w:szCs w:val="28"/>
                <w:lang w:eastAsia="zh-CN"/>
              </w:rPr>
              <w:t xml:space="preserve">unul din </w:t>
            </w:r>
            <w:r w:rsidRPr="00770D9C">
              <w:rPr>
                <w:rFonts w:ascii="Times New Roman" w:eastAsia="SimSun" w:hAnsi="Times New Roman" w:cs="Times New Roman"/>
                <w:sz w:val="28"/>
                <w:szCs w:val="28"/>
                <w:lang w:eastAsia="zh-CN"/>
              </w:rPr>
              <w:t>element</w:t>
            </w:r>
            <w:r w:rsidR="00606C7D">
              <w:rPr>
                <w:rFonts w:ascii="Times New Roman" w:eastAsia="SimSun" w:hAnsi="Times New Roman" w:cs="Times New Roman"/>
                <w:sz w:val="28"/>
                <w:szCs w:val="28"/>
                <w:lang w:eastAsia="zh-CN"/>
              </w:rPr>
              <w:t>ele</w:t>
            </w:r>
            <w:r w:rsidRPr="00770D9C">
              <w:rPr>
                <w:rFonts w:ascii="Times New Roman" w:eastAsia="SimSun" w:hAnsi="Times New Roman" w:cs="Times New Roman"/>
                <w:sz w:val="28"/>
                <w:szCs w:val="28"/>
                <w:lang w:eastAsia="zh-CN"/>
              </w:rPr>
              <w:t xml:space="preserve"> prioritar</w:t>
            </w:r>
            <w:r w:rsidR="00606C7D">
              <w:rPr>
                <w:rFonts w:ascii="Times New Roman" w:eastAsia="SimSun" w:hAnsi="Times New Roman" w:cs="Times New Roman"/>
                <w:sz w:val="28"/>
                <w:szCs w:val="28"/>
                <w:lang w:eastAsia="zh-CN"/>
              </w:rPr>
              <w:t>e</w:t>
            </w:r>
            <w:r w:rsidRPr="00770D9C">
              <w:rPr>
                <w:rFonts w:ascii="Times New Roman" w:eastAsia="SimSun" w:hAnsi="Times New Roman" w:cs="Times New Roman"/>
                <w:sz w:val="28"/>
                <w:szCs w:val="28"/>
                <w:lang w:eastAsia="zh-CN"/>
              </w:rPr>
              <w:t xml:space="preserve"> în consolidarea rezilienței naționale. </w:t>
            </w:r>
          </w:p>
          <w:p w14:paraId="5046217E" w14:textId="77777777" w:rsidR="007753B9" w:rsidRPr="00770D9C" w:rsidRDefault="007753B9"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 xml:space="preserve">Prin urmare, </w:t>
            </w:r>
            <w:r w:rsidR="00664F88">
              <w:rPr>
                <w:rFonts w:ascii="Times New Roman" w:eastAsia="SimSun" w:hAnsi="Times New Roman" w:cs="Times New Roman"/>
                <w:sz w:val="28"/>
                <w:szCs w:val="28"/>
                <w:lang w:eastAsia="zh-CN"/>
              </w:rPr>
              <w:t xml:space="preserve">subliniem că </w:t>
            </w:r>
            <w:r w:rsidR="00606C7D">
              <w:rPr>
                <w:rFonts w:ascii="Times New Roman" w:eastAsia="SimSun" w:hAnsi="Times New Roman" w:cs="Times New Roman"/>
                <w:sz w:val="28"/>
                <w:szCs w:val="28"/>
                <w:lang w:eastAsia="zh-CN"/>
              </w:rPr>
              <w:t xml:space="preserve">dimensiunea </w:t>
            </w:r>
            <w:r w:rsidR="00664F88">
              <w:rPr>
                <w:rFonts w:ascii="Times New Roman" w:eastAsia="SimSun" w:hAnsi="Times New Roman" w:cs="Times New Roman"/>
                <w:sz w:val="28"/>
                <w:szCs w:val="28"/>
                <w:lang w:eastAsia="zh-CN"/>
              </w:rPr>
              <w:t xml:space="preserve">apărării naționale necesită a fi </w:t>
            </w:r>
            <w:proofErr w:type="gramStart"/>
            <w:r w:rsidR="00664F88">
              <w:rPr>
                <w:rFonts w:ascii="Times New Roman" w:eastAsia="SimSun" w:hAnsi="Times New Roman" w:cs="Times New Roman"/>
                <w:sz w:val="28"/>
                <w:szCs w:val="28"/>
                <w:lang w:eastAsia="zh-CN"/>
              </w:rPr>
              <w:t>organizat</w:t>
            </w:r>
            <w:r w:rsidR="00606C7D">
              <w:rPr>
                <w:rFonts w:ascii="Times New Roman" w:eastAsia="SimSun" w:hAnsi="Times New Roman" w:cs="Times New Roman"/>
                <w:sz w:val="28"/>
                <w:szCs w:val="28"/>
                <w:lang w:eastAsia="zh-CN"/>
              </w:rPr>
              <w:t>ă</w:t>
            </w:r>
            <w:r w:rsidRPr="00770D9C">
              <w:rPr>
                <w:rFonts w:ascii="Times New Roman" w:eastAsia="SimSun" w:hAnsi="Times New Roman" w:cs="Times New Roman"/>
                <w:sz w:val="28"/>
                <w:szCs w:val="28"/>
                <w:lang w:eastAsia="zh-CN"/>
              </w:rPr>
              <w:t xml:space="preserve">  printr</w:t>
            </w:r>
            <w:proofErr w:type="gramEnd"/>
            <w:r w:rsidRPr="00770D9C">
              <w:rPr>
                <w:rFonts w:ascii="Times New Roman" w:eastAsia="SimSun" w:hAnsi="Times New Roman" w:cs="Times New Roman"/>
                <w:sz w:val="28"/>
                <w:szCs w:val="28"/>
                <w:lang w:eastAsia="zh-CN"/>
              </w:rPr>
              <w:t xml:space="preserve">-o abordare </w:t>
            </w:r>
            <w:r w:rsidR="00664F88" w:rsidRPr="00770D9C">
              <w:rPr>
                <w:rFonts w:ascii="Times New Roman" w:eastAsia="SimSun" w:hAnsi="Times New Roman" w:cs="Times New Roman"/>
                <w:sz w:val="28"/>
                <w:szCs w:val="28"/>
                <w:lang w:eastAsia="zh-CN"/>
              </w:rPr>
              <w:t>holistică</w:t>
            </w:r>
            <w:r w:rsidR="00664F88">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 xml:space="preserve"> unde toți actorii</w:t>
            </w:r>
            <w:r w:rsidR="00664F88">
              <w:rPr>
                <w:rFonts w:ascii="Times New Roman" w:eastAsia="SimSun" w:hAnsi="Times New Roman" w:cs="Times New Roman"/>
                <w:sz w:val="28"/>
                <w:szCs w:val="28"/>
                <w:lang w:eastAsia="zh-CN"/>
              </w:rPr>
              <w:t>:</w:t>
            </w:r>
            <w:r w:rsidRPr="00770D9C">
              <w:rPr>
                <w:rFonts w:ascii="Times New Roman" w:eastAsia="SimSun" w:hAnsi="Times New Roman" w:cs="Times New Roman"/>
                <w:sz w:val="28"/>
                <w:szCs w:val="28"/>
                <w:lang w:eastAsia="zh-CN"/>
              </w:rPr>
              <w:t xml:space="preserve"> statul și cetățenii, au atribuțiile sale și poartă responsabilitatea pentru apărarea țării.</w:t>
            </w:r>
          </w:p>
          <w:p w14:paraId="2D7FAD74" w14:textId="77777777" w:rsidR="004154D0" w:rsidRPr="00B14572" w:rsidRDefault="007753B9" w:rsidP="00664F88">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770D9C">
              <w:rPr>
                <w:rFonts w:ascii="Times New Roman" w:eastAsia="SimSun" w:hAnsi="Times New Roman" w:cs="Times New Roman"/>
                <w:sz w:val="28"/>
                <w:szCs w:val="28"/>
                <w:lang w:eastAsia="zh-CN"/>
              </w:rPr>
              <w:t>Procesul de elaborare a strategiei s</w:t>
            </w:r>
            <w:r w:rsidR="00664F88">
              <w:rPr>
                <w:rFonts w:ascii="Times New Roman" w:eastAsia="SimSun" w:hAnsi="Times New Roman" w:cs="Times New Roman"/>
                <w:sz w:val="28"/>
                <w:szCs w:val="28"/>
                <w:lang w:eastAsia="zh-CN"/>
              </w:rPr>
              <w:t>-</w:t>
            </w:r>
            <w:r w:rsidRPr="00770D9C">
              <w:rPr>
                <w:rFonts w:ascii="Times New Roman" w:eastAsia="SimSun" w:hAnsi="Times New Roman" w:cs="Times New Roman"/>
                <w:sz w:val="28"/>
                <w:szCs w:val="28"/>
                <w:lang w:eastAsia="zh-CN"/>
              </w:rPr>
              <w:t>a baza</w:t>
            </w:r>
            <w:r w:rsidR="00664F88">
              <w:rPr>
                <w:rFonts w:ascii="Times New Roman" w:eastAsia="SimSun" w:hAnsi="Times New Roman" w:cs="Times New Roman"/>
                <w:sz w:val="28"/>
                <w:szCs w:val="28"/>
                <w:lang w:eastAsia="zh-CN"/>
              </w:rPr>
              <w:t>t</w:t>
            </w:r>
            <w:r w:rsidRPr="00770D9C">
              <w:rPr>
                <w:rFonts w:ascii="Times New Roman" w:eastAsia="SimSun" w:hAnsi="Times New Roman" w:cs="Times New Roman"/>
                <w:sz w:val="28"/>
                <w:szCs w:val="28"/>
                <w:lang w:eastAsia="zh-CN"/>
              </w:rPr>
              <w:t xml:space="preserve"> pe o abordare participativă, fiind implicaţi actorii naţionali, vizaţi direct sau tangenţial, cu responsabilități în sistemului naţional de apărare, precum și experți internaționali și partenerii.</w:t>
            </w:r>
            <w:r w:rsidR="00664F88">
              <w:rPr>
                <w:rFonts w:ascii="Times New Roman" w:eastAsia="SimSun" w:hAnsi="Times New Roman" w:cs="Times New Roman"/>
                <w:sz w:val="28"/>
                <w:szCs w:val="28"/>
                <w:lang w:eastAsia="zh-CN"/>
              </w:rPr>
              <w:t xml:space="preserve"> </w:t>
            </w:r>
            <w:r w:rsidRPr="00770D9C">
              <w:rPr>
                <w:rFonts w:ascii="Times New Roman" w:eastAsia="SimSun" w:hAnsi="Times New Roman" w:cs="Times New Roman"/>
                <w:sz w:val="28"/>
                <w:szCs w:val="28"/>
                <w:lang w:eastAsia="zh-CN"/>
              </w:rPr>
              <w:t xml:space="preserve">Această etapă este esențială dat fiind faptul că vom miza în continuare pe asistența și sprijinul partenerilor strategici ai Republicii Moldova în dezvoltarea sistemului național de apărare. </w:t>
            </w:r>
          </w:p>
        </w:tc>
      </w:tr>
      <w:tr w:rsidR="004154D0" w:rsidRPr="00770D9C" w14:paraId="5A53CCE3"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23FBA" w14:textId="77777777" w:rsidR="004154D0" w:rsidRPr="00770D9C" w:rsidRDefault="004154D0">
            <w:pPr>
              <w:tabs>
                <w:tab w:val="left" w:pos="884"/>
                <w:tab w:val="left" w:pos="1196"/>
              </w:tabs>
              <w:spacing w:after="0" w:line="240" w:lineRule="auto"/>
              <w:jc w:val="both"/>
              <w:rPr>
                <w:rFonts w:ascii="Times New Roman" w:eastAsia="Calibri" w:hAnsi="Times New Roman"/>
                <w:b/>
                <w:sz w:val="28"/>
                <w:szCs w:val="28"/>
                <w:lang w:eastAsia="ru-RU"/>
              </w:rPr>
            </w:pPr>
            <w:r w:rsidRPr="00770D9C">
              <w:rPr>
                <w:rFonts w:ascii="Times New Roman" w:hAnsi="Times New Roman"/>
                <w:b/>
                <w:sz w:val="28"/>
                <w:szCs w:val="28"/>
              </w:rPr>
              <w:lastRenderedPageBreak/>
              <w:t>5. Fundamentarea economico-financiară</w:t>
            </w:r>
          </w:p>
        </w:tc>
      </w:tr>
      <w:tr w:rsidR="007753B9" w:rsidRPr="00770D9C" w14:paraId="6F463F50" w14:textId="77777777" w:rsidTr="00E36273">
        <w:trPr>
          <w:trHeight w:val="131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BE8064A" w14:textId="77777777" w:rsidR="007753B9" w:rsidRPr="00770D9C" w:rsidRDefault="007753B9" w:rsidP="0014795C">
            <w:pPr>
              <w:tabs>
                <w:tab w:val="left" w:pos="884"/>
                <w:tab w:val="left" w:pos="1196"/>
              </w:tabs>
              <w:spacing w:before="100" w:beforeAutospacing="1" w:after="100" w:afterAutospacing="1" w:line="240" w:lineRule="auto"/>
              <w:ind w:firstLine="737"/>
              <w:jc w:val="both"/>
              <w:rPr>
                <w:rFonts w:ascii="TimesNewRomanPSMT" w:eastAsia="Times New Roman" w:hAnsi="TimesNewRomanPSMT" w:cs="Times New Roman"/>
                <w:color w:val="000000"/>
                <w:sz w:val="28"/>
                <w:szCs w:val="28"/>
              </w:rPr>
            </w:pPr>
            <w:r w:rsidRPr="00B14572">
              <w:rPr>
                <w:rFonts w:ascii="Times New Roman" w:eastAsia="SimSun" w:hAnsi="Times New Roman" w:cs="Times New Roman"/>
                <w:sz w:val="28"/>
                <w:szCs w:val="28"/>
                <w:lang w:eastAsia="zh-CN"/>
              </w:rPr>
              <w:t xml:space="preserve">Implementarea proiectului </w:t>
            </w:r>
            <w:proofErr w:type="gramStart"/>
            <w:r w:rsidRPr="00B14572">
              <w:rPr>
                <w:rFonts w:ascii="Times New Roman" w:eastAsia="SimSun" w:hAnsi="Times New Roman" w:cs="Times New Roman"/>
                <w:sz w:val="28"/>
                <w:szCs w:val="28"/>
                <w:lang w:eastAsia="zh-CN"/>
              </w:rPr>
              <w:t>va  avea</w:t>
            </w:r>
            <w:proofErr w:type="gramEnd"/>
            <w:r w:rsidRPr="00B14572">
              <w:rPr>
                <w:rFonts w:ascii="Times New Roman" w:eastAsia="SimSun" w:hAnsi="Times New Roman" w:cs="Times New Roman"/>
                <w:sz w:val="28"/>
                <w:szCs w:val="28"/>
                <w:lang w:eastAsia="zh-CN"/>
              </w:rPr>
              <w:t xml:space="preserve"> loc în baza alocărilor </w:t>
            </w:r>
            <w:r w:rsidR="00635A52" w:rsidRPr="00B14572">
              <w:rPr>
                <w:rFonts w:ascii="Times New Roman" w:eastAsia="SimSun" w:hAnsi="Times New Roman" w:cs="Times New Roman"/>
                <w:sz w:val="28"/>
                <w:szCs w:val="28"/>
                <w:lang w:eastAsia="zh-CN"/>
              </w:rPr>
              <w:t>stabilite în S</w:t>
            </w:r>
            <w:r w:rsidR="005D46E2" w:rsidRPr="00B14572">
              <w:rPr>
                <w:rFonts w:ascii="Times New Roman" w:eastAsia="SimSun" w:hAnsi="Times New Roman" w:cs="Times New Roman"/>
                <w:sz w:val="28"/>
                <w:szCs w:val="28"/>
                <w:lang w:eastAsia="zh-CN"/>
              </w:rPr>
              <w:t xml:space="preserve">trategia </w:t>
            </w:r>
            <w:r w:rsidR="00635A52" w:rsidRPr="00B14572">
              <w:rPr>
                <w:rFonts w:ascii="Times New Roman" w:eastAsia="SimSun" w:hAnsi="Times New Roman" w:cs="Times New Roman"/>
                <w:sz w:val="28"/>
                <w:szCs w:val="28"/>
                <w:lang w:eastAsia="zh-CN"/>
              </w:rPr>
              <w:t>S</w:t>
            </w:r>
            <w:r w:rsidR="005D46E2" w:rsidRPr="00B14572">
              <w:rPr>
                <w:rFonts w:ascii="Times New Roman" w:eastAsia="SimSun" w:hAnsi="Times New Roman" w:cs="Times New Roman"/>
                <w:sz w:val="28"/>
                <w:szCs w:val="28"/>
                <w:lang w:eastAsia="zh-CN"/>
              </w:rPr>
              <w:t xml:space="preserve">ecurității </w:t>
            </w:r>
            <w:r w:rsidR="00635A52" w:rsidRPr="00B14572">
              <w:rPr>
                <w:rFonts w:ascii="Times New Roman" w:eastAsia="SimSun" w:hAnsi="Times New Roman" w:cs="Times New Roman"/>
                <w:sz w:val="28"/>
                <w:szCs w:val="28"/>
                <w:lang w:eastAsia="zh-CN"/>
              </w:rPr>
              <w:t>N</w:t>
            </w:r>
            <w:r w:rsidR="005D46E2" w:rsidRPr="00B14572">
              <w:rPr>
                <w:rFonts w:ascii="Times New Roman" w:eastAsia="SimSun" w:hAnsi="Times New Roman" w:cs="Times New Roman"/>
                <w:sz w:val="28"/>
                <w:szCs w:val="28"/>
                <w:lang w:eastAsia="zh-CN"/>
              </w:rPr>
              <w:t>aționale, care prevedere creşterea graduală anuală a bugetului apărării, astfel încât, să atingă 1% din Produsul Intern Brut (PIB) până în 2030 apropiindu-se de media alocărilor bugetare europene.</w:t>
            </w:r>
          </w:p>
        </w:tc>
      </w:tr>
      <w:tr w:rsidR="004154D0" w:rsidRPr="00770D9C" w14:paraId="633E2FA4"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F7D89F" w14:textId="77777777" w:rsidR="004154D0" w:rsidRPr="00770D9C" w:rsidRDefault="004154D0">
            <w:pPr>
              <w:tabs>
                <w:tab w:val="left" w:pos="884"/>
                <w:tab w:val="left" w:pos="1196"/>
              </w:tabs>
              <w:spacing w:after="0" w:line="240" w:lineRule="auto"/>
              <w:jc w:val="both"/>
              <w:rPr>
                <w:rFonts w:ascii="Times New Roman" w:eastAsia="Calibri" w:hAnsi="Times New Roman"/>
                <w:b/>
                <w:sz w:val="28"/>
                <w:szCs w:val="28"/>
                <w:lang w:eastAsia="ru-RU"/>
              </w:rPr>
            </w:pPr>
            <w:r w:rsidRPr="00770D9C">
              <w:rPr>
                <w:rFonts w:ascii="Times New Roman" w:hAnsi="Times New Roman"/>
                <w:b/>
                <w:sz w:val="28"/>
                <w:szCs w:val="28"/>
              </w:rPr>
              <w:t>6. Modul de încorporare a actului în cadrul normativ în vigoare</w:t>
            </w:r>
          </w:p>
        </w:tc>
      </w:tr>
      <w:tr w:rsidR="004154D0" w:rsidRPr="00770D9C" w14:paraId="6C271201"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63B6855C" w14:textId="77777777" w:rsidR="004154D0" w:rsidRPr="00770D9C" w:rsidRDefault="002273AF" w:rsidP="00B14572">
            <w:pPr>
              <w:tabs>
                <w:tab w:val="left" w:pos="884"/>
                <w:tab w:val="left" w:pos="1196"/>
              </w:tabs>
              <w:spacing w:after="0" w:line="240" w:lineRule="auto"/>
              <w:ind w:firstLine="737"/>
              <w:jc w:val="both"/>
              <w:rPr>
                <w:rFonts w:ascii="Times New Roman" w:eastAsia="Calibri" w:hAnsi="Times New Roman"/>
                <w:sz w:val="28"/>
                <w:szCs w:val="28"/>
                <w:lang w:eastAsia="ru-RU"/>
              </w:rPr>
            </w:pPr>
            <w:r w:rsidRPr="00B14572">
              <w:rPr>
                <w:rFonts w:ascii="Times New Roman" w:eastAsia="SimSun" w:hAnsi="Times New Roman" w:cs="Times New Roman"/>
                <w:sz w:val="28"/>
                <w:szCs w:val="28"/>
                <w:lang w:eastAsia="zh-CN"/>
              </w:rPr>
              <w:t>Proiectul se încorporează perfect în cadrul normativ existent, nefiind necesară amendarea acestuia</w:t>
            </w:r>
            <w:r w:rsidR="005D46E2" w:rsidRPr="00B14572">
              <w:rPr>
                <w:rFonts w:ascii="Times New Roman" w:eastAsia="SimSun" w:hAnsi="Times New Roman" w:cs="Times New Roman"/>
                <w:sz w:val="28"/>
                <w:szCs w:val="28"/>
                <w:lang w:eastAsia="zh-CN"/>
              </w:rPr>
              <w:t>. V</w:t>
            </w:r>
            <w:r w:rsidRPr="00B14572">
              <w:rPr>
                <w:rFonts w:ascii="Times New Roman" w:eastAsia="SimSun" w:hAnsi="Times New Roman" w:cs="Times New Roman"/>
                <w:sz w:val="28"/>
                <w:szCs w:val="28"/>
                <w:lang w:eastAsia="zh-CN"/>
              </w:rPr>
              <w:t xml:space="preserve">alabilitatea Strategiei Națională de Apărare </w:t>
            </w:r>
            <w:r w:rsidR="00B14572" w:rsidRPr="00B14572">
              <w:rPr>
                <w:rFonts w:ascii="Times New Roman" w:eastAsia="SimSun" w:hAnsi="Times New Roman" w:cs="Times New Roman"/>
                <w:sz w:val="28"/>
                <w:szCs w:val="28"/>
                <w:lang w:eastAsia="zh-CN"/>
              </w:rPr>
              <w:t>precedente</w:t>
            </w:r>
            <w:r w:rsidR="00B14572" w:rsidRPr="00770D9C">
              <w:rPr>
                <w:rFonts w:ascii="Times New Roman" w:eastAsia="SimSun" w:hAnsi="Times New Roman" w:cs="Times New Roman"/>
                <w:sz w:val="28"/>
                <w:szCs w:val="28"/>
                <w:lang w:eastAsia="zh-CN"/>
              </w:rPr>
              <w:t xml:space="preserve"> (</w:t>
            </w:r>
            <w:r w:rsidR="00B14572">
              <w:rPr>
                <w:rFonts w:ascii="Times New Roman" w:eastAsia="SimSun" w:hAnsi="Times New Roman" w:cs="Times New Roman"/>
                <w:sz w:val="28"/>
                <w:szCs w:val="28"/>
                <w:lang w:eastAsia="zh-CN"/>
              </w:rPr>
              <w:t xml:space="preserve">aprobate prin </w:t>
            </w:r>
            <w:r w:rsidR="00B14572" w:rsidRPr="00770D9C">
              <w:rPr>
                <w:rFonts w:ascii="Times New Roman" w:eastAsia="SimSun" w:hAnsi="Times New Roman" w:cs="Times New Roman"/>
                <w:sz w:val="28"/>
                <w:szCs w:val="28"/>
                <w:lang w:eastAsia="zh-CN"/>
              </w:rPr>
              <w:t>H</w:t>
            </w:r>
            <w:r w:rsidR="00B14572">
              <w:rPr>
                <w:rFonts w:ascii="Times New Roman" w:eastAsia="SimSun" w:hAnsi="Times New Roman" w:cs="Times New Roman"/>
                <w:sz w:val="28"/>
                <w:szCs w:val="28"/>
                <w:lang w:eastAsia="zh-CN"/>
              </w:rPr>
              <w:t xml:space="preserve">otărârea </w:t>
            </w:r>
            <w:r w:rsidR="00B14572" w:rsidRPr="00770D9C">
              <w:rPr>
                <w:rFonts w:ascii="Times New Roman" w:eastAsia="SimSun" w:hAnsi="Times New Roman" w:cs="Times New Roman"/>
                <w:sz w:val="28"/>
                <w:szCs w:val="28"/>
                <w:lang w:eastAsia="zh-CN"/>
              </w:rPr>
              <w:t>P</w:t>
            </w:r>
            <w:r w:rsidR="00B14572">
              <w:rPr>
                <w:rFonts w:ascii="Times New Roman" w:eastAsia="SimSun" w:hAnsi="Times New Roman" w:cs="Times New Roman"/>
                <w:sz w:val="28"/>
                <w:szCs w:val="28"/>
                <w:lang w:eastAsia="zh-CN"/>
              </w:rPr>
              <w:t xml:space="preserve">arlamentului nr. </w:t>
            </w:r>
            <w:r w:rsidR="00B14572" w:rsidRPr="00770D9C">
              <w:rPr>
                <w:rFonts w:ascii="Times New Roman" w:eastAsia="SimSun" w:hAnsi="Times New Roman" w:cs="Times New Roman"/>
                <w:sz w:val="28"/>
                <w:szCs w:val="28"/>
                <w:lang w:eastAsia="zh-CN"/>
              </w:rPr>
              <w:t xml:space="preserve">134/2018) </w:t>
            </w:r>
            <w:r w:rsidRPr="00B14572">
              <w:rPr>
                <w:rFonts w:ascii="Times New Roman" w:eastAsia="SimSun" w:hAnsi="Times New Roman" w:cs="Times New Roman"/>
                <w:sz w:val="28"/>
                <w:szCs w:val="28"/>
                <w:lang w:eastAsia="zh-CN"/>
              </w:rPr>
              <w:t xml:space="preserve">pentru anii </w:t>
            </w:r>
            <w:r w:rsidR="005D46E2" w:rsidRPr="00B14572">
              <w:rPr>
                <w:rFonts w:ascii="Times New Roman" w:eastAsia="SimSun" w:hAnsi="Times New Roman" w:cs="Times New Roman"/>
                <w:sz w:val="28"/>
                <w:szCs w:val="28"/>
                <w:lang w:eastAsia="zh-CN"/>
              </w:rPr>
              <w:t>(</w:t>
            </w:r>
            <w:r w:rsidRPr="00B14572">
              <w:rPr>
                <w:rFonts w:ascii="Times New Roman" w:eastAsia="SimSun" w:hAnsi="Times New Roman" w:cs="Times New Roman"/>
                <w:sz w:val="28"/>
                <w:szCs w:val="28"/>
                <w:lang w:eastAsia="zh-CN"/>
              </w:rPr>
              <w:t>2018-2022</w:t>
            </w:r>
            <w:r w:rsidR="005D46E2" w:rsidRPr="00B14572">
              <w:rPr>
                <w:rFonts w:ascii="Times New Roman" w:eastAsia="SimSun" w:hAnsi="Times New Roman" w:cs="Times New Roman"/>
                <w:sz w:val="28"/>
                <w:szCs w:val="28"/>
                <w:lang w:eastAsia="zh-CN"/>
              </w:rPr>
              <w:t>)</w:t>
            </w:r>
            <w:r w:rsidRPr="00B14572">
              <w:rPr>
                <w:rFonts w:ascii="Times New Roman" w:eastAsia="SimSun" w:hAnsi="Times New Roman" w:cs="Times New Roman"/>
                <w:sz w:val="28"/>
                <w:szCs w:val="28"/>
                <w:lang w:eastAsia="zh-CN"/>
              </w:rPr>
              <w:t xml:space="preserve"> </w:t>
            </w:r>
            <w:proofErr w:type="gramStart"/>
            <w:r w:rsidRPr="00B14572">
              <w:rPr>
                <w:rFonts w:ascii="Times New Roman" w:eastAsia="SimSun" w:hAnsi="Times New Roman" w:cs="Times New Roman"/>
                <w:sz w:val="28"/>
                <w:szCs w:val="28"/>
                <w:lang w:eastAsia="zh-CN"/>
              </w:rPr>
              <w:t>a</w:t>
            </w:r>
            <w:proofErr w:type="gramEnd"/>
            <w:r w:rsidRPr="00B14572">
              <w:rPr>
                <w:rFonts w:ascii="Times New Roman" w:eastAsia="SimSun" w:hAnsi="Times New Roman" w:cs="Times New Roman"/>
                <w:sz w:val="28"/>
                <w:szCs w:val="28"/>
                <w:lang w:eastAsia="zh-CN"/>
              </w:rPr>
              <w:t xml:space="preserve"> expirat.</w:t>
            </w:r>
          </w:p>
        </w:tc>
      </w:tr>
      <w:tr w:rsidR="004154D0" w:rsidRPr="00770D9C" w14:paraId="12EF0327"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EAACAC" w14:textId="77777777" w:rsidR="004154D0" w:rsidRPr="00770D9C" w:rsidRDefault="004154D0">
            <w:pPr>
              <w:tabs>
                <w:tab w:val="left" w:pos="884"/>
                <w:tab w:val="left" w:pos="1196"/>
              </w:tabs>
              <w:spacing w:after="0" w:line="240" w:lineRule="auto"/>
              <w:jc w:val="both"/>
              <w:rPr>
                <w:rFonts w:ascii="Times New Roman" w:eastAsia="Calibri" w:hAnsi="Times New Roman"/>
                <w:b/>
                <w:sz w:val="28"/>
                <w:szCs w:val="28"/>
                <w:lang w:eastAsia="ru-RU"/>
              </w:rPr>
            </w:pPr>
            <w:r w:rsidRPr="00770D9C">
              <w:rPr>
                <w:rFonts w:ascii="Times New Roman" w:hAnsi="Times New Roman"/>
                <w:b/>
                <w:sz w:val="28"/>
                <w:szCs w:val="28"/>
              </w:rPr>
              <w:t>7. Avizarea şi consultarea publică a proiectului</w:t>
            </w:r>
          </w:p>
        </w:tc>
      </w:tr>
      <w:tr w:rsidR="004154D0" w:rsidRPr="00770D9C" w14:paraId="12B8075A"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76589946" w14:textId="77777777" w:rsidR="00CE184F" w:rsidRPr="00B14572" w:rsidRDefault="007753B9"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B14572">
              <w:rPr>
                <w:rFonts w:ascii="Times New Roman" w:eastAsia="SimSun" w:hAnsi="Times New Roman" w:cs="Times New Roman"/>
                <w:sz w:val="28"/>
                <w:szCs w:val="28"/>
                <w:lang w:eastAsia="zh-CN"/>
              </w:rPr>
              <w:t>În temeiul prevederilor art.32 alin.(1) din Legea nr.100/2017 cu privire la actele</w:t>
            </w:r>
            <w:r w:rsidR="00AB0086" w:rsidRPr="00B14572">
              <w:rPr>
                <w:rFonts w:ascii="Times New Roman" w:eastAsia="SimSun" w:hAnsi="Times New Roman" w:cs="Times New Roman"/>
                <w:sz w:val="28"/>
                <w:szCs w:val="28"/>
                <w:lang w:eastAsia="zh-CN"/>
              </w:rPr>
              <w:t xml:space="preserve"> </w:t>
            </w:r>
            <w:r w:rsidRPr="00B14572">
              <w:rPr>
                <w:rFonts w:ascii="Times New Roman" w:eastAsia="SimSun" w:hAnsi="Times New Roman" w:cs="Times New Roman"/>
                <w:sz w:val="28"/>
                <w:szCs w:val="28"/>
                <w:lang w:eastAsia="zh-CN"/>
              </w:rPr>
              <w:t xml:space="preserve">normative, proiectul SNA va fi avizat de către Președinția Republicii Moldova, </w:t>
            </w:r>
            <w:r w:rsidR="00AB0086" w:rsidRPr="00B14572">
              <w:rPr>
                <w:rFonts w:ascii="Times New Roman" w:eastAsia="SimSun" w:hAnsi="Times New Roman" w:cs="Times New Roman"/>
                <w:sz w:val="28"/>
                <w:szCs w:val="28"/>
                <w:lang w:eastAsia="zh-CN"/>
              </w:rPr>
              <w:t xml:space="preserve"> </w:t>
            </w:r>
            <w:r w:rsidR="00CE184F" w:rsidRPr="00B14572">
              <w:rPr>
                <w:rFonts w:ascii="Times New Roman" w:eastAsia="SimSun" w:hAnsi="Times New Roman" w:cs="Times New Roman"/>
                <w:sz w:val="28"/>
                <w:szCs w:val="28"/>
                <w:lang w:eastAsia="zh-CN"/>
              </w:rPr>
              <w:t xml:space="preserve">Ministerul Afacerilor Externe,  Ministerul Afacerilor Interne (cu Inspectoratele generale vizate), Serviciul de Informații și Securitate, Ministerul Dezvoltării Economice și Digitalizării, Ministerul Infrastructurii şi Dezvoltării Regionale, Serviciul de Protecție și Pază de Stat, Ministerul Finanţelor, Ministerul Energiei, Ministerul Educaţiei şi Cercetării, </w:t>
            </w:r>
            <w:r w:rsidR="00AB0086" w:rsidRPr="00B14572">
              <w:rPr>
                <w:rFonts w:ascii="Times New Roman" w:eastAsia="SimSun" w:hAnsi="Times New Roman" w:cs="Times New Roman"/>
                <w:sz w:val="28"/>
                <w:szCs w:val="28"/>
                <w:lang w:eastAsia="zh-CN"/>
              </w:rPr>
              <w:t xml:space="preserve">Ministerul Culturii, </w:t>
            </w:r>
            <w:r w:rsidR="00CE184F" w:rsidRPr="00B14572">
              <w:rPr>
                <w:rFonts w:ascii="Times New Roman" w:eastAsia="SimSun" w:hAnsi="Times New Roman" w:cs="Times New Roman"/>
                <w:sz w:val="28"/>
                <w:szCs w:val="28"/>
                <w:lang w:eastAsia="zh-CN"/>
              </w:rPr>
              <w:t>Ministerul Sănătăţii, Ministerul Muncii şi Protecţiei Sociale, Ministerul Mediului, Ministerul Justiţiei.</w:t>
            </w:r>
          </w:p>
          <w:p w14:paraId="3FFD15C8" w14:textId="77777777" w:rsidR="00CE184F" w:rsidRPr="00B14572" w:rsidRDefault="00CE184F" w:rsidP="00B14572">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B14572">
              <w:rPr>
                <w:rFonts w:ascii="Times New Roman" w:eastAsia="SimSun" w:hAnsi="Times New Roman" w:cs="Times New Roman"/>
                <w:sz w:val="28"/>
                <w:szCs w:val="28"/>
                <w:lang w:eastAsia="zh-CN"/>
              </w:rPr>
              <w:t xml:space="preserve">Este de menționat că decizia privind inițierea </w:t>
            </w:r>
            <w:r w:rsidR="00AB0086" w:rsidRPr="00B14572">
              <w:rPr>
                <w:rFonts w:ascii="Times New Roman" w:eastAsia="SimSun" w:hAnsi="Times New Roman" w:cs="Times New Roman"/>
                <w:sz w:val="28"/>
                <w:szCs w:val="28"/>
                <w:lang w:eastAsia="zh-CN"/>
              </w:rPr>
              <w:t xml:space="preserve">procesului de consultare publică a </w:t>
            </w:r>
            <w:r w:rsidRPr="00B14572">
              <w:rPr>
                <w:rFonts w:ascii="Times New Roman" w:eastAsia="SimSun" w:hAnsi="Times New Roman" w:cs="Times New Roman"/>
                <w:sz w:val="28"/>
                <w:szCs w:val="28"/>
                <w:lang w:eastAsia="zh-CN"/>
              </w:rPr>
              <w:t>proiectului Strategiei Naționale de Apărare cu materialele informative aferente a fost plasată pe pagina web oficială a Ministerului Apărării (https://www.army.md), la compartimentul „Transparenţa Decizională”,  rubrica „Anunţurile privind inițierea elaborării deciziei”.</w:t>
            </w:r>
          </w:p>
          <w:p w14:paraId="6B395D2A" w14:textId="77777777" w:rsidR="0014795C" w:rsidRPr="00E36273" w:rsidRDefault="007753B9" w:rsidP="00E36273">
            <w:pPr>
              <w:tabs>
                <w:tab w:val="left" w:pos="884"/>
                <w:tab w:val="left" w:pos="1196"/>
              </w:tabs>
              <w:spacing w:after="0" w:line="240" w:lineRule="auto"/>
              <w:ind w:firstLine="737"/>
              <w:jc w:val="both"/>
              <w:rPr>
                <w:rFonts w:ascii="Times New Roman" w:eastAsia="SimSun" w:hAnsi="Times New Roman" w:cs="Times New Roman"/>
                <w:sz w:val="28"/>
                <w:szCs w:val="28"/>
                <w:lang w:eastAsia="zh-CN"/>
              </w:rPr>
            </w:pPr>
            <w:r w:rsidRPr="00B14572">
              <w:rPr>
                <w:rFonts w:ascii="Times New Roman" w:eastAsia="SimSun" w:hAnsi="Times New Roman" w:cs="Times New Roman"/>
                <w:sz w:val="28"/>
                <w:szCs w:val="28"/>
                <w:lang w:eastAsia="zh-CN"/>
              </w:rPr>
              <w:t>Concomitent, în scopul respectării prevederilor Legii nr.239/2008 privind</w:t>
            </w:r>
            <w:r w:rsidR="00664F88">
              <w:rPr>
                <w:rFonts w:ascii="Times New Roman" w:eastAsia="SimSun" w:hAnsi="Times New Roman" w:cs="Times New Roman"/>
                <w:sz w:val="28"/>
                <w:szCs w:val="28"/>
                <w:lang w:eastAsia="zh-CN"/>
              </w:rPr>
              <w:t xml:space="preserve"> </w:t>
            </w:r>
            <w:r w:rsidRPr="00B14572">
              <w:rPr>
                <w:rFonts w:ascii="Times New Roman" w:eastAsia="SimSun" w:hAnsi="Times New Roman" w:cs="Times New Roman"/>
                <w:sz w:val="28"/>
                <w:szCs w:val="28"/>
                <w:lang w:eastAsia="zh-CN"/>
              </w:rPr>
              <w:t>transparenţa în procesul decizional şi Regulamentului cu privire la procedurile de</w:t>
            </w:r>
            <w:r w:rsidR="00FD4D02" w:rsidRPr="00B14572">
              <w:rPr>
                <w:rFonts w:ascii="Times New Roman" w:eastAsia="SimSun" w:hAnsi="Times New Roman" w:cs="Times New Roman"/>
                <w:sz w:val="28"/>
                <w:szCs w:val="28"/>
                <w:lang w:eastAsia="zh-CN"/>
              </w:rPr>
              <w:t xml:space="preserve"> </w:t>
            </w:r>
            <w:r w:rsidRPr="00B14572">
              <w:rPr>
                <w:rFonts w:ascii="Times New Roman" w:eastAsia="SimSun" w:hAnsi="Times New Roman" w:cs="Times New Roman"/>
                <w:sz w:val="28"/>
                <w:szCs w:val="28"/>
                <w:lang w:eastAsia="zh-CN"/>
              </w:rPr>
              <w:t xml:space="preserve">consultare publică cu societatea civilă în procesul decizional, aprobat prin Hotărârea Guvernului nr. 967/2016, proiectul </w:t>
            </w:r>
            <w:r w:rsidR="00AB0086" w:rsidRPr="00B14572">
              <w:rPr>
                <w:rFonts w:ascii="Times New Roman" w:eastAsia="SimSun" w:hAnsi="Times New Roman" w:cs="Times New Roman"/>
                <w:sz w:val="28"/>
                <w:szCs w:val="28"/>
                <w:lang w:eastAsia="zh-CN"/>
              </w:rPr>
              <w:t>este</w:t>
            </w:r>
            <w:r w:rsidRPr="00B14572">
              <w:rPr>
                <w:rFonts w:ascii="Times New Roman" w:eastAsia="SimSun" w:hAnsi="Times New Roman" w:cs="Times New Roman"/>
                <w:sz w:val="28"/>
                <w:szCs w:val="28"/>
                <w:lang w:eastAsia="zh-CN"/>
              </w:rPr>
              <w:t xml:space="preserve"> plasat pe pagina web oficială a Ministerului</w:t>
            </w:r>
            <w:r w:rsidR="00CE184F" w:rsidRPr="00B14572">
              <w:rPr>
                <w:rFonts w:ascii="Times New Roman" w:eastAsia="SimSun" w:hAnsi="Times New Roman" w:cs="Times New Roman"/>
                <w:sz w:val="28"/>
                <w:szCs w:val="28"/>
                <w:lang w:eastAsia="zh-CN"/>
              </w:rPr>
              <w:t xml:space="preserve"> </w:t>
            </w:r>
            <w:r w:rsidRPr="00B14572">
              <w:rPr>
                <w:rFonts w:ascii="Times New Roman" w:eastAsia="SimSun" w:hAnsi="Times New Roman" w:cs="Times New Roman"/>
                <w:sz w:val="28"/>
                <w:szCs w:val="28"/>
                <w:lang w:eastAsia="zh-CN"/>
              </w:rPr>
              <w:t>Apărării (https://www.army.md), la compartimentul „Transparenţa Decizională”,  rubrica „Anunţurile privind organizarea consultării publice”, precum şi pe</w:t>
            </w:r>
            <w:r w:rsidR="00CE184F" w:rsidRPr="00B14572">
              <w:rPr>
                <w:rFonts w:ascii="Times New Roman" w:eastAsia="SimSun" w:hAnsi="Times New Roman" w:cs="Times New Roman"/>
                <w:sz w:val="28"/>
                <w:szCs w:val="28"/>
                <w:lang w:eastAsia="zh-CN"/>
              </w:rPr>
              <w:t xml:space="preserve"> </w:t>
            </w:r>
            <w:r w:rsidRPr="00B14572">
              <w:rPr>
                <w:rFonts w:ascii="Times New Roman" w:eastAsia="SimSun" w:hAnsi="Times New Roman" w:cs="Times New Roman"/>
                <w:sz w:val="28"/>
                <w:szCs w:val="28"/>
                <w:lang w:eastAsia="zh-CN"/>
              </w:rPr>
              <w:t xml:space="preserve">platforma guvernamentală </w:t>
            </w:r>
            <w:hyperlink r:id="rId9" w:history="1">
              <w:r w:rsidR="0014795C" w:rsidRPr="00AA42D2">
                <w:rPr>
                  <w:rStyle w:val="Hyperlink"/>
                  <w:rFonts w:ascii="Times New Roman" w:eastAsia="SimSun" w:hAnsi="Times New Roman" w:cs="Times New Roman"/>
                  <w:sz w:val="28"/>
                  <w:szCs w:val="28"/>
                  <w:lang w:eastAsia="zh-CN"/>
                </w:rPr>
                <w:t>https://particip.gov.md</w:t>
              </w:r>
            </w:hyperlink>
            <w:r w:rsidRPr="00B14572">
              <w:rPr>
                <w:rFonts w:ascii="Times New Roman" w:eastAsia="SimSun" w:hAnsi="Times New Roman" w:cs="Times New Roman"/>
                <w:sz w:val="28"/>
                <w:szCs w:val="28"/>
                <w:lang w:eastAsia="zh-CN"/>
              </w:rPr>
              <w:t>.</w:t>
            </w:r>
          </w:p>
        </w:tc>
      </w:tr>
      <w:tr w:rsidR="004154D0" w:rsidRPr="00770D9C" w14:paraId="1F5F58A9"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FEBB2C" w14:textId="77777777" w:rsidR="004154D0" w:rsidRPr="00770D9C" w:rsidRDefault="004154D0">
            <w:pPr>
              <w:tabs>
                <w:tab w:val="left" w:pos="884"/>
                <w:tab w:val="left" w:pos="1196"/>
              </w:tabs>
              <w:spacing w:after="0" w:line="240" w:lineRule="auto"/>
              <w:jc w:val="both"/>
              <w:rPr>
                <w:rFonts w:ascii="Times New Roman" w:eastAsia="Calibri" w:hAnsi="Times New Roman"/>
                <w:b/>
                <w:sz w:val="28"/>
                <w:szCs w:val="28"/>
                <w:lang w:eastAsia="ru-RU"/>
              </w:rPr>
            </w:pPr>
            <w:r w:rsidRPr="00770D9C">
              <w:rPr>
                <w:rFonts w:ascii="Times New Roman" w:hAnsi="Times New Roman"/>
                <w:b/>
                <w:sz w:val="28"/>
                <w:szCs w:val="28"/>
              </w:rPr>
              <w:lastRenderedPageBreak/>
              <w:t>8. Constatările expertizei anticorupție</w:t>
            </w:r>
          </w:p>
        </w:tc>
      </w:tr>
      <w:tr w:rsidR="004154D0" w:rsidRPr="00770D9C" w14:paraId="4AA54376"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27D8FE6C" w14:textId="77777777" w:rsidR="004154D0" w:rsidRPr="00770D9C" w:rsidRDefault="008F7B1E" w:rsidP="00B14572">
            <w:pPr>
              <w:tabs>
                <w:tab w:val="left" w:pos="884"/>
                <w:tab w:val="left" w:pos="1196"/>
              </w:tabs>
              <w:spacing w:after="0" w:line="240" w:lineRule="auto"/>
              <w:ind w:firstLine="737"/>
              <w:jc w:val="both"/>
              <w:rPr>
                <w:rFonts w:ascii="Times New Roman" w:eastAsia="Calibri" w:hAnsi="Times New Roman"/>
                <w:sz w:val="28"/>
                <w:szCs w:val="28"/>
                <w:lang w:eastAsia="ru-RU"/>
              </w:rPr>
            </w:pPr>
            <w:r w:rsidRPr="00B14572">
              <w:rPr>
                <w:rFonts w:ascii="Times New Roman" w:eastAsia="SimSun" w:hAnsi="Times New Roman" w:cs="Times New Roman"/>
                <w:sz w:val="28"/>
                <w:szCs w:val="28"/>
                <w:lang w:eastAsia="zh-CN"/>
              </w:rPr>
              <w:t>Astfel de expertiză nu se aplică.</w:t>
            </w:r>
          </w:p>
        </w:tc>
      </w:tr>
      <w:tr w:rsidR="004154D0" w:rsidRPr="00770D9C" w14:paraId="168B8CBE"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19D19F" w14:textId="77777777" w:rsidR="004154D0" w:rsidRPr="00770D9C" w:rsidRDefault="004154D0">
            <w:pPr>
              <w:tabs>
                <w:tab w:val="left" w:pos="884"/>
                <w:tab w:val="left" w:pos="1196"/>
              </w:tabs>
              <w:spacing w:after="0" w:line="240" w:lineRule="auto"/>
              <w:jc w:val="both"/>
              <w:rPr>
                <w:rFonts w:ascii="Times New Roman" w:eastAsia="Calibri" w:hAnsi="Times New Roman"/>
                <w:b/>
                <w:sz w:val="28"/>
                <w:szCs w:val="28"/>
                <w:lang w:eastAsia="ru-RU"/>
              </w:rPr>
            </w:pPr>
            <w:r w:rsidRPr="00770D9C">
              <w:rPr>
                <w:rFonts w:ascii="Times New Roman" w:hAnsi="Times New Roman"/>
                <w:b/>
                <w:sz w:val="28"/>
                <w:szCs w:val="28"/>
              </w:rPr>
              <w:t>9. Constatările expertizei de compatibilitate</w:t>
            </w:r>
          </w:p>
        </w:tc>
      </w:tr>
      <w:tr w:rsidR="004154D0" w:rsidRPr="00770D9C" w14:paraId="44981C04"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02A30F8C" w14:textId="77777777" w:rsidR="004154D0" w:rsidRPr="00770D9C" w:rsidRDefault="008F7B1E" w:rsidP="00B14572">
            <w:pPr>
              <w:tabs>
                <w:tab w:val="left" w:pos="884"/>
                <w:tab w:val="left" w:pos="1196"/>
              </w:tabs>
              <w:spacing w:after="0" w:line="240" w:lineRule="auto"/>
              <w:ind w:firstLine="737"/>
              <w:jc w:val="both"/>
              <w:rPr>
                <w:rFonts w:ascii="Times New Roman" w:eastAsia="Calibri" w:hAnsi="Times New Roman"/>
                <w:sz w:val="28"/>
                <w:szCs w:val="28"/>
                <w:lang w:eastAsia="ru-RU"/>
              </w:rPr>
            </w:pPr>
            <w:r w:rsidRPr="00B14572">
              <w:rPr>
                <w:rFonts w:ascii="Times New Roman" w:eastAsia="SimSun" w:hAnsi="Times New Roman" w:cs="Times New Roman"/>
                <w:sz w:val="28"/>
                <w:szCs w:val="28"/>
                <w:lang w:eastAsia="zh-CN"/>
              </w:rPr>
              <w:t>Proiectul Strategiei Naționale de Apărare nu conține norme privind armonizarea legislației naționale cu legislația Uniunii Europene, precum și norme incompatibile cu prevederile legislației naționale și ale legislației Uniunii Europene.</w:t>
            </w:r>
          </w:p>
        </w:tc>
      </w:tr>
      <w:tr w:rsidR="004154D0" w:rsidRPr="00770D9C" w14:paraId="7985F029"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779B1A" w14:textId="77777777" w:rsidR="004154D0" w:rsidRPr="00770D9C" w:rsidRDefault="004154D0">
            <w:pPr>
              <w:tabs>
                <w:tab w:val="left" w:pos="884"/>
                <w:tab w:val="left" w:pos="1196"/>
              </w:tabs>
              <w:spacing w:after="0" w:line="240" w:lineRule="auto"/>
              <w:jc w:val="both"/>
              <w:rPr>
                <w:rFonts w:ascii="Times New Roman" w:eastAsia="Calibri" w:hAnsi="Times New Roman"/>
                <w:b/>
                <w:sz w:val="28"/>
                <w:szCs w:val="28"/>
                <w:lang w:eastAsia="ru-RU"/>
              </w:rPr>
            </w:pPr>
            <w:r w:rsidRPr="00770D9C">
              <w:rPr>
                <w:rFonts w:ascii="Times New Roman" w:hAnsi="Times New Roman"/>
                <w:b/>
                <w:sz w:val="28"/>
                <w:szCs w:val="28"/>
              </w:rPr>
              <w:t>10. Constatările expertizei juridice</w:t>
            </w:r>
          </w:p>
        </w:tc>
      </w:tr>
      <w:tr w:rsidR="004154D0" w:rsidRPr="00770D9C" w14:paraId="23866125"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225B4C2F" w14:textId="77777777" w:rsidR="004154D0" w:rsidRPr="00770D9C" w:rsidRDefault="00FD4D02" w:rsidP="00B14572">
            <w:pPr>
              <w:tabs>
                <w:tab w:val="left" w:pos="884"/>
                <w:tab w:val="left" w:pos="1196"/>
              </w:tabs>
              <w:spacing w:after="0" w:line="240" w:lineRule="auto"/>
              <w:ind w:firstLine="737"/>
              <w:jc w:val="both"/>
              <w:rPr>
                <w:rFonts w:ascii="Times New Roman" w:eastAsia="Calibri" w:hAnsi="Times New Roman"/>
                <w:sz w:val="28"/>
                <w:szCs w:val="28"/>
                <w:lang w:eastAsia="ru-RU"/>
              </w:rPr>
            </w:pPr>
            <w:r w:rsidRPr="00B14572">
              <w:rPr>
                <w:rFonts w:ascii="Times New Roman" w:eastAsia="SimSun" w:hAnsi="Times New Roman" w:cs="Times New Roman"/>
                <w:sz w:val="28"/>
                <w:szCs w:val="28"/>
                <w:lang w:eastAsia="zh-CN"/>
              </w:rPr>
              <w:t xml:space="preserve">Proiectul </w:t>
            </w:r>
            <w:r w:rsidR="008F7B1E" w:rsidRPr="00B14572">
              <w:rPr>
                <w:rFonts w:ascii="Times New Roman" w:eastAsia="SimSun" w:hAnsi="Times New Roman" w:cs="Times New Roman"/>
                <w:sz w:val="28"/>
                <w:szCs w:val="28"/>
                <w:lang w:eastAsia="zh-CN"/>
              </w:rPr>
              <w:t>strategiei urmează a fi supus expertizei juridice, care va fi efectuată de către Ministerul Justiţiei.</w:t>
            </w:r>
          </w:p>
        </w:tc>
      </w:tr>
      <w:tr w:rsidR="004154D0" w:rsidRPr="00770D9C" w14:paraId="239324F6"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499983" w14:textId="77777777" w:rsidR="004154D0" w:rsidRPr="00770D9C" w:rsidRDefault="004154D0">
            <w:pPr>
              <w:tabs>
                <w:tab w:val="left" w:pos="884"/>
                <w:tab w:val="left" w:pos="1196"/>
              </w:tabs>
              <w:spacing w:after="0" w:line="240" w:lineRule="auto"/>
              <w:jc w:val="both"/>
              <w:rPr>
                <w:rFonts w:ascii="Times New Roman" w:eastAsia="Calibri" w:hAnsi="Times New Roman"/>
                <w:b/>
                <w:sz w:val="28"/>
                <w:szCs w:val="28"/>
                <w:lang w:eastAsia="ru-RU"/>
              </w:rPr>
            </w:pPr>
            <w:r w:rsidRPr="00770D9C">
              <w:rPr>
                <w:rFonts w:ascii="Times New Roman" w:hAnsi="Times New Roman"/>
                <w:b/>
                <w:sz w:val="28"/>
                <w:szCs w:val="28"/>
              </w:rPr>
              <w:t>11. Constatările altor expertize</w:t>
            </w:r>
          </w:p>
        </w:tc>
      </w:tr>
      <w:tr w:rsidR="004154D0" w:rsidRPr="00770D9C" w14:paraId="46DFDF27" w14:textId="77777777" w:rsidTr="005D46E2">
        <w:tc>
          <w:tcPr>
            <w:tcW w:w="5000" w:type="pct"/>
            <w:tcBorders>
              <w:top w:val="single" w:sz="4" w:space="0" w:color="auto"/>
              <w:left w:val="single" w:sz="4" w:space="0" w:color="auto"/>
              <w:bottom w:val="single" w:sz="4" w:space="0" w:color="auto"/>
              <w:right w:val="single" w:sz="4" w:space="0" w:color="auto"/>
            </w:tcBorders>
            <w:shd w:val="clear" w:color="auto" w:fill="auto"/>
          </w:tcPr>
          <w:p w14:paraId="5EFDBA45" w14:textId="77777777" w:rsidR="004154D0" w:rsidRPr="00770D9C" w:rsidRDefault="008F7B1E" w:rsidP="00B14572">
            <w:pPr>
              <w:tabs>
                <w:tab w:val="left" w:pos="884"/>
                <w:tab w:val="left" w:pos="1196"/>
              </w:tabs>
              <w:spacing w:after="0" w:line="240" w:lineRule="auto"/>
              <w:ind w:firstLine="737"/>
              <w:jc w:val="both"/>
              <w:rPr>
                <w:rFonts w:ascii="Times New Roman" w:eastAsia="Calibri" w:hAnsi="Times New Roman"/>
                <w:sz w:val="28"/>
                <w:szCs w:val="28"/>
                <w:lang w:eastAsia="ru-RU"/>
              </w:rPr>
            </w:pPr>
            <w:r w:rsidRPr="00B14572">
              <w:rPr>
                <w:rFonts w:ascii="Times New Roman" w:eastAsia="SimSun" w:hAnsi="Times New Roman" w:cs="Times New Roman"/>
                <w:sz w:val="28"/>
                <w:szCs w:val="28"/>
                <w:lang w:eastAsia="zh-CN"/>
              </w:rPr>
              <w:t>Alte expertize nu necesită a fi efectuate.</w:t>
            </w:r>
          </w:p>
        </w:tc>
      </w:tr>
    </w:tbl>
    <w:p w14:paraId="1580BF33" w14:textId="77777777" w:rsidR="004154D0" w:rsidRPr="00770D9C" w:rsidRDefault="004154D0" w:rsidP="001604E6">
      <w:pPr>
        <w:jc w:val="center"/>
        <w:rPr>
          <w:rFonts w:ascii="Times New Roman" w:hAnsi="Times New Roman" w:cs="Times New Roman"/>
          <w:b/>
          <w:sz w:val="28"/>
          <w:szCs w:val="28"/>
        </w:rPr>
      </w:pPr>
    </w:p>
    <w:sectPr w:rsidR="004154D0" w:rsidRPr="00770D9C" w:rsidSect="00C631C0">
      <w:pgSz w:w="11907" w:h="16839" w:code="9"/>
      <w:pgMar w:top="1134" w:right="45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5BF32" w14:textId="77777777" w:rsidR="00681826" w:rsidRDefault="00681826" w:rsidP="00B009BE">
      <w:pPr>
        <w:spacing w:after="0" w:line="240" w:lineRule="auto"/>
      </w:pPr>
      <w:r>
        <w:separator/>
      </w:r>
    </w:p>
  </w:endnote>
  <w:endnote w:type="continuationSeparator" w:id="0">
    <w:p w14:paraId="6C190E76" w14:textId="77777777" w:rsidR="00681826" w:rsidRDefault="00681826" w:rsidP="00B0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9A547" w14:textId="77777777" w:rsidR="00681826" w:rsidRDefault="00681826" w:rsidP="00B009BE">
      <w:pPr>
        <w:spacing w:after="0" w:line="240" w:lineRule="auto"/>
      </w:pPr>
      <w:r>
        <w:separator/>
      </w:r>
    </w:p>
  </w:footnote>
  <w:footnote w:type="continuationSeparator" w:id="0">
    <w:p w14:paraId="2112051A" w14:textId="77777777" w:rsidR="00681826" w:rsidRDefault="00681826" w:rsidP="00B009BE">
      <w:pPr>
        <w:spacing w:after="0" w:line="240" w:lineRule="auto"/>
      </w:pPr>
      <w:r>
        <w:continuationSeparator/>
      </w:r>
    </w:p>
  </w:footnote>
  <w:footnote w:id="1">
    <w:p w14:paraId="1A4D35CA" w14:textId="77777777" w:rsidR="0014795C" w:rsidRPr="00447D3E" w:rsidRDefault="0014795C" w:rsidP="0014795C">
      <w:pPr>
        <w:pStyle w:val="FootnoteText"/>
        <w:jc w:val="both"/>
        <w:rPr>
          <w:lang w:val="en-US"/>
        </w:rPr>
      </w:pPr>
      <w:r w:rsidRPr="00135D10">
        <w:rPr>
          <w:rStyle w:val="FootnoteReference"/>
        </w:rPr>
        <w:footnoteRef/>
      </w:r>
      <w:r w:rsidRPr="00447D3E">
        <w:rPr>
          <w:lang w:val="en-US"/>
        </w:rPr>
        <w:t xml:space="preserve"> Constituită din:  ministrul apărării, consilier al Președintelui în domeniul apărării și securității naționale, secretar la Consiliului Suprem de Securitate, secretar de stat al Ministerului Apărării, secretar general adjunct al Ministerului Afacerilor Interne, membru Comisei  parlamentare pentru securitatea națională, apărarea și ordinea publică, secretar general adjunct al Guvernului, secretar general al Ministerului Muncii și Protecției Sociale, secretar de stat al Ministerului Dezvoltării Economice și Digitalizării, secretar de stat aș Ministerului Afacerilor Externe, secretar de stat al Ministerului Finanțelor, secretar de stat al Ministerului Justiției, secretar de stat al Ministerului Infrastructurii și Dezvoltării Regionale, secretar de stat al Ministerului Energiei, secretar de stat al Ministerului Mediului, secretar de stat al Misterului Educației și Cercetării, secretar de stat al Ministerului Sănătății, secretar de stat al Ministerului Culturii, director adjunct al Serviciului de Informații și Securitate, director adjunct al Serviciului de Protecției și Pază de Stat, comandant general al Inspectoratului General de Carabinieri, șef al Serviciului Consiliului Suprem de Securitate al Aparatului Președintelui.</w:t>
      </w:r>
    </w:p>
  </w:footnote>
  <w:footnote w:id="2">
    <w:p w14:paraId="1F155822" w14:textId="77777777" w:rsidR="0094797B" w:rsidRPr="005D46E2" w:rsidRDefault="0094797B" w:rsidP="0094797B">
      <w:pPr>
        <w:pStyle w:val="FootnoteText"/>
        <w:rPr>
          <w:rStyle w:val="FootnoteReference"/>
          <w:vertAlign w:val="baseline"/>
        </w:rPr>
      </w:pPr>
      <w:r w:rsidRPr="005D46E2">
        <w:rPr>
          <w:rStyle w:val="FootnoteReference"/>
        </w:rPr>
        <w:footnoteRef/>
      </w:r>
      <w:r w:rsidRPr="005D46E2">
        <w:rPr>
          <w:rStyle w:val="FootnoteReference"/>
          <w:vertAlign w:val="baseline"/>
        </w:rPr>
        <w:t xml:space="preserve"> Publicată în Monitorul Oficial din 17.01.2024.</w:t>
      </w:r>
    </w:p>
  </w:footnote>
  <w:footnote w:id="3">
    <w:p w14:paraId="10E2CA59" w14:textId="77777777" w:rsidR="00DE7443" w:rsidRPr="005D46E2" w:rsidRDefault="00DE7443">
      <w:pPr>
        <w:pStyle w:val="FootnoteText"/>
      </w:pPr>
      <w:r w:rsidRPr="005D46E2">
        <w:rPr>
          <w:rStyle w:val="FootnoteReference"/>
        </w:rPr>
        <w:footnoteRef/>
      </w:r>
      <w:r w:rsidRPr="005D46E2">
        <w:rPr>
          <w:rStyle w:val="FootnoteReference"/>
          <w:vertAlign w:val="baseline"/>
        </w:rPr>
        <w:t xml:space="preserve"> Aprobat prin Hotărârea Guvernului nr. 887 din 22 noiembrie 2023 „Cu privire la aprobarea Planului de acțiuni al Guvernului pentru anul 2024”</w:t>
      </w:r>
      <w:r w:rsidR="005D46E2" w:rsidRPr="005D46E2">
        <w:t>.</w:t>
      </w:r>
    </w:p>
  </w:footnote>
  <w:footnote w:id="4">
    <w:p w14:paraId="6779826F" w14:textId="77777777" w:rsidR="00DE7443" w:rsidRPr="00447D3E" w:rsidRDefault="00DE7443">
      <w:pPr>
        <w:pStyle w:val="FootnoteText"/>
        <w:rPr>
          <w:lang w:val="en-US"/>
        </w:rPr>
      </w:pPr>
      <w:r w:rsidRPr="005D46E2">
        <w:rPr>
          <w:rStyle w:val="FootnoteReference"/>
        </w:rPr>
        <w:footnoteRef/>
      </w:r>
      <w:r w:rsidRPr="00447D3E">
        <w:rPr>
          <w:lang w:val="en-US"/>
        </w:rPr>
        <w:t xml:space="preserve"> Hotărârii Guvernului nr. 1031 din 21 decembrie 2023 „Pentru aprobarea Planului național de dezvoltare pentru anii 2024-2026”.</w:t>
      </w:r>
    </w:p>
  </w:footnote>
  <w:footnote w:id="5">
    <w:p w14:paraId="3B8DCED1" w14:textId="77777777" w:rsidR="00B15690" w:rsidRPr="00447D3E" w:rsidRDefault="00B15690" w:rsidP="00B15690">
      <w:pPr>
        <w:pStyle w:val="FootnoteText"/>
        <w:rPr>
          <w:lang w:val="en-US"/>
        </w:rPr>
      </w:pPr>
      <w:r w:rsidRPr="00F92816">
        <w:rPr>
          <w:rStyle w:val="FootnoteReference"/>
        </w:rPr>
        <w:footnoteRef/>
      </w:r>
      <w:r w:rsidRPr="0014795C">
        <w:rPr>
          <w:lang w:val="en-US"/>
        </w:rPr>
        <w:t xml:space="preserve"> </w:t>
      </w:r>
      <w:r w:rsidRPr="00F92816">
        <w:rPr>
          <w:lang w:val="ro-RO"/>
        </w:rPr>
        <w:t>Conform documentului „Contribuției Republicii Moldova la Pachetul de extindere al Comisiei Europene pentru anul 2024”, Capitolul 31: „Politica Externă, de Securitate și de Apărare”.</w:t>
      </w:r>
    </w:p>
    <w:p w14:paraId="4A43F062" w14:textId="77777777" w:rsidR="00B15690" w:rsidRPr="00B15690" w:rsidRDefault="00B1569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leriu">
    <w15:presenceInfo w15:providerId="None" w15:userId="Valer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E9"/>
    <w:rsid w:val="000060FA"/>
    <w:rsid w:val="000262D9"/>
    <w:rsid w:val="00103A70"/>
    <w:rsid w:val="00135D10"/>
    <w:rsid w:val="0014795C"/>
    <w:rsid w:val="0015590F"/>
    <w:rsid w:val="001604E6"/>
    <w:rsid w:val="0017754B"/>
    <w:rsid w:val="002273AF"/>
    <w:rsid w:val="00246CFB"/>
    <w:rsid w:val="002D1ED3"/>
    <w:rsid w:val="00402D2E"/>
    <w:rsid w:val="004154D0"/>
    <w:rsid w:val="00424558"/>
    <w:rsid w:val="00427851"/>
    <w:rsid w:val="00447D3E"/>
    <w:rsid w:val="004D1F7B"/>
    <w:rsid w:val="0057325B"/>
    <w:rsid w:val="005A4549"/>
    <w:rsid w:val="005D46E2"/>
    <w:rsid w:val="00606C7D"/>
    <w:rsid w:val="00635A52"/>
    <w:rsid w:val="00664F88"/>
    <w:rsid w:val="00681826"/>
    <w:rsid w:val="00770D9C"/>
    <w:rsid w:val="007753B9"/>
    <w:rsid w:val="007A5F2D"/>
    <w:rsid w:val="00821977"/>
    <w:rsid w:val="008551E9"/>
    <w:rsid w:val="008629DE"/>
    <w:rsid w:val="008F7B1E"/>
    <w:rsid w:val="0094797B"/>
    <w:rsid w:val="009571D9"/>
    <w:rsid w:val="00A30C16"/>
    <w:rsid w:val="00A42EAD"/>
    <w:rsid w:val="00A456AE"/>
    <w:rsid w:val="00A6318E"/>
    <w:rsid w:val="00AB0086"/>
    <w:rsid w:val="00AB76F6"/>
    <w:rsid w:val="00AE5245"/>
    <w:rsid w:val="00B009BE"/>
    <w:rsid w:val="00B124DC"/>
    <w:rsid w:val="00B14572"/>
    <w:rsid w:val="00B15690"/>
    <w:rsid w:val="00B423F6"/>
    <w:rsid w:val="00BE79E8"/>
    <w:rsid w:val="00C36438"/>
    <w:rsid w:val="00C631C0"/>
    <w:rsid w:val="00CE184F"/>
    <w:rsid w:val="00D4789A"/>
    <w:rsid w:val="00D63473"/>
    <w:rsid w:val="00DC78B0"/>
    <w:rsid w:val="00DE7443"/>
    <w:rsid w:val="00E36273"/>
    <w:rsid w:val="00F02DCB"/>
    <w:rsid w:val="00F44FF0"/>
    <w:rsid w:val="00F92816"/>
    <w:rsid w:val="00FA7FCF"/>
    <w:rsid w:val="00FD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009BE"/>
    <w:pPr>
      <w:spacing w:after="0" w:line="240" w:lineRule="auto"/>
    </w:pPr>
    <w:rPr>
      <w:rFonts w:ascii="Times New Roman" w:eastAsia="SimSun" w:hAnsi="Times New Roman" w:cs="Times New Roman"/>
      <w:sz w:val="20"/>
      <w:szCs w:val="20"/>
      <w:lang w:val="ru-RU" w:eastAsia="zh-CN"/>
    </w:rPr>
  </w:style>
  <w:style w:type="character" w:customStyle="1" w:styleId="FootnoteTextChar">
    <w:name w:val="Footnote Text Char"/>
    <w:basedOn w:val="DefaultParagraphFont"/>
    <w:link w:val="FootnoteText"/>
    <w:semiHidden/>
    <w:rsid w:val="00B009BE"/>
    <w:rPr>
      <w:rFonts w:ascii="Times New Roman" w:eastAsia="SimSun" w:hAnsi="Times New Roman" w:cs="Times New Roman"/>
      <w:sz w:val="20"/>
      <w:szCs w:val="20"/>
      <w:lang w:val="ru-RU" w:eastAsia="zh-CN"/>
    </w:rPr>
  </w:style>
  <w:style w:type="character" w:styleId="FootnoteReference">
    <w:name w:val="footnote reference"/>
    <w:semiHidden/>
    <w:unhideWhenUsed/>
    <w:rsid w:val="00B009BE"/>
    <w:rPr>
      <w:vertAlign w:val="superscript"/>
    </w:rPr>
  </w:style>
  <w:style w:type="character" w:styleId="Strong">
    <w:name w:val="Strong"/>
    <w:basedOn w:val="DefaultParagraphFont"/>
    <w:uiPriority w:val="22"/>
    <w:qFormat/>
    <w:rsid w:val="0015590F"/>
    <w:rPr>
      <w:b/>
      <w:bCs/>
    </w:rPr>
  </w:style>
  <w:style w:type="character" w:customStyle="1" w:styleId="fontstyle01">
    <w:name w:val="fontstyle01"/>
    <w:basedOn w:val="DefaultParagraphFont"/>
    <w:rsid w:val="004D1F7B"/>
    <w:rPr>
      <w:rFonts w:ascii="CIDFont+F1" w:hAnsi="CIDFont+F1" w:hint="default"/>
      <w:b w:val="0"/>
      <w:bCs w:val="0"/>
      <w:i w:val="0"/>
      <w:iCs w:val="0"/>
      <w:color w:val="000000"/>
      <w:sz w:val="26"/>
      <w:szCs w:val="26"/>
    </w:rPr>
  </w:style>
  <w:style w:type="paragraph" w:styleId="BalloonText">
    <w:name w:val="Balloon Text"/>
    <w:basedOn w:val="Normal"/>
    <w:link w:val="BalloonTextChar"/>
    <w:uiPriority w:val="99"/>
    <w:semiHidden/>
    <w:unhideWhenUsed/>
    <w:rsid w:val="00103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A70"/>
    <w:rPr>
      <w:rFonts w:ascii="Tahoma" w:hAnsi="Tahoma" w:cs="Tahoma"/>
      <w:sz w:val="16"/>
      <w:szCs w:val="16"/>
    </w:rPr>
  </w:style>
  <w:style w:type="character" w:styleId="CommentReference">
    <w:name w:val="annotation reference"/>
    <w:basedOn w:val="DefaultParagraphFont"/>
    <w:uiPriority w:val="99"/>
    <w:semiHidden/>
    <w:unhideWhenUsed/>
    <w:rsid w:val="00AE5245"/>
    <w:rPr>
      <w:sz w:val="16"/>
      <w:szCs w:val="16"/>
    </w:rPr>
  </w:style>
  <w:style w:type="paragraph" w:styleId="CommentText">
    <w:name w:val="annotation text"/>
    <w:basedOn w:val="Normal"/>
    <w:link w:val="CommentTextChar"/>
    <w:uiPriority w:val="99"/>
    <w:semiHidden/>
    <w:unhideWhenUsed/>
    <w:rsid w:val="00AE5245"/>
    <w:pPr>
      <w:spacing w:line="240" w:lineRule="auto"/>
    </w:pPr>
    <w:rPr>
      <w:sz w:val="20"/>
      <w:szCs w:val="20"/>
    </w:rPr>
  </w:style>
  <w:style w:type="character" w:customStyle="1" w:styleId="CommentTextChar">
    <w:name w:val="Comment Text Char"/>
    <w:basedOn w:val="DefaultParagraphFont"/>
    <w:link w:val="CommentText"/>
    <w:uiPriority w:val="99"/>
    <w:semiHidden/>
    <w:rsid w:val="00AE5245"/>
    <w:rPr>
      <w:sz w:val="20"/>
      <w:szCs w:val="20"/>
    </w:rPr>
  </w:style>
  <w:style w:type="paragraph" w:styleId="CommentSubject">
    <w:name w:val="annotation subject"/>
    <w:basedOn w:val="CommentText"/>
    <w:next w:val="CommentText"/>
    <w:link w:val="CommentSubjectChar"/>
    <w:uiPriority w:val="99"/>
    <w:semiHidden/>
    <w:unhideWhenUsed/>
    <w:rsid w:val="00AE5245"/>
    <w:rPr>
      <w:b/>
      <w:bCs/>
    </w:rPr>
  </w:style>
  <w:style w:type="character" w:customStyle="1" w:styleId="CommentSubjectChar">
    <w:name w:val="Comment Subject Char"/>
    <w:basedOn w:val="CommentTextChar"/>
    <w:link w:val="CommentSubject"/>
    <w:uiPriority w:val="99"/>
    <w:semiHidden/>
    <w:rsid w:val="00AE5245"/>
    <w:rPr>
      <w:b/>
      <w:bCs/>
      <w:sz w:val="20"/>
      <w:szCs w:val="20"/>
    </w:rPr>
  </w:style>
  <w:style w:type="paragraph" w:styleId="EndnoteText">
    <w:name w:val="endnote text"/>
    <w:basedOn w:val="Normal"/>
    <w:link w:val="EndnoteTextChar"/>
    <w:uiPriority w:val="99"/>
    <w:semiHidden/>
    <w:unhideWhenUsed/>
    <w:rsid w:val="00B156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5690"/>
    <w:rPr>
      <w:sz w:val="20"/>
      <w:szCs w:val="20"/>
    </w:rPr>
  </w:style>
  <w:style w:type="character" w:styleId="EndnoteReference">
    <w:name w:val="endnote reference"/>
    <w:basedOn w:val="DefaultParagraphFont"/>
    <w:uiPriority w:val="99"/>
    <w:semiHidden/>
    <w:unhideWhenUsed/>
    <w:rsid w:val="00B15690"/>
    <w:rPr>
      <w:vertAlign w:val="superscript"/>
    </w:rPr>
  </w:style>
  <w:style w:type="character" w:styleId="Hyperlink">
    <w:name w:val="Hyperlink"/>
    <w:basedOn w:val="DefaultParagraphFont"/>
    <w:uiPriority w:val="99"/>
    <w:unhideWhenUsed/>
    <w:rsid w:val="0014795C"/>
    <w:rPr>
      <w:color w:val="0000FF" w:themeColor="hyperlink"/>
      <w:u w:val="single"/>
    </w:rPr>
  </w:style>
  <w:style w:type="paragraph" w:styleId="Revision">
    <w:name w:val="Revision"/>
    <w:hidden/>
    <w:uiPriority w:val="99"/>
    <w:semiHidden/>
    <w:rsid w:val="007A5F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009BE"/>
    <w:pPr>
      <w:spacing w:after="0" w:line="240" w:lineRule="auto"/>
    </w:pPr>
    <w:rPr>
      <w:rFonts w:ascii="Times New Roman" w:eastAsia="SimSun" w:hAnsi="Times New Roman" w:cs="Times New Roman"/>
      <w:sz w:val="20"/>
      <w:szCs w:val="20"/>
      <w:lang w:val="ru-RU" w:eastAsia="zh-CN"/>
    </w:rPr>
  </w:style>
  <w:style w:type="character" w:customStyle="1" w:styleId="FootnoteTextChar">
    <w:name w:val="Footnote Text Char"/>
    <w:basedOn w:val="DefaultParagraphFont"/>
    <w:link w:val="FootnoteText"/>
    <w:semiHidden/>
    <w:rsid w:val="00B009BE"/>
    <w:rPr>
      <w:rFonts w:ascii="Times New Roman" w:eastAsia="SimSun" w:hAnsi="Times New Roman" w:cs="Times New Roman"/>
      <w:sz w:val="20"/>
      <w:szCs w:val="20"/>
      <w:lang w:val="ru-RU" w:eastAsia="zh-CN"/>
    </w:rPr>
  </w:style>
  <w:style w:type="character" w:styleId="FootnoteReference">
    <w:name w:val="footnote reference"/>
    <w:semiHidden/>
    <w:unhideWhenUsed/>
    <w:rsid w:val="00B009BE"/>
    <w:rPr>
      <w:vertAlign w:val="superscript"/>
    </w:rPr>
  </w:style>
  <w:style w:type="character" w:styleId="Strong">
    <w:name w:val="Strong"/>
    <w:basedOn w:val="DefaultParagraphFont"/>
    <w:uiPriority w:val="22"/>
    <w:qFormat/>
    <w:rsid w:val="0015590F"/>
    <w:rPr>
      <w:b/>
      <w:bCs/>
    </w:rPr>
  </w:style>
  <w:style w:type="character" w:customStyle="1" w:styleId="fontstyle01">
    <w:name w:val="fontstyle01"/>
    <w:basedOn w:val="DefaultParagraphFont"/>
    <w:rsid w:val="004D1F7B"/>
    <w:rPr>
      <w:rFonts w:ascii="CIDFont+F1" w:hAnsi="CIDFont+F1" w:hint="default"/>
      <w:b w:val="0"/>
      <w:bCs w:val="0"/>
      <w:i w:val="0"/>
      <w:iCs w:val="0"/>
      <w:color w:val="000000"/>
      <w:sz w:val="26"/>
      <w:szCs w:val="26"/>
    </w:rPr>
  </w:style>
  <w:style w:type="paragraph" w:styleId="BalloonText">
    <w:name w:val="Balloon Text"/>
    <w:basedOn w:val="Normal"/>
    <w:link w:val="BalloonTextChar"/>
    <w:uiPriority w:val="99"/>
    <w:semiHidden/>
    <w:unhideWhenUsed/>
    <w:rsid w:val="00103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A70"/>
    <w:rPr>
      <w:rFonts w:ascii="Tahoma" w:hAnsi="Tahoma" w:cs="Tahoma"/>
      <w:sz w:val="16"/>
      <w:szCs w:val="16"/>
    </w:rPr>
  </w:style>
  <w:style w:type="character" w:styleId="CommentReference">
    <w:name w:val="annotation reference"/>
    <w:basedOn w:val="DefaultParagraphFont"/>
    <w:uiPriority w:val="99"/>
    <w:semiHidden/>
    <w:unhideWhenUsed/>
    <w:rsid w:val="00AE5245"/>
    <w:rPr>
      <w:sz w:val="16"/>
      <w:szCs w:val="16"/>
    </w:rPr>
  </w:style>
  <w:style w:type="paragraph" w:styleId="CommentText">
    <w:name w:val="annotation text"/>
    <w:basedOn w:val="Normal"/>
    <w:link w:val="CommentTextChar"/>
    <w:uiPriority w:val="99"/>
    <w:semiHidden/>
    <w:unhideWhenUsed/>
    <w:rsid w:val="00AE5245"/>
    <w:pPr>
      <w:spacing w:line="240" w:lineRule="auto"/>
    </w:pPr>
    <w:rPr>
      <w:sz w:val="20"/>
      <w:szCs w:val="20"/>
    </w:rPr>
  </w:style>
  <w:style w:type="character" w:customStyle="1" w:styleId="CommentTextChar">
    <w:name w:val="Comment Text Char"/>
    <w:basedOn w:val="DefaultParagraphFont"/>
    <w:link w:val="CommentText"/>
    <w:uiPriority w:val="99"/>
    <w:semiHidden/>
    <w:rsid w:val="00AE5245"/>
    <w:rPr>
      <w:sz w:val="20"/>
      <w:szCs w:val="20"/>
    </w:rPr>
  </w:style>
  <w:style w:type="paragraph" w:styleId="CommentSubject">
    <w:name w:val="annotation subject"/>
    <w:basedOn w:val="CommentText"/>
    <w:next w:val="CommentText"/>
    <w:link w:val="CommentSubjectChar"/>
    <w:uiPriority w:val="99"/>
    <w:semiHidden/>
    <w:unhideWhenUsed/>
    <w:rsid w:val="00AE5245"/>
    <w:rPr>
      <w:b/>
      <w:bCs/>
    </w:rPr>
  </w:style>
  <w:style w:type="character" w:customStyle="1" w:styleId="CommentSubjectChar">
    <w:name w:val="Comment Subject Char"/>
    <w:basedOn w:val="CommentTextChar"/>
    <w:link w:val="CommentSubject"/>
    <w:uiPriority w:val="99"/>
    <w:semiHidden/>
    <w:rsid w:val="00AE5245"/>
    <w:rPr>
      <w:b/>
      <w:bCs/>
      <w:sz w:val="20"/>
      <w:szCs w:val="20"/>
    </w:rPr>
  </w:style>
  <w:style w:type="paragraph" w:styleId="EndnoteText">
    <w:name w:val="endnote text"/>
    <w:basedOn w:val="Normal"/>
    <w:link w:val="EndnoteTextChar"/>
    <w:uiPriority w:val="99"/>
    <w:semiHidden/>
    <w:unhideWhenUsed/>
    <w:rsid w:val="00B156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5690"/>
    <w:rPr>
      <w:sz w:val="20"/>
      <w:szCs w:val="20"/>
    </w:rPr>
  </w:style>
  <w:style w:type="character" w:styleId="EndnoteReference">
    <w:name w:val="endnote reference"/>
    <w:basedOn w:val="DefaultParagraphFont"/>
    <w:uiPriority w:val="99"/>
    <w:semiHidden/>
    <w:unhideWhenUsed/>
    <w:rsid w:val="00B15690"/>
    <w:rPr>
      <w:vertAlign w:val="superscript"/>
    </w:rPr>
  </w:style>
  <w:style w:type="character" w:styleId="Hyperlink">
    <w:name w:val="Hyperlink"/>
    <w:basedOn w:val="DefaultParagraphFont"/>
    <w:uiPriority w:val="99"/>
    <w:unhideWhenUsed/>
    <w:rsid w:val="0014795C"/>
    <w:rPr>
      <w:color w:val="0000FF" w:themeColor="hyperlink"/>
      <w:u w:val="single"/>
    </w:rPr>
  </w:style>
  <w:style w:type="paragraph" w:styleId="Revision">
    <w:name w:val="Revision"/>
    <w:hidden/>
    <w:uiPriority w:val="99"/>
    <w:semiHidden/>
    <w:rsid w:val="007A5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9330">
      <w:bodyDiv w:val="1"/>
      <w:marLeft w:val="0"/>
      <w:marRight w:val="0"/>
      <w:marTop w:val="0"/>
      <w:marBottom w:val="0"/>
      <w:divBdr>
        <w:top w:val="none" w:sz="0" w:space="0" w:color="auto"/>
        <w:left w:val="none" w:sz="0" w:space="0" w:color="auto"/>
        <w:bottom w:val="none" w:sz="0" w:space="0" w:color="auto"/>
        <w:right w:val="none" w:sz="0" w:space="0" w:color="auto"/>
      </w:divBdr>
    </w:div>
    <w:div w:id="84419299">
      <w:bodyDiv w:val="1"/>
      <w:marLeft w:val="0"/>
      <w:marRight w:val="0"/>
      <w:marTop w:val="0"/>
      <w:marBottom w:val="0"/>
      <w:divBdr>
        <w:top w:val="none" w:sz="0" w:space="0" w:color="auto"/>
        <w:left w:val="none" w:sz="0" w:space="0" w:color="auto"/>
        <w:bottom w:val="none" w:sz="0" w:space="0" w:color="auto"/>
        <w:right w:val="none" w:sz="0" w:space="0" w:color="auto"/>
      </w:divBdr>
    </w:div>
    <w:div w:id="661932609">
      <w:bodyDiv w:val="1"/>
      <w:marLeft w:val="0"/>
      <w:marRight w:val="0"/>
      <w:marTop w:val="0"/>
      <w:marBottom w:val="0"/>
      <w:divBdr>
        <w:top w:val="none" w:sz="0" w:space="0" w:color="auto"/>
        <w:left w:val="none" w:sz="0" w:space="0" w:color="auto"/>
        <w:bottom w:val="none" w:sz="0" w:space="0" w:color="auto"/>
        <w:right w:val="none" w:sz="0" w:space="0" w:color="auto"/>
      </w:divBdr>
    </w:div>
    <w:div w:id="1096486975">
      <w:bodyDiv w:val="1"/>
      <w:marLeft w:val="0"/>
      <w:marRight w:val="0"/>
      <w:marTop w:val="0"/>
      <w:marBottom w:val="0"/>
      <w:divBdr>
        <w:top w:val="none" w:sz="0" w:space="0" w:color="auto"/>
        <w:left w:val="none" w:sz="0" w:space="0" w:color="auto"/>
        <w:bottom w:val="none" w:sz="0" w:space="0" w:color="auto"/>
        <w:right w:val="none" w:sz="0" w:space="0" w:color="auto"/>
      </w:divBdr>
    </w:div>
    <w:div w:id="14368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F97AD-AAE8-4928-A9ED-71BE6AE3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Tatiana</dc:creator>
  <cp:lastModifiedBy>Anton Tatiana</cp:lastModifiedBy>
  <cp:revision>3</cp:revision>
  <cp:lastPrinted>2024-04-11T08:37:00Z</cp:lastPrinted>
  <dcterms:created xsi:type="dcterms:W3CDTF">2024-05-10T05:55:00Z</dcterms:created>
  <dcterms:modified xsi:type="dcterms:W3CDTF">2024-05-10T05:55:00Z</dcterms:modified>
</cp:coreProperties>
</file>