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431DD" w14:textId="02F3DCA7" w:rsidR="002F541B" w:rsidRPr="00C57F1E" w:rsidRDefault="002F541B" w:rsidP="002F541B">
      <w:pPr>
        <w:spacing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C57F1E">
        <w:rPr>
          <w:rFonts w:ascii="Times New Roman" w:hAnsi="Times New Roman"/>
          <w:b/>
          <w:bCs/>
          <w:sz w:val="24"/>
        </w:rPr>
        <w:t>Nota informativă</w:t>
      </w:r>
      <w:r w:rsidRPr="00C57F1E">
        <w:rPr>
          <w:rFonts w:ascii="Times New Roman" w:hAnsi="Times New Roman"/>
          <w:b/>
          <w:bCs/>
          <w:sz w:val="24"/>
        </w:rPr>
        <w:br/>
        <w:t>la proiectul hotărârii de Guvern de modificare a HG nr.915/2011</w:t>
      </w:r>
      <w:r w:rsidRPr="00C57F1E">
        <w:rPr>
          <w:rFonts w:ascii="Times New Roman" w:hAnsi="Times New Roman"/>
          <w:b/>
          <w:bCs/>
          <w:sz w:val="24"/>
        </w:rPr>
        <w:br/>
        <w:t xml:space="preserve">pentru aprobarea </w:t>
      </w:r>
      <w:r w:rsidR="00E319F8" w:rsidRPr="00C57F1E">
        <w:rPr>
          <w:rFonts w:ascii="Times New Roman" w:hAnsi="Times New Roman"/>
          <w:b/>
          <w:bCs/>
          <w:sz w:val="24"/>
        </w:rPr>
        <w:t>Cerințelor</w:t>
      </w:r>
      <w:r w:rsidRPr="00C57F1E">
        <w:rPr>
          <w:rFonts w:ascii="Times New Roman" w:hAnsi="Times New Roman"/>
          <w:b/>
          <w:bCs/>
          <w:sz w:val="24"/>
        </w:rPr>
        <w:t xml:space="preserve"> privind calitatea şi comercializarea</w:t>
      </w:r>
      <w:r w:rsidRPr="00C57F1E">
        <w:rPr>
          <w:rFonts w:ascii="Times New Roman" w:hAnsi="Times New Roman"/>
          <w:b/>
          <w:bCs/>
          <w:sz w:val="24"/>
        </w:rPr>
        <w:br/>
        <w:t xml:space="preserve"> </w:t>
      </w:r>
      <w:r w:rsidR="00E319F8" w:rsidRPr="00C57F1E">
        <w:rPr>
          <w:rFonts w:ascii="Times New Roman" w:hAnsi="Times New Roman"/>
          <w:b/>
          <w:bCs/>
          <w:sz w:val="24"/>
        </w:rPr>
        <w:t>semințelor</w:t>
      </w:r>
      <w:r w:rsidRPr="00C57F1E">
        <w:rPr>
          <w:rFonts w:ascii="Times New Roman" w:hAnsi="Times New Roman"/>
          <w:b/>
          <w:bCs/>
          <w:sz w:val="24"/>
        </w:rPr>
        <w:t xml:space="preserve"> de plante oleaginoase şi pentru fibre</w:t>
      </w:r>
    </w:p>
    <w:tbl>
      <w:tblPr>
        <w:tblStyle w:val="Tabelgril1"/>
        <w:tblW w:w="0" w:type="auto"/>
        <w:tblInd w:w="137" w:type="dxa"/>
        <w:tblLook w:val="04A0" w:firstRow="1" w:lastRow="0" w:firstColumn="1" w:lastColumn="0" w:noHBand="0" w:noVBand="1"/>
      </w:tblPr>
      <w:tblGrid>
        <w:gridCol w:w="9208"/>
      </w:tblGrid>
      <w:tr w:rsidR="00E319F8" w:rsidRPr="00E319F8" w14:paraId="1D58CD9E" w14:textId="77777777" w:rsidTr="00E319F8">
        <w:tc>
          <w:tcPr>
            <w:tcW w:w="9208" w:type="dxa"/>
          </w:tcPr>
          <w:p w14:paraId="732CEBA3" w14:textId="77777777" w:rsidR="00E319F8" w:rsidRPr="00E319F8" w:rsidRDefault="00E319F8" w:rsidP="00E319F8">
            <w:pPr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ro-MD"/>
              </w:rPr>
              <w:t>1. Denumirea autorului și, după caz, a participanților la elaborarea proiectului</w:t>
            </w:r>
          </w:p>
        </w:tc>
      </w:tr>
      <w:tr w:rsidR="00E319F8" w:rsidRPr="00E319F8" w14:paraId="6EB68A01" w14:textId="77777777" w:rsidTr="00E319F8">
        <w:tc>
          <w:tcPr>
            <w:tcW w:w="9208" w:type="dxa"/>
          </w:tcPr>
          <w:p w14:paraId="72D4F48C" w14:textId="77777777" w:rsidR="00E319F8" w:rsidRPr="00E319F8" w:rsidRDefault="00E319F8" w:rsidP="00E319F8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Ministerul Agriculturii și Industriei Alimentare</w:t>
            </w:r>
          </w:p>
        </w:tc>
      </w:tr>
      <w:tr w:rsidR="00E319F8" w:rsidRPr="00E319F8" w14:paraId="0851C4FB" w14:textId="77777777" w:rsidTr="00E319F8">
        <w:tc>
          <w:tcPr>
            <w:tcW w:w="9208" w:type="dxa"/>
          </w:tcPr>
          <w:p w14:paraId="6BD93EF9" w14:textId="77777777" w:rsidR="00E319F8" w:rsidRPr="00E319F8" w:rsidRDefault="00E319F8" w:rsidP="00E319F8">
            <w:pPr>
              <w:numPr>
                <w:ilvl w:val="0"/>
                <w:numId w:val="1"/>
              </w:numPr>
              <w:ind w:left="317" w:hanging="283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Condițiile ce au impus elaborarea proiectului de act normativ și finalitățile urmărite</w:t>
            </w:r>
          </w:p>
        </w:tc>
      </w:tr>
      <w:tr w:rsidR="00E319F8" w:rsidRPr="00E319F8" w14:paraId="78064691" w14:textId="77777777" w:rsidTr="00E319F8">
        <w:tc>
          <w:tcPr>
            <w:tcW w:w="9208" w:type="dxa"/>
          </w:tcPr>
          <w:p w14:paraId="62F67843" w14:textId="296994D2" w:rsidR="00E319F8" w:rsidRDefault="00E319F8" w:rsidP="00E319F8">
            <w:pPr>
              <w:ind w:firstLine="57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A0336A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 xml:space="preserve">În contextul procesului de deschidere a negocierilor de aderare la Uniunea Europeană a Republicii Moldova, a ultimilor modificări operate la Legea concurenței nr. 183/2012 și în vederea realizării angajamentelor Republicii Moldova asumate în baza Acordului de Asociere între Republica Moldova, pe de o parte, şi Uniunea Europeană şi Comunitatea Europeană a Energiei Atomice şi Statele Membre ale acestora, pe de altă parte, și anume, în partea ce ține de armonizarea legislaţiei naţionale cu legislaţia Uniunii Europene în domeniul concurenței și a Planului național de acțiuni pentru aderarea Republicii Moldova la Uniunea Europeană pe anii 2024-2027 (aprobat prin Hotărârea Guvernului nr. 829/2023) este necesară </w:t>
            </w:r>
            <w:r w:rsidR="00A0336A" w:rsidRPr="00A0336A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revizuirea Cerințelor privind calitatea și comercializarea semințelor de plante oleaginoase și pentru fibre</w:t>
            </w:r>
            <w:r w:rsidRPr="00A0336A">
              <w:rPr>
                <w:rFonts w:ascii="Times New Roman" w:eastAsia="Calibri" w:hAnsi="Times New Roman" w:cs="Times New Roman"/>
                <w:sz w:val="26"/>
                <w:szCs w:val="26"/>
                <w:lang w:val="ro-RO"/>
              </w:rPr>
              <w:t>.</w:t>
            </w:r>
          </w:p>
          <w:p w14:paraId="0E0D57B5" w14:textId="5C4EF253" w:rsidR="00E319F8" w:rsidRPr="00A0336A" w:rsidRDefault="00A0336A" w:rsidP="00E319F8">
            <w:pPr>
              <w:ind w:firstLine="57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 w:rsidRPr="00A0336A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Ajustarea cadrului </w:t>
            </w:r>
            <w:proofErr w:type="spellStart"/>
            <w:r w:rsidRPr="00A0336A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national</w:t>
            </w:r>
            <w:proofErr w:type="spellEnd"/>
            <w:r w:rsidRPr="00A0336A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 în vederea cerințelor de calitate în conc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or</w:t>
            </w:r>
            <w:r w:rsidRPr="00A0336A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danță cu cele determinate de către țările UE este 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printre prioritățile de bază ale competitivității naționale de promovare a produselor autohtone pe piețele țărilor-membre ale UE. Pe de altă parte, modificarea legislativă și instituțională a R. Moldova impune necesitatea de a modifica actul normativ de referință prin perspectiva consolidării cerințelor conformităților naționale în vigoare. </w:t>
            </w:r>
            <w:r w:rsidR="0083578A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Fondarea Agenției Naționale pentru Siguranța Alimentelor drept organul principal în domeniile de inspecții, eșantionare și testarea semințelor, inclusiv prin prisma aprobării Legii despre semințe nr.68 din 2013.</w:t>
            </w:r>
          </w:p>
          <w:p w14:paraId="7D4C6D33" w14:textId="28E3B8CE" w:rsidR="00E319F8" w:rsidRPr="0083578A" w:rsidRDefault="00A67D2F" w:rsidP="0083578A">
            <w:pPr>
              <w:ind w:firstLine="57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 xml:space="preserve">De asemenea, modificările operate în Directiva 2002/57/CE din perioada 2016-2019 sunt imperioase de a determina armonizări a actului legislativ de referință. </w:t>
            </w:r>
            <w:r w:rsidR="0083578A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Aceste condiții menționate supra au impus armonizarea și modificarea actului normativ de referință.</w:t>
            </w:r>
          </w:p>
        </w:tc>
      </w:tr>
      <w:tr w:rsidR="00E319F8" w:rsidRPr="00E319F8" w14:paraId="384AC2BE" w14:textId="77777777" w:rsidTr="00E319F8">
        <w:tc>
          <w:tcPr>
            <w:tcW w:w="9208" w:type="dxa"/>
          </w:tcPr>
          <w:p w14:paraId="23CE316C" w14:textId="77777777" w:rsidR="00E319F8" w:rsidRPr="00E319F8" w:rsidRDefault="00E319F8" w:rsidP="00A0336A">
            <w:pPr>
              <w:numPr>
                <w:ilvl w:val="0"/>
                <w:numId w:val="1"/>
              </w:numPr>
              <w:ind w:left="28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Descrierea gradului de compatibilitate pentru proiectele care au ca scop armonizarea legislației naționale cu </w:t>
            </w:r>
            <w:proofErr w:type="spellStart"/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legislația</w:t>
            </w:r>
            <w:proofErr w:type="spellEnd"/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Uniunii</w:t>
            </w:r>
            <w:proofErr w:type="spellEnd"/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Europene</w:t>
            </w:r>
            <w:proofErr w:type="spellEnd"/>
          </w:p>
        </w:tc>
      </w:tr>
      <w:tr w:rsidR="00E319F8" w:rsidRPr="00E319F8" w14:paraId="3CD8F100" w14:textId="77777777" w:rsidTr="00E319F8">
        <w:tc>
          <w:tcPr>
            <w:tcW w:w="9208" w:type="dxa"/>
          </w:tcPr>
          <w:p w14:paraId="271DC9F1" w14:textId="4211277F" w:rsidR="00E319F8" w:rsidRPr="00E319F8" w:rsidRDefault="00E319F8" w:rsidP="00E319F8">
            <w:pPr>
              <w:ind w:firstLine="576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Proiectul de hotărâre are drept scop transpunerea prevederilor </w:t>
            </w:r>
            <w:proofErr w:type="spellStart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legislației</w:t>
            </w:r>
            <w:proofErr w:type="spellEnd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naționale</w:t>
            </w:r>
            <w:proofErr w:type="spellEnd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Directiva</w:t>
            </w:r>
            <w:proofErr w:type="spellEnd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2002/5</w:t>
            </w:r>
            <w:r w:rsidR="008357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/CE </w:t>
            </w:r>
            <w:r w:rsid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a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Consiliului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Europei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din 13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iunie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2002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privind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comercializarea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semințelor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de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plante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oleaginoase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și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pentru</w:t>
            </w:r>
            <w:proofErr w:type="spellEnd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7C3E8A" w:rsidRP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fibre</w:t>
            </w:r>
            <w:proofErr w:type="spellEnd"/>
            <w:r w:rsid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E319F8" w:rsidRPr="00E319F8" w14:paraId="1755AC03" w14:textId="77777777" w:rsidTr="00E319F8">
        <w:tc>
          <w:tcPr>
            <w:tcW w:w="9208" w:type="dxa"/>
          </w:tcPr>
          <w:p w14:paraId="69A26DA8" w14:textId="77777777" w:rsidR="00E319F8" w:rsidRPr="00E319F8" w:rsidRDefault="00E319F8" w:rsidP="00E319F8">
            <w:pPr>
              <w:numPr>
                <w:ilvl w:val="0"/>
                <w:numId w:val="1"/>
              </w:numPr>
              <w:ind w:left="34" w:firstLine="142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Principalele prevederi ale proiectului și evidențierea elementelor noi</w:t>
            </w:r>
          </w:p>
        </w:tc>
      </w:tr>
      <w:tr w:rsidR="00E319F8" w:rsidRPr="00E319F8" w14:paraId="5A11A185" w14:textId="77777777" w:rsidTr="00E319F8">
        <w:tc>
          <w:tcPr>
            <w:tcW w:w="9208" w:type="dxa"/>
          </w:tcPr>
          <w:p w14:paraId="4CB4AABB" w14:textId="4965FE92" w:rsidR="00E319F8" w:rsidRPr="007C3E8A" w:rsidRDefault="00E319F8" w:rsidP="00E319F8">
            <w:pPr>
              <w:ind w:left="-96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Proiectul transpune parțial Directivei 2002/5</w:t>
            </w:r>
            <w:r w:rsid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7</w:t>
            </w: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/CE a </w:t>
            </w:r>
            <w:r w:rsidR="007C3E8A"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ro-RO"/>
              </w:rPr>
              <w:t>Consiliului Europei din 13 iunie 2002 privind comercializarea semințelor de plante oleaginoase și pentru fibre</w:t>
            </w:r>
            <w:r w:rsidRPr="00E319F8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. </w:t>
            </w: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Alte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prevederi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aferente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procesului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transpunere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sunt:</w:t>
            </w:r>
          </w:p>
          <w:p w14:paraId="217AAF62" w14:textId="6BF13B94" w:rsidR="00E319F8" w:rsidRDefault="007C3E8A" w:rsidP="007C3E8A">
            <w:pPr>
              <w:pStyle w:val="Listparagraf"/>
              <w:numPr>
                <w:ilvl w:val="0"/>
                <w:numId w:val="3"/>
              </w:numPr>
              <w:ind w:left="28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Se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completează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cu pct. 81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următorul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cuprins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„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Pentru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a produce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seminţe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vederea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plasării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lor pe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piaţă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agenţii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economici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trebuie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fie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înregistrați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la ANSA conform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prevederilor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Legii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nr.68/2013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privire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</w:t>
            </w:r>
            <w:proofErr w:type="spellEnd"/>
            <w:proofErr w:type="gram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”;</w:t>
            </w:r>
            <w:proofErr w:type="gramEnd"/>
          </w:p>
          <w:p w14:paraId="7FA62D63" w14:textId="2F692062" w:rsidR="007C3E8A" w:rsidRDefault="007C3E8A" w:rsidP="007C3E8A">
            <w:pPr>
              <w:pStyle w:val="Listparagraf"/>
              <w:numPr>
                <w:ilvl w:val="0"/>
                <w:numId w:val="3"/>
              </w:numPr>
              <w:ind w:left="28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6.</w:t>
            </w: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ab/>
              <w:t xml:space="preserve">Pct. 10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avea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următorul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cuprins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„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Testarea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se face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corespundere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prevederile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Legii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nr.68/2013</w:t>
            </w:r>
            <w:proofErr w:type="gram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”;</w:t>
            </w:r>
            <w:proofErr w:type="gramEnd"/>
          </w:p>
          <w:p w14:paraId="0332F417" w14:textId="77777777" w:rsidR="007C3E8A" w:rsidRPr="007C3E8A" w:rsidRDefault="007C3E8A" w:rsidP="007C3E8A">
            <w:pPr>
              <w:pStyle w:val="Listparagraf"/>
              <w:numPr>
                <w:ilvl w:val="0"/>
                <w:numId w:val="3"/>
              </w:numPr>
              <w:ind w:left="28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Se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adaugă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pct. 101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următorul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cuprins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„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Producerea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plante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oleaginoase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și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fibre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modificate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genetic se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reglementează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către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prevederile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legale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vigoare</w:t>
            </w:r>
            <w:proofErr w:type="spellEnd"/>
            <w:proofErr w:type="gram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”;</w:t>
            </w:r>
            <w:proofErr w:type="gramEnd"/>
          </w:p>
          <w:p w14:paraId="54CAC0C4" w14:textId="77777777" w:rsidR="007C3E8A" w:rsidRPr="007C3E8A" w:rsidRDefault="007C3E8A" w:rsidP="007C3E8A">
            <w:pPr>
              <w:pStyle w:val="Listparagraf"/>
              <w:numPr>
                <w:ilvl w:val="0"/>
                <w:numId w:val="3"/>
              </w:numPr>
              <w:ind w:left="28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lastRenderedPageBreak/>
              <w:t xml:space="preserve">Pct.14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avea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următorul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cuprins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 „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Comercializarea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bază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care nu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îndeplinesc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germinația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facultativă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conform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cerințelor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din Anexa 2 se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comercializează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certificatul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calitate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eliberat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un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laborator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acreditat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care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fi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stipulată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germinația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facultativă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precum şi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intervalul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etichete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conține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informația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privind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denumirea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speciei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şi 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soiului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numărul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referință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al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lotului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denumirea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producătorului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şi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adresa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acestuia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anul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certificării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şi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numărul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unic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identificare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etichetei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”;</w:t>
            </w:r>
          </w:p>
          <w:p w14:paraId="056F4994" w14:textId="77777777" w:rsidR="007C3E8A" w:rsidRPr="007C3E8A" w:rsidRDefault="007C3E8A" w:rsidP="007C3E8A">
            <w:pPr>
              <w:pStyle w:val="Listparagraf"/>
              <w:numPr>
                <w:ilvl w:val="0"/>
                <w:numId w:val="3"/>
              </w:numPr>
              <w:ind w:left="28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La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anexa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1, se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adaugă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pct.41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următorul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cuprins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„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cazul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care, ca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urmare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punerii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aplicare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punctelor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1, 3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și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4,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persistă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îndoieli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privire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identitatea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soiurilor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autoritatea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certificare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poate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utiliza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vederea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examinării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identității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respective, o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tehnică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biochimică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sau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moleculară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reproductibilă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și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recunoscută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nivel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internațional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conformitate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standardele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internaționale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aplicabile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.</w:t>
            </w:r>
            <w:proofErr w:type="gram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”;</w:t>
            </w:r>
            <w:proofErr w:type="gramEnd"/>
          </w:p>
          <w:p w14:paraId="3D62CAF8" w14:textId="35B8EC71" w:rsidR="007C3E8A" w:rsidRPr="007C3E8A" w:rsidRDefault="007C3E8A" w:rsidP="007C3E8A">
            <w:pPr>
              <w:pStyle w:val="Listparagraf"/>
              <w:numPr>
                <w:ilvl w:val="0"/>
                <w:numId w:val="3"/>
              </w:numPr>
              <w:ind w:left="28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La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anexa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1, se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adaugă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pct. 42 cu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următorul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cuprins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„1) Cultura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este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efectiv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indemnă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orice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organisme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dăunătoare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care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reduc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utilitatea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și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calitatea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materialului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înmulțire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. Cultura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respectă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asemenea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cerințele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privind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organismele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dăunătoare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carantină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pentru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Uniune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organismele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dăunătoare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carantină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pentru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zone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protejate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și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organismele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dăunătoare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reglementate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care nu sunt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carantină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(ORNC). 2)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Prezența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ORNC-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urilor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pe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culturi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respectă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următoarele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cerințe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:</w:t>
            </w:r>
          </w:p>
          <w:p w14:paraId="189C731A" w14:textId="77777777" w:rsidR="007C3E8A" w:rsidRPr="007C3E8A" w:rsidRDefault="007C3E8A" w:rsidP="007C3E8A">
            <w:pPr>
              <w:ind w:left="34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ab/>
              <w:t>ORNC-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sau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simptome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cauzate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ORNC-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uri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Plasmopara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halstedii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(Farlow) Berlese &amp; de Toni [PLASHA</w:t>
            </w:r>
            <w:proofErr w:type="gram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];</w:t>
            </w:r>
            <w:proofErr w:type="gramEnd"/>
          </w:p>
          <w:p w14:paraId="44F85B33" w14:textId="77777777" w:rsidR="007C3E8A" w:rsidRPr="007C3E8A" w:rsidRDefault="007C3E8A" w:rsidP="007C3E8A">
            <w:pPr>
              <w:ind w:left="34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ab/>
              <w:t xml:space="preserve">Plante destinate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plantării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–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Hellianthus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annuus L.</w:t>
            </w:r>
          </w:p>
          <w:p w14:paraId="06CF9A8F" w14:textId="77777777" w:rsidR="007C3E8A" w:rsidRPr="007C3E8A" w:rsidRDefault="007C3E8A" w:rsidP="007C3E8A">
            <w:pPr>
              <w:ind w:left="34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ab/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Pragul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pentru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producția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bază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– </w:t>
            </w:r>
            <w:proofErr w:type="gram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0%;</w:t>
            </w:r>
            <w:proofErr w:type="gramEnd"/>
          </w:p>
          <w:p w14:paraId="65690A0F" w14:textId="77777777" w:rsidR="007C3E8A" w:rsidRPr="007C3E8A" w:rsidRDefault="007C3E8A" w:rsidP="007C3E8A">
            <w:pPr>
              <w:ind w:left="34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ab/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Pragul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pentru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producția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anterioare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celei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bază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– </w:t>
            </w:r>
            <w:proofErr w:type="gram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0%;</w:t>
            </w:r>
            <w:proofErr w:type="gramEnd"/>
          </w:p>
          <w:p w14:paraId="1204B7F3" w14:textId="09B3BE70" w:rsidR="007C3E8A" w:rsidRPr="00E319F8" w:rsidRDefault="007C3E8A" w:rsidP="007C3E8A">
            <w:pPr>
              <w:ind w:left="34" w:firstLine="567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</w:pP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-</w:t>
            </w:r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ab/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Pragul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pentru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producția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de </w:t>
            </w:r>
            <w:proofErr w:type="spellStart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>semințe</w:t>
            </w:r>
            <w:proofErr w:type="spellEnd"/>
            <w:r w:rsidRPr="007C3E8A">
              <w:rPr>
                <w:rFonts w:ascii="Times New Roman" w:eastAsia="Calibri" w:hAnsi="Times New Roman" w:cs="Times New Roman"/>
                <w:bCs/>
                <w:sz w:val="26"/>
                <w:szCs w:val="26"/>
                <w:lang w:val="en-US"/>
              </w:rPr>
              <w:t xml:space="preserve"> certificate – 0%.”</w:t>
            </w:r>
          </w:p>
        </w:tc>
      </w:tr>
      <w:tr w:rsidR="00E319F8" w:rsidRPr="00E319F8" w14:paraId="2E995E9E" w14:textId="77777777" w:rsidTr="00E319F8">
        <w:trPr>
          <w:trHeight w:val="426"/>
        </w:trPr>
        <w:tc>
          <w:tcPr>
            <w:tcW w:w="9208" w:type="dxa"/>
            <w:vAlign w:val="center"/>
          </w:tcPr>
          <w:p w14:paraId="716E46A7" w14:textId="77777777" w:rsidR="00E319F8" w:rsidRPr="00E319F8" w:rsidRDefault="00E319F8" w:rsidP="00E319F8">
            <w:pPr>
              <w:numPr>
                <w:ilvl w:val="0"/>
                <w:numId w:val="1"/>
              </w:numPr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Fundamentarea economico-financiară</w:t>
            </w:r>
          </w:p>
        </w:tc>
      </w:tr>
      <w:tr w:rsidR="00E319F8" w:rsidRPr="00E319F8" w14:paraId="554FD92D" w14:textId="77777777" w:rsidTr="00E319F8">
        <w:trPr>
          <w:trHeight w:val="285"/>
        </w:trPr>
        <w:tc>
          <w:tcPr>
            <w:tcW w:w="9208" w:type="dxa"/>
          </w:tcPr>
          <w:p w14:paraId="4CCFA73E" w14:textId="72AB1F64" w:rsidR="00E319F8" w:rsidRPr="00E319F8" w:rsidRDefault="00E319F8" w:rsidP="00E319F8">
            <w:pPr>
              <w:ind w:firstLine="57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Proiectul nu </w:t>
            </w:r>
            <w:proofErr w:type="spellStart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necesită</w:t>
            </w:r>
            <w:proofErr w:type="spellEnd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surse</w:t>
            </w:r>
            <w:proofErr w:type="spellEnd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financiare</w:t>
            </w:r>
            <w:proofErr w:type="spellEnd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din </w:t>
            </w:r>
            <w:proofErr w:type="spellStart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Bugetul</w:t>
            </w:r>
            <w:proofErr w:type="spellEnd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7C3E8A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 xml:space="preserve">Public </w:t>
            </w:r>
            <w:proofErr w:type="spellStart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Național</w:t>
            </w:r>
            <w:proofErr w:type="spellEnd"/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.</w:t>
            </w:r>
          </w:p>
        </w:tc>
      </w:tr>
      <w:tr w:rsidR="00E319F8" w:rsidRPr="00E319F8" w14:paraId="33013592" w14:textId="77777777" w:rsidTr="00E319F8">
        <w:trPr>
          <w:trHeight w:val="472"/>
        </w:trPr>
        <w:tc>
          <w:tcPr>
            <w:tcW w:w="9208" w:type="dxa"/>
            <w:vAlign w:val="center"/>
          </w:tcPr>
          <w:p w14:paraId="734B8383" w14:textId="77777777" w:rsidR="00E319F8" w:rsidRPr="00E319F8" w:rsidRDefault="00E319F8" w:rsidP="00E319F8">
            <w:pPr>
              <w:numPr>
                <w:ilvl w:val="0"/>
                <w:numId w:val="1"/>
              </w:numPr>
              <w:ind w:left="34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Modul de încorporare a actului în cadrul normativ în vigoare</w:t>
            </w:r>
          </w:p>
        </w:tc>
      </w:tr>
      <w:tr w:rsidR="00E319F8" w:rsidRPr="00E319F8" w14:paraId="195939F7" w14:textId="77777777" w:rsidTr="00E319F8">
        <w:tc>
          <w:tcPr>
            <w:tcW w:w="9208" w:type="dxa"/>
          </w:tcPr>
          <w:p w14:paraId="5070FAFA" w14:textId="77777777" w:rsidR="00E319F8" w:rsidRPr="00E319F8" w:rsidRDefault="00E319F8" w:rsidP="00E319F8">
            <w:pPr>
              <w:ind w:firstLine="576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ro-MD"/>
              </w:rPr>
              <w:t>Actul normativ în cauză este elaborat în temeiul Legii nr. 100/2017, Legii nr. 71/2023 cu respectarea prevederilor Legii nr. 100/2017 și este în totalitate compatibil cu cadrul normativ în vigoare.</w:t>
            </w:r>
          </w:p>
        </w:tc>
      </w:tr>
      <w:tr w:rsidR="00E319F8" w:rsidRPr="00E319F8" w14:paraId="2C092C90" w14:textId="77777777" w:rsidTr="00E319F8">
        <w:trPr>
          <w:trHeight w:val="459"/>
        </w:trPr>
        <w:tc>
          <w:tcPr>
            <w:tcW w:w="9208" w:type="dxa"/>
            <w:vAlign w:val="center"/>
          </w:tcPr>
          <w:p w14:paraId="0F1176D9" w14:textId="77777777" w:rsidR="00E319F8" w:rsidRPr="00E319F8" w:rsidRDefault="00E319F8" w:rsidP="00E319F8">
            <w:pPr>
              <w:numPr>
                <w:ilvl w:val="0"/>
                <w:numId w:val="1"/>
              </w:numPr>
              <w:tabs>
                <w:tab w:val="left" w:pos="34"/>
              </w:tabs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>Avizarea şi consultarea publică a proiectului</w:t>
            </w:r>
          </w:p>
        </w:tc>
      </w:tr>
      <w:tr w:rsidR="00E319F8" w:rsidRPr="00E319F8" w14:paraId="366E6F84" w14:textId="77777777" w:rsidTr="00E319F8">
        <w:tc>
          <w:tcPr>
            <w:tcW w:w="9208" w:type="dxa"/>
          </w:tcPr>
          <w:p w14:paraId="76FF5FF5" w14:textId="77777777" w:rsidR="00E319F8" w:rsidRPr="00E319F8" w:rsidRDefault="00E319F8" w:rsidP="00E319F8">
            <w:pPr>
              <w:ind w:firstLine="567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Proiectul a fost plasat spre consultări publice pe pagina web a Ministerului și particip.gov.md</w:t>
            </w:r>
          </w:p>
          <w:p w14:paraId="3E113D6E" w14:textId="77777777" w:rsidR="00E319F8" w:rsidRPr="00E319F8" w:rsidRDefault="00000000" w:rsidP="00E319F8">
            <w:pPr>
              <w:ind w:firstLine="567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</w:pPr>
            <w:hyperlink r:id="rId5" w:history="1">
              <w:r w:rsidR="00E319F8" w:rsidRPr="00E319F8">
                <w:rPr>
                  <w:rFonts w:ascii="Times New Roman" w:eastAsia="Calibri" w:hAnsi="Times New Roman" w:cs="Times New Roman"/>
                  <w:b/>
                  <w:color w:val="0563C1"/>
                  <w:sz w:val="26"/>
                  <w:szCs w:val="26"/>
                  <w:highlight w:val="yellow"/>
                  <w:u w:val="single"/>
                  <w:lang w:val="en-US"/>
                </w:rPr>
                <w:t>https://particip.gov.md/ro/document/stages/ministerul-agriculturii-si-industriei-alimentare-comunica-despre-intentia-de-initiere-a-modificarii-hotaririi-guvernului-nr-1382-din-08122006-pentru-aprobarea-regulamentului-cu-privire-la-reglementarea-activitatilor-de-cultivare-a-plantelor-care-contin-substante-stupefiante-sau-psihotrope-monitorul-oficial-al-r-moldova-189-1921476-15122006/10894</w:t>
              </w:r>
            </w:hyperlink>
            <w:r w:rsidR="00E319F8" w:rsidRPr="00E319F8">
              <w:rPr>
                <w:rFonts w:ascii="Times New Roman" w:eastAsia="Calibri" w:hAnsi="Times New Roman" w:cs="Times New Roman"/>
                <w:b/>
                <w:sz w:val="26"/>
                <w:szCs w:val="26"/>
                <w:lang w:val="en-US"/>
              </w:rPr>
              <w:t xml:space="preserve"> </w:t>
            </w:r>
          </w:p>
        </w:tc>
      </w:tr>
      <w:tr w:rsidR="00E319F8" w:rsidRPr="00E319F8" w14:paraId="620A1322" w14:textId="77777777" w:rsidTr="00E319F8">
        <w:tc>
          <w:tcPr>
            <w:tcW w:w="9208" w:type="dxa"/>
          </w:tcPr>
          <w:p w14:paraId="45B8EA87" w14:textId="77777777" w:rsidR="00E319F8" w:rsidRPr="00E319F8" w:rsidRDefault="00E319F8" w:rsidP="00E319F8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8. Constatările expertizei anticorupție</w:t>
            </w:r>
          </w:p>
        </w:tc>
      </w:tr>
      <w:tr w:rsidR="00E319F8" w:rsidRPr="00E319F8" w14:paraId="3582AFC9" w14:textId="77777777" w:rsidTr="00E319F8">
        <w:tc>
          <w:tcPr>
            <w:tcW w:w="9208" w:type="dxa"/>
          </w:tcPr>
          <w:p w14:paraId="378CF43E" w14:textId="77777777" w:rsidR="00E319F8" w:rsidRPr="00E319F8" w:rsidRDefault="00E319F8" w:rsidP="00E319F8">
            <w:pPr>
              <w:tabs>
                <w:tab w:val="left" w:pos="884"/>
                <w:tab w:val="left" w:pos="1196"/>
              </w:tabs>
              <w:ind w:firstLine="60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În conformitate cu prevederile art.35 ale Legii nr.100/2017 cu privire la actele normative și art.28, alin. 2) a Legii integrității nr.82/2017, proiectul hotărârii Guvernului urmează a fi supus expertizei anticorupție de către Centrul Național Anticorupție</w:t>
            </w:r>
          </w:p>
        </w:tc>
      </w:tr>
      <w:tr w:rsidR="00E319F8" w:rsidRPr="00E319F8" w14:paraId="6B9BDAC1" w14:textId="77777777" w:rsidTr="00E319F8">
        <w:tc>
          <w:tcPr>
            <w:tcW w:w="9208" w:type="dxa"/>
          </w:tcPr>
          <w:p w14:paraId="719E93E0" w14:textId="77777777" w:rsidR="00E319F8" w:rsidRPr="00E319F8" w:rsidRDefault="00E319F8" w:rsidP="00E319F8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>9. Constatările expertizei de compatibilitate</w:t>
            </w:r>
          </w:p>
        </w:tc>
      </w:tr>
      <w:tr w:rsidR="00E319F8" w:rsidRPr="00E319F8" w14:paraId="62C63C89" w14:textId="77777777" w:rsidTr="00E319F8">
        <w:tc>
          <w:tcPr>
            <w:tcW w:w="9208" w:type="dxa"/>
          </w:tcPr>
          <w:p w14:paraId="55240AFC" w14:textId="77777777" w:rsidR="00E319F8" w:rsidRPr="00E319F8" w:rsidRDefault="00E319F8" w:rsidP="00E319F8">
            <w:pPr>
              <w:tabs>
                <w:tab w:val="left" w:pos="884"/>
                <w:tab w:val="left" w:pos="1196"/>
              </w:tabs>
              <w:spacing w:after="80"/>
              <w:ind w:firstLine="60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În conformitate cu art.36, alin.(2) a Legii nr.100/2017 cu privire la actele normative și art.28, alin. 2) a Legii integrității nr.82/2017, proiectul hotărârii Guvernului urmează a fi supus expertizei de compatibilitate a proiectului actului normativ cu legislația Uniunii Europene.</w:t>
            </w:r>
          </w:p>
        </w:tc>
      </w:tr>
      <w:tr w:rsidR="00E319F8" w:rsidRPr="00E319F8" w14:paraId="1BB1B0C3" w14:textId="77777777" w:rsidTr="00E319F8">
        <w:tc>
          <w:tcPr>
            <w:tcW w:w="9208" w:type="dxa"/>
          </w:tcPr>
          <w:p w14:paraId="6A0D4F8C" w14:textId="77777777" w:rsidR="00E319F8" w:rsidRPr="00E319F8" w:rsidRDefault="00E319F8" w:rsidP="00E319F8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10. Constatările expertizei juridice</w:t>
            </w:r>
          </w:p>
        </w:tc>
      </w:tr>
      <w:tr w:rsidR="00E319F8" w:rsidRPr="00E319F8" w14:paraId="71AEEB7F" w14:textId="77777777" w:rsidTr="00E319F8">
        <w:tc>
          <w:tcPr>
            <w:tcW w:w="9208" w:type="dxa"/>
          </w:tcPr>
          <w:p w14:paraId="0AD6E8D5" w14:textId="77777777" w:rsidR="00E319F8" w:rsidRPr="00E319F8" w:rsidRDefault="00E319F8" w:rsidP="00E319F8">
            <w:pPr>
              <w:tabs>
                <w:tab w:val="left" w:pos="993"/>
              </w:tabs>
              <w:ind w:firstLine="601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sz w:val="26"/>
                <w:szCs w:val="26"/>
                <w:lang w:val="en-US"/>
              </w:rPr>
              <w:t>Proiectul urmează a fi remis pentru expertiza justiție de către Ministerul Justiției, conform art. 36 din Legea nr. 100/2017 cu privire la actele normative, iar rezultatele acesteia vor fi inc1use în sinteza obiecțiilor și propunerilor.</w:t>
            </w:r>
          </w:p>
        </w:tc>
      </w:tr>
      <w:tr w:rsidR="00E319F8" w:rsidRPr="00E319F8" w14:paraId="720A230B" w14:textId="77777777" w:rsidTr="00E319F8">
        <w:tc>
          <w:tcPr>
            <w:tcW w:w="9208" w:type="dxa"/>
          </w:tcPr>
          <w:p w14:paraId="5E8D6936" w14:textId="77777777" w:rsidR="00E319F8" w:rsidRPr="00E319F8" w:rsidRDefault="00E319F8" w:rsidP="00E319F8">
            <w:pPr>
              <w:tabs>
                <w:tab w:val="left" w:pos="884"/>
                <w:tab w:val="left" w:pos="1196"/>
              </w:tabs>
              <w:spacing w:after="8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E319F8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11. Constatările altor expertize</w:t>
            </w:r>
          </w:p>
        </w:tc>
      </w:tr>
      <w:tr w:rsidR="00E319F8" w:rsidRPr="00E319F8" w14:paraId="3AD50D85" w14:textId="77777777" w:rsidTr="00E319F8">
        <w:tc>
          <w:tcPr>
            <w:tcW w:w="9208" w:type="dxa"/>
          </w:tcPr>
          <w:p w14:paraId="09EF4274" w14:textId="10F7C381" w:rsidR="00E319F8" w:rsidRPr="00E319F8" w:rsidRDefault="00E319F8" w:rsidP="00E319F8">
            <w:pPr>
              <w:ind w:firstLine="567"/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</w:pPr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Analiza impactului de </w:t>
            </w:r>
            <w:proofErr w:type="spellStart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reglementare</w:t>
            </w:r>
            <w:proofErr w:type="spellEnd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la </w:t>
            </w:r>
            <w:proofErr w:type="spellStart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proiectul</w:t>
            </w:r>
            <w:proofErr w:type="spellEnd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Hotărârii</w:t>
            </w:r>
            <w:proofErr w:type="spellEnd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Guvernului</w:t>
            </w:r>
            <w:proofErr w:type="spellEnd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nr.</w:t>
            </w:r>
            <w:r w:rsidR="007C3E8A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915</w:t>
            </w:r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/201</w:t>
            </w:r>
            <w:r w:rsidR="007C3E8A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1</w:t>
            </w:r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, a </w:t>
            </w:r>
            <w:proofErr w:type="spellStart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fost</w:t>
            </w:r>
            <w:proofErr w:type="spellEnd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examinată</w:t>
            </w:r>
            <w:proofErr w:type="spellEnd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în</w:t>
            </w:r>
            <w:proofErr w:type="spellEnd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>ședința</w:t>
            </w:r>
            <w:proofErr w:type="spellEnd"/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Grupului de lucru al Comisiei de stat pentru reglementarea activităţii de întreprinzător pe data </w:t>
            </w:r>
            <w:r w:rsidRPr="007C3E8A">
              <w:rPr>
                <w:rFonts w:ascii="Times New Roman" w:eastAsia="Calibri" w:hAnsi="Times New Roman" w:cs="Times New Roman"/>
                <w:iCs/>
                <w:sz w:val="26"/>
                <w:szCs w:val="26"/>
                <w:highlight w:val="yellow"/>
                <w:lang w:val="en-US"/>
              </w:rPr>
              <w:t>09/04/2024</w:t>
            </w:r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lang w:val="en-US"/>
              </w:rPr>
              <w:t xml:space="preserve"> și a fost susținut condiționat, conform Procesului-verbal nr.</w:t>
            </w:r>
            <w:r w:rsidRPr="00E319F8">
              <w:rPr>
                <w:rFonts w:ascii="Times New Roman" w:eastAsia="Calibri" w:hAnsi="Times New Roman" w:cs="Times New Roman"/>
                <w:iCs/>
                <w:sz w:val="26"/>
                <w:szCs w:val="26"/>
                <w:highlight w:val="yellow"/>
                <w:lang w:val="en-US"/>
              </w:rPr>
              <w:t xml:space="preserve"> 45 din 28.11.23.</w:t>
            </w:r>
          </w:p>
        </w:tc>
      </w:tr>
    </w:tbl>
    <w:p w14:paraId="1A7475B2" w14:textId="77777777" w:rsidR="00E319F8" w:rsidRPr="00E319F8" w:rsidRDefault="00E319F8" w:rsidP="00E319F8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00D3E0FE" w14:textId="77777777" w:rsidR="00E319F8" w:rsidRPr="00E319F8" w:rsidRDefault="00E319F8" w:rsidP="00E319F8">
      <w:pPr>
        <w:spacing w:after="0" w:line="240" w:lineRule="auto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5B6B3402" w14:textId="77777777" w:rsidR="00E319F8" w:rsidRPr="00E319F8" w:rsidRDefault="00E319F8" w:rsidP="00E319F8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</w:pPr>
      <w:bookmarkStart w:id="0" w:name="_Hlk150949689"/>
      <w:r w:rsidRPr="00E319F8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>Secretar de Stat</w:t>
      </w:r>
      <w:r w:rsidRPr="00E319F8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ab/>
      </w:r>
      <w:r w:rsidRPr="00E319F8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ab/>
      </w:r>
      <w:r w:rsidRPr="00E319F8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ab/>
      </w:r>
      <w:r w:rsidRPr="00E319F8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ab/>
      </w:r>
      <w:r w:rsidRPr="00E319F8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ab/>
      </w:r>
      <w:r w:rsidRPr="00E319F8">
        <w:rPr>
          <w:rFonts w:ascii="Times New Roman" w:eastAsia="Calibri" w:hAnsi="Times New Roman" w:cs="Times New Roman"/>
          <w:b/>
          <w:kern w:val="0"/>
          <w:sz w:val="27"/>
          <w:szCs w:val="27"/>
          <w14:ligatures w14:val="none"/>
        </w:rPr>
        <w:tab/>
        <w:t>Vasile ȘARBAN</w:t>
      </w:r>
    </w:p>
    <w:p w14:paraId="3AB7125C" w14:textId="77777777" w:rsidR="00E319F8" w:rsidRPr="00E319F8" w:rsidRDefault="00E319F8" w:rsidP="00E319F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C482C5D" w14:textId="77777777" w:rsidR="00E319F8" w:rsidRPr="00E319F8" w:rsidRDefault="00E319F8" w:rsidP="00E319F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7DAB691" w14:textId="77777777" w:rsidR="00E319F8" w:rsidRPr="00E319F8" w:rsidRDefault="00E319F8" w:rsidP="00E319F8">
      <w:pPr>
        <w:spacing w:after="0" w:line="240" w:lineRule="auto"/>
        <w:ind w:left="686"/>
        <w:rPr>
          <w:rFonts w:ascii="Times New Roman" w:eastAsia="Times New Roman" w:hAnsi="Times New Roman" w:cs="Times New Roman"/>
          <w:i/>
          <w:kern w:val="0"/>
          <w:sz w:val="20"/>
          <w:lang w:eastAsia="ro-RO"/>
          <w14:ligatures w14:val="none"/>
        </w:rPr>
      </w:pPr>
      <w:r w:rsidRPr="00E319F8">
        <w:rPr>
          <w:rFonts w:ascii="Times New Roman" w:eastAsia="Times New Roman" w:hAnsi="Times New Roman" w:cs="Times New Roman"/>
          <w:i/>
          <w:kern w:val="0"/>
          <w:sz w:val="20"/>
          <w:lang w:eastAsia="ro-RO"/>
          <w14:ligatures w14:val="none"/>
        </w:rPr>
        <w:t>Ex: Grigore Baltag,</w:t>
      </w:r>
    </w:p>
    <w:p w14:paraId="33CBC3BF" w14:textId="0CCC8CDB" w:rsidR="00E319F8" w:rsidRPr="00E319F8" w:rsidRDefault="00E319F8" w:rsidP="00E319F8">
      <w:pPr>
        <w:spacing w:after="0"/>
        <w:ind w:left="686"/>
        <w:rPr>
          <w:rFonts w:ascii="Times New Roman" w:eastAsia="Times New Roman" w:hAnsi="Times New Roman" w:cs="Times New Roman"/>
          <w:i/>
          <w:kern w:val="0"/>
          <w:sz w:val="20"/>
          <w:lang w:eastAsia="ro-RO"/>
          <w14:ligatures w14:val="none"/>
        </w:rPr>
      </w:pPr>
      <w:r w:rsidRPr="00E319F8">
        <w:rPr>
          <w:rFonts w:ascii="Times New Roman" w:eastAsia="Times New Roman" w:hAnsi="Times New Roman" w:cs="Times New Roman"/>
          <w:i/>
          <w:kern w:val="0"/>
          <w:sz w:val="20"/>
          <w:lang w:eastAsia="ro-RO"/>
          <w14:ligatures w14:val="none"/>
        </w:rPr>
        <w:t>Tel.: 022 204-</w:t>
      </w:r>
      <w:bookmarkEnd w:id="0"/>
      <w:r w:rsidRPr="00E319F8">
        <w:rPr>
          <w:rFonts w:ascii="Times New Roman" w:eastAsia="Times New Roman" w:hAnsi="Times New Roman" w:cs="Times New Roman"/>
          <w:i/>
          <w:kern w:val="0"/>
          <w:sz w:val="20"/>
          <w:lang w:eastAsia="ro-RO"/>
          <w14:ligatures w14:val="none"/>
        </w:rPr>
        <w:t>514</w:t>
      </w:r>
    </w:p>
    <w:sectPr w:rsidR="00E319F8" w:rsidRPr="00E319F8" w:rsidSect="00B33E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BF502A"/>
    <w:multiLevelType w:val="hybridMultilevel"/>
    <w:tmpl w:val="7BA29868"/>
    <w:lvl w:ilvl="0" w:tplc="60700FCC">
      <w:start w:val="2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5C68CC"/>
    <w:multiLevelType w:val="hybridMultilevel"/>
    <w:tmpl w:val="ADD2E496"/>
    <w:lvl w:ilvl="0" w:tplc="DD70A0A0">
      <w:start w:val="4"/>
      <w:numFmt w:val="bullet"/>
      <w:lvlText w:val="-"/>
      <w:lvlJc w:val="left"/>
      <w:pPr>
        <w:ind w:left="96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" w15:restartNumberingAfterBreak="0">
    <w:nsid w:val="5264137A"/>
    <w:multiLevelType w:val="hybridMultilevel"/>
    <w:tmpl w:val="B7FCB874"/>
    <w:lvl w:ilvl="0" w:tplc="05AC10E0">
      <w:start w:val="44"/>
      <w:numFmt w:val="bullet"/>
      <w:lvlText w:val="-"/>
      <w:lvlJc w:val="left"/>
      <w:pPr>
        <w:ind w:left="961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num w:numId="1" w16cid:durableId="995105011">
    <w:abstractNumId w:val="0"/>
  </w:num>
  <w:num w:numId="2" w16cid:durableId="589200635">
    <w:abstractNumId w:val="2"/>
  </w:num>
  <w:num w:numId="3" w16cid:durableId="199901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541B"/>
    <w:rsid w:val="002F541B"/>
    <w:rsid w:val="003A1D14"/>
    <w:rsid w:val="00527EE4"/>
    <w:rsid w:val="005607CD"/>
    <w:rsid w:val="0071635A"/>
    <w:rsid w:val="007C3E8A"/>
    <w:rsid w:val="00822A06"/>
    <w:rsid w:val="0083578A"/>
    <w:rsid w:val="00853D35"/>
    <w:rsid w:val="008B1D98"/>
    <w:rsid w:val="009D31FD"/>
    <w:rsid w:val="00A0336A"/>
    <w:rsid w:val="00A67D2F"/>
    <w:rsid w:val="00B33E7A"/>
    <w:rsid w:val="00D47636"/>
    <w:rsid w:val="00E319F8"/>
    <w:rsid w:val="00E5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6AAB"/>
  <w15:docId w15:val="{5FEC9687-B049-4DBD-8495-5CF26D36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41B"/>
  </w:style>
  <w:style w:type="paragraph" w:styleId="Titlu1">
    <w:name w:val="heading 1"/>
    <w:basedOn w:val="Normal"/>
    <w:next w:val="Normal"/>
    <w:link w:val="Titlu1Caracter"/>
    <w:uiPriority w:val="9"/>
    <w:qFormat/>
    <w:rsid w:val="002F5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F5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F5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F5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F5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F54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F54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F54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F54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F5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F5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F5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F541B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F541B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F541B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F541B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F541B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F541B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2F5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2F5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F5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F5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2F5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2F541B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2F541B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2F541B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F5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F541B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2F541B"/>
    <w:rPr>
      <w:b/>
      <w:bCs/>
      <w:smallCaps/>
      <w:color w:val="2F5496" w:themeColor="accent1" w:themeShade="BF"/>
      <w:spacing w:val="5"/>
    </w:rPr>
  </w:style>
  <w:style w:type="table" w:customStyle="1" w:styleId="Tabelgril1">
    <w:name w:val="Tabel grilă1"/>
    <w:basedOn w:val="TabelNormal"/>
    <w:next w:val="Tabelgril"/>
    <w:uiPriority w:val="59"/>
    <w:rsid w:val="00E319F8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E31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rticip.gov.md/ro/document/stages/ministerul-agriculturii-si-industriei-alimentare-comunica-despre-intentia-de-initiere-a-modificarii-hotaririi-guvernului-nr-1382-din-08122006-pentru-aprobarea-regulamentului-cu-privire-la-reglementarea-activitatilor-de-cultivare-a-plantelor-care-contin-substante-stupefiante-sau-psihotrope-monitorul-oficial-al-r-moldova-189-1921476-15122006/108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1136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Grigore BALTAG</dc:creator>
  <cp:keywords/>
  <dc:description/>
  <cp:lastModifiedBy>Grigore BALTAG</cp:lastModifiedBy>
  <cp:revision>3</cp:revision>
  <dcterms:created xsi:type="dcterms:W3CDTF">2024-04-14T12:55:00Z</dcterms:created>
  <dcterms:modified xsi:type="dcterms:W3CDTF">2024-05-07T11:35:00Z</dcterms:modified>
</cp:coreProperties>
</file>