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48" w:rsidRPr="005D4383" w:rsidRDefault="005D4383">
      <w:pPr>
        <w:shd w:val="clear" w:color="auto" w:fill="FFFFFF"/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 xml:space="preserve">Hotărârea Guvernului nr. _______      </w:t>
      </w:r>
    </w:p>
    <w:p w:rsidR="000E6448" w:rsidRPr="005D4383" w:rsidRDefault="005D4383">
      <w:pPr>
        <w:shd w:val="clear" w:color="auto" w:fill="FFFFFF"/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din ______________</w:t>
      </w:r>
    </w:p>
    <w:p w:rsidR="000E6448" w:rsidRPr="005D4383" w:rsidRDefault="005D4383">
      <w:pPr>
        <w:shd w:val="clear" w:color="auto" w:fill="FFFFFF"/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privind aprobarea Regulamentului de acordare a alocațiilor pentru creșterea accesului la studii de calitate</w:t>
      </w:r>
    </w:p>
    <w:p w:rsidR="000E6448" w:rsidRPr="005D4383" w:rsidRDefault="000E6448">
      <w:pPr>
        <w:shd w:val="clear" w:color="auto" w:fill="FFFFFF"/>
        <w:spacing w:before="165" w:after="16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6448" w:rsidRPr="005D4383" w:rsidRDefault="005D438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În conformitate cu Codul </w:t>
      </w:r>
      <w:proofErr w:type="spellStart"/>
      <w:r w:rsidRPr="005D4383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al Republicii Moldova nr.152/2014 (Monitorul Oficial al Republicii Moldova, 2014, nr.319-324, art.634),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cu modificările și completările ulterioare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, Guvernul </w:t>
      </w: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HOTĂRĂŞTE:</w:t>
      </w:r>
    </w:p>
    <w:p w:rsidR="000E6448" w:rsidRPr="005D4383" w:rsidRDefault="005D4383">
      <w:pPr>
        <w:widowControl w:val="0"/>
        <w:shd w:val="clear" w:color="auto" w:fill="FFFFFF"/>
        <w:spacing w:before="165" w:after="20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1. Se aprobă </w:t>
      </w:r>
      <w:r w:rsidRPr="005D4383">
        <w:rPr>
          <w:rFonts w:ascii="Times New Roman" w:eastAsia="Times New Roman" w:hAnsi="Times New Roman" w:cs="Times New Roman"/>
          <w:i/>
          <w:sz w:val="24"/>
          <w:szCs w:val="24"/>
        </w:rPr>
        <w:t>Regulamentul de acordare a alocațiilor pentru creșterea accesului la studi</w:t>
      </w:r>
      <w:r w:rsidRPr="005D4383">
        <w:rPr>
          <w:rFonts w:ascii="Times New Roman" w:eastAsia="Times New Roman" w:hAnsi="Times New Roman" w:cs="Times New Roman"/>
          <w:i/>
          <w:sz w:val="24"/>
          <w:szCs w:val="24"/>
        </w:rPr>
        <w:t>i de calitate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6448" w:rsidRPr="005D4383" w:rsidRDefault="005D4383">
      <w:pPr>
        <w:widowControl w:val="0"/>
        <w:spacing w:after="200" w:line="276" w:lineRule="auto"/>
        <w:ind w:hanging="142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D4383">
        <w:rPr>
          <w:rFonts w:ascii="Times New Roman" w:eastAsia="Georgia" w:hAnsi="Times New Roman" w:cs="Times New Roman"/>
          <w:sz w:val="24"/>
          <w:szCs w:val="24"/>
        </w:rPr>
        <w:t>Ministerul Educației și Cercetării:</w:t>
      </w:r>
    </w:p>
    <w:p w:rsidR="000E6448" w:rsidRPr="005D4383" w:rsidRDefault="005D4383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D4383">
        <w:rPr>
          <w:rFonts w:ascii="Times New Roman" w:eastAsia="Georgia" w:hAnsi="Times New Roman" w:cs="Times New Roman"/>
          <w:sz w:val="24"/>
          <w:szCs w:val="24"/>
        </w:rPr>
        <w:t xml:space="preserve">va prezenta anual Ministerului Finanțelor informația cu privire la numărul potențialilor beneficiari din </w:t>
      </w:r>
      <w:proofErr w:type="spellStart"/>
      <w:r w:rsidRPr="005D4383">
        <w:rPr>
          <w:rFonts w:ascii="Times New Roman" w:eastAsia="Georgia" w:hAnsi="Times New Roman" w:cs="Times New Roman"/>
          <w:sz w:val="24"/>
          <w:szCs w:val="24"/>
        </w:rPr>
        <w:t>instituţiile</w:t>
      </w:r>
      <w:proofErr w:type="spellEnd"/>
      <w:r w:rsidRPr="005D4383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5D4383">
        <w:rPr>
          <w:rFonts w:ascii="Times New Roman" w:eastAsia="Georgia" w:hAnsi="Times New Roman" w:cs="Times New Roman"/>
          <w:sz w:val="24"/>
          <w:szCs w:val="24"/>
        </w:rPr>
        <w:t>învăţământ</w:t>
      </w:r>
      <w:proofErr w:type="spellEnd"/>
      <w:r w:rsidRPr="005D4383">
        <w:rPr>
          <w:rFonts w:ascii="Times New Roman" w:eastAsia="Georgia" w:hAnsi="Times New Roman" w:cs="Times New Roman"/>
          <w:sz w:val="24"/>
          <w:szCs w:val="24"/>
        </w:rPr>
        <w:t xml:space="preserve"> primar și secundar (ciclul I și II) ale autorităților administrației p</w:t>
      </w:r>
      <w:r w:rsidRPr="005D4383">
        <w:rPr>
          <w:rFonts w:ascii="Times New Roman" w:eastAsia="Georgia" w:hAnsi="Times New Roman" w:cs="Times New Roman"/>
          <w:sz w:val="24"/>
          <w:szCs w:val="24"/>
        </w:rPr>
        <w:t>ublice centrale și locale;</w:t>
      </w:r>
    </w:p>
    <w:p w:rsidR="000E6448" w:rsidRPr="005D4383" w:rsidRDefault="005D4383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D4383">
        <w:rPr>
          <w:rFonts w:ascii="Times New Roman" w:eastAsia="Georgia" w:hAnsi="Times New Roman" w:cs="Times New Roman"/>
          <w:sz w:val="24"/>
          <w:szCs w:val="24"/>
          <w:highlight w:val="white"/>
        </w:rPr>
        <w:t>va estima volumul resurselor necesare pentru acordarea alocațiilor pentru creșterea accesului la studii de calitate la etapa de elaborare a Cadrului bugetar pe termen mediu și a proiectului bugetului de stat pentru anul următor.</w:t>
      </w:r>
    </w:p>
    <w:p w:rsidR="000E6448" w:rsidRPr="005D4383" w:rsidRDefault="005D4383">
      <w:pPr>
        <w:widowControl w:val="0"/>
        <w:shd w:val="clear" w:color="auto" w:fill="FFFFFF"/>
        <w:spacing w:after="0" w:line="276" w:lineRule="auto"/>
        <w:ind w:left="-9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D4383">
        <w:rPr>
          <w:rFonts w:ascii="Times New Roman" w:eastAsia="Georgia" w:hAnsi="Times New Roman" w:cs="Times New Roman"/>
          <w:sz w:val="24"/>
          <w:szCs w:val="24"/>
        </w:rPr>
        <w:t xml:space="preserve">3. Cheltuielile aferente punerii în aplicare a prezentei hotărâri vor fi acoperite din bugetul de stat. </w:t>
      </w:r>
    </w:p>
    <w:p w:rsidR="000E6448" w:rsidRPr="005D4383" w:rsidRDefault="005D4383">
      <w:pPr>
        <w:widowControl w:val="0"/>
        <w:spacing w:after="20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4. Controlul asupra executării prezentei hotărâri se pune în sarcina Ministerului Educației și Cercetării.</w:t>
      </w:r>
    </w:p>
    <w:p w:rsidR="000E6448" w:rsidRPr="005D4383" w:rsidRDefault="005D4383">
      <w:pPr>
        <w:widowControl w:val="0"/>
        <w:spacing w:after="20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5. Prezenta hotărâre intră în vigoare la data de</w:t>
      </w: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 xml:space="preserve"> 01 septembrie 2024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6448" w:rsidRPr="005D4383" w:rsidRDefault="005D4383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6448" w:rsidRPr="005D4383" w:rsidRDefault="005D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6448" w:rsidRPr="005D4383" w:rsidRDefault="005D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PRIM-MINISTRU                                             Dorin RECEAN</w:t>
      </w:r>
    </w:p>
    <w:p w:rsidR="000E6448" w:rsidRPr="005D4383" w:rsidRDefault="000E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Contrasemnează:</w:t>
      </w:r>
    </w:p>
    <w:p w:rsidR="000E6448" w:rsidRPr="005D4383" w:rsidRDefault="000E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Ministrul educației</w:t>
      </w:r>
    </w:p>
    <w:p w:rsidR="000E6448" w:rsidRPr="005D4383" w:rsidRDefault="005D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și cercetării   ​                                                      Dan</w:t>
      </w: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 xml:space="preserve"> PERCIUN </w:t>
      </w:r>
    </w:p>
    <w:p w:rsidR="000E6448" w:rsidRPr="005D4383" w:rsidRDefault="005D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6448" w:rsidRPr="005D4383" w:rsidRDefault="005D4383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Ministrul finanțelor                                           Petru ROTARU</w:t>
      </w:r>
    </w:p>
    <w:p w:rsidR="000E6448" w:rsidRPr="005D4383" w:rsidRDefault="000E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lastRenderedPageBreak/>
        <w:t>Aprobat prin Hotărârea Guvernului</w:t>
      </w:r>
    </w:p>
    <w:p w:rsidR="000E6448" w:rsidRPr="005D4383" w:rsidRDefault="005D43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 nr. _______ din ____________</w:t>
      </w:r>
    </w:p>
    <w:p w:rsidR="000E6448" w:rsidRPr="005D4383" w:rsidRDefault="005D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6448" w:rsidRPr="005D4383" w:rsidRDefault="000E64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REGULAMENT</w:t>
      </w:r>
    </w:p>
    <w:p w:rsidR="000E6448" w:rsidRPr="005D4383" w:rsidRDefault="005D4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de acordare a alocațiilor pentru creșterea accesului la studii de calitate</w:t>
      </w:r>
    </w:p>
    <w:p w:rsidR="000E6448" w:rsidRPr="005D4383" w:rsidRDefault="000E64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0E64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I. DISPOZIȚII GENERALE</w:t>
      </w:r>
    </w:p>
    <w:p w:rsidR="000E6448" w:rsidRPr="005D4383" w:rsidRDefault="000E64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. Regulamentul de acordare a alocațiilor pentru creșterea accesului la studii de calitate (în continuare </w:t>
      </w:r>
      <w:r w:rsidRPr="005D4383">
        <w:rPr>
          <w:rFonts w:ascii="Times New Roman" w:eastAsia="Times New Roman" w:hAnsi="Times New Roman" w:cs="Times New Roman"/>
          <w:i/>
          <w:sz w:val="24"/>
          <w:szCs w:val="24"/>
        </w:rPr>
        <w:t>– Regulament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) stabilește beneficiarii, modul, scopul și periodicitatea acordării alocațiilor.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. Acordarea alocațiilor se real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izează din contul bugetului de stat și se oferă în scopul sporirii accesului la educație de calitate.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Alocația pentru sporirea accesului la educație de calitate se acordă lunar, în mărime de 1000 de lei per elev, pe un termen de doi ani, calculat din mo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mentul înscrierii elevului în noua instituție publică de învățământ primar  și secundar (ciclul I și II). 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Alocațiile nu se acordă pe perioada lunilor iunie-august.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Alocația pentru sporirea accesului la educație de calitate este neimpozabilă.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Mini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sterul Educației și Cercetării va aproba și publica anual pe site-ul Ministerului, până la 07 iulie, lista instituțiilor de învățământ primar și secundar (ciclul I și II) cu un număr mai mic de 50 de elevi. 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Alocațiile vor fi transferate de către Ministerul Educației și Cercetării, în temeiul listelor beneficiarilor aprobate, prezentate de către organele locale de specialitate în domeniul învățământului.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În sensul prezentului Regulament, noțiunile utilizate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au următoarele semnificații:</w:t>
      </w:r>
    </w:p>
    <w:p w:rsidR="000E6448" w:rsidRPr="005D4383" w:rsidRDefault="005D4383">
      <w:pPr>
        <w:numPr>
          <w:ilvl w:val="0"/>
          <w:numId w:val="3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i/>
          <w:sz w:val="24"/>
          <w:szCs w:val="24"/>
        </w:rPr>
        <w:t>Abandon școlar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- situația în care un elev a fost înscris în școală într-un anumit an școlar, dar nu se mai regăsește în învățământ în anul școlar următor (și nu a emigrat sau a decedat);</w:t>
      </w:r>
    </w:p>
    <w:p w:rsidR="000E6448" w:rsidRPr="005D4383" w:rsidRDefault="005D4383">
      <w:pPr>
        <w:numPr>
          <w:ilvl w:val="0"/>
          <w:numId w:val="3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i/>
          <w:sz w:val="24"/>
          <w:szCs w:val="24"/>
        </w:rPr>
        <w:t>Absenteism școlar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- fenomenul înregistr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at în cazul elevilor care absentează regulat, fără un motiv temeinic, 3 zile consecutiv sau mai mult de 10 lecții pe parcursul unei luni și care reflectă o problemă socială manifestată prin conduită evazionistă a elevului, absența nemotivată sau fuga de la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lecții, lipsa de interes și de motivație pentru studii.</w:t>
      </w:r>
    </w:p>
    <w:p w:rsidR="000E6448" w:rsidRPr="005D4383" w:rsidRDefault="005D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6448" w:rsidRPr="005D4383" w:rsidRDefault="000E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II. CONDIȚIILE DE ACORDARE A ALOCAȚIEI</w:t>
      </w:r>
    </w:p>
    <w:p w:rsidR="000E6448" w:rsidRPr="005D4383" w:rsidRDefault="000E64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 De alocațiile prevăzute în prezentul Regulament pot beneficia părinții sau reprezentanții legali ai elevilor din instituțiile publice de învățământ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primar și secundar (ciclul I și II) cu un număr mai mic de 50 de elevi, desemnate de către Ministerul Educației și Cercetării, care decid înscrierea elevului în altă instituție publică de învățământ primar și secundar (ciclul I și II), cu un număr mai mare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de elevi și cu condiții mai bune pentru asigurarea unei educații de calitate.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Alocația se oferă la solicitarea părinților elevului/elevilor sau a reprezentantului legal al acestuia/acestora după efectuarea transferului din școala cu un număr mai mic d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e 50 de elevi, din lista celor stabilite de Ministerul Educației și Cercetării, în oricare altă școală care nu se conține în lista menționată.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. Cererea pentru acordarea alocației se depune personal de către un părinte/ reprezentant legal al elevului/ele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vilor la instituția de învățământ primar și secundar (ciclul I și II) în care a fost înscris elevul. 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Instituția de învățământ primar și secundar (ciclul I și II) va prezenta cererile organului local de specialitate în domeniul învățământului, care, ce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ntralizat, până la 15 septembrie, anual, va prezenta datele și cererile depuse Ministerului Educației și Cercetării pentru examinare și aprobare, conform anexei nr. 1 la acest Regulament.  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Ministerul Educației și Cercetării va aproba până la 25 septem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brie, lista beneficiarilor de alocație.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Plata alocațiilor se efectuează lunar, până la data de 20 a următoarei luni.       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Alocațiile vor fi primite de părinte/reprezentantul legal al elevului nu mai târziu de 3 luni de la efectuarea transferu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lui.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În cazul transferului elevului/elevilor pe parcursul anului de studii, instituția de învățământ primar și secundar (ciclul I și II) va prezenta cererile organului local de specialitate în domeniul învățământului, care, centralizat, va prezenta dat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ele și cererile depuse Ministerului Educației și Cercetării pentru examinare și aprobare, conform anexei nr. 1 la prezentul Regulament. 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. Pentru elevii transferați pe parcursul anului, plata alocației se va efectua din luna următoare depunerii cererii.</w:t>
      </w:r>
    </w:p>
    <w:p w:rsidR="000E6448" w:rsidRPr="005D4383" w:rsidRDefault="000E644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III. CONDIȚIILE DE ÎNCETARE/SUSPENDARE A ALOCAȚIEI</w:t>
      </w:r>
    </w:p>
    <w:p w:rsidR="000E6448" w:rsidRPr="005D4383" w:rsidRDefault="000E644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Dreptul la alocație încetează în cazul:</w:t>
      </w:r>
    </w:p>
    <w:p w:rsidR="000E6448" w:rsidRPr="005D4383" w:rsidRDefault="005D4383">
      <w:pPr>
        <w:numPr>
          <w:ilvl w:val="0"/>
          <w:numId w:val="5"/>
        </w:numPr>
        <w:spacing w:after="0" w:line="240" w:lineRule="auto"/>
        <w:ind w:left="1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abandonului școlar;</w:t>
      </w:r>
    </w:p>
    <w:p w:rsidR="000E6448" w:rsidRPr="005D4383" w:rsidRDefault="005D4383">
      <w:pPr>
        <w:numPr>
          <w:ilvl w:val="0"/>
          <w:numId w:val="5"/>
        </w:numPr>
        <w:spacing w:after="0" w:line="240" w:lineRule="auto"/>
        <w:ind w:left="1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transferului înapoi în instituția precedentă sau într-o altă instituție de învățământ primar și secundar (ciclul I și II) cu un număr mai m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ic de 50 de elevi;</w:t>
      </w:r>
    </w:p>
    <w:p w:rsidR="000E6448" w:rsidRPr="005D4383" w:rsidRDefault="005D4383">
      <w:pPr>
        <w:numPr>
          <w:ilvl w:val="0"/>
          <w:numId w:val="5"/>
        </w:numPr>
        <w:spacing w:after="0" w:line="240" w:lineRule="auto"/>
        <w:ind w:left="1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exmatriculării.</w:t>
      </w:r>
    </w:p>
    <w:p w:rsidR="000E6448" w:rsidRPr="005D4383" w:rsidRDefault="005D438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 Alocația se suspendă:</w:t>
      </w:r>
    </w:p>
    <w:p w:rsidR="000E6448" w:rsidRPr="005D4383" w:rsidRDefault="005D4383">
      <w:pPr>
        <w:numPr>
          <w:ilvl w:val="0"/>
          <w:numId w:val="4"/>
        </w:numPr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pentru o perioadă determinată în cazul:</w:t>
      </w:r>
    </w:p>
    <w:p w:rsidR="000E6448" w:rsidRPr="005D4383" w:rsidRDefault="005D4383">
      <w:pPr>
        <w:numPr>
          <w:ilvl w:val="0"/>
          <w:numId w:val="1"/>
        </w:numPr>
        <w:spacing w:after="0" w:line="240" w:lineRule="auto"/>
        <w:ind w:left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instruirii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la domiciliu (pentru elevii care, din cauza problemelor de sănătate sau a unei </w:t>
      </w:r>
      <w:proofErr w:type="spellStart"/>
      <w:r w:rsidRPr="005D4383">
        <w:rPr>
          <w:rFonts w:ascii="Times New Roman" w:eastAsia="Times New Roman" w:hAnsi="Times New Roman" w:cs="Times New Roman"/>
          <w:sz w:val="24"/>
          <w:szCs w:val="24"/>
        </w:rPr>
        <w:t>dizabilităţi</w:t>
      </w:r>
      <w:proofErr w:type="spellEnd"/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, sunt </w:t>
      </w:r>
      <w:proofErr w:type="spellStart"/>
      <w:r w:rsidRPr="005D4383">
        <w:rPr>
          <w:rFonts w:ascii="Times New Roman" w:eastAsia="Times New Roman" w:hAnsi="Times New Roman" w:cs="Times New Roman"/>
          <w:sz w:val="24"/>
          <w:szCs w:val="24"/>
        </w:rPr>
        <w:t>lipsiţi</w:t>
      </w:r>
      <w:proofErr w:type="spellEnd"/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temporar de posibilitatea de a se deplasa);</w:t>
      </w:r>
    </w:p>
    <w:p w:rsidR="000E6448" w:rsidRPr="005D4383" w:rsidRDefault="005D4383">
      <w:pPr>
        <w:numPr>
          <w:ilvl w:val="0"/>
          <w:numId w:val="1"/>
        </w:numPr>
        <w:spacing w:after="0" w:line="240" w:lineRule="auto"/>
        <w:ind w:left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4383">
        <w:rPr>
          <w:rFonts w:ascii="Times New Roman" w:eastAsia="Times New Roman" w:hAnsi="Times New Roman" w:cs="Times New Roman"/>
          <w:sz w:val="24"/>
          <w:szCs w:val="24"/>
        </w:rPr>
        <w:t>privaţiunii</w:t>
      </w:r>
      <w:proofErr w:type="spellEnd"/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de libertate a elevului;</w:t>
      </w:r>
    </w:p>
    <w:p w:rsidR="000E6448" w:rsidRPr="005D4383" w:rsidRDefault="005D4383">
      <w:pPr>
        <w:numPr>
          <w:ilvl w:val="0"/>
          <w:numId w:val="4"/>
        </w:numPr>
        <w:shd w:val="clear" w:color="auto" w:fill="FFFFFF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pentru o lună în cazul:</w:t>
      </w:r>
    </w:p>
    <w:p w:rsidR="000E6448" w:rsidRPr="005D4383" w:rsidRDefault="005D4383">
      <w:pPr>
        <w:numPr>
          <w:ilvl w:val="0"/>
          <w:numId w:val="6"/>
        </w:numPr>
        <w:shd w:val="clear" w:color="auto" w:fill="FFFFFF"/>
        <w:spacing w:after="0" w:line="240" w:lineRule="auto"/>
        <w:ind w:left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>absenteismului școlar.</w:t>
      </w:r>
    </w:p>
    <w:p w:rsidR="000E6448" w:rsidRPr="005D4383" w:rsidRDefault="005D43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. Plata </w:t>
      </w:r>
      <w:proofErr w:type="spellStart"/>
      <w:r w:rsidRPr="005D4383">
        <w:rPr>
          <w:rFonts w:ascii="Times New Roman" w:eastAsia="Times New Roman" w:hAnsi="Times New Roman" w:cs="Times New Roman"/>
          <w:sz w:val="24"/>
          <w:szCs w:val="24"/>
        </w:rPr>
        <w:t>alocaţiei</w:t>
      </w:r>
      <w:proofErr w:type="spellEnd"/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în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cetează/se suspendă </w:t>
      </w:r>
      <w:r w:rsidRPr="005D4383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din luna următoare celei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în care s-a stabilit că beneficiarul nu mai </w:t>
      </w:r>
      <w:proofErr w:type="spellStart"/>
      <w:r w:rsidRPr="005D4383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438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de acordare a acesteia.  </w:t>
      </w:r>
    </w:p>
    <w:p w:rsidR="000E6448" w:rsidRPr="005D4383" w:rsidRDefault="005D43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Plata alocației poate fi reluată din luna următoare celei pentru care a fost constată încetarea cazului stabilit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în baza pct.19.</w:t>
      </w:r>
    </w:p>
    <w:p w:rsidR="000E6448" w:rsidRPr="005D4383" w:rsidRDefault="005D43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În cazul constatării unuia din cazurile menționate în pct. 18 și 19, organele locale de specialitate în domeniul învățământului vor informa Ministerul Educației și Cercetării, până la data de 5 a lunii următoare, prin prezentarea datelo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r conform anexei nr. 2 la prezentul Regulament.</w:t>
      </w:r>
    </w:p>
    <w:p w:rsidR="000E6448" w:rsidRPr="005D4383" w:rsidRDefault="005D43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23.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Perioada de acordare a alocației nu se prelungește cu perioada pentru care aceasta a fost suspendată. </w:t>
      </w:r>
    </w:p>
    <w:p w:rsidR="000E6448" w:rsidRPr="005D4383" w:rsidRDefault="005D43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24.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Instituția de învățământ va informa beneficiarii, în scris, despre încetarea acordării alocației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sau suspendarea alocației, cauza suspendării, perioada și condițiile în care aceasta poate fi reluată. </w:t>
      </w:r>
    </w:p>
    <w:p w:rsidR="000E6448" w:rsidRPr="005D4383" w:rsidRDefault="000E644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spacing w:after="0" w:line="240" w:lineRule="auto"/>
        <w:ind w:firstLine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 xml:space="preserve">IV. DISPOZIȚII FINALE </w:t>
      </w:r>
    </w:p>
    <w:p w:rsidR="000E6448" w:rsidRPr="005D4383" w:rsidRDefault="000E644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>Conducătorii instituțiilor de învățământ și organele locale de specialitate în domeniul învățământului sunt responsabile pentru corectitudinea datelor raportate Ministerului Educației și Cercetării.</w:t>
      </w:r>
    </w:p>
    <w:p w:rsidR="000E6448" w:rsidRPr="005D4383" w:rsidRDefault="000E644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0E6448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0E6448" w:rsidRPr="005D4383" w:rsidRDefault="000E6448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0E6448" w:rsidRPr="005D4383" w:rsidRDefault="000E6448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0E6448" w:rsidRPr="005D4383" w:rsidRDefault="000E6448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0E6448" w:rsidRPr="005D4383" w:rsidSect="00CD4D71">
          <w:pgSz w:w="12240" w:h="15840"/>
          <w:pgMar w:top="851" w:right="850" w:bottom="851" w:left="1701" w:header="708" w:footer="708" w:gutter="0"/>
          <w:pgNumType w:start="1"/>
          <w:cols w:space="720"/>
        </w:sectPr>
      </w:pPr>
    </w:p>
    <w:p w:rsidR="004D4A98" w:rsidRPr="005D4383" w:rsidRDefault="004D4A98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E6448" w:rsidRPr="005D4383" w:rsidRDefault="005D4383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438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Anexa nr. 1 la Regulamentul </w:t>
      </w:r>
    </w:p>
    <w:p w:rsidR="000E6448" w:rsidRPr="005D4383" w:rsidRDefault="005D4383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438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 acordare a alocațiilor pentru </w:t>
      </w:r>
    </w:p>
    <w:p w:rsidR="000E6448" w:rsidRPr="005D4383" w:rsidRDefault="005D4383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4383">
        <w:rPr>
          <w:rFonts w:ascii="Times New Roman" w:eastAsia="Times New Roman" w:hAnsi="Times New Roman" w:cs="Times New Roman"/>
          <w:sz w:val="24"/>
          <w:szCs w:val="24"/>
          <w:highlight w:val="white"/>
        </w:rPr>
        <w:t>creșterea accesului la studii de calitate</w:t>
      </w:r>
    </w:p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 xml:space="preserve">Lista solicitanților de alocații </w:t>
      </w:r>
    </w:p>
    <w:p w:rsidR="000E6448" w:rsidRPr="005D4383" w:rsidRDefault="005D43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pentru creșterea accesului la studii de calitate</w:t>
      </w:r>
    </w:p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Anul de studiu  ________________________ </w:t>
      </w:r>
    </w:p>
    <w:tbl>
      <w:tblPr>
        <w:tblStyle w:val="a"/>
        <w:tblW w:w="13769" w:type="dxa"/>
        <w:tblInd w:w="-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4"/>
        <w:gridCol w:w="1060"/>
        <w:gridCol w:w="1470"/>
        <w:gridCol w:w="1996"/>
        <w:gridCol w:w="1927"/>
        <w:gridCol w:w="1669"/>
        <w:gridCol w:w="1909"/>
        <w:gridCol w:w="1577"/>
        <w:gridCol w:w="1577"/>
      </w:tblGrid>
      <w:tr w:rsidR="00AE7E6E" w:rsidRPr="005D4383" w:rsidTr="007C20A7">
        <w:tc>
          <w:tcPr>
            <w:tcW w:w="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Nr. d/o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Nume, prenume elev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IDNP elev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Instituția din care s-a transferat elevul, raionul/ municipiul, localitatea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Instituția de învățământ în care s-a transferat elevul,  raionul/ municipiul, localitatea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Data înscrierii elevului în instituția nouă, nr. ordinului emis de instituție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Nume prenume părinte/ reprezentant legal al elevului</w:t>
            </w:r>
          </w:p>
        </w:tc>
        <w:tc>
          <w:tcPr>
            <w:tcW w:w="1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IDNP părinte/ reprezentant legal al elevului</w:t>
            </w:r>
          </w:p>
        </w:tc>
        <w:tc>
          <w:tcPr>
            <w:tcW w:w="1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Modalitatea de plată solicitată</w:t>
            </w:r>
          </w:p>
        </w:tc>
      </w:tr>
      <w:tr w:rsidR="00AE7E6E" w:rsidRPr="005D4383">
        <w:trPr>
          <w:trHeight w:val="561"/>
        </w:trPr>
        <w:tc>
          <w:tcPr>
            <w:tcW w:w="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E6E" w:rsidRPr="005D4383">
        <w:tc>
          <w:tcPr>
            <w:tcW w:w="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i/>
          <w:sz w:val="24"/>
          <w:szCs w:val="24"/>
        </w:rPr>
        <w:t>Anexe:</w:t>
      </w: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  cererile depuse. </w:t>
      </w:r>
    </w:p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Data ___________                                           Semnătura șefului OLSDÎ __________ </w:t>
      </w:r>
    </w:p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4A98" w:rsidRPr="005D4383" w:rsidRDefault="004D4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4A98" w:rsidRDefault="004D4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Default="005D43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4383" w:rsidRPr="005D4383" w:rsidRDefault="005D438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438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Anexa nr. 2 la Regulamentul </w:t>
      </w:r>
    </w:p>
    <w:p w:rsidR="000E6448" w:rsidRPr="005D4383" w:rsidRDefault="005D4383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438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 acordare a alocațiilor pentru </w:t>
      </w:r>
    </w:p>
    <w:p w:rsidR="000E6448" w:rsidRPr="005D4383" w:rsidRDefault="005D4383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4383">
        <w:rPr>
          <w:rFonts w:ascii="Times New Roman" w:eastAsia="Times New Roman" w:hAnsi="Times New Roman" w:cs="Times New Roman"/>
          <w:sz w:val="24"/>
          <w:szCs w:val="24"/>
          <w:highlight w:val="white"/>
        </w:rPr>
        <w:t>creșterea accesului la studii de calitate</w:t>
      </w:r>
    </w:p>
    <w:p w:rsidR="000E6448" w:rsidRPr="005D4383" w:rsidRDefault="000E644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448" w:rsidRPr="005D4383" w:rsidRDefault="000E644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448" w:rsidRPr="005D4383" w:rsidRDefault="005D43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Lista beneficiarilor pentru care se încetează/susp</w:t>
      </w: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 xml:space="preserve">endă alocația </w:t>
      </w:r>
    </w:p>
    <w:p w:rsidR="000E6448" w:rsidRPr="005D4383" w:rsidRDefault="005D43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b/>
          <w:sz w:val="24"/>
          <w:szCs w:val="24"/>
        </w:rPr>
        <w:t>pentru creșterea accesului la studii de calitate</w:t>
      </w:r>
    </w:p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Anul de studiu  ________________________ </w:t>
      </w:r>
    </w:p>
    <w:tbl>
      <w:tblPr>
        <w:tblStyle w:val="a0"/>
        <w:tblW w:w="13769" w:type="dxa"/>
        <w:tblInd w:w="-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"/>
        <w:gridCol w:w="1300"/>
        <w:gridCol w:w="1594"/>
        <w:gridCol w:w="1848"/>
        <w:gridCol w:w="1674"/>
        <w:gridCol w:w="1674"/>
        <w:gridCol w:w="1674"/>
        <w:gridCol w:w="1741"/>
        <w:gridCol w:w="1741"/>
      </w:tblGrid>
      <w:tr w:rsidR="00AE7E6E" w:rsidRPr="005D4383" w:rsidTr="007C20A7"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Nr. d/o</w:t>
            </w:r>
          </w:p>
        </w:tc>
        <w:tc>
          <w:tcPr>
            <w:tcW w:w="1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Nume, prenume elev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IDNP elevului</w:t>
            </w: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Instituția de învățământ, raionul/ municipiul, localitatea</w:t>
            </w: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Motivul încetării/suspendării alocației</w:t>
            </w: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Data co</w:t>
            </w: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nstatării abaterii</w:t>
            </w: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Perioada suspendării (în luni)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Nume prenume părinte/ reprezentant legal al elevului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6448" w:rsidRPr="005D4383" w:rsidRDefault="005D4383" w:rsidP="007C20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83">
              <w:rPr>
                <w:rFonts w:ascii="Times New Roman" w:eastAsia="Times New Roman" w:hAnsi="Times New Roman" w:cs="Times New Roman"/>
                <w:sz w:val="24"/>
                <w:szCs w:val="24"/>
              </w:rPr>
              <w:t>IDNP părinte/ reprezentant legal al elevului</w:t>
            </w:r>
          </w:p>
        </w:tc>
      </w:tr>
      <w:tr w:rsidR="00AE7E6E" w:rsidRPr="005D4383">
        <w:trPr>
          <w:trHeight w:val="561"/>
        </w:trPr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E6E" w:rsidRPr="005D4383">
        <w:tc>
          <w:tcPr>
            <w:tcW w:w="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48" w:rsidRPr="005D4383" w:rsidRDefault="000E64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6448" w:rsidRPr="005D4383" w:rsidRDefault="005D4383">
      <w:pPr>
        <w:rPr>
          <w:rFonts w:ascii="Times New Roman" w:eastAsia="Times New Roman" w:hAnsi="Times New Roman" w:cs="Times New Roman"/>
          <w:sz w:val="24"/>
          <w:szCs w:val="24"/>
        </w:rPr>
      </w:pPr>
      <w:r w:rsidRPr="005D4383">
        <w:rPr>
          <w:rFonts w:ascii="Times New Roman" w:eastAsia="Times New Roman" w:hAnsi="Times New Roman" w:cs="Times New Roman"/>
          <w:sz w:val="24"/>
          <w:szCs w:val="24"/>
        </w:rPr>
        <w:t xml:space="preserve">Data ___________                                           Semnătura șefului OLSDÎ __________ </w:t>
      </w:r>
    </w:p>
    <w:p w:rsidR="000E6448" w:rsidRPr="005D4383" w:rsidRDefault="000E644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E6448" w:rsidRPr="005D4383" w:rsidSect="00F85F5F">
      <w:pgSz w:w="15840" w:h="12240" w:orient="landscape"/>
      <w:pgMar w:top="993" w:right="850" w:bottom="54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886"/>
    <w:multiLevelType w:val="multilevel"/>
    <w:tmpl w:val="988CA89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9CC06E9"/>
    <w:multiLevelType w:val="multilevel"/>
    <w:tmpl w:val="AED4A5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414363"/>
    <w:multiLevelType w:val="multilevel"/>
    <w:tmpl w:val="FD74F6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45625BF"/>
    <w:multiLevelType w:val="multilevel"/>
    <w:tmpl w:val="A3A0A0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1762C0"/>
    <w:multiLevelType w:val="multilevel"/>
    <w:tmpl w:val="53FC57A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C976F53"/>
    <w:multiLevelType w:val="multilevel"/>
    <w:tmpl w:val="3C7CD778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48"/>
    <w:rsid w:val="000E6448"/>
    <w:rsid w:val="004D4A98"/>
    <w:rsid w:val="005D4383"/>
    <w:rsid w:val="007237BD"/>
    <w:rsid w:val="007C20A7"/>
    <w:rsid w:val="00AE7E6E"/>
    <w:rsid w:val="00CD4D71"/>
    <w:rsid w:val="00D95003"/>
    <w:rsid w:val="00F8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C2A82A-9E45-4C4B-993D-F0DFDDE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947C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947CC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47C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7CC9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3l22b5Ie6TnLr/gUuGSRvGIPag==">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Prisacaru</dc:creator>
  <cp:lastModifiedBy>Angela Prisacaru</cp:lastModifiedBy>
  <cp:revision>12</cp:revision>
  <cp:lastPrinted>2024-05-17T11:06:00Z</cp:lastPrinted>
  <dcterms:created xsi:type="dcterms:W3CDTF">2024-01-15T19:14:00Z</dcterms:created>
  <dcterms:modified xsi:type="dcterms:W3CDTF">2024-05-17T11:07:00Z</dcterms:modified>
</cp:coreProperties>
</file>