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77" w:rsidRPr="0038699B" w:rsidRDefault="00063FA4" w:rsidP="00C30DF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38699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</w:t>
      </w:r>
      <w:r w:rsidR="005A6977" w:rsidRPr="0038699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NOTĂ INFORMATIVĂ</w:t>
      </w:r>
    </w:p>
    <w:p w:rsidR="0062675E" w:rsidRPr="0038699B" w:rsidRDefault="005A6977" w:rsidP="0062675E">
      <w:pPr>
        <w:pStyle w:val="Heading1"/>
        <w:spacing w:line="322" w:lineRule="exact"/>
        <w:jc w:val="center"/>
        <w:rPr>
          <w:rFonts w:cs="Times New Roman"/>
          <w:color w:val="000000" w:themeColor="text1"/>
          <w:sz w:val="24"/>
          <w:szCs w:val="24"/>
          <w:lang w:val="ro-MD"/>
        </w:rPr>
      </w:pPr>
      <w:r w:rsidRPr="0038699B">
        <w:rPr>
          <w:rFonts w:cs="Times New Roman"/>
          <w:color w:val="000000" w:themeColor="text1"/>
          <w:sz w:val="24"/>
          <w:szCs w:val="24"/>
          <w:lang w:val="ro-MD"/>
        </w:rPr>
        <w:t xml:space="preserve">la </w:t>
      </w:r>
      <w:r w:rsidR="00FD19FE" w:rsidRPr="0038699B">
        <w:rPr>
          <w:rFonts w:cs="Times New Roman"/>
          <w:color w:val="000000" w:themeColor="text1"/>
          <w:sz w:val="24"/>
          <w:szCs w:val="24"/>
          <w:lang w:val="ro-MD"/>
        </w:rPr>
        <w:t>proiectul Hotărâ</w:t>
      </w:r>
      <w:r w:rsidR="001622D3" w:rsidRPr="0038699B">
        <w:rPr>
          <w:rFonts w:cs="Times New Roman"/>
          <w:color w:val="000000" w:themeColor="text1"/>
          <w:sz w:val="24"/>
          <w:szCs w:val="24"/>
          <w:lang w:val="ro-MD"/>
        </w:rPr>
        <w:t xml:space="preserve">rii Guvernului </w:t>
      </w:r>
      <w:r w:rsidR="00FB055E" w:rsidRPr="0038699B">
        <w:rPr>
          <w:rFonts w:cs="Times New Roman"/>
          <w:color w:val="000000" w:themeColor="text1"/>
          <w:sz w:val="24"/>
          <w:szCs w:val="24"/>
          <w:lang w:val="ro-MD"/>
        </w:rPr>
        <w:t>privind aprobarea Regulamentului de acordare a alocațiilor pentru creșterea accesului la studii de calitate</w:t>
      </w:r>
    </w:p>
    <w:p w:rsidR="00FB055E" w:rsidRPr="0038699B" w:rsidRDefault="00FB055E" w:rsidP="0062675E">
      <w:pPr>
        <w:pStyle w:val="Heading1"/>
        <w:spacing w:line="322" w:lineRule="exact"/>
        <w:jc w:val="center"/>
        <w:rPr>
          <w:rFonts w:cs="Times New Roman"/>
          <w:b w:val="0"/>
          <w:sz w:val="24"/>
          <w:szCs w:val="24"/>
          <w:lang w:val="ro-M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58"/>
      </w:tblGrid>
      <w:tr w:rsidR="00025894" w:rsidRPr="0038699B" w:rsidTr="005940D0">
        <w:trPr>
          <w:trHeight w:val="620"/>
          <w:jc w:val="center"/>
        </w:trPr>
        <w:tc>
          <w:tcPr>
            <w:tcW w:w="9858" w:type="dxa"/>
            <w:shd w:val="clear" w:color="auto" w:fill="DBDBDB" w:themeFill="accent3" w:themeFillTint="66"/>
          </w:tcPr>
          <w:p w:rsidR="005A6977" w:rsidRPr="0038699B" w:rsidRDefault="005A6977" w:rsidP="005958B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right="116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Denumirea autorului și, după caz, a participanților la elaborarea proiectului</w:t>
            </w:r>
          </w:p>
        </w:tc>
      </w:tr>
      <w:tr w:rsidR="00025894" w:rsidRPr="0038699B" w:rsidTr="005940D0">
        <w:trPr>
          <w:jc w:val="center"/>
        </w:trPr>
        <w:tc>
          <w:tcPr>
            <w:tcW w:w="9858" w:type="dxa"/>
          </w:tcPr>
          <w:p w:rsidR="008D75E6" w:rsidRPr="0038699B" w:rsidRDefault="005A6977" w:rsidP="005958BE">
            <w:pPr>
              <w:pStyle w:val="NormalWeb"/>
              <w:shd w:val="clear" w:color="auto" w:fill="FFFFFF"/>
              <w:spacing w:before="165" w:beforeAutospacing="0" w:after="165" w:afterAutospacing="0"/>
              <w:ind w:right="116" w:firstLine="394"/>
              <w:jc w:val="both"/>
              <w:rPr>
                <w:bCs/>
                <w:i/>
                <w:color w:val="000000" w:themeColor="text1"/>
                <w:lang w:val="ro-MD"/>
              </w:rPr>
            </w:pPr>
            <w:r w:rsidRPr="0038699B">
              <w:rPr>
                <w:color w:val="000000" w:themeColor="text1"/>
                <w:lang w:val="ro-MD"/>
              </w:rPr>
              <w:t>Proiectul Hotăr</w:t>
            </w:r>
            <w:r w:rsidR="00FD19FE" w:rsidRPr="0038699B">
              <w:rPr>
                <w:color w:val="000000" w:themeColor="text1"/>
                <w:lang w:val="ro-MD"/>
              </w:rPr>
              <w:t>â</w:t>
            </w:r>
            <w:r w:rsidRPr="0038699B">
              <w:rPr>
                <w:color w:val="000000" w:themeColor="text1"/>
                <w:lang w:val="ro-MD"/>
              </w:rPr>
              <w:t xml:space="preserve">rii Guvernului </w:t>
            </w:r>
            <w:r w:rsidR="00FB055E" w:rsidRPr="0038699B">
              <w:rPr>
                <w:color w:val="000000" w:themeColor="text1"/>
                <w:lang w:val="ro-MD"/>
              </w:rPr>
              <w:t xml:space="preserve">privind aprobarea Regulamentului de acordare a alocațiilor pentru creșterea accesului la studii de calitate </w:t>
            </w:r>
            <w:r w:rsidRPr="0038699B">
              <w:rPr>
                <w:color w:val="000000" w:themeColor="text1"/>
                <w:lang w:val="ro-MD"/>
              </w:rPr>
              <w:t>este elaborat de către Ministerul Ed</w:t>
            </w:r>
            <w:r w:rsidR="00E420E3" w:rsidRPr="0038699B">
              <w:rPr>
                <w:color w:val="000000" w:themeColor="text1"/>
                <w:lang w:val="ro-MD"/>
              </w:rPr>
              <w:t xml:space="preserve">ucației </w:t>
            </w:r>
            <w:r w:rsidR="00866FAE" w:rsidRPr="0038699B">
              <w:rPr>
                <w:color w:val="000000" w:themeColor="text1"/>
                <w:lang w:val="ro-MD"/>
              </w:rPr>
              <w:t>și Cercetării</w:t>
            </w:r>
            <w:r w:rsidR="00AD4619" w:rsidRPr="0038699B">
              <w:rPr>
                <w:color w:val="000000" w:themeColor="text1"/>
                <w:lang w:val="ro-MD"/>
              </w:rPr>
              <w:t>, în colaborare cu Ministerul Finanțelor.</w:t>
            </w:r>
          </w:p>
        </w:tc>
      </w:tr>
      <w:tr w:rsidR="00025894" w:rsidRPr="0038699B" w:rsidTr="005940D0">
        <w:trPr>
          <w:trHeight w:val="591"/>
          <w:jc w:val="center"/>
        </w:trPr>
        <w:tc>
          <w:tcPr>
            <w:tcW w:w="9858" w:type="dxa"/>
            <w:shd w:val="clear" w:color="auto" w:fill="DBDBDB" w:themeFill="accent3" w:themeFillTint="66"/>
          </w:tcPr>
          <w:p w:rsidR="005A6977" w:rsidRPr="0038699B" w:rsidRDefault="005A6977" w:rsidP="005958B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right="116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Condițiile ce au impus elaborarea proiectului de act normativ și finalitățile urmărite</w:t>
            </w:r>
          </w:p>
        </w:tc>
      </w:tr>
      <w:tr w:rsidR="00025894" w:rsidRPr="0038699B" w:rsidTr="005940D0">
        <w:trPr>
          <w:jc w:val="center"/>
        </w:trPr>
        <w:tc>
          <w:tcPr>
            <w:tcW w:w="9858" w:type="dxa"/>
          </w:tcPr>
          <w:p w:rsidR="004D6782" w:rsidRPr="0038699B" w:rsidRDefault="004D6782" w:rsidP="005958BE">
            <w:pPr>
              <w:spacing w:before="120" w:after="120"/>
              <w:ind w:right="116" w:firstLine="394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Documentele de referință pentru elaborarea proiectului sunt Codul educației al Republicii Moldova nr.152/2014</w:t>
            </w:r>
            <w:r w:rsidR="001410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cu modificările ulterioare,</w:t>
            </w:r>
            <w:r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A</w:t>
            </w:r>
            <w:r w:rsidR="00D23DF8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cordul de </w:t>
            </w:r>
            <w:r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D23DF8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sociere</w:t>
            </w:r>
            <w:r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RM-UE, titlul IV, cap. 23</w:t>
            </w:r>
            <w:r w:rsidR="00D23DF8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art. 123 lit. b)</w:t>
            </w:r>
            <w:r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5229F4" w:rsidRPr="0038699B" w:rsidRDefault="003F5940" w:rsidP="005958BE">
            <w:pPr>
              <w:spacing w:before="120" w:after="120"/>
              <w:ind w:right="116" w:firstLine="394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Totodată, elaborarea</w:t>
            </w:r>
            <w:r w:rsidRPr="0038699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proiectului Hotărârii Guvernului privind aprobarea Regulamentului de acordare a alocațiilor pentru creșterea accesului la studii de calitate </w:t>
            </w:r>
            <w:r w:rsidR="00593901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 asigura realizarea</w:t>
            </w:r>
            <w:r w:rsidR="004D6782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3272B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4D6782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cțiun</w:t>
            </w:r>
            <w:r w:rsidR="00593901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</w:t>
            </w:r>
            <w:r w:rsidR="004D6782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 449 din </w:t>
            </w:r>
            <w:r w:rsidR="005229F4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</w:t>
            </w:r>
            <w:r w:rsidR="004D6782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  <w:r w:rsidR="005229F4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Guvernului</w:t>
            </w:r>
            <w:r w:rsidR="004D6782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anul 2024 și </w:t>
            </w:r>
            <w:r w:rsidR="00593901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</w:t>
            </w:r>
            <w:r w:rsidR="004D6782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acțiun</w:t>
            </w:r>
            <w:r w:rsidR="00593901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</w:t>
            </w:r>
            <w:r w:rsidR="004D6782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 </w:t>
            </w:r>
            <w:r w:rsidR="00D23DF8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2.5 </w:t>
            </w:r>
            <w:r w:rsidR="004D6782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Planul de activitate a</w:t>
            </w:r>
            <w:r w:rsidR="0093272B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  <w:r w:rsidR="004D6782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Ministerului Educației și Cercetării</w:t>
            </w:r>
            <w:r w:rsidR="00D23DF8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anul 2024</w:t>
            </w:r>
            <w:r w:rsidR="004D6782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5229F4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:rsidR="0083656E" w:rsidRPr="0038699B" w:rsidRDefault="00593901" w:rsidP="005958BE">
            <w:pPr>
              <w:pStyle w:val="NormalWeb"/>
              <w:shd w:val="clear" w:color="auto" w:fill="FFFFFF"/>
              <w:spacing w:before="120" w:beforeAutospacing="0" w:after="0" w:afterAutospacing="0"/>
              <w:ind w:right="116" w:firstLine="394"/>
              <w:jc w:val="both"/>
              <w:rPr>
                <w:lang w:val="ro-MD"/>
              </w:rPr>
            </w:pPr>
            <w:r w:rsidRPr="0038699B">
              <w:rPr>
                <w:lang w:val="ro-MD"/>
              </w:rPr>
              <w:t>Proiectul Hotărârii Guvernului privind aprobarea Regulamentului de acordare a alocațiilor pentru creșterea accesului la studii de calitate va garanta accesul la studii de calitate a copiilor din școlile</w:t>
            </w:r>
            <w:r w:rsidR="00617871" w:rsidRPr="0038699B">
              <w:rPr>
                <w:lang w:val="ro-MD"/>
              </w:rPr>
              <w:t xml:space="preserve"> mai mici de 50 de elevi, motivând părinții </w:t>
            </w:r>
            <w:r w:rsidR="00CC6B74">
              <w:rPr>
                <w:lang w:val="ro-MD"/>
              </w:rPr>
              <w:t xml:space="preserve">acestora </w:t>
            </w:r>
            <w:r w:rsidR="00617871" w:rsidRPr="0038699B">
              <w:rPr>
                <w:lang w:val="ro-MD"/>
              </w:rPr>
              <w:t>să-și transfere copiii în școli cu un număr mai mare de elevi</w:t>
            </w:r>
            <w:r w:rsidR="000507F0" w:rsidRPr="0038699B">
              <w:rPr>
                <w:lang w:val="ro-MD"/>
              </w:rPr>
              <w:t>.</w:t>
            </w:r>
            <w:r w:rsidR="00617871" w:rsidRPr="0038699B">
              <w:rPr>
                <w:lang w:val="ro-MD"/>
              </w:rPr>
              <w:t xml:space="preserve"> </w:t>
            </w:r>
          </w:p>
          <w:p w:rsidR="0038699B" w:rsidRPr="0038699B" w:rsidRDefault="0038699B" w:rsidP="005958BE">
            <w:pPr>
              <w:pStyle w:val="NormalWeb"/>
              <w:shd w:val="clear" w:color="auto" w:fill="FFFFFF"/>
              <w:spacing w:before="120" w:beforeAutospacing="0" w:after="0" w:afterAutospacing="0"/>
              <w:ind w:right="116" w:firstLine="394"/>
              <w:jc w:val="both"/>
              <w:rPr>
                <w:lang w:val="ro-MD"/>
              </w:rPr>
            </w:pPr>
            <w:r w:rsidRPr="0038699B">
              <w:rPr>
                <w:lang w:val="ro-MD"/>
              </w:rPr>
              <w:t xml:space="preserve">Transferul elevilor din școlile </w:t>
            </w:r>
            <w:r>
              <w:rPr>
                <w:lang w:val="ro-MD"/>
              </w:rPr>
              <w:t xml:space="preserve">cu un număr </w:t>
            </w:r>
            <w:r w:rsidRPr="0038699B">
              <w:rPr>
                <w:lang w:val="ro-MD"/>
              </w:rPr>
              <w:t>mai mic de 50 de elevi în școli mai mari va aduce mai multe beneficii, inclusiv:</w:t>
            </w:r>
          </w:p>
          <w:p w:rsidR="0038699B" w:rsidRPr="0038699B" w:rsidRDefault="0038699B" w:rsidP="006B64E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0" w:afterAutospacing="0"/>
              <w:ind w:left="171" w:right="116" w:firstLine="189"/>
              <w:jc w:val="both"/>
              <w:rPr>
                <w:lang w:val="ro-MD"/>
              </w:rPr>
            </w:pPr>
            <w:r w:rsidRPr="0038699B">
              <w:rPr>
                <w:b/>
                <w:bCs/>
                <w:lang w:val="ro-MD"/>
              </w:rPr>
              <w:t>Acces la resurse mai bogate</w:t>
            </w:r>
            <w:r w:rsidRPr="0038699B">
              <w:rPr>
                <w:lang w:val="ro-MD"/>
              </w:rPr>
              <w:t xml:space="preserve">: </w:t>
            </w:r>
            <w:r>
              <w:rPr>
                <w:lang w:val="ro-MD"/>
              </w:rPr>
              <w:t>ș</w:t>
            </w:r>
            <w:r w:rsidRPr="0038699B">
              <w:rPr>
                <w:lang w:val="ro-MD"/>
              </w:rPr>
              <w:t xml:space="preserve">colile mai mari, de obicei, au mai multe resurse disponibile, cum ar fi laboratoare bine echipate, </w:t>
            </w:r>
            <w:r w:rsidR="00CC6B74">
              <w:rPr>
                <w:lang w:val="ro-MD"/>
              </w:rPr>
              <w:t xml:space="preserve">cabinete școlare dotate cu echipamente moderne, </w:t>
            </w:r>
            <w:r w:rsidRPr="0038699B">
              <w:rPr>
                <w:lang w:val="ro-MD"/>
              </w:rPr>
              <w:t>biblioteci mai mari și o gamă mai largă de materiale didactice.</w:t>
            </w:r>
          </w:p>
          <w:p w:rsidR="0038699B" w:rsidRPr="0038699B" w:rsidRDefault="0038699B" w:rsidP="006B64E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0" w:afterAutospacing="0"/>
              <w:ind w:left="171" w:right="116" w:firstLine="189"/>
              <w:jc w:val="both"/>
              <w:rPr>
                <w:lang w:val="ro-MD"/>
              </w:rPr>
            </w:pPr>
            <w:r w:rsidRPr="0038699B">
              <w:rPr>
                <w:b/>
                <w:bCs/>
                <w:lang w:val="ro-MD"/>
              </w:rPr>
              <w:t>Diversitate și oportunități academice mai mari</w:t>
            </w:r>
            <w:r>
              <w:rPr>
                <w:lang w:val="ro-MD"/>
              </w:rPr>
              <w:t>: î</w:t>
            </w:r>
            <w:r w:rsidRPr="0038699B">
              <w:rPr>
                <w:lang w:val="ro-MD"/>
              </w:rPr>
              <w:t>n școlile mai mari, copiii pot interacționa cu un grup mai divers de colegi și pot avea acces la o varietate mai mare de activități extra</w:t>
            </w:r>
            <w:r w:rsidR="00A9675C">
              <w:rPr>
                <w:lang w:val="ro-MD"/>
              </w:rPr>
              <w:t>școlare</w:t>
            </w:r>
            <w:r w:rsidRPr="0038699B">
              <w:rPr>
                <w:lang w:val="ro-MD"/>
              </w:rPr>
              <w:t>.</w:t>
            </w:r>
          </w:p>
          <w:p w:rsidR="0038699B" w:rsidRPr="0038699B" w:rsidRDefault="0038699B" w:rsidP="006B64E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0" w:afterAutospacing="0"/>
              <w:ind w:left="171" w:right="116" w:firstLine="189"/>
              <w:jc w:val="both"/>
              <w:rPr>
                <w:lang w:val="ro-MD"/>
              </w:rPr>
            </w:pPr>
            <w:r w:rsidRPr="0038699B">
              <w:rPr>
                <w:b/>
                <w:bCs/>
                <w:lang w:val="ro-MD"/>
              </w:rPr>
              <w:t>Calitatea învățământului și performanțele academice îmbunătățite</w:t>
            </w:r>
            <w:r w:rsidRPr="0038699B">
              <w:rPr>
                <w:lang w:val="ro-MD"/>
              </w:rPr>
              <w:t xml:space="preserve">: </w:t>
            </w:r>
            <w:r w:rsidR="00E04180">
              <w:rPr>
                <w:lang w:val="ro-MD"/>
              </w:rPr>
              <w:t xml:space="preserve">școlile mici nu întotdeauna por asigura cu cadre didactice calificate toate disciplinele școlare; de asemenea, </w:t>
            </w:r>
            <w:r w:rsidRPr="0038699B">
              <w:rPr>
                <w:lang w:val="ro-MD"/>
              </w:rPr>
              <w:t>studiile</w:t>
            </w:r>
            <w:r w:rsidR="00E04180">
              <w:rPr>
                <w:lang w:val="ro-MD"/>
              </w:rPr>
              <w:t>, în special rezultatele PISA 2022</w:t>
            </w:r>
            <w:r w:rsidR="00E04180">
              <w:rPr>
                <w:rStyle w:val="FootnoteReference"/>
                <w:lang w:val="ro-MD"/>
              </w:rPr>
              <w:footnoteReference w:id="1"/>
            </w:r>
            <w:r w:rsidR="00E04180">
              <w:rPr>
                <w:lang w:val="ro-MD"/>
              </w:rPr>
              <w:t xml:space="preserve">, </w:t>
            </w:r>
            <w:r w:rsidRPr="0038699B">
              <w:rPr>
                <w:lang w:val="ro-MD"/>
              </w:rPr>
              <w:t>arată că școlile mai mari pot oferi un nivel mai ridicat de instruire și pot avea rezultate academice mai bune în comparație cu școlile mici.</w:t>
            </w:r>
          </w:p>
          <w:p w:rsidR="0038699B" w:rsidRPr="0038699B" w:rsidRDefault="0038699B" w:rsidP="006B64E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0" w:afterAutospacing="0"/>
              <w:ind w:left="171" w:right="116" w:firstLine="189"/>
              <w:jc w:val="both"/>
              <w:rPr>
                <w:lang w:val="ro-MD"/>
              </w:rPr>
            </w:pPr>
            <w:r w:rsidRPr="0038699B">
              <w:rPr>
                <w:b/>
                <w:bCs/>
                <w:lang w:val="ro-MD"/>
              </w:rPr>
              <w:t>Pre</w:t>
            </w:r>
            <w:r w:rsidR="00DD67B5">
              <w:rPr>
                <w:b/>
                <w:bCs/>
                <w:lang w:val="ro-MD"/>
              </w:rPr>
              <w:t>gătire mai bună</w:t>
            </w:r>
            <w:r w:rsidRPr="0038699B">
              <w:rPr>
                <w:b/>
                <w:bCs/>
                <w:lang w:val="ro-MD"/>
              </w:rPr>
              <w:t xml:space="preserve"> pentru viitor</w:t>
            </w:r>
            <w:r>
              <w:rPr>
                <w:lang w:val="ro-MD"/>
              </w:rPr>
              <w:t>: i</w:t>
            </w:r>
            <w:r w:rsidRPr="0038699B">
              <w:rPr>
                <w:lang w:val="ro-MD"/>
              </w:rPr>
              <w:t>nteracțiunea cu un număr mai mare de colegi și profesori poate ajuta la dezvoltarea abilităților sociale și a capacităților de adaptare, pregătindu-i pe copii pentru experiențele diverse pe care le vor întâlni în viitor.</w:t>
            </w:r>
          </w:p>
          <w:p w:rsidR="0038699B" w:rsidRPr="0038699B" w:rsidRDefault="0038699B" w:rsidP="006B64EB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0" w:afterAutospacing="0"/>
              <w:ind w:left="171" w:right="116" w:firstLine="189"/>
              <w:jc w:val="both"/>
              <w:rPr>
                <w:color w:val="0D0D0D"/>
                <w:lang w:val="en-US"/>
              </w:rPr>
            </w:pPr>
            <w:r w:rsidRPr="0038699B">
              <w:rPr>
                <w:b/>
                <w:bCs/>
                <w:lang w:val="ro-MD"/>
              </w:rPr>
              <w:t>Mai multe opțiuni educaționale</w:t>
            </w:r>
            <w:r>
              <w:rPr>
                <w:lang w:val="ro-MD"/>
              </w:rPr>
              <w:t>: o</w:t>
            </w:r>
            <w:r w:rsidRPr="0038699B">
              <w:rPr>
                <w:lang w:val="ro-MD"/>
              </w:rPr>
              <w:t>dată ce copiii se află într-un mediu școlar mai mare, familiile pot avea mai multe opțiuni pentru educația lor, inclusiv accesul la programe speciale sau la un curriculum mai variat.</w:t>
            </w:r>
          </w:p>
        </w:tc>
      </w:tr>
      <w:tr w:rsidR="003E369A" w:rsidRPr="0038699B" w:rsidTr="005940D0">
        <w:trPr>
          <w:jc w:val="center"/>
        </w:trPr>
        <w:tc>
          <w:tcPr>
            <w:tcW w:w="9858" w:type="dxa"/>
            <w:shd w:val="clear" w:color="auto" w:fill="D0CECE" w:themeFill="background2" w:themeFillShade="E6"/>
          </w:tcPr>
          <w:p w:rsidR="003E369A" w:rsidRPr="0038699B" w:rsidRDefault="003E369A" w:rsidP="005958B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right="116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Descrierea gradului de compatibilitate, pentru proiectele care au ca scop armonizarea </w:t>
            </w:r>
            <w:proofErr w:type="spellStart"/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legislaţiei</w:t>
            </w:r>
            <w:proofErr w:type="spellEnd"/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naţionale</w:t>
            </w:r>
            <w:proofErr w:type="spellEnd"/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cu </w:t>
            </w:r>
            <w:proofErr w:type="spellStart"/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legislaţia</w:t>
            </w:r>
            <w:proofErr w:type="spellEnd"/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Uniunii Europene</w:t>
            </w:r>
          </w:p>
        </w:tc>
      </w:tr>
      <w:tr w:rsidR="003E369A" w:rsidRPr="0038699B" w:rsidTr="005940D0">
        <w:trPr>
          <w:jc w:val="center"/>
        </w:trPr>
        <w:tc>
          <w:tcPr>
            <w:tcW w:w="9858" w:type="dxa"/>
          </w:tcPr>
          <w:p w:rsidR="003E369A" w:rsidRPr="0038699B" w:rsidRDefault="002C63B5" w:rsidP="005958BE">
            <w:pPr>
              <w:spacing w:before="120" w:after="120"/>
              <w:ind w:right="116" w:firstLine="3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lastRenderedPageBreak/>
              <w:t xml:space="preserve">Proiectul </w:t>
            </w:r>
            <w:r w:rsidR="009B11EE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Hotărârii Guvernului nu are ca scop armonizarea </w:t>
            </w:r>
            <w:proofErr w:type="spellStart"/>
            <w:r w:rsidR="009B11EE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legislaţiei</w:t>
            </w:r>
            <w:proofErr w:type="spellEnd"/>
            <w:r w:rsidR="009B11EE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9B11EE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naţionale</w:t>
            </w:r>
            <w:proofErr w:type="spellEnd"/>
            <w:r w:rsidR="009B11EE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cu </w:t>
            </w:r>
            <w:proofErr w:type="spellStart"/>
            <w:r w:rsidR="009B11EE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legislaţia</w:t>
            </w:r>
            <w:proofErr w:type="spellEnd"/>
            <w:r w:rsidR="009B11EE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Uniunii Europene și nu necesită descrierea gradului de compatibilitate.</w:t>
            </w:r>
          </w:p>
        </w:tc>
      </w:tr>
      <w:tr w:rsidR="00025894" w:rsidRPr="0038699B" w:rsidTr="005940D0">
        <w:trPr>
          <w:jc w:val="center"/>
        </w:trPr>
        <w:tc>
          <w:tcPr>
            <w:tcW w:w="9858" w:type="dxa"/>
            <w:shd w:val="clear" w:color="auto" w:fill="DBDBDB" w:themeFill="accent3" w:themeFillTint="66"/>
          </w:tcPr>
          <w:p w:rsidR="005A6977" w:rsidRPr="0038699B" w:rsidRDefault="005A6977" w:rsidP="005958B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right="116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Principalele prevederi ale proiectului și evidențierea elementelor noi</w:t>
            </w:r>
          </w:p>
        </w:tc>
      </w:tr>
      <w:tr w:rsidR="00025894" w:rsidRPr="007726B9" w:rsidTr="005940D0">
        <w:trPr>
          <w:jc w:val="center"/>
        </w:trPr>
        <w:tc>
          <w:tcPr>
            <w:tcW w:w="9858" w:type="dxa"/>
          </w:tcPr>
          <w:p w:rsidR="00542A9C" w:rsidRPr="0038699B" w:rsidRDefault="00542A9C" w:rsidP="005958BE">
            <w:pPr>
              <w:pStyle w:val="NormalWeb"/>
              <w:shd w:val="clear" w:color="auto" w:fill="FFFFFF"/>
              <w:spacing w:before="120" w:beforeAutospacing="0" w:after="0" w:afterAutospacing="0"/>
              <w:ind w:right="116" w:firstLine="391"/>
              <w:jc w:val="both"/>
              <w:rPr>
                <w:rFonts w:eastAsiaTheme="minorHAnsi"/>
                <w:lang w:val="ro-MD" w:eastAsia="en-US"/>
              </w:rPr>
            </w:pPr>
            <w:r w:rsidRPr="0038699B">
              <w:rPr>
                <w:rFonts w:eastAsiaTheme="minorHAnsi"/>
                <w:lang w:val="ro-MD" w:eastAsia="en-US"/>
              </w:rPr>
              <w:t>Actualmente în Republica Moldova </w:t>
            </w:r>
            <w:r w:rsidR="00CC6B74">
              <w:rPr>
                <w:rFonts w:eastAsiaTheme="minorHAnsi"/>
                <w:lang w:val="ro-MD" w:eastAsia="en-US"/>
              </w:rPr>
              <w:t>sunt</w:t>
            </w:r>
            <w:r w:rsidRPr="0038699B">
              <w:rPr>
                <w:rFonts w:eastAsiaTheme="minorHAnsi"/>
                <w:lang w:val="ro-MD" w:eastAsia="en-US"/>
              </w:rPr>
              <w:t xml:space="preserve"> 102 instituții de învățământ primar și secundar general cu număr de până la 50</w:t>
            </w:r>
            <w:r w:rsidR="00CC6B74" w:rsidRPr="0038699B">
              <w:rPr>
                <w:rFonts w:eastAsiaTheme="minorHAnsi"/>
                <w:lang w:val="ro-MD" w:eastAsia="en-US"/>
              </w:rPr>
              <w:t xml:space="preserve"> de elevi</w:t>
            </w:r>
            <w:r w:rsidRPr="0038699B">
              <w:rPr>
                <w:rFonts w:eastAsiaTheme="minorHAnsi"/>
                <w:lang w:val="ro-MD" w:eastAsia="en-US"/>
              </w:rPr>
              <w:t xml:space="preserve">. Respectiv, prin mecanismul propus, și anume prin motivarea financiară, părinții sau reprezentanții legali ai elevilor din aceste instituții </w:t>
            </w:r>
            <w:r w:rsidR="00A67C30" w:rsidRPr="0038699B">
              <w:rPr>
                <w:rFonts w:eastAsiaTheme="minorHAnsi"/>
                <w:lang w:val="ro-MD" w:eastAsia="en-US"/>
              </w:rPr>
              <w:t>își vor putea îndrepta</w:t>
            </w:r>
            <w:r w:rsidRPr="0038699B">
              <w:rPr>
                <w:rFonts w:eastAsiaTheme="minorHAnsi"/>
                <w:lang w:val="ro-MD" w:eastAsia="en-US"/>
              </w:rPr>
              <w:t xml:space="preserve"> atenția către școlile cu un număr mai mare de elevi.</w:t>
            </w:r>
            <w:r w:rsidR="00CC6B74">
              <w:rPr>
                <w:rFonts w:eastAsiaTheme="minorHAnsi"/>
                <w:lang w:val="ro-MD" w:eastAsia="en-US"/>
              </w:rPr>
              <w:t xml:space="preserve"> </w:t>
            </w:r>
          </w:p>
          <w:p w:rsidR="00D32538" w:rsidRPr="0038699B" w:rsidRDefault="00D32538" w:rsidP="005958BE">
            <w:pPr>
              <w:spacing w:before="120"/>
              <w:ind w:right="116" w:firstLine="391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Proiectul Regulamentului de acordare a alocațiilor pentru creșterea accesului la studii de calitate stabilește beneficiarii, modul, scopul și periodicitatea acordării alocațiilor.</w:t>
            </w:r>
          </w:p>
          <w:p w:rsidR="007D7A40" w:rsidRPr="0038699B" w:rsidRDefault="007D7A40" w:rsidP="005958BE">
            <w:pPr>
              <w:pStyle w:val="NormalWeb"/>
              <w:spacing w:before="120" w:beforeAutospacing="0" w:after="0" w:afterAutospacing="0"/>
              <w:ind w:right="116" w:firstLine="391"/>
              <w:jc w:val="both"/>
              <w:rPr>
                <w:rFonts w:eastAsiaTheme="minorHAnsi"/>
                <w:lang w:val="ro-MD" w:eastAsia="en-US"/>
              </w:rPr>
            </w:pPr>
            <w:r w:rsidRPr="0038699B">
              <w:rPr>
                <w:rFonts w:eastAsiaTheme="minorHAnsi"/>
                <w:lang w:val="ro-MD" w:eastAsia="en-US"/>
              </w:rPr>
              <w:t>Acordarea alocațiilor se oferă în scopul sporirii accesului la educație de calitate.</w:t>
            </w:r>
          </w:p>
          <w:p w:rsidR="007D7A40" w:rsidRPr="0038699B" w:rsidRDefault="007D7A40" w:rsidP="005958BE">
            <w:pPr>
              <w:pStyle w:val="NormalWeb"/>
              <w:spacing w:before="120" w:beforeAutospacing="0" w:after="0" w:afterAutospacing="0"/>
              <w:ind w:right="116" w:firstLine="391"/>
              <w:jc w:val="both"/>
              <w:rPr>
                <w:rFonts w:eastAsiaTheme="minorHAnsi"/>
                <w:lang w:val="ro-MD" w:eastAsia="en-US"/>
              </w:rPr>
            </w:pPr>
            <w:r w:rsidRPr="0038699B">
              <w:rPr>
                <w:rFonts w:eastAsiaTheme="minorHAnsi"/>
                <w:lang w:val="ro-MD" w:eastAsia="en-US"/>
              </w:rPr>
              <w:t xml:space="preserve">Alocația pentru sporirea accesului la educație de calitate se </w:t>
            </w:r>
            <w:r w:rsidR="007C5DC6" w:rsidRPr="0038699B">
              <w:rPr>
                <w:rFonts w:eastAsiaTheme="minorHAnsi"/>
                <w:lang w:val="ro-MD" w:eastAsia="en-US"/>
              </w:rPr>
              <w:t>va acorda</w:t>
            </w:r>
            <w:r w:rsidRPr="0038699B">
              <w:rPr>
                <w:rFonts w:eastAsiaTheme="minorHAnsi"/>
                <w:lang w:val="ro-MD" w:eastAsia="en-US"/>
              </w:rPr>
              <w:t xml:space="preserve"> lunar, în mărime de 1000 de lei per elev copil, pe un termen de doi ani, calculat din momentul înscrierii elevului în noua instituție publică de învățământ primar sau secundar (ciclul I și II). </w:t>
            </w:r>
          </w:p>
          <w:p w:rsidR="007D7A40" w:rsidRPr="0038699B" w:rsidRDefault="007D7A40" w:rsidP="005958BE">
            <w:pPr>
              <w:pStyle w:val="NormalWeb"/>
              <w:spacing w:before="120" w:beforeAutospacing="0" w:after="0" w:afterAutospacing="0"/>
              <w:ind w:right="116" w:firstLine="391"/>
              <w:jc w:val="both"/>
              <w:rPr>
                <w:rFonts w:eastAsiaTheme="minorHAnsi"/>
                <w:lang w:val="ro-MD" w:eastAsia="en-US"/>
              </w:rPr>
            </w:pPr>
            <w:r w:rsidRPr="0038699B">
              <w:rPr>
                <w:rFonts w:eastAsiaTheme="minorHAnsi"/>
                <w:lang w:val="ro-MD" w:eastAsia="en-US"/>
              </w:rPr>
              <w:t xml:space="preserve">Alocațiile nu se </w:t>
            </w:r>
            <w:r w:rsidR="007C5DC6" w:rsidRPr="0038699B">
              <w:rPr>
                <w:rFonts w:eastAsiaTheme="minorHAnsi"/>
                <w:lang w:val="ro-MD" w:eastAsia="en-US"/>
              </w:rPr>
              <w:t>va acorda</w:t>
            </w:r>
            <w:r w:rsidRPr="0038699B">
              <w:rPr>
                <w:rFonts w:eastAsiaTheme="minorHAnsi"/>
                <w:lang w:val="ro-MD" w:eastAsia="en-US"/>
              </w:rPr>
              <w:t xml:space="preserve"> pe perioada lunilor iunie-august.</w:t>
            </w:r>
          </w:p>
          <w:p w:rsidR="007D7A40" w:rsidRPr="0038699B" w:rsidRDefault="007D7A40" w:rsidP="005958BE">
            <w:pPr>
              <w:pStyle w:val="NormalWeb"/>
              <w:spacing w:before="120" w:beforeAutospacing="0" w:after="0" w:afterAutospacing="0"/>
              <w:ind w:right="116" w:firstLine="391"/>
              <w:jc w:val="both"/>
              <w:rPr>
                <w:rFonts w:eastAsiaTheme="minorHAnsi"/>
                <w:lang w:val="ro-MD" w:eastAsia="en-US"/>
              </w:rPr>
            </w:pPr>
            <w:r w:rsidRPr="0038699B">
              <w:rPr>
                <w:rFonts w:eastAsiaTheme="minorHAnsi"/>
                <w:lang w:val="ro-MD" w:eastAsia="en-US"/>
              </w:rPr>
              <w:t xml:space="preserve">Alocația pentru sporirea accesului la educație de calitate </w:t>
            </w:r>
            <w:r w:rsidR="00692B32" w:rsidRPr="0038699B">
              <w:rPr>
                <w:rFonts w:eastAsiaTheme="minorHAnsi"/>
                <w:lang w:val="ro-MD" w:eastAsia="en-US"/>
              </w:rPr>
              <w:t>va fi</w:t>
            </w:r>
            <w:r w:rsidRPr="0038699B">
              <w:rPr>
                <w:rFonts w:eastAsiaTheme="minorHAnsi"/>
                <w:lang w:val="ro-MD" w:eastAsia="en-US"/>
              </w:rPr>
              <w:t xml:space="preserve"> neimpozabilă.</w:t>
            </w:r>
          </w:p>
          <w:p w:rsidR="00847910" w:rsidRPr="0038699B" w:rsidRDefault="007D7A40" w:rsidP="005958BE">
            <w:pPr>
              <w:pStyle w:val="NormalWeb"/>
              <w:spacing w:before="120" w:beforeAutospacing="0" w:after="0" w:afterAutospacing="0"/>
              <w:ind w:right="116" w:firstLine="391"/>
              <w:jc w:val="both"/>
              <w:rPr>
                <w:rFonts w:eastAsiaTheme="minorHAnsi"/>
                <w:lang w:val="ro-MD" w:eastAsia="en-US"/>
              </w:rPr>
            </w:pPr>
            <w:r w:rsidRPr="0038699B">
              <w:rPr>
                <w:rFonts w:eastAsiaTheme="minorHAnsi"/>
                <w:lang w:val="ro-MD" w:eastAsia="en-US"/>
              </w:rPr>
              <w:t xml:space="preserve">Ministerul Educației și Cercetării va aproba și publica anual pe site-ul </w:t>
            </w:r>
            <w:r w:rsidR="007726B9">
              <w:rPr>
                <w:rFonts w:eastAsiaTheme="minorHAnsi"/>
                <w:lang w:val="ro-MD" w:eastAsia="en-US"/>
              </w:rPr>
              <w:t>său oficial</w:t>
            </w:r>
            <w:r w:rsidRPr="0038699B">
              <w:rPr>
                <w:rFonts w:eastAsiaTheme="minorHAnsi"/>
                <w:lang w:val="ro-MD" w:eastAsia="en-US"/>
              </w:rPr>
              <w:t>, până la 07 iulie, lista instituțiilor de învățământ primar și secundar (ciclu</w:t>
            </w:r>
            <w:bookmarkStart w:id="0" w:name="_GoBack"/>
            <w:bookmarkEnd w:id="0"/>
            <w:r w:rsidRPr="0038699B">
              <w:rPr>
                <w:rFonts w:eastAsiaTheme="minorHAnsi"/>
                <w:lang w:val="ro-MD" w:eastAsia="en-US"/>
              </w:rPr>
              <w:t xml:space="preserve">l I și II) cu un număr mai mic de 50 de elevi. </w:t>
            </w:r>
          </w:p>
          <w:p w:rsidR="007726B9" w:rsidRDefault="007D7A40" w:rsidP="007726B9">
            <w:pPr>
              <w:pStyle w:val="NormalWeb"/>
              <w:spacing w:before="120" w:beforeAutospacing="0" w:after="0" w:afterAutospacing="0"/>
              <w:ind w:right="116" w:firstLine="391"/>
              <w:jc w:val="both"/>
              <w:rPr>
                <w:rFonts w:eastAsiaTheme="minorHAnsi"/>
                <w:lang w:val="ro-MD" w:eastAsia="en-US"/>
              </w:rPr>
            </w:pPr>
            <w:r w:rsidRPr="0038699B">
              <w:rPr>
                <w:rFonts w:eastAsiaTheme="minorHAnsi"/>
                <w:lang w:val="ro-MD" w:eastAsia="en-US"/>
              </w:rPr>
              <w:t xml:space="preserve">Alocațiile vor fi transferate de către </w:t>
            </w:r>
            <w:r w:rsidR="007726B9" w:rsidRPr="0038699B">
              <w:rPr>
                <w:rFonts w:eastAsiaTheme="minorHAnsi"/>
                <w:lang w:val="ro-MD" w:eastAsia="en-US"/>
              </w:rPr>
              <w:t>Ministerul Educației și Cercetării</w:t>
            </w:r>
            <w:r w:rsidRPr="0038699B">
              <w:rPr>
                <w:rFonts w:eastAsiaTheme="minorHAnsi"/>
                <w:lang w:val="ro-MD" w:eastAsia="en-US"/>
              </w:rPr>
              <w:t>, în temeiul li</w:t>
            </w:r>
            <w:r w:rsidR="007726B9">
              <w:rPr>
                <w:rFonts w:eastAsiaTheme="minorHAnsi"/>
                <w:lang w:val="ro-MD" w:eastAsia="en-US"/>
              </w:rPr>
              <w:t>stelor beneficiarilor aprobate.</w:t>
            </w:r>
          </w:p>
          <w:p w:rsidR="00481BB2" w:rsidRPr="0038699B" w:rsidRDefault="00481BB2" w:rsidP="007726B9">
            <w:pPr>
              <w:pStyle w:val="NormalWeb"/>
              <w:spacing w:before="120" w:beforeAutospacing="0" w:after="0" w:afterAutospacing="0"/>
              <w:ind w:right="116" w:firstLine="391"/>
              <w:jc w:val="both"/>
              <w:rPr>
                <w:rFonts w:eastAsiaTheme="minorHAnsi"/>
                <w:lang w:val="ro-MD" w:eastAsia="en-US"/>
              </w:rPr>
            </w:pPr>
            <w:r w:rsidRPr="0038699B">
              <w:rPr>
                <w:rFonts w:eastAsiaTheme="minorHAnsi"/>
                <w:lang w:val="ro-MD" w:eastAsia="en-US"/>
              </w:rPr>
              <w:t xml:space="preserve">Totodată, proiectul documentului prevede cazurile pentru care dreptul la alocație încetează sau se suspendă, </w:t>
            </w:r>
            <w:r w:rsidR="009919AA" w:rsidRPr="0038699B">
              <w:rPr>
                <w:rFonts w:eastAsiaTheme="minorHAnsi"/>
                <w:lang w:val="ro-MD" w:eastAsia="en-US"/>
              </w:rPr>
              <w:t xml:space="preserve">precum </w:t>
            </w:r>
            <w:r w:rsidRPr="0038699B">
              <w:rPr>
                <w:rFonts w:eastAsiaTheme="minorHAnsi"/>
                <w:lang w:val="ro-MD" w:eastAsia="en-US"/>
              </w:rPr>
              <w:t>și condițiile în care aceasta poate fi reluată.</w:t>
            </w:r>
            <w:r w:rsidR="00424CF6" w:rsidRPr="0038699B">
              <w:rPr>
                <w:rFonts w:eastAsiaTheme="minorHAnsi"/>
                <w:lang w:val="ro-MD" w:eastAsia="en-US"/>
              </w:rPr>
              <w:t xml:space="preserve"> </w:t>
            </w:r>
          </w:p>
        </w:tc>
      </w:tr>
      <w:tr w:rsidR="00025894" w:rsidRPr="0038699B" w:rsidTr="005940D0">
        <w:trPr>
          <w:trHeight w:val="375"/>
          <w:jc w:val="center"/>
        </w:trPr>
        <w:tc>
          <w:tcPr>
            <w:tcW w:w="9858" w:type="dxa"/>
            <w:shd w:val="clear" w:color="auto" w:fill="DBDBDB" w:themeFill="accent3" w:themeFillTint="66"/>
          </w:tcPr>
          <w:p w:rsidR="005A6977" w:rsidRPr="0038699B" w:rsidRDefault="005A6977" w:rsidP="005958B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right="116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Fundamentarea </w:t>
            </w:r>
            <w:proofErr w:type="spellStart"/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economico</w:t>
            </w:r>
            <w:proofErr w:type="spellEnd"/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-financiară</w:t>
            </w:r>
          </w:p>
        </w:tc>
      </w:tr>
      <w:tr w:rsidR="00025894" w:rsidRPr="0038699B" w:rsidTr="005940D0">
        <w:trPr>
          <w:trHeight w:val="483"/>
          <w:jc w:val="center"/>
        </w:trPr>
        <w:tc>
          <w:tcPr>
            <w:tcW w:w="9858" w:type="dxa"/>
          </w:tcPr>
          <w:p w:rsidR="00B862FE" w:rsidRPr="0038699B" w:rsidRDefault="00B862FE" w:rsidP="005958BE">
            <w:pPr>
              <w:pStyle w:val="NormalWeb"/>
              <w:shd w:val="clear" w:color="auto" w:fill="FFFFFF"/>
              <w:spacing w:before="0" w:beforeAutospacing="0" w:after="120" w:afterAutospacing="0"/>
              <w:ind w:right="116" w:firstLine="448"/>
              <w:jc w:val="both"/>
              <w:rPr>
                <w:rFonts w:eastAsiaTheme="minorHAnsi"/>
                <w:color w:val="000000" w:themeColor="text1"/>
                <w:lang w:val="ro-MD" w:eastAsia="en-US"/>
              </w:rPr>
            </w:pPr>
            <w:r w:rsidRPr="0038699B">
              <w:rPr>
                <w:rFonts w:eastAsiaTheme="minorHAnsi"/>
                <w:color w:val="000000" w:themeColor="text1"/>
                <w:lang w:val="ro-MD" w:eastAsia="en-US"/>
              </w:rPr>
              <w:t>Potrivit proiectului, alocații</w:t>
            </w:r>
            <w:r w:rsidR="00231C31" w:rsidRPr="0038699B">
              <w:rPr>
                <w:rFonts w:eastAsiaTheme="minorHAnsi"/>
                <w:color w:val="000000" w:themeColor="text1"/>
                <w:lang w:val="ro-MD" w:eastAsia="en-US"/>
              </w:rPr>
              <w:t>le</w:t>
            </w:r>
            <w:r w:rsidRPr="0038699B">
              <w:rPr>
                <w:rFonts w:eastAsiaTheme="minorHAnsi"/>
                <w:color w:val="000000" w:themeColor="text1"/>
                <w:lang w:val="ro-MD" w:eastAsia="en-US"/>
              </w:rPr>
              <w:t xml:space="preserve"> </w:t>
            </w:r>
            <w:r w:rsidR="00231C31" w:rsidRPr="0038699B">
              <w:rPr>
                <w:rFonts w:eastAsiaTheme="minorHAnsi"/>
                <w:color w:val="000000" w:themeColor="text1"/>
                <w:lang w:val="ro-MD" w:eastAsia="en-US"/>
              </w:rPr>
              <w:t xml:space="preserve">se vor acorda începând cu septembrie 2024. </w:t>
            </w:r>
            <w:r w:rsidRPr="0038699B">
              <w:rPr>
                <w:rFonts w:eastAsiaTheme="minorHAnsi"/>
                <w:color w:val="000000" w:themeColor="text1"/>
                <w:lang w:val="ro-MD" w:eastAsia="en-US"/>
              </w:rPr>
              <w:t xml:space="preserve">Pentru început </w:t>
            </w:r>
            <w:r w:rsidR="00231C31" w:rsidRPr="0038699B">
              <w:rPr>
                <w:rFonts w:eastAsiaTheme="minorHAnsi"/>
                <w:color w:val="000000" w:themeColor="text1"/>
                <w:lang w:val="ro-MD" w:eastAsia="en-US"/>
              </w:rPr>
              <w:t xml:space="preserve">se planifică </w:t>
            </w:r>
            <w:r w:rsidRPr="0038699B">
              <w:rPr>
                <w:rFonts w:eastAsiaTheme="minorHAnsi"/>
                <w:color w:val="000000" w:themeColor="text1"/>
                <w:lang w:val="ro-MD" w:eastAsia="en-US"/>
              </w:rPr>
              <w:t>un număr de 1000 de beneficiari. Respectiv, costul total pentru lunile din primul semestru, septembrie – noiembrie 2024, va fi de 3 milioane de lei.</w:t>
            </w:r>
          </w:p>
          <w:p w:rsidR="00B862FE" w:rsidRPr="0038699B" w:rsidRDefault="00B862FE" w:rsidP="005958BE">
            <w:pPr>
              <w:pStyle w:val="NormalWeb"/>
              <w:shd w:val="clear" w:color="auto" w:fill="FFFFFF"/>
              <w:spacing w:before="0" w:beforeAutospacing="0" w:after="120" w:afterAutospacing="0"/>
              <w:ind w:right="116" w:firstLine="448"/>
              <w:jc w:val="both"/>
              <w:rPr>
                <w:rFonts w:eastAsiaTheme="minorHAnsi"/>
                <w:color w:val="000000" w:themeColor="text1"/>
                <w:lang w:val="ro-MD" w:eastAsia="en-US"/>
              </w:rPr>
            </w:pPr>
            <w:r w:rsidRPr="0038699B">
              <w:rPr>
                <w:rFonts w:eastAsiaTheme="minorHAnsi"/>
                <w:color w:val="000000" w:themeColor="text1"/>
                <w:lang w:val="ro-MD" w:eastAsia="en-US"/>
              </w:rPr>
              <w:t>Aplicând același algoritm, pentru anul 2025 numărul de beneficiari va fi mai mare, de 2000 de elevi. Respectiv alocația pentru o perioadă de nouă luni va însuma 18 milioane de lei.</w:t>
            </w:r>
          </w:p>
          <w:p w:rsidR="00B862FE" w:rsidRPr="0038699B" w:rsidRDefault="00B862FE" w:rsidP="005958BE">
            <w:pPr>
              <w:pStyle w:val="NormalWeb"/>
              <w:shd w:val="clear" w:color="auto" w:fill="FFFFFF"/>
              <w:spacing w:before="0" w:beforeAutospacing="0" w:after="120" w:afterAutospacing="0"/>
              <w:ind w:right="116" w:firstLine="448"/>
              <w:jc w:val="both"/>
              <w:rPr>
                <w:rFonts w:eastAsiaTheme="minorHAnsi"/>
                <w:color w:val="000000" w:themeColor="text1"/>
                <w:lang w:val="ro-MD" w:eastAsia="en-US"/>
              </w:rPr>
            </w:pPr>
            <w:r w:rsidRPr="0038699B">
              <w:rPr>
                <w:rFonts w:eastAsiaTheme="minorHAnsi"/>
                <w:color w:val="000000" w:themeColor="text1"/>
                <w:lang w:val="ro-MD" w:eastAsia="en-US"/>
              </w:rPr>
              <w:t xml:space="preserve">Mijloacele financiare necesare pentru implementarea proiectului în perioada anilor 2024-2025 </w:t>
            </w:r>
            <w:r w:rsidR="008155A9" w:rsidRPr="0038699B">
              <w:rPr>
                <w:rFonts w:eastAsiaTheme="minorHAnsi"/>
                <w:color w:val="000000" w:themeColor="text1"/>
                <w:lang w:val="ro-MD" w:eastAsia="en-US"/>
              </w:rPr>
              <w:t>vor fi</w:t>
            </w:r>
            <w:r w:rsidRPr="0038699B">
              <w:rPr>
                <w:rFonts w:eastAsiaTheme="minorHAnsi"/>
                <w:color w:val="000000" w:themeColor="text1"/>
                <w:lang w:val="ro-MD" w:eastAsia="en-US"/>
              </w:rPr>
              <w:t xml:space="preserve"> alocate de către Ministerul Finanțelor din sursele financiare ale bugetului </w:t>
            </w:r>
            <w:r w:rsidR="008155A9" w:rsidRPr="0038699B">
              <w:rPr>
                <w:rFonts w:eastAsiaTheme="minorHAnsi"/>
                <w:color w:val="000000" w:themeColor="text1"/>
                <w:lang w:val="ro-MD" w:eastAsia="en-US"/>
              </w:rPr>
              <w:t>de stat</w:t>
            </w:r>
            <w:r w:rsidRPr="0038699B">
              <w:rPr>
                <w:rFonts w:eastAsiaTheme="minorHAnsi"/>
                <w:color w:val="000000" w:themeColor="text1"/>
                <w:lang w:val="ro-MD" w:eastAsia="en-US"/>
              </w:rPr>
              <w:t>.</w:t>
            </w:r>
          </w:p>
        </w:tc>
      </w:tr>
      <w:tr w:rsidR="00025894" w:rsidRPr="0038699B" w:rsidTr="005940D0">
        <w:trPr>
          <w:trHeight w:val="467"/>
          <w:jc w:val="center"/>
        </w:trPr>
        <w:tc>
          <w:tcPr>
            <w:tcW w:w="9858" w:type="dxa"/>
            <w:shd w:val="clear" w:color="auto" w:fill="DBDBDB" w:themeFill="accent3" w:themeFillTint="66"/>
          </w:tcPr>
          <w:p w:rsidR="005A6977" w:rsidRPr="0038699B" w:rsidRDefault="005A6977" w:rsidP="005958BE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120" w:after="120"/>
              <w:ind w:left="0" w:right="116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Modul de încorporare a actului în cadrul normativ în vigoare</w:t>
            </w:r>
          </w:p>
        </w:tc>
      </w:tr>
      <w:tr w:rsidR="00025894" w:rsidRPr="0038699B" w:rsidTr="005940D0">
        <w:trPr>
          <w:trHeight w:val="620"/>
          <w:jc w:val="center"/>
        </w:trPr>
        <w:tc>
          <w:tcPr>
            <w:tcW w:w="9858" w:type="dxa"/>
          </w:tcPr>
          <w:p w:rsidR="0002060C" w:rsidRPr="0038699B" w:rsidRDefault="00CF35CE" w:rsidP="005958BE">
            <w:pPr>
              <w:spacing w:before="120" w:after="120"/>
              <w:ind w:right="116" w:firstLine="25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Pentru implementarea prezentului proiect </w:t>
            </w:r>
            <w:r w:rsidR="009B11EE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de Hotărâre a Guvernului </w:t>
            </w:r>
            <w:r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nu va fi necesară modificarea altor</w:t>
            </w:r>
            <w:r w:rsidR="00F22B34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acte normative.</w:t>
            </w:r>
          </w:p>
        </w:tc>
      </w:tr>
      <w:tr w:rsidR="00025894" w:rsidRPr="0038699B" w:rsidTr="005940D0">
        <w:trPr>
          <w:jc w:val="center"/>
        </w:trPr>
        <w:tc>
          <w:tcPr>
            <w:tcW w:w="9858" w:type="dxa"/>
            <w:shd w:val="clear" w:color="auto" w:fill="DBDBDB" w:themeFill="accent3" w:themeFillTint="66"/>
          </w:tcPr>
          <w:p w:rsidR="005A6977" w:rsidRPr="0038699B" w:rsidRDefault="005A6977" w:rsidP="005958B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right="116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Avizarea și c</w:t>
            </w:r>
            <w:r w:rsidR="00AA00F2"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onsultarea publică a proiectului</w:t>
            </w:r>
          </w:p>
        </w:tc>
      </w:tr>
      <w:tr w:rsidR="00025894" w:rsidRPr="0038699B" w:rsidTr="005940D0">
        <w:trPr>
          <w:jc w:val="center"/>
        </w:trPr>
        <w:tc>
          <w:tcPr>
            <w:tcW w:w="9858" w:type="dxa"/>
          </w:tcPr>
          <w:p w:rsidR="002E04B9" w:rsidRPr="0038699B" w:rsidRDefault="002E04B9" w:rsidP="00CC6B74">
            <w:pPr>
              <w:spacing w:before="120" w:after="120"/>
              <w:ind w:right="116" w:firstLine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În scopul respectării Legii nr.239/2008 privind transparența în procesul decizional, anunțul de inițiere a elaborării proiectul</w:t>
            </w:r>
            <w:r w:rsidR="00145A23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ui</w:t>
            </w:r>
            <w:r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a fost plasat pe pagina web a Ministerului Educației și Cercetării, la secțiunea Transparența decizională, modulul de participare, fiind accesibil la următorul link: </w:t>
            </w:r>
            <w:hyperlink r:id="rId8" w:history="1">
              <w:r w:rsidR="00754773" w:rsidRPr="0038699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https://particip.gov.md/ro/document/stages/in-conformitate-cu-planul-de-actiuni-pentru-anul-2023-ministerul-educatiei-si-cercetarii-anunta-despre-initierea-procesului-de-elaborare-a-mecanismului-de-acordare-a-stimulentelor-pentru-cresterea-accesului-la-studii-de-calitate/11530</w:t>
              </w:r>
            </w:hyperlink>
            <w:r w:rsidR="00754773" w:rsidRPr="0038699B">
              <w:rPr>
                <w:rStyle w:val="Hyperlink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2C3F10" w:rsidRPr="0038699B" w:rsidRDefault="00A44609" w:rsidP="00CC6B74">
            <w:pPr>
              <w:spacing w:before="120" w:after="120"/>
              <w:ind w:right="116" w:firstLine="313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ro-MD"/>
              </w:rPr>
            </w:pPr>
            <w:r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lastRenderedPageBreak/>
              <w:t xml:space="preserve">De asemenea, proiectul </w:t>
            </w:r>
            <w:r w:rsidR="0091766F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</w:t>
            </w:r>
            <w:r w:rsidR="00727615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f</w:t>
            </w:r>
            <w:r w:rsidR="0091766F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i</w:t>
            </w:r>
            <w:r w:rsidR="00727615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plasat </w:t>
            </w:r>
            <w:r w:rsidR="003571C0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pentru consultări publice </w:t>
            </w:r>
            <w:r w:rsidR="00727615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pe pagina web oficială a Ministerului Educației și Cercetării, compartimentul Transparență decizională, secțiunea Modul de p</w:t>
            </w:r>
            <w:r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articipare</w:t>
            </w:r>
            <w:r w:rsidR="0091766F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.</w:t>
            </w:r>
            <w:r w:rsidR="00754773" w:rsidRPr="0038699B">
              <w:rPr>
                <w:rStyle w:val="Hyperlink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3E369A" w:rsidRPr="0038699B" w:rsidTr="005940D0">
        <w:trPr>
          <w:jc w:val="center"/>
        </w:trPr>
        <w:tc>
          <w:tcPr>
            <w:tcW w:w="9858" w:type="dxa"/>
            <w:shd w:val="clear" w:color="auto" w:fill="D0CECE" w:themeFill="background2" w:themeFillShade="E6"/>
          </w:tcPr>
          <w:p w:rsidR="003E369A" w:rsidRPr="0038699B" w:rsidRDefault="003E369A" w:rsidP="005958B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right="116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lastRenderedPageBreak/>
              <w:t>Constatările expertizei anticorupție</w:t>
            </w:r>
          </w:p>
        </w:tc>
      </w:tr>
      <w:tr w:rsidR="003E369A" w:rsidRPr="0038699B" w:rsidTr="005940D0">
        <w:trPr>
          <w:trHeight w:val="465"/>
          <w:jc w:val="center"/>
        </w:trPr>
        <w:tc>
          <w:tcPr>
            <w:tcW w:w="9858" w:type="dxa"/>
            <w:vAlign w:val="center"/>
          </w:tcPr>
          <w:p w:rsidR="003E369A" w:rsidRPr="0038699B" w:rsidRDefault="002C3F10" w:rsidP="005958BE">
            <w:pPr>
              <w:tabs>
                <w:tab w:val="left" w:pos="993"/>
              </w:tabs>
              <w:ind w:right="1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MD" w:eastAsia="ru-RU"/>
              </w:rPr>
              <w:t>Proiectul</w:t>
            </w:r>
            <w:r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D7A40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</w:t>
            </w:r>
            <w:r w:rsidR="00A44609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f</w:t>
            </w:r>
            <w:r w:rsidR="007D7A40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supus expertizei anticorupție la Centrul Național Anticorupție.</w:t>
            </w:r>
            <w:r w:rsidR="00A44609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3E369A" w:rsidRPr="0038699B" w:rsidTr="005940D0">
        <w:trPr>
          <w:jc w:val="center"/>
        </w:trPr>
        <w:tc>
          <w:tcPr>
            <w:tcW w:w="9858" w:type="dxa"/>
            <w:shd w:val="clear" w:color="auto" w:fill="D0CECE" w:themeFill="background2" w:themeFillShade="E6"/>
          </w:tcPr>
          <w:p w:rsidR="003E369A" w:rsidRPr="0038699B" w:rsidRDefault="003E369A" w:rsidP="005958B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right="116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Constatările expertizei de compatibilitate cu </w:t>
            </w:r>
            <w:proofErr w:type="spellStart"/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legislaţia</w:t>
            </w:r>
            <w:proofErr w:type="spellEnd"/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Uniunii Europene</w:t>
            </w:r>
          </w:p>
        </w:tc>
      </w:tr>
      <w:tr w:rsidR="003E369A" w:rsidRPr="0038699B" w:rsidTr="005940D0">
        <w:trPr>
          <w:trHeight w:val="512"/>
          <w:jc w:val="center"/>
        </w:trPr>
        <w:tc>
          <w:tcPr>
            <w:tcW w:w="9858" w:type="dxa"/>
          </w:tcPr>
          <w:p w:rsidR="003E369A" w:rsidRPr="0038699B" w:rsidRDefault="009B11EE" w:rsidP="005958BE">
            <w:pPr>
              <w:pStyle w:val="ListParagraph"/>
              <w:spacing w:before="120" w:after="120"/>
              <w:ind w:left="0" w:right="11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</w:pPr>
            <w:r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Nu necesită efectuarea expertizei de compatibilitate, dat fiind faptul că proiectul de hotărâre nu prezintă relevanță UE.</w:t>
            </w:r>
          </w:p>
        </w:tc>
      </w:tr>
      <w:tr w:rsidR="003E369A" w:rsidRPr="0038699B" w:rsidTr="005940D0">
        <w:trPr>
          <w:jc w:val="center"/>
        </w:trPr>
        <w:tc>
          <w:tcPr>
            <w:tcW w:w="9858" w:type="dxa"/>
            <w:shd w:val="clear" w:color="auto" w:fill="D0CECE" w:themeFill="background2" w:themeFillShade="E6"/>
          </w:tcPr>
          <w:p w:rsidR="003E369A" w:rsidRPr="0038699B" w:rsidRDefault="003E369A" w:rsidP="005958B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right="116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Constatările expertizei juridice</w:t>
            </w:r>
          </w:p>
        </w:tc>
      </w:tr>
      <w:tr w:rsidR="003E369A" w:rsidRPr="0038699B" w:rsidTr="005940D0">
        <w:trPr>
          <w:trHeight w:val="398"/>
          <w:jc w:val="center"/>
        </w:trPr>
        <w:tc>
          <w:tcPr>
            <w:tcW w:w="9858" w:type="dxa"/>
            <w:vAlign w:val="center"/>
          </w:tcPr>
          <w:p w:rsidR="00781C75" w:rsidRPr="0038699B" w:rsidRDefault="002C3F10" w:rsidP="005958BE">
            <w:pPr>
              <w:autoSpaceDE w:val="0"/>
              <w:autoSpaceDN w:val="0"/>
              <w:adjustRightInd w:val="0"/>
              <w:ind w:right="1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Proiectul </w:t>
            </w:r>
            <w:r w:rsidR="007D7A40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</w:t>
            </w:r>
            <w:r w:rsidR="00781C75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a f</w:t>
            </w:r>
            <w:r w:rsidR="007D7A40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i</w:t>
            </w:r>
            <w:r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supus expertizei juridice a Ministerul</w:t>
            </w:r>
            <w:r w:rsidR="00781C75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ui</w:t>
            </w:r>
            <w:r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Justiției.</w:t>
            </w:r>
            <w:r w:rsidR="00781C75" w:rsidRPr="00386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</w:p>
        </w:tc>
      </w:tr>
      <w:tr w:rsidR="003E369A" w:rsidRPr="0038699B" w:rsidTr="005940D0">
        <w:trPr>
          <w:jc w:val="center"/>
        </w:trPr>
        <w:tc>
          <w:tcPr>
            <w:tcW w:w="9858" w:type="dxa"/>
            <w:shd w:val="clear" w:color="auto" w:fill="D0CECE" w:themeFill="background2" w:themeFillShade="E6"/>
          </w:tcPr>
          <w:p w:rsidR="003E369A" w:rsidRPr="0038699B" w:rsidRDefault="003E369A" w:rsidP="005958B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 w:right="116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869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Constatările altor expertize</w:t>
            </w:r>
          </w:p>
        </w:tc>
      </w:tr>
      <w:tr w:rsidR="003E369A" w:rsidRPr="0038699B" w:rsidTr="005940D0">
        <w:trPr>
          <w:trHeight w:val="440"/>
          <w:jc w:val="center"/>
        </w:trPr>
        <w:tc>
          <w:tcPr>
            <w:tcW w:w="9858" w:type="dxa"/>
            <w:vAlign w:val="center"/>
          </w:tcPr>
          <w:p w:rsidR="003E369A" w:rsidRPr="0038699B" w:rsidRDefault="002577CC" w:rsidP="005958BE">
            <w:pPr>
              <w:ind w:right="116"/>
              <w:rPr>
                <w:rFonts w:ascii="Times New Roman" w:eastAsia="Calibri" w:hAnsi="Times New Roman" w:cs="Times New Roman"/>
                <w:sz w:val="24"/>
                <w:szCs w:val="24"/>
                <w:lang w:val="ro-MD" w:eastAsia="ro-RO"/>
              </w:rPr>
            </w:pPr>
            <w:r w:rsidRPr="0038699B">
              <w:rPr>
                <w:rFonts w:ascii="Times New Roman" w:eastAsia="Calibri" w:hAnsi="Times New Roman" w:cs="Times New Roman"/>
                <w:sz w:val="24"/>
                <w:szCs w:val="24"/>
                <w:lang w:val="ro-MD" w:eastAsia="ro-RO"/>
              </w:rPr>
              <w:t>Proiectul de hotărâ</w:t>
            </w:r>
            <w:r w:rsidR="007919D1" w:rsidRPr="0038699B">
              <w:rPr>
                <w:rFonts w:ascii="Times New Roman" w:eastAsia="Calibri" w:hAnsi="Times New Roman" w:cs="Times New Roman"/>
                <w:sz w:val="24"/>
                <w:szCs w:val="24"/>
                <w:lang w:val="ro-MD" w:eastAsia="ro-RO"/>
              </w:rPr>
              <w:t xml:space="preserve">re </w:t>
            </w:r>
            <w:r w:rsidR="007919D1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</w:t>
            </w:r>
            <w:r w:rsidR="004B1B5F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1766F" w:rsidRPr="003869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necesită a fi</w:t>
            </w:r>
            <w:r w:rsidR="007919D1" w:rsidRPr="0038699B">
              <w:rPr>
                <w:rFonts w:ascii="Times New Roman" w:eastAsia="Calibri" w:hAnsi="Times New Roman" w:cs="Times New Roman"/>
                <w:sz w:val="24"/>
                <w:szCs w:val="24"/>
                <w:lang w:val="ro-MD" w:eastAsia="ro-RO"/>
              </w:rPr>
              <w:t xml:space="preserve"> supus </w:t>
            </w:r>
            <w:r w:rsidRPr="0038699B">
              <w:rPr>
                <w:rFonts w:ascii="Times New Roman" w:eastAsia="Calibri" w:hAnsi="Times New Roman" w:cs="Times New Roman"/>
                <w:sz w:val="24"/>
                <w:szCs w:val="24"/>
                <w:lang w:val="ro-MD" w:eastAsia="ro-RO"/>
              </w:rPr>
              <w:t xml:space="preserve">altor expertize. </w:t>
            </w:r>
          </w:p>
        </w:tc>
      </w:tr>
    </w:tbl>
    <w:p w:rsidR="00EE635F" w:rsidRPr="0038699B" w:rsidRDefault="00EE635F" w:rsidP="00C30DF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</w:p>
    <w:p w:rsidR="00FF2DAF" w:rsidRPr="0038699B" w:rsidRDefault="00FF2DAF" w:rsidP="00C30DF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</w:p>
    <w:p w:rsidR="00FF2DAF" w:rsidRPr="0038699B" w:rsidRDefault="00FF2DAF" w:rsidP="00C30DF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</w:p>
    <w:p w:rsidR="00BB0B72" w:rsidRPr="0038699B" w:rsidRDefault="00025894" w:rsidP="00C30DF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38699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M</w:t>
      </w:r>
      <w:r w:rsidR="00F44BB2" w:rsidRPr="0038699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inistru </w:t>
      </w:r>
      <w:r w:rsidR="005A6977" w:rsidRPr="0038699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     </w:t>
      </w:r>
      <w:r w:rsidR="008A4B05" w:rsidRPr="0038699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ab/>
      </w:r>
      <w:r w:rsidR="008A4B05" w:rsidRPr="0038699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ab/>
      </w:r>
      <w:r w:rsidR="00D16C7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            </w:t>
      </w:r>
      <w:r w:rsidR="005478F6" w:rsidRPr="0038699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</w:t>
      </w:r>
      <w:r w:rsidR="005A6977" w:rsidRPr="0038699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      </w:t>
      </w:r>
      <w:r w:rsidR="0072247E" w:rsidRPr="0038699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Dan PERCIUN</w:t>
      </w:r>
    </w:p>
    <w:p w:rsidR="00FF2DAF" w:rsidRPr="0038699B" w:rsidRDefault="00FF2DAF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F2DAF" w:rsidRPr="0038699B" w:rsidRDefault="00FF2DAF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FF2DAF" w:rsidRDefault="00FF2DAF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36123" w:rsidRPr="0038699B" w:rsidRDefault="00E36123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E63660" w:rsidRPr="00E36123" w:rsidRDefault="00E63660" w:rsidP="00781C75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</w:pPr>
      <w:r w:rsidRPr="00E36123"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  <w:t>Ex</w:t>
      </w:r>
      <w:r w:rsidR="00557895" w:rsidRPr="00E36123"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  <w:t>.</w:t>
      </w:r>
      <w:r w:rsidR="00AC1A88" w:rsidRPr="00E36123"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  <w:t>:</w:t>
      </w:r>
      <w:r w:rsidRPr="00E36123"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  <w:t xml:space="preserve"> </w:t>
      </w:r>
      <w:proofErr w:type="spellStart"/>
      <w:r w:rsidR="008B6CC2" w:rsidRPr="00E36123"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  <w:t>A.Pris</w:t>
      </w:r>
      <w:r w:rsidR="001B2C45" w:rsidRPr="00E36123"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  <w:t>ă</w:t>
      </w:r>
      <w:r w:rsidR="008B6CC2" w:rsidRPr="00E36123"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  <w:t>caru</w:t>
      </w:r>
      <w:proofErr w:type="spellEnd"/>
      <w:r w:rsidR="0099364C" w:rsidRPr="00E36123"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  <w:t>, t</w:t>
      </w:r>
      <w:r w:rsidR="001B2C45" w:rsidRPr="00E36123"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  <w:t>el. 0</w:t>
      </w:r>
      <w:r w:rsidRPr="00E36123"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  <w:t>22</w:t>
      </w:r>
      <w:r w:rsidR="001B2C45" w:rsidRPr="00E36123"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  <w:t>-</w:t>
      </w:r>
      <w:r w:rsidR="008B6CC2" w:rsidRPr="00E36123"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  <w:t>232785</w:t>
      </w:r>
      <w:r w:rsidRPr="00E36123">
        <w:rPr>
          <w:rFonts w:ascii="Times New Roman" w:hAnsi="Times New Roman" w:cs="Times New Roman"/>
          <w:color w:val="000000" w:themeColor="text1"/>
          <w:sz w:val="20"/>
          <w:szCs w:val="24"/>
          <w:lang w:val="ro-MD"/>
        </w:rPr>
        <w:t xml:space="preserve"> </w:t>
      </w:r>
    </w:p>
    <w:sectPr w:rsidR="00E63660" w:rsidRPr="00E36123" w:rsidSect="005940D0">
      <w:pgSz w:w="11906" w:h="16838" w:code="9"/>
      <w:pgMar w:top="993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1F" w:rsidRDefault="005F091F" w:rsidP="009139A1">
      <w:pPr>
        <w:spacing w:after="0" w:line="240" w:lineRule="auto"/>
      </w:pPr>
      <w:r>
        <w:separator/>
      </w:r>
    </w:p>
  </w:endnote>
  <w:endnote w:type="continuationSeparator" w:id="0">
    <w:p w:rsidR="005F091F" w:rsidRDefault="005F091F" w:rsidP="0091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1F" w:rsidRDefault="005F091F" w:rsidP="009139A1">
      <w:pPr>
        <w:spacing w:after="0" w:line="240" w:lineRule="auto"/>
      </w:pPr>
      <w:r>
        <w:separator/>
      </w:r>
    </w:p>
  </w:footnote>
  <w:footnote w:type="continuationSeparator" w:id="0">
    <w:p w:rsidR="005F091F" w:rsidRDefault="005F091F" w:rsidP="009139A1">
      <w:pPr>
        <w:spacing w:after="0" w:line="240" w:lineRule="auto"/>
      </w:pPr>
      <w:r>
        <w:continuationSeparator/>
      </w:r>
    </w:p>
  </w:footnote>
  <w:footnote w:id="1">
    <w:p w:rsidR="00E04180" w:rsidRPr="00E04180" w:rsidRDefault="00E04180">
      <w:pPr>
        <w:pStyle w:val="FootnoteText"/>
        <w:rPr>
          <w:lang w:val="ro-MD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13475">
          <w:rPr>
            <w:rStyle w:val="Hyperlink"/>
          </w:rPr>
          <w:t>https://ance.gov.md/content/fost-publicat-raportul-privind-rezultatele-ob%C8%9Binute-de-elevii-din-republica-moldova-%C3%AEn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0B26"/>
    <w:multiLevelType w:val="multilevel"/>
    <w:tmpl w:val="D8F2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8571D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2" w15:restartNumberingAfterBreak="0">
    <w:nsid w:val="149D74A9"/>
    <w:multiLevelType w:val="hybridMultilevel"/>
    <w:tmpl w:val="A496BBA0"/>
    <w:lvl w:ilvl="0" w:tplc="0E8AFF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3201E"/>
    <w:multiLevelType w:val="hybridMultilevel"/>
    <w:tmpl w:val="A8B4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40BF"/>
    <w:multiLevelType w:val="hybridMultilevel"/>
    <w:tmpl w:val="57A2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54595"/>
    <w:multiLevelType w:val="hybridMultilevel"/>
    <w:tmpl w:val="412EF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61648"/>
    <w:multiLevelType w:val="hybridMultilevel"/>
    <w:tmpl w:val="F7D2D5D4"/>
    <w:lvl w:ilvl="0" w:tplc="78609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16136"/>
    <w:multiLevelType w:val="hybridMultilevel"/>
    <w:tmpl w:val="D184427C"/>
    <w:lvl w:ilvl="0" w:tplc="002E616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7"/>
    <w:rsid w:val="00002757"/>
    <w:rsid w:val="0000615C"/>
    <w:rsid w:val="0002060C"/>
    <w:rsid w:val="00021EC8"/>
    <w:rsid w:val="000237C9"/>
    <w:rsid w:val="00025894"/>
    <w:rsid w:val="00025A15"/>
    <w:rsid w:val="00035FAE"/>
    <w:rsid w:val="00050127"/>
    <w:rsid w:val="000507F0"/>
    <w:rsid w:val="00063FA4"/>
    <w:rsid w:val="000723A6"/>
    <w:rsid w:val="0007422B"/>
    <w:rsid w:val="00081988"/>
    <w:rsid w:val="000A3872"/>
    <w:rsid w:val="000A3F69"/>
    <w:rsid w:val="000B1547"/>
    <w:rsid w:val="000B541C"/>
    <w:rsid w:val="000D612E"/>
    <w:rsid w:val="000D7C6F"/>
    <w:rsid w:val="000E7F0D"/>
    <w:rsid w:val="000F144A"/>
    <w:rsid w:val="000F170D"/>
    <w:rsid w:val="001011EA"/>
    <w:rsid w:val="00101886"/>
    <w:rsid w:val="00104806"/>
    <w:rsid w:val="00110AAC"/>
    <w:rsid w:val="00113542"/>
    <w:rsid w:val="0011736A"/>
    <w:rsid w:val="001232D9"/>
    <w:rsid w:val="00132EEC"/>
    <w:rsid w:val="0013332C"/>
    <w:rsid w:val="00133A5A"/>
    <w:rsid w:val="00136656"/>
    <w:rsid w:val="00141011"/>
    <w:rsid w:val="00142592"/>
    <w:rsid w:val="001436A6"/>
    <w:rsid w:val="00145A23"/>
    <w:rsid w:val="0015747A"/>
    <w:rsid w:val="00157EE1"/>
    <w:rsid w:val="00157F00"/>
    <w:rsid w:val="001622D3"/>
    <w:rsid w:val="001745A6"/>
    <w:rsid w:val="00183451"/>
    <w:rsid w:val="001846EB"/>
    <w:rsid w:val="00184E64"/>
    <w:rsid w:val="001922AF"/>
    <w:rsid w:val="001B079E"/>
    <w:rsid w:val="001B2C45"/>
    <w:rsid w:val="001B72DD"/>
    <w:rsid w:val="001D2277"/>
    <w:rsid w:val="001D7A0C"/>
    <w:rsid w:val="001E4666"/>
    <w:rsid w:val="001E57BC"/>
    <w:rsid w:val="0020403C"/>
    <w:rsid w:val="00224520"/>
    <w:rsid w:val="00226E3E"/>
    <w:rsid w:val="00231C31"/>
    <w:rsid w:val="0025394D"/>
    <w:rsid w:val="002571E7"/>
    <w:rsid w:val="002577CC"/>
    <w:rsid w:val="00264B5E"/>
    <w:rsid w:val="002657AF"/>
    <w:rsid w:val="002A081E"/>
    <w:rsid w:val="002A762F"/>
    <w:rsid w:val="002C3F10"/>
    <w:rsid w:val="002C63B5"/>
    <w:rsid w:val="002D7F72"/>
    <w:rsid w:val="002E0263"/>
    <w:rsid w:val="002E04B9"/>
    <w:rsid w:val="002E6ED0"/>
    <w:rsid w:val="002E70E6"/>
    <w:rsid w:val="002F26C0"/>
    <w:rsid w:val="00306B8A"/>
    <w:rsid w:val="00312841"/>
    <w:rsid w:val="00320339"/>
    <w:rsid w:val="00330184"/>
    <w:rsid w:val="00331AB4"/>
    <w:rsid w:val="0033370F"/>
    <w:rsid w:val="00333A93"/>
    <w:rsid w:val="003350C7"/>
    <w:rsid w:val="0034421F"/>
    <w:rsid w:val="00345E5E"/>
    <w:rsid w:val="003571C0"/>
    <w:rsid w:val="003575BD"/>
    <w:rsid w:val="00357B05"/>
    <w:rsid w:val="00366EDA"/>
    <w:rsid w:val="00380D10"/>
    <w:rsid w:val="00380EBC"/>
    <w:rsid w:val="0038699B"/>
    <w:rsid w:val="003914EE"/>
    <w:rsid w:val="0039290F"/>
    <w:rsid w:val="003B0069"/>
    <w:rsid w:val="003B21A0"/>
    <w:rsid w:val="003B4C62"/>
    <w:rsid w:val="003B77C3"/>
    <w:rsid w:val="003D34AA"/>
    <w:rsid w:val="003D38B0"/>
    <w:rsid w:val="003D4C61"/>
    <w:rsid w:val="003E03E1"/>
    <w:rsid w:val="003E369A"/>
    <w:rsid w:val="003F2802"/>
    <w:rsid w:val="003F3ACE"/>
    <w:rsid w:val="003F5940"/>
    <w:rsid w:val="004010CA"/>
    <w:rsid w:val="00401EE2"/>
    <w:rsid w:val="004056C5"/>
    <w:rsid w:val="004072BD"/>
    <w:rsid w:val="00411F9F"/>
    <w:rsid w:val="004123A0"/>
    <w:rsid w:val="00414277"/>
    <w:rsid w:val="0042032A"/>
    <w:rsid w:val="00424CF6"/>
    <w:rsid w:val="00425573"/>
    <w:rsid w:val="00430CA7"/>
    <w:rsid w:val="00451A97"/>
    <w:rsid w:val="004543A5"/>
    <w:rsid w:val="00455622"/>
    <w:rsid w:val="0046419B"/>
    <w:rsid w:val="004678C5"/>
    <w:rsid w:val="00470618"/>
    <w:rsid w:val="004726B7"/>
    <w:rsid w:val="00481BB2"/>
    <w:rsid w:val="004855E8"/>
    <w:rsid w:val="00490D36"/>
    <w:rsid w:val="004A0A0F"/>
    <w:rsid w:val="004A36C6"/>
    <w:rsid w:val="004B0060"/>
    <w:rsid w:val="004B1B5F"/>
    <w:rsid w:val="004B2B5B"/>
    <w:rsid w:val="004D1B32"/>
    <w:rsid w:val="004D6782"/>
    <w:rsid w:val="004E5083"/>
    <w:rsid w:val="004F131E"/>
    <w:rsid w:val="0050317D"/>
    <w:rsid w:val="00512467"/>
    <w:rsid w:val="005229F4"/>
    <w:rsid w:val="00531568"/>
    <w:rsid w:val="00535966"/>
    <w:rsid w:val="005409CC"/>
    <w:rsid w:val="00542A9C"/>
    <w:rsid w:val="005478F6"/>
    <w:rsid w:val="00557895"/>
    <w:rsid w:val="00562191"/>
    <w:rsid w:val="0056548B"/>
    <w:rsid w:val="00574D65"/>
    <w:rsid w:val="00580777"/>
    <w:rsid w:val="00593901"/>
    <w:rsid w:val="005940D0"/>
    <w:rsid w:val="005958BE"/>
    <w:rsid w:val="005A6977"/>
    <w:rsid w:val="005A7BC5"/>
    <w:rsid w:val="005B215D"/>
    <w:rsid w:val="005C3D40"/>
    <w:rsid w:val="005F091F"/>
    <w:rsid w:val="005F247B"/>
    <w:rsid w:val="005F333C"/>
    <w:rsid w:val="005F7E0E"/>
    <w:rsid w:val="0060155F"/>
    <w:rsid w:val="00601A4C"/>
    <w:rsid w:val="0061562B"/>
    <w:rsid w:val="006163DA"/>
    <w:rsid w:val="00617871"/>
    <w:rsid w:val="00621FC5"/>
    <w:rsid w:val="0062675E"/>
    <w:rsid w:val="00635FBB"/>
    <w:rsid w:val="00637B07"/>
    <w:rsid w:val="006405D3"/>
    <w:rsid w:val="00643CC8"/>
    <w:rsid w:val="00646B43"/>
    <w:rsid w:val="00646F55"/>
    <w:rsid w:val="00647E6E"/>
    <w:rsid w:val="00654E5E"/>
    <w:rsid w:val="00666A52"/>
    <w:rsid w:val="0068107F"/>
    <w:rsid w:val="0068133C"/>
    <w:rsid w:val="0068403B"/>
    <w:rsid w:val="00687323"/>
    <w:rsid w:val="00692B32"/>
    <w:rsid w:val="006B110B"/>
    <w:rsid w:val="006B38B2"/>
    <w:rsid w:val="006B64EB"/>
    <w:rsid w:val="006B6FD1"/>
    <w:rsid w:val="006C3649"/>
    <w:rsid w:val="006E76F4"/>
    <w:rsid w:val="006F1363"/>
    <w:rsid w:val="00703887"/>
    <w:rsid w:val="0072247E"/>
    <w:rsid w:val="007226FE"/>
    <w:rsid w:val="00727615"/>
    <w:rsid w:val="00734B03"/>
    <w:rsid w:val="00754773"/>
    <w:rsid w:val="00760219"/>
    <w:rsid w:val="00767EEB"/>
    <w:rsid w:val="007726B9"/>
    <w:rsid w:val="00776C53"/>
    <w:rsid w:val="00781C75"/>
    <w:rsid w:val="007919D1"/>
    <w:rsid w:val="0079279F"/>
    <w:rsid w:val="007A4ACC"/>
    <w:rsid w:val="007A71BC"/>
    <w:rsid w:val="007A786A"/>
    <w:rsid w:val="007C5DC6"/>
    <w:rsid w:val="007C62AB"/>
    <w:rsid w:val="007D1514"/>
    <w:rsid w:val="007D375E"/>
    <w:rsid w:val="007D7A40"/>
    <w:rsid w:val="007E56B9"/>
    <w:rsid w:val="007F32D8"/>
    <w:rsid w:val="008002DB"/>
    <w:rsid w:val="0080665F"/>
    <w:rsid w:val="008142A1"/>
    <w:rsid w:val="008155A9"/>
    <w:rsid w:val="008276C9"/>
    <w:rsid w:val="00834A40"/>
    <w:rsid w:val="0083656E"/>
    <w:rsid w:val="00847910"/>
    <w:rsid w:val="00855940"/>
    <w:rsid w:val="008660C1"/>
    <w:rsid w:val="00866FAE"/>
    <w:rsid w:val="00874D9B"/>
    <w:rsid w:val="008820AA"/>
    <w:rsid w:val="00884B4C"/>
    <w:rsid w:val="00884C75"/>
    <w:rsid w:val="00885F88"/>
    <w:rsid w:val="00892F89"/>
    <w:rsid w:val="00893AAF"/>
    <w:rsid w:val="00895DF0"/>
    <w:rsid w:val="008A18BA"/>
    <w:rsid w:val="008A4B05"/>
    <w:rsid w:val="008A5902"/>
    <w:rsid w:val="008B2A84"/>
    <w:rsid w:val="008B2D82"/>
    <w:rsid w:val="008B6CC2"/>
    <w:rsid w:val="008C1F30"/>
    <w:rsid w:val="008C3E1A"/>
    <w:rsid w:val="008D75E6"/>
    <w:rsid w:val="008E2386"/>
    <w:rsid w:val="008E56AB"/>
    <w:rsid w:val="00900746"/>
    <w:rsid w:val="009139A1"/>
    <w:rsid w:val="0091766F"/>
    <w:rsid w:val="009256A6"/>
    <w:rsid w:val="0093272B"/>
    <w:rsid w:val="00935023"/>
    <w:rsid w:val="0093566C"/>
    <w:rsid w:val="00941A8E"/>
    <w:rsid w:val="00942F3C"/>
    <w:rsid w:val="00951BFD"/>
    <w:rsid w:val="00953759"/>
    <w:rsid w:val="00954571"/>
    <w:rsid w:val="009545B3"/>
    <w:rsid w:val="00956471"/>
    <w:rsid w:val="0095758D"/>
    <w:rsid w:val="00964BA2"/>
    <w:rsid w:val="00965F43"/>
    <w:rsid w:val="00972644"/>
    <w:rsid w:val="0097576A"/>
    <w:rsid w:val="009839C8"/>
    <w:rsid w:val="00985306"/>
    <w:rsid w:val="009909D2"/>
    <w:rsid w:val="009919AA"/>
    <w:rsid w:val="00992159"/>
    <w:rsid w:val="0099364C"/>
    <w:rsid w:val="009A4583"/>
    <w:rsid w:val="009A4B04"/>
    <w:rsid w:val="009B0E8F"/>
    <w:rsid w:val="009B11EE"/>
    <w:rsid w:val="009B1AAB"/>
    <w:rsid w:val="009B4189"/>
    <w:rsid w:val="009B5A31"/>
    <w:rsid w:val="009B6A17"/>
    <w:rsid w:val="009B7297"/>
    <w:rsid w:val="009D34F2"/>
    <w:rsid w:val="009F238F"/>
    <w:rsid w:val="009F271B"/>
    <w:rsid w:val="00A0637F"/>
    <w:rsid w:val="00A06896"/>
    <w:rsid w:val="00A12FF9"/>
    <w:rsid w:val="00A161C2"/>
    <w:rsid w:val="00A2190A"/>
    <w:rsid w:val="00A34618"/>
    <w:rsid w:val="00A4055D"/>
    <w:rsid w:val="00A40967"/>
    <w:rsid w:val="00A43EEC"/>
    <w:rsid w:val="00A44609"/>
    <w:rsid w:val="00A456A3"/>
    <w:rsid w:val="00A54553"/>
    <w:rsid w:val="00A5744F"/>
    <w:rsid w:val="00A61877"/>
    <w:rsid w:val="00A66131"/>
    <w:rsid w:val="00A6677E"/>
    <w:rsid w:val="00A67C30"/>
    <w:rsid w:val="00A7202F"/>
    <w:rsid w:val="00A76AC3"/>
    <w:rsid w:val="00A77206"/>
    <w:rsid w:val="00A83C5A"/>
    <w:rsid w:val="00A86E22"/>
    <w:rsid w:val="00A878E3"/>
    <w:rsid w:val="00A945FE"/>
    <w:rsid w:val="00A94BEB"/>
    <w:rsid w:val="00A94E35"/>
    <w:rsid w:val="00A9675C"/>
    <w:rsid w:val="00AA00F2"/>
    <w:rsid w:val="00AC1A88"/>
    <w:rsid w:val="00AC70EB"/>
    <w:rsid w:val="00AC763F"/>
    <w:rsid w:val="00AD4619"/>
    <w:rsid w:val="00AE4657"/>
    <w:rsid w:val="00AE5656"/>
    <w:rsid w:val="00AE7828"/>
    <w:rsid w:val="00AF3D2F"/>
    <w:rsid w:val="00AF488D"/>
    <w:rsid w:val="00B12488"/>
    <w:rsid w:val="00B17426"/>
    <w:rsid w:val="00B253A2"/>
    <w:rsid w:val="00B301FA"/>
    <w:rsid w:val="00B37034"/>
    <w:rsid w:val="00B47CF3"/>
    <w:rsid w:val="00B57D21"/>
    <w:rsid w:val="00B76910"/>
    <w:rsid w:val="00B770CE"/>
    <w:rsid w:val="00B7726A"/>
    <w:rsid w:val="00B82A4F"/>
    <w:rsid w:val="00B83A0C"/>
    <w:rsid w:val="00B862FE"/>
    <w:rsid w:val="00BB0B72"/>
    <w:rsid w:val="00BB0D73"/>
    <w:rsid w:val="00BC48A4"/>
    <w:rsid w:val="00BD536E"/>
    <w:rsid w:val="00BD6FF1"/>
    <w:rsid w:val="00BE0E04"/>
    <w:rsid w:val="00BE41DB"/>
    <w:rsid w:val="00BF5302"/>
    <w:rsid w:val="00C049C4"/>
    <w:rsid w:val="00C15397"/>
    <w:rsid w:val="00C30DF1"/>
    <w:rsid w:val="00C3132A"/>
    <w:rsid w:val="00C340E5"/>
    <w:rsid w:val="00C465CB"/>
    <w:rsid w:val="00C467A5"/>
    <w:rsid w:val="00C46B25"/>
    <w:rsid w:val="00C71421"/>
    <w:rsid w:val="00C74DAD"/>
    <w:rsid w:val="00C76B63"/>
    <w:rsid w:val="00C770B7"/>
    <w:rsid w:val="00C77F89"/>
    <w:rsid w:val="00C816BF"/>
    <w:rsid w:val="00C828A2"/>
    <w:rsid w:val="00C8790D"/>
    <w:rsid w:val="00C911F2"/>
    <w:rsid w:val="00C954D8"/>
    <w:rsid w:val="00CA119C"/>
    <w:rsid w:val="00CB4BA1"/>
    <w:rsid w:val="00CC3DBD"/>
    <w:rsid w:val="00CC3EFF"/>
    <w:rsid w:val="00CC4FAF"/>
    <w:rsid w:val="00CC5248"/>
    <w:rsid w:val="00CC6B74"/>
    <w:rsid w:val="00CD796F"/>
    <w:rsid w:val="00CE1AD4"/>
    <w:rsid w:val="00CE7130"/>
    <w:rsid w:val="00CE7591"/>
    <w:rsid w:val="00CF35CE"/>
    <w:rsid w:val="00D032CC"/>
    <w:rsid w:val="00D03B1C"/>
    <w:rsid w:val="00D07860"/>
    <w:rsid w:val="00D105E9"/>
    <w:rsid w:val="00D159E0"/>
    <w:rsid w:val="00D16BD1"/>
    <w:rsid w:val="00D16C7B"/>
    <w:rsid w:val="00D1773E"/>
    <w:rsid w:val="00D23DF8"/>
    <w:rsid w:val="00D241A9"/>
    <w:rsid w:val="00D32538"/>
    <w:rsid w:val="00D341B6"/>
    <w:rsid w:val="00D355B2"/>
    <w:rsid w:val="00D36043"/>
    <w:rsid w:val="00D55AE7"/>
    <w:rsid w:val="00D62CE7"/>
    <w:rsid w:val="00D67011"/>
    <w:rsid w:val="00D74085"/>
    <w:rsid w:val="00D741F3"/>
    <w:rsid w:val="00DA232C"/>
    <w:rsid w:val="00DA755E"/>
    <w:rsid w:val="00DB168A"/>
    <w:rsid w:val="00DB1872"/>
    <w:rsid w:val="00DC2107"/>
    <w:rsid w:val="00DD2531"/>
    <w:rsid w:val="00DD31EA"/>
    <w:rsid w:val="00DD67B5"/>
    <w:rsid w:val="00DE28B9"/>
    <w:rsid w:val="00DF48BF"/>
    <w:rsid w:val="00E04180"/>
    <w:rsid w:val="00E05A50"/>
    <w:rsid w:val="00E22754"/>
    <w:rsid w:val="00E36123"/>
    <w:rsid w:val="00E41426"/>
    <w:rsid w:val="00E420E3"/>
    <w:rsid w:val="00E46F13"/>
    <w:rsid w:val="00E53469"/>
    <w:rsid w:val="00E60755"/>
    <w:rsid w:val="00E63660"/>
    <w:rsid w:val="00E86B31"/>
    <w:rsid w:val="00E87800"/>
    <w:rsid w:val="00E94BF7"/>
    <w:rsid w:val="00E95BB2"/>
    <w:rsid w:val="00E9642B"/>
    <w:rsid w:val="00EA10D9"/>
    <w:rsid w:val="00EB77AD"/>
    <w:rsid w:val="00EC557F"/>
    <w:rsid w:val="00EC75B5"/>
    <w:rsid w:val="00ED7B0E"/>
    <w:rsid w:val="00EE635F"/>
    <w:rsid w:val="00EF5CFA"/>
    <w:rsid w:val="00F0552C"/>
    <w:rsid w:val="00F06B0A"/>
    <w:rsid w:val="00F16D23"/>
    <w:rsid w:val="00F22B34"/>
    <w:rsid w:val="00F27F6D"/>
    <w:rsid w:val="00F329B9"/>
    <w:rsid w:val="00F33959"/>
    <w:rsid w:val="00F36F39"/>
    <w:rsid w:val="00F421AC"/>
    <w:rsid w:val="00F44BB2"/>
    <w:rsid w:val="00F5399B"/>
    <w:rsid w:val="00F71DF7"/>
    <w:rsid w:val="00F806A4"/>
    <w:rsid w:val="00F810B7"/>
    <w:rsid w:val="00FA0274"/>
    <w:rsid w:val="00FA1798"/>
    <w:rsid w:val="00FB055E"/>
    <w:rsid w:val="00FB1690"/>
    <w:rsid w:val="00FD19FE"/>
    <w:rsid w:val="00FE3643"/>
    <w:rsid w:val="00FE6DE3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93B965-4D46-411A-B444-EA20E4A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977"/>
    <w:pPr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1562B"/>
    <w:pPr>
      <w:widowControl w:val="0"/>
      <w:spacing w:after="0" w:line="240" w:lineRule="auto"/>
      <w:ind w:left="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977"/>
    <w:pPr>
      <w:spacing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uiPriority w:val="34"/>
    <w:qFormat/>
    <w:rsid w:val="005A6977"/>
    <w:pPr>
      <w:ind w:left="720"/>
      <w:contextualSpacing/>
    </w:pPr>
  </w:style>
  <w:style w:type="paragraph" w:customStyle="1" w:styleId="Default">
    <w:name w:val="Default"/>
    <w:rsid w:val="005A6977"/>
    <w:pPr>
      <w:autoSpaceDE w:val="0"/>
      <w:autoSpaceDN w:val="0"/>
      <w:adjustRightInd w:val="0"/>
      <w:spacing w:after="0" w:line="240" w:lineRule="auto"/>
      <w:jc w:val="left"/>
    </w:pPr>
    <w:rPr>
      <w:color w:val="000000"/>
      <w:lang w:val="ru-RU"/>
    </w:r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basedOn w:val="DefaultParagraphFont"/>
    <w:link w:val="ListParagraph"/>
    <w:uiPriority w:val="34"/>
    <w:locked/>
    <w:rsid w:val="005A6977"/>
    <w:rPr>
      <w:rFonts w:ascii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F2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810B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71421"/>
    <w:pPr>
      <w:widowControl w:val="0"/>
      <w:spacing w:after="0" w:line="240" w:lineRule="auto"/>
      <w:ind w:left="842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71421"/>
    <w:rPr>
      <w:rFonts w:eastAsia="Times New Roman" w:cstheme="minorBidi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70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qFormat/>
    <w:rsid w:val="0000615C"/>
    <w:rPr>
      <w:i/>
      <w:iCs/>
    </w:rPr>
  </w:style>
  <w:style w:type="character" w:customStyle="1" w:styleId="object">
    <w:name w:val="object"/>
    <w:basedOn w:val="DefaultParagraphFont"/>
    <w:rsid w:val="002E04B9"/>
  </w:style>
  <w:style w:type="character" w:customStyle="1" w:styleId="Heading1Char">
    <w:name w:val="Heading 1 Char"/>
    <w:basedOn w:val="DefaultParagraphFont"/>
    <w:link w:val="Heading1"/>
    <w:uiPriority w:val="9"/>
    <w:rsid w:val="0061562B"/>
    <w:rPr>
      <w:rFonts w:eastAsia="Times New Roman" w:cstheme="minorBidi"/>
      <w:b/>
      <w:bCs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61787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41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180"/>
    <w:rPr>
      <w:rFonts w:asciiTheme="minorHAnsi" w:hAnsiTheme="minorHAnsi" w:cstheme="minorBid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04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in-conformitate-cu-planul-de-actiuni-pentru-anul-2023-ministerul-educatiei-si-cercetarii-anunta-despre-initierea-procesului-de-elaborare-a-mecanismului-de-acordare-a-stimulentelor-pentru-cresterea-accesului-la-studii-de-calitate/115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nce.gov.md/content/fost-publicat-raportul-privind-rezultatele-ob%C8%9Binute-de-elevii-din-republica-moldova-%C3%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14C1-6B7B-43AF-A22A-954C526E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Angela Prisacaru</cp:lastModifiedBy>
  <cp:revision>77</cp:revision>
  <cp:lastPrinted>2023-07-17T14:46:00Z</cp:lastPrinted>
  <dcterms:created xsi:type="dcterms:W3CDTF">2023-06-29T07:09:00Z</dcterms:created>
  <dcterms:modified xsi:type="dcterms:W3CDTF">2024-05-17T09:48:00Z</dcterms:modified>
</cp:coreProperties>
</file>