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A5E3F" w14:textId="77777777" w:rsidR="00512472" w:rsidRPr="003258B0" w:rsidRDefault="00512472" w:rsidP="00512472">
      <w:pPr>
        <w:tabs>
          <w:tab w:val="left" w:pos="1475"/>
        </w:tabs>
        <w:rPr>
          <w:rFonts w:ascii="Times New Roman" w:hAnsi="Times New Roman" w:cs="Times New Roman"/>
          <w:iCs/>
          <w:sz w:val="24"/>
          <w:szCs w:val="24"/>
          <w:lang w:val="fr-CA"/>
        </w:rPr>
      </w:pPr>
    </w:p>
    <w:p w14:paraId="4F696354" w14:textId="7ABC9BF5" w:rsidR="00824CD4" w:rsidRPr="00AD3611" w:rsidRDefault="00CE4185" w:rsidP="00A601AC">
      <w:pPr>
        <w:tabs>
          <w:tab w:val="left" w:pos="884"/>
          <w:tab w:val="left" w:pos="1196"/>
        </w:tabs>
        <w:spacing w:after="0"/>
        <w:jc w:val="center"/>
        <w:rPr>
          <w:rFonts w:ascii="Times New Roman" w:eastAsia="Calibri" w:hAnsi="Times New Roman" w:cs="Times New Roman"/>
          <w:b/>
          <w:sz w:val="24"/>
          <w:szCs w:val="24"/>
          <w:lang w:val="ro-RO" w:eastAsia="ru-RU"/>
        </w:rPr>
      </w:pPr>
      <w:r w:rsidRPr="00AD3611">
        <w:rPr>
          <w:rFonts w:ascii="Times New Roman" w:eastAsia="Calibri" w:hAnsi="Times New Roman" w:cs="Times New Roman"/>
          <w:b/>
          <w:sz w:val="24"/>
          <w:szCs w:val="24"/>
          <w:lang w:val="ro-RO" w:eastAsia="ru-RU"/>
        </w:rPr>
        <w:t>NOTA INFORMATIVĂ</w:t>
      </w:r>
    </w:p>
    <w:p w14:paraId="68D8EF8C" w14:textId="77777777" w:rsidR="00512472" w:rsidRPr="00AD3611" w:rsidRDefault="00512472" w:rsidP="00512472">
      <w:pPr>
        <w:tabs>
          <w:tab w:val="left" w:pos="884"/>
          <w:tab w:val="left" w:pos="1196"/>
        </w:tabs>
        <w:spacing w:after="0"/>
        <w:jc w:val="center"/>
        <w:rPr>
          <w:rFonts w:ascii="Times New Roman" w:eastAsia="Calibri" w:hAnsi="Times New Roman" w:cs="Times New Roman"/>
          <w:bCs/>
          <w:sz w:val="24"/>
          <w:szCs w:val="24"/>
          <w:lang w:val="ro-RO" w:eastAsia="ru-RU"/>
        </w:rPr>
      </w:pPr>
      <w:r w:rsidRPr="00AD3611">
        <w:rPr>
          <w:rFonts w:ascii="Times New Roman" w:eastAsia="Calibri" w:hAnsi="Times New Roman" w:cs="Times New Roman"/>
          <w:bCs/>
          <w:sz w:val="24"/>
          <w:szCs w:val="24"/>
          <w:lang w:val="ro-RO" w:eastAsia="ru-RU"/>
        </w:rPr>
        <w:t>la proiectul Hotărârii Guvernului</w:t>
      </w:r>
    </w:p>
    <w:p w14:paraId="672EE603" w14:textId="7E7FB5F5" w:rsidR="009F1D5C" w:rsidRPr="00CE76E4" w:rsidRDefault="000B603A" w:rsidP="000B603A">
      <w:pPr>
        <w:tabs>
          <w:tab w:val="left" w:pos="884"/>
          <w:tab w:val="left" w:pos="1196"/>
        </w:tabs>
        <w:jc w:val="center"/>
        <w:rPr>
          <w:rFonts w:ascii="Times New Roman" w:eastAsia="Calibri" w:hAnsi="Times New Roman" w:cs="Times New Roman"/>
          <w:bCs/>
          <w:i/>
          <w:iCs/>
          <w:sz w:val="24"/>
          <w:szCs w:val="24"/>
          <w:lang w:val="ro-RO" w:eastAsia="ru-RU"/>
        </w:rPr>
      </w:pPr>
      <w:r w:rsidRPr="000B603A">
        <w:rPr>
          <w:rFonts w:ascii="Times New Roman" w:eastAsia="Calibri" w:hAnsi="Times New Roman" w:cs="Times New Roman"/>
          <w:bCs/>
          <w:sz w:val="24"/>
          <w:szCs w:val="24"/>
          <w:lang w:val="ro-RO" w:eastAsia="ru-RU"/>
        </w:rPr>
        <w:t xml:space="preserve">cu privire la aprobarea Regulamentului privind protecția sănătății </w:t>
      </w:r>
      <w:r w:rsidR="00890DA0">
        <w:rPr>
          <w:rFonts w:ascii="Times New Roman" w:eastAsia="Calibri" w:hAnsi="Times New Roman" w:cs="Times New Roman"/>
          <w:bCs/>
          <w:sz w:val="24"/>
          <w:szCs w:val="24"/>
          <w:lang w:val="ro-RO" w:eastAsia="ru-RU"/>
        </w:rPr>
        <w:t>ș</w:t>
      </w:r>
      <w:r w:rsidRPr="000B603A">
        <w:rPr>
          <w:rFonts w:ascii="Times New Roman" w:eastAsia="Calibri" w:hAnsi="Times New Roman" w:cs="Times New Roman"/>
          <w:bCs/>
          <w:sz w:val="24"/>
          <w:szCs w:val="24"/>
          <w:lang w:val="ro-RO" w:eastAsia="ru-RU"/>
        </w:rPr>
        <w:t>i securității lucrătorilor împotriva riscurilor legate de prezența agenților chimici la locul de muncă</w:t>
      </w:r>
    </w:p>
    <w:tbl>
      <w:tblPr>
        <w:tblStyle w:val="a6"/>
        <w:tblW w:w="10915" w:type="dxa"/>
        <w:tblInd w:w="-998" w:type="dxa"/>
        <w:tblLook w:val="04A0" w:firstRow="1" w:lastRow="0" w:firstColumn="1" w:lastColumn="0" w:noHBand="0" w:noVBand="1"/>
      </w:tblPr>
      <w:tblGrid>
        <w:gridCol w:w="10915"/>
      </w:tblGrid>
      <w:tr w:rsidR="00824CD4" w:rsidRPr="004E74D3" w14:paraId="074FA496" w14:textId="77777777" w:rsidTr="002B55E0">
        <w:trPr>
          <w:trHeight w:val="264"/>
        </w:trPr>
        <w:tc>
          <w:tcPr>
            <w:tcW w:w="10915" w:type="dxa"/>
            <w:shd w:val="clear" w:color="auto" w:fill="F2F2F2" w:themeFill="background1" w:themeFillShade="F2"/>
          </w:tcPr>
          <w:p w14:paraId="63030E7C" w14:textId="30F86F09" w:rsidR="00824CD4" w:rsidRPr="00531557" w:rsidRDefault="00824CD4" w:rsidP="00531557">
            <w:pPr>
              <w:pStyle w:val="a7"/>
              <w:numPr>
                <w:ilvl w:val="0"/>
                <w:numId w:val="16"/>
              </w:numPr>
              <w:tabs>
                <w:tab w:val="left" w:pos="311"/>
              </w:tabs>
              <w:rPr>
                <w:rFonts w:ascii="Times New Roman" w:hAnsi="Times New Roman" w:cs="Times New Roman"/>
                <w:b/>
                <w:sz w:val="24"/>
                <w:szCs w:val="24"/>
                <w:lang w:val="ro-RO"/>
              </w:rPr>
            </w:pPr>
            <w:r w:rsidRPr="00531557">
              <w:rPr>
                <w:rFonts w:ascii="Times New Roman" w:eastAsia="Calibri" w:hAnsi="Times New Roman" w:cs="Times New Roman"/>
                <w:b/>
                <w:sz w:val="24"/>
                <w:szCs w:val="24"/>
                <w:lang w:val="ro-RO" w:eastAsia="ru-RU"/>
              </w:rPr>
              <w:t xml:space="preserve">Denumirea autorului </w:t>
            </w:r>
            <w:r w:rsidR="00890DA0">
              <w:rPr>
                <w:rFonts w:ascii="Times New Roman" w:eastAsia="Calibri" w:hAnsi="Times New Roman" w:cs="Times New Roman"/>
                <w:b/>
                <w:sz w:val="24"/>
                <w:szCs w:val="24"/>
                <w:lang w:val="ro-RO" w:eastAsia="ru-RU"/>
              </w:rPr>
              <w:t>ș</w:t>
            </w:r>
            <w:r w:rsidR="00A02E64" w:rsidRPr="00531557">
              <w:rPr>
                <w:rFonts w:ascii="Times New Roman" w:eastAsia="Calibri" w:hAnsi="Times New Roman" w:cs="Times New Roman"/>
                <w:b/>
                <w:sz w:val="24"/>
                <w:szCs w:val="24"/>
                <w:lang w:val="ro-RO" w:eastAsia="ru-RU"/>
              </w:rPr>
              <w:t>i</w:t>
            </w:r>
            <w:r w:rsidRPr="00531557">
              <w:rPr>
                <w:rFonts w:ascii="Times New Roman" w:eastAsia="Calibri" w:hAnsi="Times New Roman" w:cs="Times New Roman"/>
                <w:b/>
                <w:sz w:val="24"/>
                <w:szCs w:val="24"/>
                <w:lang w:val="ro-RO" w:eastAsia="ru-RU"/>
              </w:rPr>
              <w:t xml:space="preserve"> după caz, a </w:t>
            </w:r>
            <w:r w:rsidR="00EE4E61" w:rsidRPr="00531557">
              <w:rPr>
                <w:rFonts w:ascii="Times New Roman" w:eastAsia="Calibri" w:hAnsi="Times New Roman" w:cs="Times New Roman"/>
                <w:b/>
                <w:sz w:val="24"/>
                <w:szCs w:val="24"/>
                <w:lang w:val="ro-RO" w:eastAsia="ru-RU"/>
              </w:rPr>
              <w:t>participanților</w:t>
            </w:r>
            <w:r w:rsidRPr="00531557">
              <w:rPr>
                <w:rFonts w:ascii="Times New Roman" w:eastAsia="Calibri" w:hAnsi="Times New Roman" w:cs="Times New Roman"/>
                <w:b/>
                <w:sz w:val="24"/>
                <w:szCs w:val="24"/>
                <w:lang w:val="ro-RO" w:eastAsia="ru-RU"/>
              </w:rPr>
              <w:t xml:space="preserve"> la elaborarea proiectului</w:t>
            </w:r>
          </w:p>
        </w:tc>
      </w:tr>
      <w:tr w:rsidR="00824CD4" w:rsidRPr="004E74D3" w14:paraId="131571DC" w14:textId="77777777" w:rsidTr="002B55E0">
        <w:trPr>
          <w:trHeight w:val="253"/>
        </w:trPr>
        <w:tc>
          <w:tcPr>
            <w:tcW w:w="10915" w:type="dxa"/>
          </w:tcPr>
          <w:p w14:paraId="279EFD14" w14:textId="77777777" w:rsidR="004E74D3" w:rsidRPr="00B11E88" w:rsidRDefault="004E74D3" w:rsidP="004E74D3">
            <w:pPr>
              <w:tabs>
                <w:tab w:val="left" w:pos="884"/>
                <w:tab w:val="left" w:pos="1196"/>
              </w:tabs>
              <w:jc w:val="both"/>
              <w:rPr>
                <w:rFonts w:asciiTheme="majorBidi" w:hAnsiTheme="majorBidi" w:cstheme="majorBidi"/>
                <w:bCs/>
                <w:sz w:val="24"/>
                <w:szCs w:val="24"/>
                <w:lang w:val="ro-RO"/>
              </w:rPr>
            </w:pPr>
            <w:r w:rsidRPr="00B11E88">
              <w:rPr>
                <w:rFonts w:asciiTheme="majorBidi" w:hAnsiTheme="majorBidi" w:cstheme="majorBidi"/>
                <w:bCs/>
                <w:sz w:val="24"/>
                <w:szCs w:val="24"/>
                <w:lang w:val="ro-RO"/>
              </w:rPr>
              <w:t>Proiectul actului normativ a fost elaborat de către Ministerul Sănătății</w:t>
            </w:r>
            <w:r w:rsidRPr="00B11E88">
              <w:rPr>
                <w:rFonts w:asciiTheme="majorBidi" w:hAnsiTheme="majorBidi" w:cstheme="majorBidi"/>
                <w:sz w:val="24"/>
                <w:szCs w:val="24"/>
                <w:lang w:val="fr-FR"/>
              </w:rPr>
              <w:t xml:space="preserve"> </w:t>
            </w:r>
            <w:r w:rsidRPr="00B11E88">
              <w:rPr>
                <w:rFonts w:asciiTheme="majorBidi" w:hAnsiTheme="majorBidi" w:cstheme="majorBidi"/>
                <w:bCs/>
                <w:sz w:val="24"/>
                <w:szCs w:val="24"/>
                <w:lang w:val="ro-RO"/>
              </w:rPr>
              <w:t>de comun cu Ministerul Muncii și Protecției Sociale.</w:t>
            </w:r>
          </w:p>
          <w:p w14:paraId="1569B36F" w14:textId="195FB30C" w:rsidR="00824CD4" w:rsidRPr="004E74D3" w:rsidRDefault="004E74D3" w:rsidP="004E74D3">
            <w:pPr>
              <w:spacing w:line="276" w:lineRule="auto"/>
              <w:jc w:val="both"/>
              <w:rPr>
                <w:rFonts w:ascii="Times New Roman" w:hAnsi="Times New Roman" w:cs="Times New Roman"/>
                <w:sz w:val="24"/>
                <w:szCs w:val="24"/>
                <w:highlight w:val="yellow"/>
                <w:lang w:val="ro-RO"/>
              </w:rPr>
            </w:pPr>
            <w:r w:rsidRPr="00B11E88">
              <w:rPr>
                <w:rFonts w:asciiTheme="majorBidi" w:hAnsiTheme="majorBidi" w:cstheme="majorBidi"/>
                <w:sz w:val="24"/>
                <w:szCs w:val="24"/>
                <w:lang w:val="ro-MD"/>
              </w:rPr>
              <w:t>În vederea elaborării proiectului a fost instituit grupul de lucru, în baza Dispoziției Ministerului Sănătății, nr. 62 din 09.02.2024, care a întrunit reprezentanți ai Agenției Naționale pentru Sănătate Publică, Universității</w:t>
            </w:r>
            <w:r w:rsidRPr="00B11E88">
              <w:rPr>
                <w:rFonts w:asciiTheme="majorBidi" w:hAnsiTheme="majorBidi" w:cstheme="majorBidi"/>
                <w:sz w:val="24"/>
                <w:szCs w:val="24"/>
                <w:lang w:val="ro-RO"/>
              </w:rPr>
              <w:t xml:space="preserve"> de Stat de Medicină și Farmacie ”Nicolae Testemițanu”</w:t>
            </w:r>
            <w:r w:rsidRPr="00B11E88">
              <w:rPr>
                <w:rFonts w:asciiTheme="majorBidi" w:eastAsia="Times New Roman" w:hAnsiTheme="majorBidi" w:cstheme="majorBidi"/>
                <w:sz w:val="24"/>
                <w:szCs w:val="24"/>
                <w:lang w:val="ro-RO" w:eastAsia="ru-RU"/>
              </w:rPr>
              <w:t xml:space="preserve"> și Centrului Republican de Boli Profesionale.</w:t>
            </w:r>
          </w:p>
        </w:tc>
      </w:tr>
      <w:tr w:rsidR="00824CD4" w:rsidRPr="004E74D3" w14:paraId="605AFE1B" w14:textId="77777777" w:rsidTr="002B55E0">
        <w:trPr>
          <w:trHeight w:val="253"/>
        </w:trPr>
        <w:tc>
          <w:tcPr>
            <w:tcW w:w="10915" w:type="dxa"/>
            <w:shd w:val="clear" w:color="auto" w:fill="F2F2F2" w:themeFill="background1" w:themeFillShade="F2"/>
          </w:tcPr>
          <w:p w14:paraId="38BDB1CE" w14:textId="09E4003C" w:rsidR="00824CD4" w:rsidRPr="003C6D57" w:rsidRDefault="00824CD4" w:rsidP="00531557">
            <w:pPr>
              <w:pStyle w:val="a7"/>
              <w:numPr>
                <w:ilvl w:val="0"/>
                <w:numId w:val="16"/>
              </w:numPr>
              <w:rPr>
                <w:rFonts w:ascii="Times New Roman" w:eastAsia="Calibri" w:hAnsi="Times New Roman" w:cs="Times New Roman"/>
                <w:b/>
                <w:sz w:val="24"/>
                <w:szCs w:val="24"/>
                <w:lang w:val="ro-RO" w:eastAsia="ru-RU"/>
              </w:rPr>
            </w:pPr>
            <w:r w:rsidRPr="003C6D57">
              <w:rPr>
                <w:rFonts w:ascii="Times New Roman" w:eastAsia="Calibri" w:hAnsi="Times New Roman" w:cs="Times New Roman"/>
                <w:b/>
                <w:sz w:val="24"/>
                <w:szCs w:val="24"/>
                <w:lang w:val="ro-RO" w:eastAsia="ru-RU"/>
              </w:rPr>
              <w:t xml:space="preserve">Condiţiile ce au impus elaborarea proiectului de act normativ </w:t>
            </w:r>
            <w:r w:rsidR="00890DA0" w:rsidRPr="003C6D57">
              <w:rPr>
                <w:rFonts w:ascii="Times New Roman" w:eastAsia="Calibri" w:hAnsi="Times New Roman" w:cs="Times New Roman"/>
                <w:b/>
                <w:sz w:val="24"/>
                <w:szCs w:val="24"/>
                <w:lang w:val="ro-RO" w:eastAsia="ru-RU"/>
              </w:rPr>
              <w:t>ș</w:t>
            </w:r>
            <w:r w:rsidRPr="003C6D57">
              <w:rPr>
                <w:rFonts w:ascii="Times New Roman" w:eastAsia="Calibri" w:hAnsi="Times New Roman" w:cs="Times New Roman"/>
                <w:b/>
                <w:sz w:val="24"/>
                <w:szCs w:val="24"/>
                <w:lang w:val="ro-RO" w:eastAsia="ru-RU"/>
              </w:rPr>
              <w:t xml:space="preserve">i </w:t>
            </w:r>
            <w:r w:rsidR="00486168" w:rsidRPr="003C6D57">
              <w:rPr>
                <w:rFonts w:ascii="Times New Roman" w:eastAsia="Calibri" w:hAnsi="Times New Roman" w:cs="Times New Roman"/>
                <w:b/>
                <w:sz w:val="24"/>
                <w:szCs w:val="24"/>
                <w:lang w:val="ro-RO" w:eastAsia="ru-RU"/>
              </w:rPr>
              <w:t>finalitățile</w:t>
            </w:r>
            <w:r w:rsidRPr="003C6D57">
              <w:rPr>
                <w:rFonts w:ascii="Times New Roman" w:eastAsia="Calibri" w:hAnsi="Times New Roman" w:cs="Times New Roman"/>
                <w:b/>
                <w:sz w:val="24"/>
                <w:szCs w:val="24"/>
                <w:lang w:val="ro-RO" w:eastAsia="ru-RU"/>
              </w:rPr>
              <w:t xml:space="preserve"> urmărite</w:t>
            </w:r>
          </w:p>
        </w:tc>
      </w:tr>
      <w:tr w:rsidR="00050045" w:rsidRPr="004E74D3" w14:paraId="2208DC9E" w14:textId="77777777" w:rsidTr="002B55E0">
        <w:trPr>
          <w:trHeight w:val="1407"/>
        </w:trPr>
        <w:tc>
          <w:tcPr>
            <w:tcW w:w="10915" w:type="dxa"/>
          </w:tcPr>
          <w:p w14:paraId="199DA15B" w14:textId="77777777" w:rsidR="004E74D3" w:rsidRPr="00B11E88" w:rsidRDefault="004E74D3" w:rsidP="004E74D3">
            <w:pPr>
              <w:ind w:left="22"/>
              <w:jc w:val="both"/>
              <w:rPr>
                <w:rFonts w:asciiTheme="majorBidi" w:eastAsia="Times New Roman" w:hAnsiTheme="majorBidi" w:cstheme="majorBidi"/>
                <w:sz w:val="24"/>
                <w:szCs w:val="24"/>
                <w:lang w:val="ro-RO" w:eastAsia="ro-MD"/>
              </w:rPr>
            </w:pPr>
            <w:r w:rsidRPr="00B11E88">
              <w:rPr>
                <w:rFonts w:asciiTheme="majorBidi" w:hAnsiTheme="majorBidi" w:cstheme="majorBidi"/>
                <w:sz w:val="24"/>
                <w:szCs w:val="24"/>
                <w:lang w:val="ro-RO"/>
              </w:rPr>
              <w:t xml:space="preserve">Dezvoltarea durabilă este direcția prioritară a țării pentru următorul deceniu, declarată de Strategia Națională de Dezvoltare „Sănătatea 2030”. Obiectivele 3, 5, 6, 7, și 10 enunțate în Strategie vizează direct sănătatea ocupațională, care are drept scop menținerea și fortificarea stării de sănătate și capacității înalte de muncă a lucrătorilor. Totodată, </w:t>
            </w:r>
            <w:r>
              <w:rPr>
                <w:rFonts w:asciiTheme="majorBidi" w:hAnsiTheme="majorBidi" w:cstheme="majorBidi"/>
                <w:sz w:val="24"/>
                <w:szCs w:val="24"/>
                <w:lang w:val="ro-RO"/>
              </w:rPr>
              <w:t xml:space="preserve">elaborarea proiectului de act normativ vizat, este </w:t>
            </w:r>
            <w:r w:rsidRPr="00B11E88">
              <w:rPr>
                <w:rFonts w:asciiTheme="majorBidi" w:hAnsiTheme="majorBidi" w:cstheme="majorBidi"/>
                <w:sz w:val="24"/>
                <w:szCs w:val="24"/>
                <w:lang w:val="ro-RO"/>
              </w:rPr>
              <w:t>în conformitate cu Planul de acțiuni al Guvernului pentru anul 2024, (PAG, cap. V/SNS 2030; PNA, CAP. 19)</w:t>
            </w:r>
            <w:r>
              <w:rPr>
                <w:rFonts w:asciiTheme="majorBidi" w:hAnsiTheme="majorBidi" w:cstheme="majorBidi"/>
                <w:sz w:val="24"/>
                <w:szCs w:val="24"/>
                <w:lang w:val="ro-RO"/>
              </w:rPr>
              <w:t>.</w:t>
            </w:r>
          </w:p>
          <w:p w14:paraId="4F43EB83" w14:textId="77777777" w:rsidR="004E74D3" w:rsidRPr="00B11E88" w:rsidRDefault="004E74D3" w:rsidP="004E74D3">
            <w:pPr>
              <w:ind w:left="22"/>
              <w:jc w:val="both"/>
              <w:rPr>
                <w:rFonts w:asciiTheme="majorBidi" w:eastAsia="Times New Roman" w:hAnsiTheme="majorBidi" w:cstheme="majorBidi"/>
                <w:sz w:val="24"/>
                <w:szCs w:val="24"/>
                <w:lang w:val="ro-RO" w:eastAsia="ro-MD"/>
              </w:rPr>
            </w:pPr>
            <w:r w:rsidRPr="00B11E88">
              <w:rPr>
                <w:rFonts w:asciiTheme="majorBidi" w:eastAsia="Times New Roman" w:hAnsiTheme="majorBidi" w:cstheme="majorBidi"/>
                <w:sz w:val="24"/>
                <w:szCs w:val="24"/>
                <w:lang w:val="ro-RO" w:eastAsia="ro-MD"/>
              </w:rPr>
              <w:t xml:space="preserve">Protecția şi fortificarea sănătății angajaților este una din sarcinile primordiale a sănătății publice. Sănătatea populației, inclusiv a populației muncitorești, este determinată în mare parte de răspândirea și distribuția factorilor determinanți ai sănătății, de ordin socio-economic, comportamentali și de mediu. </w:t>
            </w:r>
          </w:p>
          <w:p w14:paraId="1559EAD9" w14:textId="757FC0CE" w:rsidR="00B3210D" w:rsidRPr="00B3210D" w:rsidRDefault="00B3210D" w:rsidP="004E74D3">
            <w:pPr>
              <w:rPr>
                <w:rFonts w:ascii="Times New Roman" w:hAnsi="Times New Roman" w:cs="Times New Roman"/>
                <w:sz w:val="24"/>
                <w:szCs w:val="24"/>
                <w:lang w:val="ro-RO"/>
              </w:rPr>
            </w:pPr>
            <w:r w:rsidRPr="00B3210D">
              <w:rPr>
                <w:rFonts w:ascii="Times New Roman" w:hAnsi="Times New Roman" w:cs="Times New Roman"/>
                <w:sz w:val="24"/>
                <w:szCs w:val="24"/>
                <w:lang w:val="ro-RO"/>
              </w:rPr>
              <w:t>Mediul ocupațional se caracterizează printr-un complex de factori de risc – fizici, chimici, biologici care constituie riscul profesional și care pot contribui la periclitarea stării de sănătate a angajaților.</w:t>
            </w:r>
          </w:p>
          <w:p w14:paraId="359330B8" w14:textId="77777777" w:rsidR="00B3210D" w:rsidRPr="00B3210D" w:rsidRDefault="00B3210D" w:rsidP="004E74D3">
            <w:pPr>
              <w:rPr>
                <w:rFonts w:ascii="Times New Roman" w:hAnsi="Times New Roman" w:cs="Times New Roman"/>
                <w:sz w:val="24"/>
                <w:szCs w:val="24"/>
                <w:lang w:val="ro-RO"/>
              </w:rPr>
            </w:pPr>
            <w:r w:rsidRPr="00B3210D">
              <w:rPr>
                <w:rFonts w:ascii="Times New Roman" w:hAnsi="Times New Roman" w:cs="Times New Roman"/>
                <w:sz w:val="24"/>
                <w:szCs w:val="24"/>
                <w:lang w:val="ro-RO"/>
              </w:rPr>
              <w:t xml:space="preserve">Agenții chimici de la locul de muncă pot avea diverse efecte asupra sănătății angajaților, în funcție de natura lor chimică, concentrația utilizată, durata expunerii și metoda de manipulare. Impactul asupra sănătății poate fi diferit în funcție de substanța chimică specifică și de condițiile de lucru. Efectul poate fi acut sau cronic, iar impactul poate varia de la iritații minore ale pielii sau ochilor până la efecte grave asupra sănătății pe termen lung, cum ar fi afecțiuni respiratorii, neurologice, canceroase sau efecte negative supra reproducției. </w:t>
            </w:r>
          </w:p>
          <w:p w14:paraId="6AC0CAEC" w14:textId="77777777" w:rsidR="00B3210D" w:rsidRPr="00B3210D" w:rsidRDefault="00B3210D" w:rsidP="004E74D3">
            <w:pPr>
              <w:rPr>
                <w:rFonts w:ascii="Times New Roman" w:hAnsi="Times New Roman" w:cs="Times New Roman"/>
                <w:sz w:val="24"/>
                <w:szCs w:val="24"/>
                <w:lang w:val="ro-RO"/>
              </w:rPr>
            </w:pPr>
            <w:r w:rsidRPr="00B3210D">
              <w:rPr>
                <w:rFonts w:ascii="Times New Roman" w:hAnsi="Times New Roman" w:cs="Times New Roman"/>
                <w:sz w:val="24"/>
                <w:szCs w:val="24"/>
                <w:lang w:val="ro-RO"/>
              </w:rPr>
              <w:t>Este important ca angajatorii să identifice și să evalueze riscurile asociate cu substanțele chimice utilizate la locurile de muncă și să implementeze măsuri de control adecvate pentru a proteja sănătatea și securitatea lucrătorilor. Aceste măsuri includ informarea și  instruirea adecvată a angajaților, utilizarea echipamentelor de protecție personală, ventilația corespunzătoare, măsuri de igienă și supravegherea medicală, etc.</w:t>
            </w:r>
          </w:p>
          <w:p w14:paraId="0135B5E7" w14:textId="77777777" w:rsidR="00B3210D" w:rsidRPr="00B3210D" w:rsidRDefault="00B3210D" w:rsidP="004E74D3">
            <w:pPr>
              <w:rPr>
                <w:rFonts w:ascii="Times New Roman" w:hAnsi="Times New Roman" w:cs="Times New Roman"/>
                <w:sz w:val="24"/>
                <w:szCs w:val="24"/>
                <w:lang w:val="ro-RO"/>
              </w:rPr>
            </w:pPr>
            <w:r w:rsidRPr="00B3210D">
              <w:rPr>
                <w:rFonts w:ascii="Times New Roman" w:hAnsi="Times New Roman" w:cs="Times New Roman"/>
                <w:sz w:val="24"/>
                <w:szCs w:val="24"/>
                <w:lang w:val="ro-RO"/>
              </w:rPr>
              <w:t>Angajatorul trebuie să se asigure că riscul pentru securitatea și sănătatea lucrătorilor în procesul de muncă, indus de un agent chimic periculos, este eliminat sau redus la minimum. Este obligatorie respectarea valorilor limită de expunere profesională la agenți chimici în mediul de muncă, cu menținerea concentrațiilor agenților chimici la cel mai scăzut nivel posibil.</w:t>
            </w:r>
          </w:p>
          <w:p w14:paraId="791035CC" w14:textId="3BB7DCDA" w:rsidR="004F4161" w:rsidRPr="003C6D57" w:rsidRDefault="00B3210D" w:rsidP="004E74D3">
            <w:pPr>
              <w:rPr>
                <w:rFonts w:ascii="Times New Roman" w:hAnsi="Times New Roman" w:cs="Times New Roman"/>
                <w:sz w:val="24"/>
                <w:szCs w:val="24"/>
                <w:lang w:val="ro-RO"/>
              </w:rPr>
            </w:pPr>
            <w:r w:rsidRPr="00B3210D">
              <w:rPr>
                <w:rFonts w:ascii="Times New Roman" w:hAnsi="Times New Roman" w:cs="Times New Roman"/>
                <w:sz w:val="24"/>
                <w:szCs w:val="24"/>
                <w:lang w:val="ro-RO"/>
              </w:rPr>
              <w:t>Pe parcursul ultimului deceniu, se determină o tendință de micșorare a numărului de obiective (întreprinderi sau organizații) care efectuează investigații și încercări de laborator pentru a determina agenții chimici la locul de muncă</w:t>
            </w:r>
            <w:r>
              <w:rPr>
                <w:rFonts w:ascii="Times New Roman" w:hAnsi="Times New Roman" w:cs="Times New Roman"/>
                <w:sz w:val="24"/>
                <w:szCs w:val="24"/>
                <w:lang w:val="ro-RO"/>
              </w:rPr>
              <w:t xml:space="preserve"> </w:t>
            </w:r>
            <w:r w:rsidRPr="00B3210D">
              <w:rPr>
                <w:rFonts w:ascii="Times New Roman" w:hAnsi="Times New Roman" w:cs="Times New Roman"/>
                <w:sz w:val="24"/>
                <w:szCs w:val="24"/>
                <w:lang w:val="ro-RO"/>
              </w:rPr>
              <w:t xml:space="preserve">(Fig. 1). </w:t>
            </w:r>
          </w:p>
          <w:p w14:paraId="7DECB93C" w14:textId="1A7F4CE5" w:rsidR="004F4161" w:rsidRPr="003C6D57" w:rsidRDefault="00B3210D" w:rsidP="004F4161">
            <w:pPr>
              <w:jc w:val="center"/>
              <w:rPr>
                <w:rFonts w:ascii="Times New Roman" w:hAnsi="Times New Roman" w:cs="Times New Roman"/>
                <w:sz w:val="24"/>
                <w:szCs w:val="24"/>
              </w:rPr>
            </w:pPr>
            <w:r w:rsidRPr="00E82300">
              <w:rPr>
                <w:noProof/>
                <w:sz w:val="24"/>
                <w:szCs w:val="24"/>
              </w:rPr>
              <w:drawing>
                <wp:inline distT="0" distB="0" distL="0" distR="0" wp14:anchorId="20B59E0C" wp14:editId="4E1A0056">
                  <wp:extent cx="5466140" cy="2052164"/>
                  <wp:effectExtent l="0" t="0" r="1270" b="571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D8B22D0" w14:textId="2F3F8661" w:rsidR="004F4161" w:rsidRDefault="004F4161" w:rsidP="004F4161">
            <w:pPr>
              <w:jc w:val="center"/>
              <w:rPr>
                <w:rFonts w:ascii="Times New Roman" w:hAnsi="Times New Roman" w:cs="Times New Roman"/>
                <w:sz w:val="24"/>
                <w:szCs w:val="24"/>
                <w:lang w:val="ro-RO"/>
              </w:rPr>
            </w:pPr>
            <w:r w:rsidRPr="003C6D57">
              <w:rPr>
                <w:rFonts w:ascii="Times New Roman" w:hAnsi="Times New Roman" w:cs="Times New Roman"/>
                <w:sz w:val="24"/>
                <w:szCs w:val="24"/>
                <w:lang w:val="ro-RO"/>
              </w:rPr>
              <w:t xml:space="preserve">Fig. 1. Nr. obiective investigate la factorii </w:t>
            </w:r>
            <w:r w:rsidR="00B3210D">
              <w:rPr>
                <w:rFonts w:ascii="Times New Roman" w:hAnsi="Times New Roman" w:cs="Times New Roman"/>
                <w:sz w:val="24"/>
                <w:szCs w:val="24"/>
                <w:lang w:val="ro-RO"/>
              </w:rPr>
              <w:t xml:space="preserve">de risc profesional de origine </w:t>
            </w:r>
            <w:r w:rsidRPr="003C6D57">
              <w:rPr>
                <w:rFonts w:ascii="Times New Roman" w:hAnsi="Times New Roman" w:cs="Times New Roman"/>
                <w:sz w:val="24"/>
                <w:szCs w:val="24"/>
                <w:lang w:val="ro-RO"/>
              </w:rPr>
              <w:t>chimic</w:t>
            </w:r>
            <w:r w:rsidR="00B3210D">
              <w:rPr>
                <w:rFonts w:ascii="Times New Roman" w:hAnsi="Times New Roman" w:cs="Times New Roman"/>
                <w:sz w:val="24"/>
                <w:szCs w:val="24"/>
                <w:lang w:val="ro-RO"/>
              </w:rPr>
              <w:t>ă</w:t>
            </w:r>
          </w:p>
          <w:p w14:paraId="331310A1" w14:textId="2F6BAC45" w:rsidR="00B3210D" w:rsidRDefault="00B3210D" w:rsidP="004F4161">
            <w:pPr>
              <w:jc w:val="center"/>
              <w:rPr>
                <w:rFonts w:ascii="Times New Roman" w:hAnsi="Times New Roman" w:cs="Times New Roman"/>
                <w:sz w:val="24"/>
                <w:szCs w:val="24"/>
                <w:lang w:val="ro-RO"/>
              </w:rPr>
            </w:pPr>
          </w:p>
          <w:p w14:paraId="6EDAEDA0" w14:textId="5CF7E82C" w:rsidR="00B3210D" w:rsidRPr="003C6D57" w:rsidRDefault="00B3210D" w:rsidP="004E74D3">
            <w:pPr>
              <w:rPr>
                <w:rFonts w:ascii="Times New Roman" w:hAnsi="Times New Roman" w:cs="Times New Roman"/>
                <w:sz w:val="24"/>
                <w:szCs w:val="24"/>
                <w:lang w:val="ro-RO"/>
              </w:rPr>
            </w:pPr>
            <w:r w:rsidRPr="00B3210D">
              <w:rPr>
                <w:rFonts w:ascii="Times New Roman" w:hAnsi="Times New Roman" w:cs="Times New Roman"/>
                <w:sz w:val="24"/>
                <w:szCs w:val="24"/>
                <w:lang w:val="ro-RO"/>
              </w:rPr>
              <w:lastRenderedPageBreak/>
              <w:t xml:space="preserve">Totodată, se determină o tendință de creștere a obiectivelor în cadrul cărora se determină depășiri a valorilor limită de expunere profesională la riscul profesional de origine chimică </w:t>
            </w:r>
            <w:r w:rsidR="003511E7" w:rsidRPr="00B3210D">
              <w:rPr>
                <w:rFonts w:ascii="Times New Roman" w:hAnsi="Times New Roman" w:cs="Times New Roman"/>
                <w:sz w:val="24"/>
                <w:szCs w:val="24"/>
                <w:lang w:val="ro-RO"/>
              </w:rPr>
              <w:t xml:space="preserve">(Fig. </w:t>
            </w:r>
            <w:r w:rsidR="003511E7">
              <w:rPr>
                <w:rFonts w:ascii="Times New Roman" w:hAnsi="Times New Roman" w:cs="Times New Roman"/>
                <w:sz w:val="24"/>
                <w:szCs w:val="24"/>
                <w:lang w:val="ro-RO"/>
              </w:rPr>
              <w:t>2</w:t>
            </w:r>
            <w:r w:rsidR="003511E7" w:rsidRPr="00B3210D">
              <w:rPr>
                <w:rFonts w:ascii="Times New Roman" w:hAnsi="Times New Roman" w:cs="Times New Roman"/>
                <w:sz w:val="24"/>
                <w:szCs w:val="24"/>
                <w:lang w:val="ro-RO"/>
              </w:rPr>
              <w:t>).</w:t>
            </w:r>
          </w:p>
          <w:p w14:paraId="50BC9CDF" w14:textId="77777777" w:rsidR="00B3210D" w:rsidRDefault="00B3210D" w:rsidP="004F4161">
            <w:pPr>
              <w:jc w:val="center"/>
              <w:rPr>
                <w:rFonts w:ascii="Times New Roman" w:hAnsi="Times New Roman" w:cs="Times New Roman"/>
                <w:sz w:val="24"/>
                <w:szCs w:val="24"/>
                <w:lang w:val="ro-RO"/>
              </w:rPr>
            </w:pPr>
          </w:p>
          <w:p w14:paraId="2A964FDA" w14:textId="77777777" w:rsidR="00B3210D" w:rsidRPr="00E82300" w:rsidRDefault="00B3210D" w:rsidP="00B3210D">
            <w:pPr>
              <w:jc w:val="center"/>
              <w:rPr>
                <w:sz w:val="24"/>
                <w:szCs w:val="24"/>
              </w:rPr>
            </w:pPr>
            <w:r w:rsidRPr="00E82300">
              <w:rPr>
                <w:noProof/>
                <w:sz w:val="24"/>
                <w:szCs w:val="24"/>
              </w:rPr>
              <w:drawing>
                <wp:inline distT="0" distB="0" distL="0" distR="0" wp14:anchorId="12064CFA" wp14:editId="39576B9E">
                  <wp:extent cx="5405755" cy="2026310"/>
                  <wp:effectExtent l="0" t="0" r="4445" b="12065"/>
                  <wp:docPr id="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3821FAE" w14:textId="53FD6927" w:rsidR="00B3210D" w:rsidRPr="00D56A5A" w:rsidRDefault="00B3210D" w:rsidP="00B3210D">
            <w:pPr>
              <w:jc w:val="center"/>
              <w:rPr>
                <w:sz w:val="24"/>
                <w:szCs w:val="24"/>
                <w:lang w:val="ro-RO"/>
              </w:rPr>
            </w:pPr>
            <w:r w:rsidRPr="00D56A5A">
              <w:rPr>
                <w:sz w:val="24"/>
                <w:szCs w:val="24"/>
                <w:lang w:val="ro-RO"/>
              </w:rPr>
              <w:t xml:space="preserve">Fig. </w:t>
            </w:r>
            <w:r w:rsidR="003511E7">
              <w:rPr>
                <w:sz w:val="24"/>
                <w:szCs w:val="24"/>
                <w:lang w:val="ro-RO"/>
              </w:rPr>
              <w:t>2</w:t>
            </w:r>
            <w:r w:rsidRPr="003511E7">
              <w:rPr>
                <w:rFonts w:ascii="Times New Roman" w:hAnsi="Times New Roman" w:cs="Times New Roman"/>
                <w:sz w:val="24"/>
                <w:szCs w:val="24"/>
                <w:lang w:val="ro-RO"/>
              </w:rPr>
              <w:t xml:space="preserve">. </w:t>
            </w:r>
            <w:r w:rsidR="003511E7" w:rsidRPr="003511E7">
              <w:rPr>
                <w:rFonts w:ascii="Times New Roman" w:hAnsi="Times New Roman" w:cs="Times New Roman"/>
                <w:sz w:val="24"/>
                <w:szCs w:val="24"/>
                <w:lang w:val="ro-RO"/>
              </w:rPr>
              <w:t>P</w:t>
            </w:r>
            <w:r w:rsidRPr="003511E7">
              <w:rPr>
                <w:rFonts w:ascii="Times New Roman" w:hAnsi="Times New Roman" w:cs="Times New Roman"/>
                <w:sz w:val="24"/>
                <w:szCs w:val="24"/>
                <w:lang w:val="ro-RO"/>
              </w:rPr>
              <w:t xml:space="preserve">onderea </w:t>
            </w:r>
            <w:r w:rsidR="003511E7" w:rsidRPr="003511E7">
              <w:rPr>
                <w:rFonts w:ascii="Times New Roman" w:hAnsi="Times New Roman" w:cs="Times New Roman"/>
                <w:sz w:val="24"/>
                <w:szCs w:val="24"/>
                <w:lang w:val="ro-RO"/>
              </w:rPr>
              <w:t>obiectivelor cu</w:t>
            </w:r>
            <w:r w:rsidRPr="003511E7">
              <w:rPr>
                <w:rFonts w:ascii="Times New Roman" w:hAnsi="Times New Roman" w:cs="Times New Roman"/>
                <w:sz w:val="24"/>
                <w:szCs w:val="24"/>
                <w:lang w:val="ro-RO"/>
              </w:rPr>
              <w:t xml:space="preserve"> </w:t>
            </w:r>
            <w:r w:rsidR="003511E7" w:rsidRPr="003511E7">
              <w:rPr>
                <w:rFonts w:ascii="Times New Roman" w:hAnsi="Times New Roman" w:cs="Times New Roman"/>
                <w:sz w:val="24"/>
                <w:szCs w:val="24"/>
                <w:lang w:val="ro-RO"/>
              </w:rPr>
              <w:t>depășiri a valorilor limită de expunere profesională la riscul profesional de origine chimică</w:t>
            </w:r>
          </w:p>
          <w:p w14:paraId="434D3640" w14:textId="2AB0E666" w:rsidR="001F28EC" w:rsidRPr="003C6D57" w:rsidRDefault="004F4161" w:rsidP="004E74D3">
            <w:pPr>
              <w:autoSpaceDE w:val="0"/>
              <w:autoSpaceDN w:val="0"/>
              <w:adjustRightInd w:val="0"/>
              <w:spacing w:before="240" w:line="276" w:lineRule="auto"/>
              <w:ind w:left="-19"/>
              <w:jc w:val="both"/>
              <w:rPr>
                <w:rFonts w:ascii="Times New Roman" w:hAnsi="Times New Roman" w:cs="Times New Roman"/>
                <w:sz w:val="24"/>
                <w:szCs w:val="24"/>
                <w:lang w:val="ro-RO"/>
              </w:rPr>
            </w:pPr>
            <w:r w:rsidRPr="003C6D57">
              <w:rPr>
                <w:rFonts w:ascii="Times New Roman" w:hAnsi="Times New Roman" w:cs="Times New Roman"/>
                <w:sz w:val="24"/>
                <w:szCs w:val="24"/>
                <w:lang w:val="ro-RO"/>
              </w:rPr>
              <w:t>Numărul în scădere a angajatorilor care efectuează măsurări instrumentale și încercări de laborator pentru a determina concentrația agenților chimici la locul de muncă poate fi asociat atât modernizării proceselor de muncă și reducerea riscului profesional de natură chimică, atât și lacunele legislației în domeniul protecției sănătății și securității lucrătorilor împotriva riscurilor legate de prezența agenților chimici la locul de muncă.</w:t>
            </w:r>
          </w:p>
          <w:p w14:paraId="0E10C2EB" w14:textId="47523576" w:rsidR="004F4161" w:rsidRPr="003C6D57" w:rsidRDefault="004E74D3" w:rsidP="004E74D3">
            <w:pPr>
              <w:autoSpaceDE w:val="0"/>
              <w:autoSpaceDN w:val="0"/>
              <w:adjustRightInd w:val="0"/>
              <w:spacing w:line="276" w:lineRule="auto"/>
              <w:ind w:left="-1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w:t>
            </w:r>
            <w:r w:rsidR="004F4161" w:rsidRPr="003C6D57">
              <w:rPr>
                <w:rFonts w:ascii="Times New Roman" w:hAnsi="Times New Roman" w:cs="Times New Roman"/>
                <w:sz w:val="24"/>
                <w:szCs w:val="24"/>
                <w:lang w:val="ro-RO"/>
              </w:rPr>
              <w:t>implementarea cadrului normativ  care vizează protecți</w:t>
            </w:r>
            <w:r>
              <w:rPr>
                <w:rFonts w:ascii="Times New Roman" w:hAnsi="Times New Roman" w:cs="Times New Roman"/>
                <w:sz w:val="24"/>
                <w:szCs w:val="24"/>
                <w:lang w:val="ro-RO"/>
              </w:rPr>
              <w:t xml:space="preserve">a </w:t>
            </w:r>
            <w:r w:rsidR="004F4161" w:rsidRPr="003C6D57">
              <w:rPr>
                <w:rFonts w:ascii="Times New Roman" w:hAnsi="Times New Roman" w:cs="Times New Roman"/>
                <w:sz w:val="24"/>
                <w:szCs w:val="24"/>
                <w:lang w:val="ro-RO"/>
              </w:rPr>
              <w:t>lucrătorilor împotriva riscurilor legate de prezența agenților chimici la locul de muncă au fost determinate un șir de lacune</w:t>
            </w:r>
            <w:r w:rsidR="001F35D9" w:rsidRPr="003C6D57">
              <w:rPr>
                <w:rFonts w:ascii="Times New Roman" w:hAnsi="Times New Roman" w:cs="Times New Roman"/>
                <w:sz w:val="24"/>
                <w:szCs w:val="24"/>
                <w:lang w:val="ro-RO"/>
              </w:rPr>
              <w:t xml:space="preserve"> ce țin de evaluarea riscului profesional de origine chimică.</w:t>
            </w:r>
            <w:r w:rsidR="007D6C0F">
              <w:rPr>
                <w:rFonts w:ascii="Times New Roman" w:hAnsi="Times New Roman" w:cs="Times New Roman"/>
                <w:sz w:val="24"/>
                <w:szCs w:val="24"/>
                <w:lang w:val="ro-RO"/>
              </w:rPr>
              <w:t xml:space="preserve"> </w:t>
            </w:r>
            <w:r w:rsidR="007D6C0F" w:rsidRPr="00B11E88">
              <w:rPr>
                <w:rFonts w:asciiTheme="majorBidi" w:hAnsiTheme="majorBidi" w:cstheme="majorBidi"/>
                <w:sz w:val="24"/>
                <w:szCs w:val="24"/>
                <w:lang w:val="ro-RO"/>
              </w:rPr>
              <w:t>În acest context,</w:t>
            </w:r>
            <w:r w:rsidR="007D6C0F" w:rsidRPr="00B11E88">
              <w:rPr>
                <w:rFonts w:asciiTheme="majorBidi" w:hAnsiTheme="majorBidi" w:cstheme="majorBidi"/>
                <w:b/>
                <w:sz w:val="24"/>
                <w:szCs w:val="24"/>
                <w:lang w:val="ro-RO"/>
              </w:rPr>
              <w:t xml:space="preserve"> </w:t>
            </w:r>
            <w:r w:rsidR="007D6C0F" w:rsidRPr="00B11E88">
              <w:rPr>
                <w:rFonts w:asciiTheme="majorBidi" w:hAnsiTheme="majorBidi" w:cstheme="majorBidi"/>
                <w:sz w:val="24"/>
                <w:szCs w:val="24"/>
                <w:lang w:val="ro-RO"/>
              </w:rPr>
              <w:t xml:space="preserve">pentru asigurarea sănătății și securității lucrătorilor se impune reglementarea cerințelor față de parametrii ca și norme general aplicabile de către autorii cheie responsabili pentru asigurarea conformității la valorile-limită </w:t>
            </w:r>
            <w:r w:rsidR="007D6C0F" w:rsidRPr="003511E7">
              <w:rPr>
                <w:rFonts w:ascii="Times New Roman" w:hAnsi="Times New Roman" w:cs="Times New Roman"/>
                <w:sz w:val="24"/>
                <w:szCs w:val="24"/>
                <w:lang w:val="ro-RO"/>
              </w:rPr>
              <w:t>de expunere profesională la riscul profesional de origine chimică</w:t>
            </w:r>
            <w:r w:rsidR="007D6C0F">
              <w:rPr>
                <w:rFonts w:ascii="Times New Roman" w:hAnsi="Times New Roman" w:cs="Times New Roman"/>
                <w:sz w:val="24"/>
                <w:szCs w:val="24"/>
                <w:lang w:val="ro-RO"/>
              </w:rPr>
              <w:t>.</w:t>
            </w:r>
          </w:p>
          <w:p w14:paraId="109793AC" w14:textId="4E9AFF59" w:rsidR="00824CD4" w:rsidRPr="004E74D3" w:rsidRDefault="00824CD4" w:rsidP="007D6C0F">
            <w:pPr>
              <w:autoSpaceDE w:val="0"/>
              <w:autoSpaceDN w:val="0"/>
              <w:adjustRightInd w:val="0"/>
              <w:spacing w:line="276" w:lineRule="auto"/>
              <w:ind w:left="-19"/>
              <w:jc w:val="both"/>
              <w:rPr>
                <w:rFonts w:ascii="Times New Roman" w:hAnsi="Times New Roman" w:cs="Times New Roman"/>
                <w:sz w:val="24"/>
                <w:szCs w:val="24"/>
                <w:lang w:val="ro-RO"/>
              </w:rPr>
            </w:pPr>
            <w:r w:rsidRPr="003C6D57">
              <w:rPr>
                <w:rFonts w:ascii="Times New Roman" w:hAnsi="Times New Roman" w:cs="Times New Roman"/>
                <w:sz w:val="24"/>
                <w:szCs w:val="24"/>
                <w:lang w:val="ro-RO"/>
              </w:rPr>
              <w:t>Proiect</w:t>
            </w:r>
            <w:r w:rsidR="007D6C0F">
              <w:rPr>
                <w:rFonts w:ascii="Times New Roman" w:hAnsi="Times New Roman" w:cs="Times New Roman"/>
                <w:sz w:val="24"/>
                <w:szCs w:val="24"/>
                <w:lang w:val="ro-RO"/>
              </w:rPr>
              <w:t>ul</w:t>
            </w:r>
            <w:r w:rsidRPr="003C6D57">
              <w:rPr>
                <w:rFonts w:ascii="Times New Roman" w:hAnsi="Times New Roman" w:cs="Times New Roman"/>
                <w:sz w:val="24"/>
                <w:szCs w:val="24"/>
                <w:lang w:val="ro-RO"/>
              </w:rPr>
              <w:t xml:space="preserve"> de </w:t>
            </w:r>
            <w:r w:rsidR="000E0D6A" w:rsidRPr="003C6D57">
              <w:rPr>
                <w:rFonts w:ascii="Times New Roman" w:hAnsi="Times New Roman" w:cs="Times New Roman"/>
                <w:sz w:val="24"/>
                <w:szCs w:val="24"/>
                <w:lang w:val="ro-RO"/>
              </w:rPr>
              <w:t>Hotărâre</w:t>
            </w:r>
            <w:r w:rsidR="001536A2" w:rsidRPr="003C6D57">
              <w:rPr>
                <w:rFonts w:ascii="Times New Roman" w:hAnsi="Times New Roman" w:cs="Times New Roman"/>
                <w:sz w:val="24"/>
                <w:szCs w:val="24"/>
                <w:lang w:val="ro-RO"/>
              </w:rPr>
              <w:t xml:space="preserve"> </w:t>
            </w:r>
            <w:r w:rsidR="000E0D6A" w:rsidRPr="003C6D57">
              <w:rPr>
                <w:rFonts w:ascii="Times New Roman" w:hAnsi="Times New Roman" w:cs="Times New Roman"/>
                <w:sz w:val="24"/>
                <w:szCs w:val="24"/>
                <w:lang w:val="ro-RO"/>
              </w:rPr>
              <w:t xml:space="preserve">a </w:t>
            </w:r>
            <w:r w:rsidRPr="003C6D57">
              <w:rPr>
                <w:rFonts w:ascii="Times New Roman" w:hAnsi="Times New Roman" w:cs="Times New Roman"/>
                <w:sz w:val="24"/>
                <w:szCs w:val="24"/>
                <w:lang w:val="ro-RO"/>
              </w:rPr>
              <w:t xml:space="preserve">Guvernului este elaborat în temeiul </w:t>
            </w:r>
            <w:r w:rsidR="00DC4942" w:rsidRPr="003C6D57">
              <w:rPr>
                <w:rFonts w:ascii="Times New Roman" w:hAnsi="Times New Roman" w:cs="Times New Roman"/>
                <w:sz w:val="24"/>
                <w:szCs w:val="24"/>
                <w:lang w:val="ro-RO"/>
              </w:rPr>
              <w:t xml:space="preserve">art. 6 din Legea </w:t>
            </w:r>
            <w:r w:rsidR="007D6C0F" w:rsidRPr="003C6D57">
              <w:rPr>
                <w:rFonts w:ascii="Times New Roman" w:hAnsi="Times New Roman" w:cs="Times New Roman"/>
                <w:sz w:val="24"/>
                <w:szCs w:val="24"/>
                <w:lang w:val="ro-RO"/>
              </w:rPr>
              <w:t>nr.186/2008</w:t>
            </w:r>
            <w:r w:rsidR="007D6C0F">
              <w:rPr>
                <w:rFonts w:ascii="Times New Roman" w:hAnsi="Times New Roman" w:cs="Times New Roman"/>
                <w:sz w:val="24"/>
                <w:szCs w:val="24"/>
                <w:lang w:val="ro-RO"/>
              </w:rPr>
              <w:t xml:space="preserve"> privind </w:t>
            </w:r>
            <w:r w:rsidR="00DC4942" w:rsidRPr="003C6D57">
              <w:rPr>
                <w:rFonts w:ascii="Times New Roman" w:hAnsi="Times New Roman" w:cs="Times New Roman"/>
                <w:sz w:val="24"/>
                <w:szCs w:val="24"/>
                <w:lang w:val="ro-RO"/>
              </w:rPr>
              <w:t>securit</w:t>
            </w:r>
            <w:r w:rsidR="007D6C0F">
              <w:rPr>
                <w:rFonts w:ascii="Times New Roman" w:hAnsi="Times New Roman" w:cs="Times New Roman"/>
                <w:sz w:val="24"/>
                <w:szCs w:val="24"/>
                <w:lang w:val="ro-RO"/>
              </w:rPr>
              <w:t>atea</w:t>
            </w:r>
            <w:r w:rsidR="00DC4942" w:rsidRPr="003C6D57">
              <w:rPr>
                <w:rFonts w:ascii="Times New Roman" w:hAnsi="Times New Roman" w:cs="Times New Roman"/>
                <w:sz w:val="24"/>
                <w:szCs w:val="24"/>
                <w:lang w:val="ro-RO"/>
              </w:rPr>
              <w:t xml:space="preserve"> și sănăt</w:t>
            </w:r>
            <w:r w:rsidR="007D6C0F">
              <w:rPr>
                <w:rFonts w:ascii="Times New Roman" w:hAnsi="Times New Roman" w:cs="Times New Roman"/>
                <w:sz w:val="24"/>
                <w:szCs w:val="24"/>
                <w:lang w:val="ro-RO"/>
              </w:rPr>
              <w:t>atea</w:t>
            </w:r>
            <w:r w:rsidR="00DC4942" w:rsidRPr="003C6D57">
              <w:rPr>
                <w:rFonts w:ascii="Times New Roman" w:hAnsi="Times New Roman" w:cs="Times New Roman"/>
                <w:sz w:val="24"/>
                <w:szCs w:val="24"/>
                <w:lang w:val="ro-RO"/>
              </w:rPr>
              <w:t xml:space="preserve"> în muncă, și al art.6 din Legea nr.10/2009 privind supravegherea de stat a sănătății publice</w:t>
            </w:r>
            <w:r w:rsidR="007D6C0F">
              <w:rPr>
                <w:rFonts w:ascii="Times New Roman" w:hAnsi="Times New Roman" w:cs="Times New Roman"/>
                <w:sz w:val="24"/>
                <w:szCs w:val="24"/>
                <w:lang w:val="ro-RO"/>
              </w:rPr>
              <w:t>.</w:t>
            </w:r>
          </w:p>
        </w:tc>
      </w:tr>
      <w:tr w:rsidR="00050045" w:rsidRPr="00D51E15" w14:paraId="4678CE5D" w14:textId="77777777" w:rsidTr="002B55E0">
        <w:trPr>
          <w:trHeight w:val="549"/>
        </w:trPr>
        <w:tc>
          <w:tcPr>
            <w:tcW w:w="10915" w:type="dxa"/>
            <w:shd w:val="clear" w:color="auto" w:fill="F2F2F2" w:themeFill="background1" w:themeFillShade="F2"/>
          </w:tcPr>
          <w:p w14:paraId="4904568A" w14:textId="2A2DBB1B" w:rsidR="00824CD4" w:rsidRPr="00531557" w:rsidRDefault="00824CD4" w:rsidP="00531557">
            <w:pPr>
              <w:pStyle w:val="a7"/>
              <w:numPr>
                <w:ilvl w:val="0"/>
                <w:numId w:val="16"/>
              </w:numPr>
              <w:rPr>
                <w:rFonts w:ascii="Times New Roman" w:eastAsia="Calibri" w:hAnsi="Times New Roman" w:cs="Times New Roman"/>
                <w:b/>
                <w:sz w:val="24"/>
                <w:szCs w:val="24"/>
                <w:lang w:val="ro-RO" w:eastAsia="ru-RU"/>
              </w:rPr>
            </w:pPr>
            <w:r w:rsidRPr="00531557">
              <w:rPr>
                <w:rFonts w:ascii="Times New Roman" w:eastAsia="Calibri" w:hAnsi="Times New Roman" w:cs="Times New Roman"/>
                <w:b/>
                <w:sz w:val="24"/>
                <w:szCs w:val="24"/>
                <w:lang w:val="ro-RO" w:eastAsia="ru-RU"/>
              </w:rPr>
              <w:lastRenderedPageBreak/>
              <w:t xml:space="preserve">Descrierea gradului de compatibilitate pentru proiectele care au ca scop armonizarea </w:t>
            </w:r>
            <w:r w:rsidR="00E971DD" w:rsidRPr="00531557">
              <w:rPr>
                <w:rFonts w:ascii="Times New Roman" w:eastAsia="Calibri" w:hAnsi="Times New Roman" w:cs="Times New Roman"/>
                <w:b/>
                <w:sz w:val="24"/>
                <w:szCs w:val="24"/>
                <w:lang w:val="ro-RO" w:eastAsia="ru-RU"/>
              </w:rPr>
              <w:t>legislației</w:t>
            </w:r>
            <w:r w:rsidRPr="00531557">
              <w:rPr>
                <w:rFonts w:ascii="Times New Roman" w:eastAsia="Calibri" w:hAnsi="Times New Roman" w:cs="Times New Roman"/>
                <w:b/>
                <w:sz w:val="24"/>
                <w:szCs w:val="24"/>
                <w:lang w:val="ro-RO" w:eastAsia="ru-RU"/>
              </w:rPr>
              <w:t xml:space="preserve"> </w:t>
            </w:r>
            <w:r w:rsidR="00E971DD" w:rsidRPr="00531557">
              <w:rPr>
                <w:rFonts w:ascii="Times New Roman" w:eastAsia="Calibri" w:hAnsi="Times New Roman" w:cs="Times New Roman"/>
                <w:b/>
                <w:sz w:val="24"/>
                <w:szCs w:val="24"/>
                <w:lang w:val="ro-RO" w:eastAsia="ru-RU"/>
              </w:rPr>
              <w:t>naționale</w:t>
            </w:r>
            <w:r w:rsidRPr="00531557">
              <w:rPr>
                <w:rFonts w:ascii="Times New Roman" w:eastAsia="Calibri" w:hAnsi="Times New Roman" w:cs="Times New Roman"/>
                <w:b/>
                <w:sz w:val="24"/>
                <w:szCs w:val="24"/>
                <w:lang w:val="ro-RO" w:eastAsia="ru-RU"/>
              </w:rPr>
              <w:t xml:space="preserve"> cu </w:t>
            </w:r>
            <w:r w:rsidR="00E971DD" w:rsidRPr="00531557">
              <w:rPr>
                <w:rFonts w:ascii="Times New Roman" w:eastAsia="Calibri" w:hAnsi="Times New Roman" w:cs="Times New Roman"/>
                <w:b/>
                <w:sz w:val="24"/>
                <w:szCs w:val="24"/>
                <w:lang w:val="ro-RO" w:eastAsia="ru-RU"/>
              </w:rPr>
              <w:t>legislația</w:t>
            </w:r>
            <w:r w:rsidRPr="00531557">
              <w:rPr>
                <w:rFonts w:ascii="Times New Roman" w:eastAsia="Calibri" w:hAnsi="Times New Roman" w:cs="Times New Roman"/>
                <w:b/>
                <w:sz w:val="24"/>
                <w:szCs w:val="24"/>
                <w:lang w:val="ro-RO" w:eastAsia="ru-RU"/>
              </w:rPr>
              <w:t xml:space="preserve"> Uniunii</w:t>
            </w:r>
            <w:r w:rsidR="00594376" w:rsidRPr="00531557">
              <w:rPr>
                <w:rFonts w:ascii="Times New Roman" w:eastAsia="Calibri" w:hAnsi="Times New Roman" w:cs="Times New Roman"/>
                <w:b/>
                <w:sz w:val="24"/>
                <w:szCs w:val="24"/>
                <w:lang w:val="ro-RO" w:eastAsia="ru-RU"/>
              </w:rPr>
              <w:t xml:space="preserve"> </w:t>
            </w:r>
            <w:r w:rsidRPr="00531557">
              <w:rPr>
                <w:rFonts w:ascii="Times New Roman" w:eastAsia="Calibri" w:hAnsi="Times New Roman" w:cs="Times New Roman"/>
                <w:b/>
                <w:sz w:val="24"/>
                <w:szCs w:val="24"/>
                <w:lang w:val="ro-RO" w:eastAsia="ru-RU"/>
              </w:rPr>
              <w:t>Europene</w:t>
            </w:r>
          </w:p>
        </w:tc>
      </w:tr>
      <w:tr w:rsidR="00050045" w:rsidRPr="007D6C0F" w14:paraId="25662622" w14:textId="77777777" w:rsidTr="002B55E0">
        <w:trPr>
          <w:trHeight w:val="473"/>
        </w:trPr>
        <w:tc>
          <w:tcPr>
            <w:tcW w:w="10915" w:type="dxa"/>
          </w:tcPr>
          <w:p w14:paraId="71112E02" w14:textId="1F392A60" w:rsidR="000F4126" w:rsidRPr="000F4126" w:rsidRDefault="000F4126" w:rsidP="00AD3611">
            <w:pPr>
              <w:tabs>
                <w:tab w:val="left" w:pos="9354"/>
              </w:tabs>
              <w:spacing w:before="64" w:after="64"/>
              <w:ind w:right="-6"/>
              <w:jc w:val="both"/>
              <w:rPr>
                <w:rFonts w:ascii="Times New Roman" w:eastAsia="Times New Roman" w:hAnsi="Times New Roman" w:cs="Times New Roman"/>
                <w:sz w:val="24"/>
                <w:szCs w:val="24"/>
                <w:lang w:val="ro-RO" w:eastAsia="ru-RU"/>
              </w:rPr>
            </w:pPr>
            <w:r w:rsidRPr="000F4126">
              <w:rPr>
                <w:rFonts w:ascii="Times New Roman" w:eastAsia="Times New Roman" w:hAnsi="Times New Roman" w:cs="Times New Roman"/>
                <w:sz w:val="24"/>
                <w:szCs w:val="24"/>
                <w:lang w:val="ro-RO" w:eastAsia="ru-RU"/>
              </w:rPr>
              <w:t>Prezentul proiect de Hotărâre de Guvern:</w:t>
            </w:r>
          </w:p>
          <w:p w14:paraId="012D109D" w14:textId="240F63D0" w:rsidR="000F4126" w:rsidRPr="000F4126" w:rsidRDefault="000F4126" w:rsidP="000F4126">
            <w:pPr>
              <w:numPr>
                <w:ilvl w:val="1"/>
                <w:numId w:val="10"/>
              </w:numPr>
              <w:tabs>
                <w:tab w:val="left" w:pos="426"/>
              </w:tabs>
              <w:ind w:left="454"/>
              <w:contextualSpacing/>
              <w:jc w:val="both"/>
              <w:rPr>
                <w:rFonts w:ascii="Times New Roman" w:eastAsia="Times New Roman" w:hAnsi="Times New Roman" w:cs="Times New Roman"/>
                <w:sz w:val="24"/>
                <w:szCs w:val="24"/>
                <w:lang w:val="ro-RO"/>
              </w:rPr>
            </w:pPr>
            <w:r w:rsidRPr="000F4126">
              <w:rPr>
                <w:rFonts w:ascii="Times New Roman" w:eastAsia="Times New Roman" w:hAnsi="Times New Roman" w:cs="Times New Roman"/>
                <w:iCs/>
                <w:sz w:val="24"/>
                <w:szCs w:val="24"/>
                <w:lang w:val="ro-RO"/>
              </w:rPr>
              <w:t xml:space="preserve">transpune parțial Directiva 98/24/CE a Consiliului din 7 aprilie 1998 privind protecția sănătății </w:t>
            </w:r>
            <w:r w:rsidR="00890DA0">
              <w:rPr>
                <w:rFonts w:ascii="Times New Roman" w:eastAsia="Times New Roman" w:hAnsi="Times New Roman" w:cs="Times New Roman"/>
                <w:iCs/>
                <w:sz w:val="24"/>
                <w:szCs w:val="24"/>
                <w:lang w:val="ro-RO"/>
              </w:rPr>
              <w:t>ș</w:t>
            </w:r>
            <w:r w:rsidRPr="000F4126">
              <w:rPr>
                <w:rFonts w:ascii="Times New Roman" w:eastAsia="Times New Roman" w:hAnsi="Times New Roman" w:cs="Times New Roman"/>
                <w:iCs/>
                <w:sz w:val="24"/>
                <w:szCs w:val="24"/>
                <w:lang w:val="ro-RO"/>
              </w:rPr>
              <w:t>i securității lucrătorilor împotriva riscurilor legate de prezența agenților chimici la locul de muncă [a paisprezecea directivă specială în sensul articolului 16 alineatul (1) din Directiva 89/391/CEE]</w:t>
            </w:r>
            <w:r w:rsidRPr="000F4126">
              <w:rPr>
                <w:rFonts w:ascii="Times New Roman" w:eastAsia="Times New Roman" w:hAnsi="Times New Roman" w:cs="Times New Roman"/>
                <w:sz w:val="24"/>
                <w:szCs w:val="24"/>
                <w:lang w:val="ro-RO"/>
              </w:rPr>
              <w:t xml:space="preserve"> </w:t>
            </w:r>
            <w:r w:rsidRPr="000F4126">
              <w:rPr>
                <w:rFonts w:ascii="Times New Roman" w:eastAsia="Times New Roman" w:hAnsi="Times New Roman" w:cs="Times New Roman"/>
                <w:iCs/>
                <w:sz w:val="24"/>
                <w:szCs w:val="24"/>
                <w:lang w:val="ro-RO"/>
              </w:rPr>
              <w:t>), publicată în Jurnalul Oficial al Uniunii Europene seria L nr. 131 din 05.05.1998, a</w:t>
            </w:r>
            <w:r w:rsidR="00890DA0">
              <w:rPr>
                <w:rFonts w:ascii="Times New Roman" w:eastAsia="Times New Roman" w:hAnsi="Times New Roman" w:cs="Times New Roman"/>
                <w:iCs/>
                <w:sz w:val="24"/>
                <w:szCs w:val="24"/>
                <w:lang w:val="ro-RO"/>
              </w:rPr>
              <w:t>ș</w:t>
            </w:r>
            <w:r w:rsidRPr="000F4126">
              <w:rPr>
                <w:rFonts w:ascii="Times New Roman" w:eastAsia="Times New Roman" w:hAnsi="Times New Roman" w:cs="Times New Roman"/>
                <w:iCs/>
                <w:sz w:val="24"/>
                <w:szCs w:val="24"/>
                <w:lang w:val="ro-RO"/>
              </w:rPr>
              <w:t xml:space="preserve">a cum a fost modificată ultima dată prin Regulamentul (UE) Regulamentul (UE) 2019/1243 al Parlamentului European </w:t>
            </w:r>
            <w:r w:rsidR="00890DA0">
              <w:rPr>
                <w:rFonts w:ascii="Times New Roman" w:eastAsia="Times New Roman" w:hAnsi="Times New Roman" w:cs="Times New Roman"/>
                <w:iCs/>
                <w:sz w:val="24"/>
                <w:szCs w:val="24"/>
                <w:lang w:val="ro-RO"/>
              </w:rPr>
              <w:t>ș</w:t>
            </w:r>
            <w:r w:rsidRPr="000F4126">
              <w:rPr>
                <w:rFonts w:ascii="Times New Roman" w:eastAsia="Times New Roman" w:hAnsi="Times New Roman" w:cs="Times New Roman"/>
                <w:iCs/>
                <w:sz w:val="24"/>
                <w:szCs w:val="24"/>
                <w:lang w:val="ro-RO"/>
              </w:rPr>
              <w:t xml:space="preserve">i al Consiliului din 20 iunie 2019 de adaptare la articolele 290 </w:t>
            </w:r>
            <w:r w:rsidR="00890DA0">
              <w:rPr>
                <w:rFonts w:ascii="Times New Roman" w:eastAsia="Times New Roman" w:hAnsi="Times New Roman" w:cs="Times New Roman"/>
                <w:iCs/>
                <w:sz w:val="24"/>
                <w:szCs w:val="24"/>
                <w:lang w:val="ro-RO"/>
              </w:rPr>
              <w:t>ș</w:t>
            </w:r>
            <w:r w:rsidRPr="000F4126">
              <w:rPr>
                <w:rFonts w:ascii="Times New Roman" w:eastAsia="Times New Roman" w:hAnsi="Times New Roman" w:cs="Times New Roman"/>
                <w:iCs/>
                <w:sz w:val="24"/>
                <w:szCs w:val="24"/>
                <w:lang w:val="ro-RO"/>
              </w:rPr>
              <w:t>i 291 din Tratatul privind funcționarea Uniunii Europene a unei serii de acte juridice care prevăd utilizarea procedurii de reglementare cu control;</w:t>
            </w:r>
          </w:p>
          <w:p w14:paraId="38E30F88" w14:textId="60BD980A" w:rsidR="000F4126" w:rsidRPr="000F4126" w:rsidRDefault="000F4126" w:rsidP="000F4126">
            <w:pPr>
              <w:numPr>
                <w:ilvl w:val="1"/>
                <w:numId w:val="10"/>
              </w:numPr>
              <w:tabs>
                <w:tab w:val="left" w:pos="426"/>
              </w:tabs>
              <w:ind w:left="454"/>
              <w:contextualSpacing/>
              <w:jc w:val="both"/>
              <w:rPr>
                <w:rFonts w:ascii="Times New Roman" w:eastAsia="Times New Roman" w:hAnsi="Times New Roman" w:cs="Times New Roman"/>
                <w:bCs/>
                <w:sz w:val="24"/>
                <w:szCs w:val="24"/>
                <w:shd w:val="clear" w:color="auto" w:fill="FFFFFF"/>
                <w:lang w:val="ro-RO"/>
              </w:rPr>
            </w:pPr>
            <w:r w:rsidRPr="000F4126">
              <w:rPr>
                <w:rFonts w:ascii="Times New Roman" w:eastAsia="Times New Roman" w:hAnsi="Times New Roman" w:cs="Times New Roman"/>
                <w:iCs/>
                <w:sz w:val="24"/>
                <w:szCs w:val="24"/>
                <w:lang w:val="ro-RO"/>
              </w:rPr>
              <w:t xml:space="preserve">transpune </w:t>
            </w:r>
            <w:r w:rsidRPr="000F4126">
              <w:rPr>
                <w:rFonts w:ascii="Times New Roman" w:eastAsia="Times New Roman" w:hAnsi="Times New Roman" w:cs="Times New Roman"/>
                <w:bCs/>
                <w:sz w:val="24"/>
                <w:szCs w:val="24"/>
                <w:lang w:val="ro-RO"/>
              </w:rPr>
              <w:t xml:space="preserve">Directiva Comisiei 91/322/CEE din 29 mai 1991 privind stabilirea valorilor limită cu caracter orientativ prin aplicarea Directivei 80/1107/CEE a Consiliului privind protecția lucrătorilor împotriva riscurilor legate de expunerea la agenți chimici, fizici </w:t>
            </w:r>
            <w:r w:rsidR="00890DA0">
              <w:rPr>
                <w:rFonts w:ascii="Times New Roman" w:eastAsia="Times New Roman" w:hAnsi="Times New Roman" w:cs="Times New Roman"/>
                <w:bCs/>
                <w:sz w:val="24"/>
                <w:szCs w:val="24"/>
                <w:lang w:val="ro-RO"/>
              </w:rPr>
              <w:t>ș</w:t>
            </w:r>
            <w:r w:rsidRPr="000F4126">
              <w:rPr>
                <w:rFonts w:ascii="Times New Roman" w:eastAsia="Times New Roman" w:hAnsi="Times New Roman" w:cs="Times New Roman"/>
                <w:bCs/>
                <w:sz w:val="24"/>
                <w:szCs w:val="24"/>
                <w:lang w:val="ro-RO"/>
              </w:rPr>
              <w:t xml:space="preserve">i biologici la locul de muncă, </w:t>
            </w:r>
            <w:r w:rsidRPr="000F4126">
              <w:rPr>
                <w:rFonts w:ascii="Times New Roman" w:eastAsia="Times New Roman" w:hAnsi="Times New Roman" w:cs="Times New Roman"/>
                <w:iCs/>
                <w:sz w:val="24"/>
                <w:szCs w:val="24"/>
                <w:lang w:val="ro-RO"/>
              </w:rPr>
              <w:t>publicată în Jurnalul Oficial al Uniunii Europene seria L nr. 177 din 05.07.1991, a</w:t>
            </w:r>
            <w:r w:rsidR="00890DA0">
              <w:rPr>
                <w:rFonts w:ascii="Times New Roman" w:eastAsia="Times New Roman" w:hAnsi="Times New Roman" w:cs="Times New Roman"/>
                <w:iCs/>
                <w:sz w:val="24"/>
                <w:szCs w:val="24"/>
                <w:lang w:val="ro-RO"/>
              </w:rPr>
              <w:t>ș</w:t>
            </w:r>
            <w:r w:rsidRPr="000F4126">
              <w:rPr>
                <w:rFonts w:ascii="Times New Roman" w:eastAsia="Times New Roman" w:hAnsi="Times New Roman" w:cs="Times New Roman"/>
                <w:iCs/>
                <w:sz w:val="24"/>
                <w:szCs w:val="24"/>
                <w:lang w:val="ro-RO"/>
              </w:rPr>
              <w:t>a cum a fost modificată ultima dată prin</w:t>
            </w:r>
            <w:r w:rsidRPr="000F4126">
              <w:rPr>
                <w:rFonts w:ascii="Times New Roman" w:eastAsia="Times New Roman" w:hAnsi="Times New Roman" w:cs="Times New Roman"/>
                <w:sz w:val="24"/>
                <w:szCs w:val="24"/>
                <w:lang w:val="ro-RO"/>
              </w:rPr>
              <w:t xml:space="preserve"> D</w:t>
            </w:r>
            <w:r w:rsidRPr="000F4126">
              <w:rPr>
                <w:rFonts w:ascii="Times New Roman" w:eastAsia="Times New Roman" w:hAnsi="Times New Roman" w:cs="Times New Roman"/>
                <w:iCs/>
                <w:sz w:val="24"/>
                <w:szCs w:val="24"/>
                <w:lang w:val="ro-RO"/>
              </w:rPr>
              <w:t xml:space="preserve">irectiva (UE) 2017/164 a Comisiei din 31 ianuarie 2017 de stabilire a unei a patra liste de valori-limită orientative de expunere profesională în temeiul Directivei 98/24/CE a Consiliului </w:t>
            </w:r>
            <w:r w:rsidR="00890DA0">
              <w:rPr>
                <w:rFonts w:ascii="Times New Roman" w:eastAsia="Times New Roman" w:hAnsi="Times New Roman" w:cs="Times New Roman"/>
                <w:iCs/>
                <w:sz w:val="24"/>
                <w:szCs w:val="24"/>
                <w:lang w:val="ro-RO"/>
              </w:rPr>
              <w:t>ș</w:t>
            </w:r>
            <w:r w:rsidRPr="000F4126">
              <w:rPr>
                <w:rFonts w:ascii="Times New Roman" w:eastAsia="Times New Roman" w:hAnsi="Times New Roman" w:cs="Times New Roman"/>
                <w:iCs/>
                <w:sz w:val="24"/>
                <w:szCs w:val="24"/>
                <w:lang w:val="ro-RO"/>
              </w:rPr>
              <w:t xml:space="preserve">i de modificare a Directivelor 91/322/CEE, 2000/39/CE </w:t>
            </w:r>
            <w:r w:rsidR="00890DA0">
              <w:rPr>
                <w:rFonts w:ascii="Times New Roman" w:eastAsia="Times New Roman" w:hAnsi="Times New Roman" w:cs="Times New Roman"/>
                <w:iCs/>
                <w:sz w:val="24"/>
                <w:szCs w:val="24"/>
                <w:lang w:val="ro-RO"/>
              </w:rPr>
              <w:t>ș</w:t>
            </w:r>
            <w:r w:rsidRPr="000F4126">
              <w:rPr>
                <w:rFonts w:ascii="Times New Roman" w:eastAsia="Times New Roman" w:hAnsi="Times New Roman" w:cs="Times New Roman"/>
                <w:iCs/>
                <w:sz w:val="24"/>
                <w:szCs w:val="24"/>
                <w:lang w:val="ro-RO"/>
              </w:rPr>
              <w:t>i 2009/161/UE ale Comisiei;</w:t>
            </w:r>
          </w:p>
          <w:p w14:paraId="79D7AC98" w14:textId="100402E8" w:rsidR="000F4126" w:rsidRPr="000F4126" w:rsidRDefault="000F4126" w:rsidP="000F4126">
            <w:pPr>
              <w:numPr>
                <w:ilvl w:val="1"/>
                <w:numId w:val="10"/>
              </w:numPr>
              <w:tabs>
                <w:tab w:val="left" w:pos="426"/>
              </w:tabs>
              <w:ind w:left="454"/>
              <w:contextualSpacing/>
              <w:jc w:val="both"/>
              <w:rPr>
                <w:rFonts w:ascii="Times New Roman" w:eastAsia="Times New Roman" w:hAnsi="Times New Roman" w:cs="Times New Roman"/>
                <w:bCs/>
                <w:sz w:val="24"/>
                <w:szCs w:val="24"/>
                <w:shd w:val="clear" w:color="auto" w:fill="FFFFFF"/>
                <w:lang w:val="ro-RO"/>
              </w:rPr>
            </w:pPr>
            <w:r w:rsidRPr="000F4126">
              <w:rPr>
                <w:rFonts w:ascii="Times New Roman" w:eastAsia="Times New Roman" w:hAnsi="Times New Roman" w:cs="Times New Roman"/>
                <w:iCs/>
                <w:sz w:val="24"/>
                <w:szCs w:val="24"/>
                <w:lang w:val="ro-RO"/>
              </w:rPr>
              <w:t xml:space="preserve">transpune </w:t>
            </w:r>
            <w:r w:rsidRPr="000F4126">
              <w:rPr>
                <w:rFonts w:ascii="Times New Roman" w:eastAsia="Times New Roman" w:hAnsi="Times New Roman" w:cs="Times New Roman"/>
                <w:bCs/>
                <w:sz w:val="24"/>
                <w:szCs w:val="24"/>
                <w:lang w:val="ro-RO"/>
              </w:rPr>
              <w:t xml:space="preserve">Directiva 2000/39/CE a Comisiei din 8 iunie 2000 de stabilire a primei liste de valori-limită orientative ale expunerii profesionale în aplicarea Directivei 98/24/CE a Consiliului privind protecția sănătății </w:t>
            </w:r>
            <w:r w:rsidR="00890DA0">
              <w:rPr>
                <w:rFonts w:ascii="Times New Roman" w:eastAsia="Times New Roman" w:hAnsi="Times New Roman" w:cs="Times New Roman"/>
                <w:bCs/>
                <w:sz w:val="24"/>
                <w:szCs w:val="24"/>
                <w:lang w:val="ro-RO"/>
              </w:rPr>
              <w:t>ș</w:t>
            </w:r>
            <w:r w:rsidRPr="000F4126">
              <w:rPr>
                <w:rFonts w:ascii="Times New Roman" w:eastAsia="Times New Roman" w:hAnsi="Times New Roman" w:cs="Times New Roman"/>
                <w:bCs/>
                <w:sz w:val="24"/>
                <w:szCs w:val="24"/>
                <w:lang w:val="ro-RO"/>
              </w:rPr>
              <w:t>i a securității lucrătorilor împotriva riscurilor legate de prezența agenților chimici la locul de muncă,</w:t>
            </w:r>
            <w:r w:rsidRPr="000F4126">
              <w:rPr>
                <w:rFonts w:ascii="Times New Roman" w:eastAsia="Times New Roman" w:hAnsi="Times New Roman" w:cs="Times New Roman"/>
                <w:iCs/>
                <w:sz w:val="24"/>
                <w:szCs w:val="24"/>
                <w:lang w:val="ro-RO"/>
              </w:rPr>
              <w:t xml:space="preserve"> publicată în Jurnalul Oficial al Uniunii Europene seria L nr. 142 din 16.06.2000, a</w:t>
            </w:r>
            <w:r w:rsidR="00890DA0">
              <w:rPr>
                <w:rFonts w:ascii="Times New Roman" w:eastAsia="Times New Roman" w:hAnsi="Times New Roman" w:cs="Times New Roman"/>
                <w:iCs/>
                <w:sz w:val="24"/>
                <w:szCs w:val="24"/>
                <w:lang w:val="ro-RO"/>
              </w:rPr>
              <w:t>ș</w:t>
            </w:r>
            <w:r w:rsidRPr="000F4126">
              <w:rPr>
                <w:rFonts w:ascii="Times New Roman" w:eastAsia="Times New Roman" w:hAnsi="Times New Roman" w:cs="Times New Roman"/>
                <w:iCs/>
                <w:sz w:val="24"/>
                <w:szCs w:val="24"/>
                <w:lang w:val="ro-RO"/>
              </w:rPr>
              <w:t>a cum a fost modificată ultima dată prin</w:t>
            </w:r>
            <w:r w:rsidRPr="000F4126">
              <w:rPr>
                <w:rFonts w:ascii="Times New Roman" w:eastAsia="Times New Roman" w:hAnsi="Times New Roman" w:cs="Times New Roman"/>
                <w:sz w:val="24"/>
                <w:szCs w:val="24"/>
                <w:lang w:val="ro-RO"/>
              </w:rPr>
              <w:t xml:space="preserve"> </w:t>
            </w:r>
            <w:r w:rsidRPr="000F4126">
              <w:rPr>
                <w:rFonts w:ascii="Times New Roman" w:eastAsia="Times New Roman" w:hAnsi="Times New Roman" w:cs="Times New Roman"/>
                <w:bCs/>
                <w:sz w:val="24"/>
                <w:szCs w:val="24"/>
                <w:lang w:val="ro-RO"/>
              </w:rPr>
              <w:t xml:space="preserve">Directiva (UE) 2019/1831 a Comisiei din 24 octombrie 2019 de stabilire a unei </w:t>
            </w:r>
            <w:r w:rsidRPr="000F4126">
              <w:rPr>
                <w:rFonts w:ascii="Times New Roman" w:eastAsia="Times New Roman" w:hAnsi="Times New Roman" w:cs="Times New Roman"/>
                <w:bCs/>
                <w:sz w:val="24"/>
                <w:szCs w:val="24"/>
                <w:lang w:val="ro-RO"/>
              </w:rPr>
              <w:lastRenderedPageBreak/>
              <w:t xml:space="preserve">a cincea liste de valori limită orientative de expunere profesională în temeiul Directivei 98/24/CE a Consiliului </w:t>
            </w:r>
            <w:r w:rsidR="00890DA0">
              <w:rPr>
                <w:rFonts w:ascii="Times New Roman" w:eastAsia="Times New Roman" w:hAnsi="Times New Roman" w:cs="Times New Roman"/>
                <w:bCs/>
                <w:sz w:val="24"/>
                <w:szCs w:val="24"/>
                <w:lang w:val="ro-RO"/>
              </w:rPr>
              <w:t>ș</w:t>
            </w:r>
            <w:r w:rsidRPr="000F4126">
              <w:rPr>
                <w:rFonts w:ascii="Times New Roman" w:eastAsia="Times New Roman" w:hAnsi="Times New Roman" w:cs="Times New Roman"/>
                <w:bCs/>
                <w:sz w:val="24"/>
                <w:szCs w:val="24"/>
                <w:lang w:val="ro-RO"/>
              </w:rPr>
              <w:t>i de modificare a Directivei 2000/39/CE a Comisiei;</w:t>
            </w:r>
          </w:p>
          <w:p w14:paraId="620546DE" w14:textId="482EF50E" w:rsidR="000F4126" w:rsidRPr="000F4126" w:rsidRDefault="000F4126" w:rsidP="000F4126">
            <w:pPr>
              <w:numPr>
                <w:ilvl w:val="1"/>
                <w:numId w:val="10"/>
              </w:numPr>
              <w:tabs>
                <w:tab w:val="left" w:pos="426"/>
              </w:tabs>
              <w:ind w:left="454"/>
              <w:contextualSpacing/>
              <w:jc w:val="both"/>
              <w:rPr>
                <w:rFonts w:ascii="Times New Roman" w:eastAsia="Times New Roman" w:hAnsi="Times New Roman" w:cs="Times New Roman"/>
                <w:bCs/>
                <w:sz w:val="24"/>
                <w:szCs w:val="24"/>
                <w:shd w:val="clear" w:color="auto" w:fill="FFFFFF"/>
                <w:lang w:val="ro-RO"/>
              </w:rPr>
            </w:pPr>
            <w:r w:rsidRPr="000F4126">
              <w:rPr>
                <w:rFonts w:ascii="Times New Roman" w:eastAsia="Times New Roman" w:hAnsi="Times New Roman" w:cs="Times New Roman"/>
                <w:iCs/>
                <w:sz w:val="24"/>
                <w:szCs w:val="24"/>
                <w:lang w:val="ro-RO"/>
              </w:rPr>
              <w:t xml:space="preserve">transpune </w:t>
            </w:r>
            <w:r w:rsidRPr="000F4126">
              <w:rPr>
                <w:rFonts w:ascii="Times New Roman" w:eastAsia="Times New Roman" w:hAnsi="Times New Roman" w:cs="Times New Roman"/>
                <w:bCs/>
                <w:sz w:val="24"/>
                <w:szCs w:val="24"/>
                <w:lang w:val="ro-RO"/>
              </w:rPr>
              <w:t xml:space="preserve">Directiva 2006/15/CE a Comisiei din 7 februarie 2006 de stabilire a unei a doua liste de valori limită orientative de expunere profesională în aplicarea Directivei 98/24/CE a Consiliului </w:t>
            </w:r>
            <w:r w:rsidR="00890DA0">
              <w:rPr>
                <w:rFonts w:ascii="Times New Roman" w:eastAsia="Times New Roman" w:hAnsi="Times New Roman" w:cs="Times New Roman"/>
                <w:bCs/>
                <w:sz w:val="24"/>
                <w:szCs w:val="24"/>
                <w:lang w:val="ro-RO"/>
              </w:rPr>
              <w:t>ș</w:t>
            </w:r>
            <w:r w:rsidRPr="000F4126">
              <w:rPr>
                <w:rFonts w:ascii="Times New Roman" w:eastAsia="Times New Roman" w:hAnsi="Times New Roman" w:cs="Times New Roman"/>
                <w:bCs/>
                <w:sz w:val="24"/>
                <w:szCs w:val="24"/>
                <w:lang w:val="ro-RO"/>
              </w:rPr>
              <w:t xml:space="preserve">i de modificare a Directivelor 91/322/CEE </w:t>
            </w:r>
            <w:r w:rsidR="00890DA0">
              <w:rPr>
                <w:rFonts w:ascii="Times New Roman" w:eastAsia="Times New Roman" w:hAnsi="Times New Roman" w:cs="Times New Roman"/>
                <w:bCs/>
                <w:sz w:val="24"/>
                <w:szCs w:val="24"/>
                <w:lang w:val="ro-RO"/>
              </w:rPr>
              <w:t>ș</w:t>
            </w:r>
            <w:r w:rsidRPr="000F4126">
              <w:rPr>
                <w:rFonts w:ascii="Times New Roman" w:eastAsia="Times New Roman" w:hAnsi="Times New Roman" w:cs="Times New Roman"/>
                <w:bCs/>
                <w:sz w:val="24"/>
                <w:szCs w:val="24"/>
                <w:lang w:val="ro-RO"/>
              </w:rPr>
              <w:t xml:space="preserve">i 2000/39/CE, </w:t>
            </w:r>
            <w:r w:rsidRPr="000F4126">
              <w:rPr>
                <w:rFonts w:ascii="Times New Roman" w:eastAsia="Times New Roman" w:hAnsi="Times New Roman" w:cs="Times New Roman"/>
                <w:iCs/>
                <w:sz w:val="24"/>
                <w:szCs w:val="24"/>
                <w:lang w:val="ro-RO"/>
              </w:rPr>
              <w:t>publicată în Jurnalul Oficial al Uniunii Europene seria L nr. 38 din 09.02.2006;</w:t>
            </w:r>
          </w:p>
          <w:p w14:paraId="7F7C9207" w14:textId="7B63869B" w:rsidR="000F4126" w:rsidRPr="000F4126" w:rsidRDefault="000F4126" w:rsidP="000F4126">
            <w:pPr>
              <w:numPr>
                <w:ilvl w:val="1"/>
                <w:numId w:val="10"/>
              </w:numPr>
              <w:tabs>
                <w:tab w:val="left" w:pos="426"/>
              </w:tabs>
              <w:ind w:left="454"/>
              <w:contextualSpacing/>
              <w:jc w:val="both"/>
              <w:rPr>
                <w:rFonts w:ascii="Times New Roman" w:eastAsia="Times New Roman" w:hAnsi="Times New Roman" w:cs="Times New Roman"/>
                <w:bCs/>
                <w:sz w:val="24"/>
                <w:szCs w:val="24"/>
                <w:shd w:val="clear" w:color="auto" w:fill="FFFFFF"/>
                <w:lang w:val="ro-RO"/>
              </w:rPr>
            </w:pPr>
            <w:r w:rsidRPr="000F4126">
              <w:rPr>
                <w:rFonts w:ascii="Times New Roman" w:eastAsia="Times New Roman" w:hAnsi="Times New Roman" w:cs="Times New Roman"/>
                <w:iCs/>
                <w:sz w:val="24"/>
                <w:szCs w:val="24"/>
                <w:lang w:val="ro-RO"/>
              </w:rPr>
              <w:t>transpune</w:t>
            </w:r>
            <w:r w:rsidRPr="000F4126">
              <w:rPr>
                <w:rFonts w:ascii="Times New Roman" w:eastAsia="Times New Roman" w:hAnsi="Times New Roman" w:cs="Times New Roman"/>
                <w:bCs/>
                <w:sz w:val="24"/>
                <w:szCs w:val="24"/>
                <w:shd w:val="clear" w:color="auto" w:fill="FFFFFF"/>
                <w:lang w:val="ro-RO"/>
              </w:rPr>
              <w:t xml:space="preserve"> Directiva 2009/161/UE a Comisiei din 17 decembrie 2009 de stabilire a unei a treia liste de valori-limită orientative de expunere profesională în aplicarea Directivei 98/24/CE a Consiliului </w:t>
            </w:r>
            <w:r w:rsidR="00890DA0">
              <w:rPr>
                <w:rFonts w:ascii="Times New Roman" w:eastAsia="Times New Roman" w:hAnsi="Times New Roman" w:cs="Times New Roman"/>
                <w:bCs/>
                <w:sz w:val="24"/>
                <w:szCs w:val="24"/>
                <w:shd w:val="clear" w:color="auto" w:fill="FFFFFF"/>
                <w:lang w:val="ro-RO"/>
              </w:rPr>
              <w:t>ș</w:t>
            </w:r>
            <w:r w:rsidRPr="000F4126">
              <w:rPr>
                <w:rFonts w:ascii="Times New Roman" w:eastAsia="Times New Roman" w:hAnsi="Times New Roman" w:cs="Times New Roman"/>
                <w:bCs/>
                <w:sz w:val="24"/>
                <w:szCs w:val="24"/>
                <w:shd w:val="clear" w:color="auto" w:fill="FFFFFF"/>
                <w:lang w:val="ro-RO"/>
              </w:rPr>
              <w:t>i de modificare a Directivei 2000/39/CE a Comisiei,</w:t>
            </w:r>
            <w:r w:rsidRPr="000F4126">
              <w:rPr>
                <w:rFonts w:ascii="Times New Roman" w:eastAsia="Times New Roman" w:hAnsi="Times New Roman" w:cs="Times New Roman"/>
                <w:iCs/>
                <w:sz w:val="24"/>
                <w:szCs w:val="24"/>
                <w:lang w:val="ro-RO"/>
              </w:rPr>
              <w:t xml:space="preserve"> publicată în Jurnalul Oficial al Uniunii Europene seria L nr. 338 din 19.12.2009, a</w:t>
            </w:r>
            <w:r w:rsidR="00890DA0">
              <w:rPr>
                <w:rFonts w:ascii="Times New Roman" w:eastAsia="Times New Roman" w:hAnsi="Times New Roman" w:cs="Times New Roman"/>
                <w:iCs/>
                <w:sz w:val="24"/>
                <w:szCs w:val="24"/>
                <w:lang w:val="ro-RO"/>
              </w:rPr>
              <w:t>ș</w:t>
            </w:r>
            <w:r w:rsidRPr="000F4126">
              <w:rPr>
                <w:rFonts w:ascii="Times New Roman" w:eastAsia="Times New Roman" w:hAnsi="Times New Roman" w:cs="Times New Roman"/>
                <w:iCs/>
                <w:sz w:val="24"/>
                <w:szCs w:val="24"/>
                <w:lang w:val="ro-RO"/>
              </w:rPr>
              <w:t>a cum a fost modificată ultima dată prin</w:t>
            </w:r>
            <w:r w:rsidRPr="000F4126">
              <w:rPr>
                <w:rFonts w:ascii="Times New Roman" w:eastAsia="Times New Roman" w:hAnsi="Times New Roman" w:cs="Times New Roman"/>
                <w:sz w:val="24"/>
                <w:szCs w:val="24"/>
                <w:lang w:val="ro-RO"/>
              </w:rPr>
              <w:t xml:space="preserve"> D</w:t>
            </w:r>
            <w:r w:rsidRPr="000F4126">
              <w:rPr>
                <w:rFonts w:ascii="Times New Roman" w:eastAsia="Times New Roman" w:hAnsi="Times New Roman" w:cs="Times New Roman"/>
                <w:iCs/>
                <w:sz w:val="24"/>
                <w:szCs w:val="24"/>
                <w:lang w:val="ro-RO"/>
              </w:rPr>
              <w:t xml:space="preserve">irectiva </w:t>
            </w:r>
            <w:r w:rsidRPr="000F4126">
              <w:rPr>
                <w:rFonts w:ascii="Times New Roman" w:eastAsia="Times New Roman" w:hAnsi="Times New Roman" w:cs="Times New Roman"/>
                <w:bCs/>
                <w:sz w:val="24"/>
                <w:szCs w:val="24"/>
                <w:shd w:val="clear" w:color="auto" w:fill="FFFFFF"/>
                <w:lang w:val="ro-RO"/>
              </w:rPr>
              <w:t xml:space="preserve">(UE) 2017/164 a Comisiei din 31 ianuarie 2017 de stabilire a unei a patra liste de valori-limită orientative de expunere profesională în temeiul Directivei 98/24/CE a Consiliului </w:t>
            </w:r>
            <w:r w:rsidR="00890DA0">
              <w:rPr>
                <w:rFonts w:ascii="Times New Roman" w:eastAsia="Times New Roman" w:hAnsi="Times New Roman" w:cs="Times New Roman"/>
                <w:bCs/>
                <w:sz w:val="24"/>
                <w:szCs w:val="24"/>
                <w:shd w:val="clear" w:color="auto" w:fill="FFFFFF"/>
                <w:lang w:val="ro-RO"/>
              </w:rPr>
              <w:t>ș</w:t>
            </w:r>
            <w:r w:rsidRPr="000F4126">
              <w:rPr>
                <w:rFonts w:ascii="Times New Roman" w:eastAsia="Times New Roman" w:hAnsi="Times New Roman" w:cs="Times New Roman"/>
                <w:bCs/>
                <w:sz w:val="24"/>
                <w:szCs w:val="24"/>
                <w:shd w:val="clear" w:color="auto" w:fill="FFFFFF"/>
                <w:lang w:val="ro-RO"/>
              </w:rPr>
              <w:t xml:space="preserve">i de modificare a Directivelor 91/322/CEE, 2000/39/CE </w:t>
            </w:r>
            <w:r w:rsidR="00890DA0">
              <w:rPr>
                <w:rFonts w:ascii="Times New Roman" w:eastAsia="Times New Roman" w:hAnsi="Times New Roman" w:cs="Times New Roman"/>
                <w:bCs/>
                <w:sz w:val="24"/>
                <w:szCs w:val="24"/>
                <w:shd w:val="clear" w:color="auto" w:fill="FFFFFF"/>
                <w:lang w:val="ro-RO"/>
              </w:rPr>
              <w:t>ș</w:t>
            </w:r>
            <w:r w:rsidRPr="000F4126">
              <w:rPr>
                <w:rFonts w:ascii="Times New Roman" w:eastAsia="Times New Roman" w:hAnsi="Times New Roman" w:cs="Times New Roman"/>
                <w:bCs/>
                <w:sz w:val="24"/>
                <w:szCs w:val="24"/>
                <w:shd w:val="clear" w:color="auto" w:fill="FFFFFF"/>
                <w:lang w:val="ro-RO"/>
              </w:rPr>
              <w:t>i 2009/161/UE ale Comisiei;</w:t>
            </w:r>
          </w:p>
          <w:p w14:paraId="68FB1F82" w14:textId="101BE641" w:rsidR="000F4126" w:rsidRPr="000F4126" w:rsidRDefault="000F4126" w:rsidP="000F4126">
            <w:pPr>
              <w:numPr>
                <w:ilvl w:val="1"/>
                <w:numId w:val="10"/>
              </w:numPr>
              <w:tabs>
                <w:tab w:val="left" w:pos="426"/>
              </w:tabs>
              <w:ind w:left="454"/>
              <w:contextualSpacing/>
              <w:jc w:val="both"/>
              <w:rPr>
                <w:rFonts w:ascii="Times New Roman" w:eastAsia="Times New Roman" w:hAnsi="Times New Roman" w:cs="Times New Roman"/>
                <w:bCs/>
                <w:sz w:val="24"/>
                <w:szCs w:val="24"/>
                <w:shd w:val="clear" w:color="auto" w:fill="FFFFFF"/>
                <w:lang w:val="ro-RO"/>
              </w:rPr>
            </w:pPr>
            <w:r w:rsidRPr="000F4126">
              <w:rPr>
                <w:rFonts w:ascii="Times New Roman" w:eastAsia="Times New Roman" w:hAnsi="Times New Roman" w:cs="Times New Roman"/>
                <w:iCs/>
                <w:sz w:val="24"/>
                <w:szCs w:val="24"/>
                <w:lang w:val="ro-RO"/>
              </w:rPr>
              <w:t>transpune</w:t>
            </w:r>
            <w:r w:rsidRPr="000F4126">
              <w:rPr>
                <w:rFonts w:ascii="Times New Roman" w:eastAsia="Times New Roman" w:hAnsi="Times New Roman" w:cs="Times New Roman"/>
                <w:bCs/>
                <w:sz w:val="24"/>
                <w:szCs w:val="24"/>
                <w:lang w:val="ro-RO"/>
              </w:rPr>
              <w:t xml:space="preserve"> Directiva (UE) 2017/164 a Comisiei din 31 ianuarie 2017 de stabilire a unei a patra liste de valori-limită orientative de expunere profesională în temeiul Directivei 98/24/CE a Consiliului </w:t>
            </w:r>
            <w:r w:rsidR="00890DA0">
              <w:rPr>
                <w:rFonts w:ascii="Times New Roman" w:eastAsia="Times New Roman" w:hAnsi="Times New Roman" w:cs="Times New Roman"/>
                <w:bCs/>
                <w:sz w:val="24"/>
                <w:szCs w:val="24"/>
                <w:lang w:val="ro-RO"/>
              </w:rPr>
              <w:t>ș</w:t>
            </w:r>
            <w:r w:rsidRPr="000F4126">
              <w:rPr>
                <w:rFonts w:ascii="Times New Roman" w:eastAsia="Times New Roman" w:hAnsi="Times New Roman" w:cs="Times New Roman"/>
                <w:bCs/>
                <w:sz w:val="24"/>
                <w:szCs w:val="24"/>
                <w:lang w:val="ro-RO"/>
              </w:rPr>
              <w:t xml:space="preserve">i de modificare a Directivelor 91/322/CEE, 2000/39/CE </w:t>
            </w:r>
            <w:r w:rsidR="00890DA0">
              <w:rPr>
                <w:rFonts w:ascii="Times New Roman" w:eastAsia="Times New Roman" w:hAnsi="Times New Roman" w:cs="Times New Roman"/>
                <w:bCs/>
                <w:sz w:val="24"/>
                <w:szCs w:val="24"/>
                <w:lang w:val="ro-RO"/>
              </w:rPr>
              <w:t>ș</w:t>
            </w:r>
            <w:r w:rsidRPr="000F4126">
              <w:rPr>
                <w:rFonts w:ascii="Times New Roman" w:eastAsia="Times New Roman" w:hAnsi="Times New Roman" w:cs="Times New Roman"/>
                <w:bCs/>
                <w:sz w:val="24"/>
                <w:szCs w:val="24"/>
                <w:lang w:val="ro-RO"/>
              </w:rPr>
              <w:t xml:space="preserve">i 2009/161/UE ale Comisiei, </w:t>
            </w:r>
            <w:r w:rsidRPr="000F4126">
              <w:rPr>
                <w:rFonts w:ascii="Times New Roman" w:eastAsia="Times New Roman" w:hAnsi="Times New Roman" w:cs="Times New Roman"/>
                <w:iCs/>
                <w:sz w:val="24"/>
                <w:szCs w:val="24"/>
                <w:lang w:val="ro-RO"/>
              </w:rPr>
              <w:t>publicată în Jurnalul Oficial al Uniunii Europene seria L nr. 27 din 01.02.2017;</w:t>
            </w:r>
          </w:p>
          <w:p w14:paraId="04F4BFEE" w14:textId="2FF57E1A" w:rsidR="000F4126" w:rsidRPr="000F4126" w:rsidRDefault="000F4126" w:rsidP="000F4126">
            <w:pPr>
              <w:numPr>
                <w:ilvl w:val="1"/>
                <w:numId w:val="10"/>
              </w:numPr>
              <w:tabs>
                <w:tab w:val="left" w:pos="426"/>
              </w:tabs>
              <w:ind w:left="454"/>
              <w:contextualSpacing/>
              <w:jc w:val="both"/>
              <w:rPr>
                <w:rFonts w:ascii="Times New Roman" w:eastAsia="Times New Roman" w:hAnsi="Times New Roman" w:cs="Times New Roman"/>
                <w:bCs/>
                <w:sz w:val="24"/>
                <w:szCs w:val="24"/>
                <w:shd w:val="clear" w:color="auto" w:fill="FFFFFF"/>
                <w:lang w:val="ro-RO"/>
              </w:rPr>
            </w:pPr>
            <w:r w:rsidRPr="000F4126">
              <w:rPr>
                <w:rFonts w:ascii="Times New Roman" w:eastAsia="Times New Roman" w:hAnsi="Times New Roman" w:cs="Times New Roman"/>
                <w:iCs/>
                <w:sz w:val="24"/>
                <w:szCs w:val="24"/>
                <w:lang w:val="ro-RO"/>
              </w:rPr>
              <w:t>transpune</w:t>
            </w:r>
            <w:r w:rsidRPr="000F4126">
              <w:rPr>
                <w:rFonts w:ascii="Times New Roman" w:eastAsia="Times New Roman" w:hAnsi="Times New Roman" w:cs="Times New Roman"/>
                <w:bCs/>
                <w:sz w:val="24"/>
                <w:szCs w:val="24"/>
                <w:lang w:val="ro-RO"/>
              </w:rPr>
              <w:t xml:space="preserve"> </w:t>
            </w:r>
            <w:r w:rsidRPr="000F4126">
              <w:rPr>
                <w:rFonts w:ascii="Times New Roman" w:eastAsia="Times New Roman" w:hAnsi="Times New Roman" w:cs="Times New Roman"/>
                <w:bCs/>
                <w:sz w:val="24"/>
                <w:szCs w:val="24"/>
                <w:shd w:val="clear" w:color="auto" w:fill="FFFFFF"/>
                <w:lang w:val="ro-RO"/>
              </w:rPr>
              <w:t xml:space="preserve">Directiva (UE) 2019/1831 a Comisiei din 24 octombrie 2019 de stabilire a unei a cincea liste de valori limită orientative de expunere profesională în temeiul Directivei 98/24/CE a Consiliului </w:t>
            </w:r>
            <w:r w:rsidR="00890DA0">
              <w:rPr>
                <w:rFonts w:ascii="Times New Roman" w:eastAsia="Times New Roman" w:hAnsi="Times New Roman" w:cs="Times New Roman"/>
                <w:bCs/>
                <w:sz w:val="24"/>
                <w:szCs w:val="24"/>
                <w:shd w:val="clear" w:color="auto" w:fill="FFFFFF"/>
                <w:lang w:val="ro-RO"/>
              </w:rPr>
              <w:t>ș</w:t>
            </w:r>
            <w:r w:rsidRPr="000F4126">
              <w:rPr>
                <w:rFonts w:ascii="Times New Roman" w:eastAsia="Times New Roman" w:hAnsi="Times New Roman" w:cs="Times New Roman"/>
                <w:bCs/>
                <w:sz w:val="24"/>
                <w:szCs w:val="24"/>
                <w:shd w:val="clear" w:color="auto" w:fill="FFFFFF"/>
                <w:lang w:val="ro-RO"/>
              </w:rPr>
              <w:t xml:space="preserve">i de modificare a Directivei 2000/39/CE a Comisiei; </w:t>
            </w:r>
            <w:r w:rsidRPr="000F4126">
              <w:rPr>
                <w:rFonts w:ascii="Times New Roman" w:eastAsia="Times New Roman" w:hAnsi="Times New Roman" w:cs="Times New Roman"/>
                <w:iCs/>
                <w:sz w:val="24"/>
                <w:szCs w:val="24"/>
                <w:lang w:val="ro-RO"/>
              </w:rPr>
              <w:t>publicată în Jurnalul Oficial al Uniunii Europene seria L nr. 279 din 31.10.2019, a</w:t>
            </w:r>
            <w:r w:rsidR="00890DA0">
              <w:rPr>
                <w:rFonts w:ascii="Times New Roman" w:eastAsia="Times New Roman" w:hAnsi="Times New Roman" w:cs="Times New Roman"/>
                <w:iCs/>
                <w:sz w:val="24"/>
                <w:szCs w:val="24"/>
                <w:lang w:val="ro-RO"/>
              </w:rPr>
              <w:t>ș</w:t>
            </w:r>
            <w:r w:rsidRPr="000F4126">
              <w:rPr>
                <w:rFonts w:ascii="Times New Roman" w:eastAsia="Times New Roman" w:hAnsi="Times New Roman" w:cs="Times New Roman"/>
                <w:iCs/>
                <w:sz w:val="24"/>
                <w:szCs w:val="24"/>
                <w:lang w:val="ro-RO"/>
              </w:rPr>
              <w:t xml:space="preserve">a cum a fost modificată ultima dată prin </w:t>
            </w:r>
            <w:r w:rsidRPr="000F4126">
              <w:rPr>
                <w:rFonts w:ascii="Times New Roman" w:eastAsia="Times New Roman" w:hAnsi="Times New Roman" w:cs="Times New Roman"/>
                <w:bCs/>
                <w:sz w:val="24"/>
                <w:szCs w:val="24"/>
                <w:shd w:val="clear" w:color="auto" w:fill="FFFFFF"/>
                <w:lang w:val="ro-RO"/>
              </w:rPr>
              <w:t xml:space="preserve">Rectificare la Directiva (UE) 2019/1831 a Comisiei din 24 octombrie 2019 de stabilire a unei a cincea liste de valori-limită orientative de expunere profesională în conformitate cu Directiva 98/24/CE a Consiliului </w:t>
            </w:r>
            <w:r w:rsidR="00890DA0">
              <w:rPr>
                <w:rFonts w:ascii="Times New Roman" w:eastAsia="Times New Roman" w:hAnsi="Times New Roman" w:cs="Times New Roman"/>
                <w:bCs/>
                <w:sz w:val="24"/>
                <w:szCs w:val="24"/>
                <w:shd w:val="clear" w:color="auto" w:fill="FFFFFF"/>
                <w:lang w:val="ro-RO"/>
              </w:rPr>
              <w:t>ș</w:t>
            </w:r>
            <w:r w:rsidRPr="000F4126">
              <w:rPr>
                <w:rFonts w:ascii="Times New Roman" w:eastAsia="Times New Roman" w:hAnsi="Times New Roman" w:cs="Times New Roman"/>
                <w:bCs/>
                <w:sz w:val="24"/>
                <w:szCs w:val="24"/>
                <w:shd w:val="clear" w:color="auto" w:fill="FFFFFF"/>
                <w:lang w:val="ro-RO"/>
              </w:rPr>
              <w:t>i de modificare a Directivei 2000/39/CE a Comisiei;</w:t>
            </w:r>
          </w:p>
          <w:p w14:paraId="75B6FC48" w14:textId="34BA6AA6" w:rsidR="00A601AC" w:rsidRDefault="000F4126" w:rsidP="000F4126">
            <w:pPr>
              <w:numPr>
                <w:ilvl w:val="1"/>
                <w:numId w:val="10"/>
              </w:numPr>
              <w:tabs>
                <w:tab w:val="left" w:pos="426"/>
              </w:tabs>
              <w:ind w:left="454"/>
              <w:contextualSpacing/>
              <w:jc w:val="both"/>
              <w:rPr>
                <w:rFonts w:ascii="Times New Roman" w:eastAsia="Times New Roman" w:hAnsi="Times New Roman" w:cs="Times New Roman"/>
                <w:bCs/>
                <w:sz w:val="24"/>
                <w:szCs w:val="24"/>
                <w:shd w:val="clear" w:color="auto" w:fill="FFFFFF"/>
                <w:lang w:val="ro-RO"/>
              </w:rPr>
            </w:pPr>
            <w:r w:rsidRPr="000F4126">
              <w:rPr>
                <w:rFonts w:ascii="Times New Roman" w:eastAsia="Times New Roman" w:hAnsi="Times New Roman" w:cs="Times New Roman"/>
                <w:iCs/>
                <w:sz w:val="24"/>
                <w:szCs w:val="24"/>
                <w:lang w:val="ro-RO"/>
              </w:rPr>
              <w:t>transpune</w:t>
            </w:r>
            <w:r w:rsidRPr="000F4126">
              <w:rPr>
                <w:rFonts w:ascii="Times New Roman" w:eastAsia="Times New Roman" w:hAnsi="Times New Roman" w:cs="Times New Roman"/>
                <w:bCs/>
                <w:sz w:val="24"/>
                <w:szCs w:val="24"/>
                <w:lang w:val="ro-RO"/>
              </w:rPr>
              <w:t xml:space="preserve"> parțial </w:t>
            </w:r>
            <w:r w:rsidRPr="000F4126">
              <w:rPr>
                <w:rFonts w:ascii="Times New Roman" w:eastAsia="Times New Roman" w:hAnsi="Times New Roman" w:cs="Times New Roman"/>
                <w:bCs/>
                <w:sz w:val="24"/>
                <w:szCs w:val="24"/>
                <w:shd w:val="clear" w:color="auto" w:fill="FFFFFF"/>
                <w:lang w:val="ro-RO"/>
              </w:rPr>
              <w:t xml:space="preserve">Directiva 2004/37/CE a Parlamentului European </w:t>
            </w:r>
            <w:r w:rsidR="00890DA0">
              <w:rPr>
                <w:rFonts w:ascii="Times New Roman" w:eastAsia="Times New Roman" w:hAnsi="Times New Roman" w:cs="Times New Roman"/>
                <w:bCs/>
                <w:sz w:val="24"/>
                <w:szCs w:val="24"/>
                <w:shd w:val="clear" w:color="auto" w:fill="FFFFFF"/>
                <w:lang w:val="ro-RO"/>
              </w:rPr>
              <w:t>ș</w:t>
            </w:r>
            <w:r w:rsidRPr="000F4126">
              <w:rPr>
                <w:rFonts w:ascii="Times New Roman" w:eastAsia="Times New Roman" w:hAnsi="Times New Roman" w:cs="Times New Roman"/>
                <w:bCs/>
                <w:sz w:val="24"/>
                <w:szCs w:val="24"/>
                <w:shd w:val="clear" w:color="auto" w:fill="FFFFFF"/>
                <w:lang w:val="ro-RO"/>
              </w:rPr>
              <w:t xml:space="preserve">i a Consiliului din 29 aprilie 2004 privind protecția lucrătorilor împotriva riscurilor legate de expunerea la agenți cancerigeni, mutageni sau substanțe toxice pentru reproducere la locul de muncă (A </w:t>
            </w:r>
            <w:r w:rsidR="00890DA0">
              <w:rPr>
                <w:rFonts w:ascii="Times New Roman" w:eastAsia="Times New Roman" w:hAnsi="Times New Roman" w:cs="Times New Roman"/>
                <w:bCs/>
                <w:sz w:val="24"/>
                <w:szCs w:val="24"/>
                <w:shd w:val="clear" w:color="auto" w:fill="FFFFFF"/>
                <w:lang w:val="ro-RO"/>
              </w:rPr>
              <w:t>ș</w:t>
            </w:r>
            <w:r w:rsidRPr="000F4126">
              <w:rPr>
                <w:rFonts w:ascii="Times New Roman" w:eastAsia="Times New Roman" w:hAnsi="Times New Roman" w:cs="Times New Roman"/>
                <w:bCs/>
                <w:sz w:val="24"/>
                <w:szCs w:val="24"/>
                <w:shd w:val="clear" w:color="auto" w:fill="FFFFFF"/>
                <w:lang w:val="ro-RO"/>
              </w:rPr>
              <w:t>asea directivă individuală în sensul articolului 16(1) din Directiva Consiliului 89/391/CEE),</w:t>
            </w:r>
            <w:r w:rsidRPr="000F4126">
              <w:rPr>
                <w:rFonts w:ascii="Times New Roman" w:eastAsia="Times New Roman" w:hAnsi="Times New Roman" w:cs="Times New Roman"/>
                <w:iCs/>
                <w:sz w:val="24"/>
                <w:szCs w:val="24"/>
                <w:lang w:val="ro-RO"/>
              </w:rPr>
              <w:t xml:space="preserve"> publicată în Jurnalul Oficial al Uniunii Europene seria L nr. 158 din 30.04.2004, a</w:t>
            </w:r>
            <w:r w:rsidR="00890DA0">
              <w:rPr>
                <w:rFonts w:ascii="Times New Roman" w:eastAsia="Times New Roman" w:hAnsi="Times New Roman" w:cs="Times New Roman"/>
                <w:iCs/>
                <w:sz w:val="24"/>
                <w:szCs w:val="24"/>
                <w:lang w:val="ro-RO"/>
              </w:rPr>
              <w:t>ș</w:t>
            </w:r>
            <w:r w:rsidRPr="000F4126">
              <w:rPr>
                <w:rFonts w:ascii="Times New Roman" w:eastAsia="Times New Roman" w:hAnsi="Times New Roman" w:cs="Times New Roman"/>
                <w:iCs/>
                <w:sz w:val="24"/>
                <w:szCs w:val="24"/>
                <w:lang w:val="ro-RO"/>
              </w:rPr>
              <w:t>a cum a fost modificată ultima dată prin</w:t>
            </w:r>
            <w:r w:rsidRPr="000F4126">
              <w:rPr>
                <w:rFonts w:ascii="Times New Roman" w:eastAsia="Times New Roman" w:hAnsi="Times New Roman" w:cs="Times New Roman"/>
                <w:bCs/>
                <w:sz w:val="24"/>
                <w:szCs w:val="24"/>
                <w:shd w:val="clear" w:color="auto" w:fill="FFFFFF"/>
                <w:lang w:val="ro-RO"/>
              </w:rPr>
              <w:t xml:space="preserve"> Directiva (UE) 2022/431 a Parlamentului European </w:t>
            </w:r>
            <w:r w:rsidR="00890DA0">
              <w:rPr>
                <w:rFonts w:ascii="Times New Roman" w:eastAsia="Times New Roman" w:hAnsi="Times New Roman" w:cs="Times New Roman"/>
                <w:bCs/>
                <w:sz w:val="24"/>
                <w:szCs w:val="24"/>
                <w:shd w:val="clear" w:color="auto" w:fill="FFFFFF"/>
                <w:lang w:val="ro-RO"/>
              </w:rPr>
              <w:t>ș</w:t>
            </w:r>
            <w:r w:rsidRPr="000F4126">
              <w:rPr>
                <w:rFonts w:ascii="Times New Roman" w:eastAsia="Times New Roman" w:hAnsi="Times New Roman" w:cs="Times New Roman"/>
                <w:bCs/>
                <w:sz w:val="24"/>
                <w:szCs w:val="24"/>
                <w:shd w:val="clear" w:color="auto" w:fill="FFFFFF"/>
                <w:lang w:val="ro-RO"/>
              </w:rPr>
              <w:t>i a Consiliului din 9 martie 2022 de modificare a Directivei 2004/37/CE privind protecția lucrătorilor împotriva riscurilor legate de expunerea la agenți cancerigeni sau mutageni la locul de muncă.</w:t>
            </w:r>
          </w:p>
          <w:p w14:paraId="2C875D50" w14:textId="2A843156" w:rsidR="000F4126" w:rsidRDefault="00890DA0" w:rsidP="000F4126">
            <w:pPr>
              <w:tabs>
                <w:tab w:val="left" w:pos="426"/>
              </w:tabs>
              <w:ind w:left="94"/>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ș</w:t>
            </w:r>
            <w:r w:rsidR="000F4126" w:rsidRPr="000F4126">
              <w:rPr>
                <w:rFonts w:ascii="Times New Roman" w:hAnsi="Times New Roman" w:cs="Times New Roman"/>
                <w:sz w:val="24"/>
                <w:szCs w:val="24"/>
                <w:lang w:val="ro-RO"/>
              </w:rPr>
              <w:t>i creează cadrul normativ în domeniul menționat.</w:t>
            </w:r>
          </w:p>
          <w:p w14:paraId="2391A4A5" w14:textId="1B2EB47E" w:rsidR="00133ABC" w:rsidRPr="000F4126" w:rsidRDefault="007D6C0F" w:rsidP="00133ABC">
            <w:pPr>
              <w:tabs>
                <w:tab w:val="left" w:pos="426"/>
              </w:tabs>
              <w:ind w:left="94" w:firstLine="362"/>
              <w:contextualSpacing/>
              <w:jc w:val="both"/>
              <w:rPr>
                <w:rFonts w:ascii="Times New Roman" w:eastAsia="Times New Roman" w:hAnsi="Times New Roman" w:cs="Times New Roman"/>
                <w:bCs/>
                <w:sz w:val="24"/>
                <w:szCs w:val="24"/>
                <w:shd w:val="clear" w:color="auto" w:fill="FFFFFF"/>
                <w:lang w:val="ro-RO"/>
              </w:rPr>
            </w:pPr>
            <w:r w:rsidRPr="00C8494D">
              <w:rPr>
                <w:rFonts w:asciiTheme="majorBidi" w:hAnsiTheme="majorBidi" w:cstheme="majorBidi"/>
                <w:color w:val="000000"/>
                <w:sz w:val="24"/>
                <w:szCs w:val="24"/>
                <w:shd w:val="clear" w:color="auto" w:fill="FFFFFF"/>
                <w:lang w:val="ro-RO"/>
              </w:rPr>
              <w:t xml:space="preserve">În conformitate cu art. 31 din Legea nr. 100/2017, </w:t>
            </w:r>
            <w:r w:rsidR="00133ABC" w:rsidRPr="00133ABC">
              <w:rPr>
                <w:rFonts w:ascii="Times New Roman" w:eastAsia="Times New Roman" w:hAnsi="Times New Roman" w:cs="Times New Roman"/>
                <w:bCs/>
                <w:sz w:val="24"/>
                <w:szCs w:val="24"/>
                <w:shd w:val="clear" w:color="auto" w:fill="FFFFFF"/>
                <w:lang w:val="ro-RO"/>
              </w:rPr>
              <w:t>au fost elaborate tabelele de concordanță pentru actele  Uniunii Europene transpuse</w:t>
            </w:r>
            <w:r w:rsidR="00691BE5">
              <w:rPr>
                <w:rFonts w:ascii="Times New Roman" w:eastAsia="Times New Roman" w:hAnsi="Times New Roman" w:cs="Times New Roman"/>
                <w:bCs/>
                <w:sz w:val="24"/>
                <w:szCs w:val="24"/>
                <w:shd w:val="clear" w:color="auto" w:fill="FFFFFF"/>
                <w:lang w:val="ro-RO"/>
              </w:rPr>
              <w:t xml:space="preserve">, </w:t>
            </w:r>
            <w:r w:rsidR="00691BE5" w:rsidRPr="00C8494D">
              <w:rPr>
                <w:rFonts w:asciiTheme="majorBidi" w:hAnsiTheme="majorBidi" w:cstheme="majorBidi"/>
                <w:color w:val="000000"/>
                <w:sz w:val="24"/>
                <w:szCs w:val="24"/>
                <w:shd w:val="clear" w:color="auto" w:fill="FFFFFF"/>
                <w:lang w:val="ro-RO"/>
              </w:rPr>
              <w:t>gradul general de compatibilitate a proiectul hotărârii de Guvern cu actul juridic UE fiind stabilit „compatibil”.</w:t>
            </w:r>
          </w:p>
        </w:tc>
      </w:tr>
      <w:tr w:rsidR="00050045" w:rsidRPr="004E74D3" w14:paraId="3A935750" w14:textId="77777777" w:rsidTr="002B55E0">
        <w:trPr>
          <w:trHeight w:val="415"/>
        </w:trPr>
        <w:tc>
          <w:tcPr>
            <w:tcW w:w="10915" w:type="dxa"/>
            <w:shd w:val="clear" w:color="auto" w:fill="F2F2F2" w:themeFill="background1" w:themeFillShade="F2"/>
          </w:tcPr>
          <w:p w14:paraId="5AD1B82C" w14:textId="4AF9C122" w:rsidR="00824CD4" w:rsidRPr="00890DA0" w:rsidRDefault="00824CD4" w:rsidP="00531557">
            <w:pPr>
              <w:pStyle w:val="a7"/>
              <w:numPr>
                <w:ilvl w:val="0"/>
                <w:numId w:val="16"/>
              </w:numPr>
              <w:tabs>
                <w:tab w:val="left" w:pos="9354"/>
              </w:tabs>
              <w:spacing w:before="64" w:after="64"/>
              <w:ind w:right="-6"/>
              <w:jc w:val="both"/>
              <w:rPr>
                <w:rFonts w:ascii="Times New Roman" w:eastAsia="Times New Roman" w:hAnsi="Times New Roman" w:cs="Times New Roman"/>
                <w:sz w:val="24"/>
                <w:szCs w:val="24"/>
                <w:lang w:val="ro-RO" w:eastAsia="ru-RU"/>
              </w:rPr>
            </w:pPr>
            <w:r w:rsidRPr="00890DA0">
              <w:rPr>
                <w:rFonts w:ascii="Times New Roman" w:eastAsia="Calibri" w:hAnsi="Times New Roman" w:cs="Times New Roman"/>
                <w:b/>
                <w:sz w:val="24"/>
                <w:szCs w:val="24"/>
                <w:lang w:val="ro-RO" w:eastAsia="ru-RU"/>
              </w:rPr>
              <w:t xml:space="preserve">Principalele prevederi ale proiectului </w:t>
            </w:r>
            <w:r w:rsidR="00890DA0">
              <w:rPr>
                <w:rFonts w:ascii="Times New Roman" w:eastAsia="Calibri" w:hAnsi="Times New Roman" w:cs="Times New Roman"/>
                <w:b/>
                <w:sz w:val="24"/>
                <w:szCs w:val="24"/>
                <w:lang w:val="ro-RO" w:eastAsia="ru-RU"/>
              </w:rPr>
              <w:t>ș</w:t>
            </w:r>
            <w:r w:rsidR="00890DA0" w:rsidRPr="00890DA0">
              <w:rPr>
                <w:rFonts w:ascii="Times New Roman" w:eastAsia="Calibri" w:hAnsi="Times New Roman" w:cs="Times New Roman"/>
                <w:b/>
                <w:sz w:val="24"/>
                <w:szCs w:val="24"/>
                <w:lang w:val="ro-RO" w:eastAsia="ru-RU"/>
              </w:rPr>
              <w:t>i</w:t>
            </w:r>
            <w:r w:rsidRPr="00890DA0">
              <w:rPr>
                <w:rFonts w:ascii="Times New Roman" w:eastAsia="Calibri" w:hAnsi="Times New Roman" w:cs="Times New Roman"/>
                <w:b/>
                <w:sz w:val="24"/>
                <w:szCs w:val="24"/>
                <w:lang w:val="ro-RO" w:eastAsia="ru-RU"/>
              </w:rPr>
              <w:t xml:space="preserve"> </w:t>
            </w:r>
            <w:r w:rsidR="00890DA0" w:rsidRPr="00890DA0">
              <w:rPr>
                <w:rFonts w:ascii="Times New Roman" w:eastAsia="Calibri" w:hAnsi="Times New Roman" w:cs="Times New Roman"/>
                <w:b/>
                <w:sz w:val="24"/>
                <w:szCs w:val="24"/>
                <w:lang w:val="ro-RO" w:eastAsia="ru-RU"/>
              </w:rPr>
              <w:t>evidențierea</w:t>
            </w:r>
            <w:r w:rsidRPr="00890DA0">
              <w:rPr>
                <w:rFonts w:ascii="Times New Roman" w:eastAsia="Calibri" w:hAnsi="Times New Roman" w:cs="Times New Roman"/>
                <w:b/>
                <w:sz w:val="24"/>
                <w:szCs w:val="24"/>
                <w:lang w:val="ro-RO" w:eastAsia="ru-RU"/>
              </w:rPr>
              <w:t xml:space="preserve"> elementelor noi</w:t>
            </w:r>
          </w:p>
        </w:tc>
      </w:tr>
      <w:tr w:rsidR="00050045" w:rsidRPr="004E74D3" w14:paraId="63A2CDBB" w14:textId="77777777" w:rsidTr="002B55E0">
        <w:trPr>
          <w:trHeight w:val="403"/>
        </w:trPr>
        <w:tc>
          <w:tcPr>
            <w:tcW w:w="10915" w:type="dxa"/>
          </w:tcPr>
          <w:p w14:paraId="769A7C2B" w14:textId="4682338A" w:rsidR="00E32FA2" w:rsidRPr="00E6199B" w:rsidRDefault="00E32FA2" w:rsidP="00133ABC">
            <w:pPr>
              <w:ind w:firstLine="456"/>
              <w:jc w:val="both"/>
              <w:rPr>
                <w:rFonts w:ascii="Times New Roman" w:eastAsia="Times New Roman" w:hAnsi="Times New Roman" w:cs="Times New Roman"/>
                <w:sz w:val="24"/>
                <w:szCs w:val="24"/>
                <w:lang w:val="ro-RO"/>
              </w:rPr>
            </w:pPr>
            <w:r w:rsidRPr="00E6199B">
              <w:rPr>
                <w:rFonts w:ascii="Times New Roman" w:eastAsia="Times New Roman" w:hAnsi="Times New Roman" w:cs="Times New Roman"/>
                <w:color w:val="000000"/>
                <w:sz w:val="24"/>
                <w:szCs w:val="24"/>
                <w:shd w:val="clear" w:color="auto" w:fill="FFFFFF"/>
                <w:lang w:val="ro-RO"/>
              </w:rPr>
              <w:t>Principalele prevederi ale Regulamentului sunt:</w:t>
            </w:r>
          </w:p>
          <w:p w14:paraId="1A279586" w14:textId="7A790A8C" w:rsidR="00E32FA2" w:rsidRPr="00E6199B" w:rsidRDefault="00E32FA2" w:rsidP="00E32FA2">
            <w:pPr>
              <w:pStyle w:val="a7"/>
              <w:numPr>
                <w:ilvl w:val="2"/>
                <w:numId w:val="15"/>
              </w:numPr>
              <w:ind w:left="312" w:hanging="284"/>
              <w:jc w:val="both"/>
              <w:rPr>
                <w:rFonts w:ascii="Times New Roman" w:eastAsia="Calibri" w:hAnsi="Times New Roman" w:cs="Times New Roman"/>
                <w:sz w:val="24"/>
                <w:szCs w:val="24"/>
                <w:lang w:val="ro-RO" w:eastAsia="ru-RU"/>
              </w:rPr>
            </w:pPr>
            <w:r w:rsidRPr="00E6199B">
              <w:rPr>
                <w:rFonts w:ascii="Times New Roman" w:eastAsia="Calibri" w:hAnsi="Times New Roman" w:cs="Times New Roman"/>
                <w:sz w:val="24"/>
                <w:szCs w:val="24"/>
                <w:lang w:val="ro-RO" w:eastAsia="ru-RU"/>
              </w:rPr>
              <w:t xml:space="preserve">actualizarea </w:t>
            </w:r>
            <w:r w:rsidR="00691BE5">
              <w:rPr>
                <w:rFonts w:ascii="Times New Roman" w:eastAsia="Calibri" w:hAnsi="Times New Roman" w:cs="Times New Roman"/>
                <w:sz w:val="24"/>
                <w:szCs w:val="24"/>
                <w:lang w:val="ro-RO" w:eastAsia="ru-RU"/>
              </w:rPr>
              <w:t>v</w:t>
            </w:r>
            <w:r w:rsidRPr="00E6199B">
              <w:rPr>
                <w:rFonts w:ascii="Times New Roman" w:eastAsia="Calibri" w:hAnsi="Times New Roman" w:cs="Times New Roman"/>
                <w:sz w:val="24"/>
                <w:szCs w:val="24"/>
                <w:lang w:val="ro-RO" w:eastAsia="ru-RU"/>
              </w:rPr>
              <w:t>alorilor limită de expunere profesională la riscul de origine chimică;</w:t>
            </w:r>
          </w:p>
          <w:p w14:paraId="3CE319C0" w14:textId="377B6138" w:rsidR="00E32FA2" w:rsidRPr="00E6199B" w:rsidRDefault="00E32FA2" w:rsidP="00E32FA2">
            <w:pPr>
              <w:pStyle w:val="a7"/>
              <w:numPr>
                <w:ilvl w:val="2"/>
                <w:numId w:val="15"/>
              </w:numPr>
              <w:ind w:left="312" w:hanging="284"/>
              <w:jc w:val="both"/>
              <w:rPr>
                <w:rFonts w:ascii="Times New Roman" w:eastAsia="Calibri" w:hAnsi="Times New Roman" w:cs="Times New Roman"/>
                <w:sz w:val="24"/>
                <w:szCs w:val="24"/>
                <w:lang w:val="ro-RO" w:eastAsia="ru-RU"/>
              </w:rPr>
            </w:pPr>
            <w:r w:rsidRPr="00E6199B">
              <w:rPr>
                <w:rFonts w:ascii="Times New Roman" w:eastAsia="Calibri" w:hAnsi="Times New Roman" w:cs="Times New Roman"/>
                <w:sz w:val="24"/>
                <w:szCs w:val="24"/>
                <w:lang w:val="ro-RO" w:eastAsia="ru-RU"/>
              </w:rPr>
              <w:t>modalitatea de evaluare a riscului profesional reprezentat de mediul ocupațional, inclusiv în cazul când sunt prezenți mai mulți agenți chimici</w:t>
            </w:r>
            <w:r w:rsidR="00713475">
              <w:rPr>
                <w:rFonts w:ascii="Times New Roman" w:eastAsia="Calibri" w:hAnsi="Times New Roman" w:cs="Times New Roman"/>
                <w:sz w:val="24"/>
                <w:szCs w:val="24"/>
                <w:lang w:val="ro-RO" w:eastAsia="ru-RU"/>
              </w:rPr>
              <w:t>,</w:t>
            </w:r>
            <w:r w:rsidR="001B3FBC" w:rsidRPr="004E74D3">
              <w:rPr>
                <w:lang w:val="ro-RO"/>
              </w:rPr>
              <w:t xml:space="preserve"> </w:t>
            </w:r>
            <w:r w:rsidR="001B3FBC" w:rsidRPr="001B3FBC">
              <w:rPr>
                <w:rFonts w:ascii="Times New Roman" w:eastAsia="Calibri" w:hAnsi="Times New Roman" w:cs="Times New Roman"/>
                <w:sz w:val="24"/>
                <w:szCs w:val="24"/>
                <w:lang w:val="ro-RO" w:eastAsia="ru-RU"/>
              </w:rPr>
              <w:t xml:space="preserve">și măsurile care trebuie întreprinse pentru </w:t>
            </w:r>
            <w:r w:rsidR="002D72C7">
              <w:rPr>
                <w:rFonts w:ascii="Times New Roman" w:eastAsia="Calibri" w:hAnsi="Times New Roman" w:cs="Times New Roman"/>
                <w:sz w:val="24"/>
                <w:szCs w:val="24"/>
                <w:lang w:val="ro-RO" w:eastAsia="ru-RU"/>
              </w:rPr>
              <w:t>protejarea sănătății și siguranței lucrătorilor</w:t>
            </w:r>
            <w:r w:rsidRPr="00E6199B">
              <w:rPr>
                <w:rFonts w:ascii="Times New Roman" w:eastAsia="Calibri" w:hAnsi="Times New Roman" w:cs="Times New Roman"/>
                <w:sz w:val="24"/>
                <w:szCs w:val="24"/>
                <w:lang w:val="ro-RO" w:eastAsia="ru-RU"/>
              </w:rPr>
              <w:t>;</w:t>
            </w:r>
          </w:p>
          <w:p w14:paraId="469FAC1C" w14:textId="3C699225" w:rsidR="00E32FA2" w:rsidRPr="00E6199B" w:rsidRDefault="00E32FA2" w:rsidP="00E32FA2">
            <w:pPr>
              <w:pStyle w:val="a7"/>
              <w:numPr>
                <w:ilvl w:val="2"/>
                <w:numId w:val="15"/>
              </w:numPr>
              <w:ind w:left="312" w:hanging="284"/>
              <w:jc w:val="both"/>
              <w:rPr>
                <w:rFonts w:ascii="Times New Roman" w:eastAsia="Calibri" w:hAnsi="Times New Roman" w:cs="Times New Roman"/>
                <w:sz w:val="24"/>
                <w:szCs w:val="24"/>
                <w:lang w:val="ro-RO" w:eastAsia="ru-RU"/>
              </w:rPr>
            </w:pPr>
            <w:r w:rsidRPr="00E6199B">
              <w:rPr>
                <w:rFonts w:ascii="Times New Roman" w:eastAsia="Calibri" w:hAnsi="Times New Roman" w:cs="Times New Roman"/>
                <w:sz w:val="24"/>
                <w:szCs w:val="24"/>
                <w:lang w:val="ro-RO" w:eastAsia="ru-RU"/>
              </w:rPr>
              <w:t>stabilirea cerințelor în cazul derogării da la interdicția activității cu anumiți agenți chimic</w:t>
            </w:r>
            <w:r w:rsidR="00691BE5">
              <w:rPr>
                <w:rFonts w:ascii="Times New Roman" w:eastAsia="Calibri" w:hAnsi="Times New Roman" w:cs="Times New Roman"/>
                <w:sz w:val="24"/>
                <w:szCs w:val="24"/>
                <w:lang w:val="ro-RO" w:eastAsia="ru-RU"/>
              </w:rPr>
              <w:t>i</w:t>
            </w:r>
            <w:r w:rsidRPr="00E6199B">
              <w:rPr>
                <w:rFonts w:ascii="Times New Roman" w:eastAsia="Calibri" w:hAnsi="Times New Roman" w:cs="Times New Roman"/>
                <w:sz w:val="24"/>
                <w:szCs w:val="24"/>
                <w:lang w:val="ro-RO" w:eastAsia="ru-RU"/>
              </w:rPr>
              <w:t>.</w:t>
            </w:r>
          </w:p>
          <w:p w14:paraId="1752EEE0" w14:textId="670FEA88" w:rsidR="00824CD4" w:rsidRPr="00E6199B" w:rsidRDefault="00E34A0E" w:rsidP="00E34A0E">
            <w:pPr>
              <w:spacing w:line="276" w:lineRule="auto"/>
              <w:ind w:firstLine="315"/>
              <w:jc w:val="both"/>
              <w:rPr>
                <w:rFonts w:ascii="Times New Roman" w:hAnsi="Times New Roman" w:cs="Times New Roman"/>
                <w:sz w:val="24"/>
                <w:szCs w:val="24"/>
                <w:lang w:val="ro-RO"/>
              </w:rPr>
            </w:pPr>
            <w:r w:rsidRPr="00E34A0E">
              <w:rPr>
                <w:rFonts w:ascii="Times New Roman" w:hAnsi="Times New Roman" w:cs="Times New Roman"/>
                <w:sz w:val="24"/>
                <w:szCs w:val="24"/>
                <w:lang w:val="ro-RO"/>
              </w:rPr>
              <w:t>Prin implementarea actualizărilor menționate, se urmărește să se obțină o serie de beneficii semnificative în ceea ce privește evaluarea riscului profesional de origine chimică, eliminarea sau reducerea riscurilor profesionale și crearea condițiilor de muncă sigure. Aceste beneficii vor fi tangibile și măsurabile, contribuind la îmbunătățirea calității mediului de lucru și la protejarea sănătății angajaților.</w:t>
            </w:r>
          </w:p>
        </w:tc>
      </w:tr>
      <w:tr w:rsidR="00050045" w:rsidRPr="00CE76E4" w14:paraId="6C82707C" w14:textId="77777777" w:rsidTr="002B55E0">
        <w:trPr>
          <w:trHeight w:val="403"/>
        </w:trPr>
        <w:tc>
          <w:tcPr>
            <w:tcW w:w="10915" w:type="dxa"/>
            <w:shd w:val="clear" w:color="auto" w:fill="F2F2F2" w:themeFill="background1" w:themeFillShade="F2"/>
          </w:tcPr>
          <w:p w14:paraId="77BB6E46" w14:textId="31BD8481" w:rsidR="00824CD4" w:rsidRPr="00E6199B" w:rsidRDefault="006C1F9E" w:rsidP="00531557">
            <w:pPr>
              <w:pStyle w:val="a7"/>
              <w:numPr>
                <w:ilvl w:val="0"/>
                <w:numId w:val="16"/>
              </w:numPr>
              <w:tabs>
                <w:tab w:val="left" w:pos="9354"/>
              </w:tabs>
              <w:spacing w:before="64" w:after="64"/>
              <w:ind w:right="-6"/>
              <w:jc w:val="both"/>
              <w:rPr>
                <w:rFonts w:ascii="Times New Roman" w:eastAsia="Times New Roman" w:hAnsi="Times New Roman" w:cs="Times New Roman"/>
                <w:sz w:val="24"/>
                <w:szCs w:val="24"/>
                <w:lang w:val="ro-RO" w:eastAsia="ru-RU"/>
              </w:rPr>
            </w:pPr>
            <w:r w:rsidRPr="00E6199B">
              <w:rPr>
                <w:rFonts w:ascii="Times New Roman" w:eastAsia="Times New Roman" w:hAnsi="Times New Roman" w:cs="Times New Roman"/>
                <w:b/>
                <w:sz w:val="24"/>
                <w:szCs w:val="24"/>
                <w:lang w:val="ro-RO" w:eastAsia="ru-RU"/>
              </w:rPr>
              <w:t>Fundamentarea economico-financiară.</w:t>
            </w:r>
          </w:p>
        </w:tc>
      </w:tr>
      <w:tr w:rsidR="00050045" w:rsidRPr="00D51E15" w14:paraId="2FF3719C" w14:textId="77777777" w:rsidTr="002B55E0">
        <w:trPr>
          <w:trHeight w:val="403"/>
        </w:trPr>
        <w:tc>
          <w:tcPr>
            <w:tcW w:w="10915" w:type="dxa"/>
          </w:tcPr>
          <w:p w14:paraId="63222507" w14:textId="5E04CC78" w:rsidR="0048132D" w:rsidRPr="00E6199B" w:rsidRDefault="00691BE5" w:rsidP="00691BE5">
            <w:pPr>
              <w:ind w:firstLine="453"/>
              <w:jc w:val="both"/>
              <w:rPr>
                <w:rFonts w:ascii="Times New Roman" w:eastAsia="Times New Roman" w:hAnsi="Times New Roman" w:cs="Times New Roman"/>
                <w:sz w:val="24"/>
                <w:szCs w:val="24"/>
                <w:lang w:val="ro-RO" w:eastAsia="ru-RU"/>
              </w:rPr>
            </w:pPr>
            <w:r w:rsidRPr="00B11E88">
              <w:rPr>
                <w:rFonts w:asciiTheme="majorBidi" w:hAnsiTheme="majorBidi" w:cstheme="majorBidi"/>
                <w:sz w:val="24"/>
                <w:szCs w:val="24"/>
                <w:lang w:val="ro-RO"/>
              </w:rPr>
              <w:t xml:space="preserve">Aprobarea și implementarea prevederilor prezentului proiect de hotărâre nu presupune cheltuieli financiare </w:t>
            </w:r>
            <w:r w:rsidRPr="00B11E88">
              <w:rPr>
                <w:rFonts w:asciiTheme="majorBidi" w:eastAsia="Times New Roman" w:hAnsiTheme="majorBidi" w:cstheme="majorBidi"/>
                <w:bCs/>
                <w:sz w:val="24"/>
                <w:szCs w:val="24"/>
                <w:lang w:val="ro-RO"/>
              </w:rPr>
              <w:t>suplimentare din bugetul de stat.</w:t>
            </w:r>
          </w:p>
        </w:tc>
      </w:tr>
      <w:tr w:rsidR="00050045" w:rsidRPr="00D51E15" w14:paraId="03CA488E" w14:textId="77777777" w:rsidTr="002B55E0">
        <w:trPr>
          <w:trHeight w:val="415"/>
        </w:trPr>
        <w:tc>
          <w:tcPr>
            <w:tcW w:w="10915" w:type="dxa"/>
            <w:shd w:val="clear" w:color="auto" w:fill="F2F2F2" w:themeFill="background1" w:themeFillShade="F2"/>
          </w:tcPr>
          <w:p w14:paraId="295A2F03" w14:textId="54DFA456" w:rsidR="00824CD4" w:rsidRPr="00890DA0" w:rsidRDefault="006C1F9E" w:rsidP="00531557">
            <w:pPr>
              <w:pStyle w:val="a7"/>
              <w:numPr>
                <w:ilvl w:val="0"/>
                <w:numId w:val="16"/>
              </w:numPr>
              <w:tabs>
                <w:tab w:val="left" w:pos="9354"/>
              </w:tabs>
              <w:spacing w:before="64" w:after="64"/>
              <w:ind w:right="-6"/>
              <w:jc w:val="both"/>
              <w:rPr>
                <w:rFonts w:ascii="Times New Roman" w:eastAsia="Times New Roman" w:hAnsi="Times New Roman" w:cs="Times New Roman"/>
                <w:sz w:val="24"/>
                <w:szCs w:val="24"/>
                <w:lang w:val="ro-RO" w:eastAsia="ru-RU"/>
              </w:rPr>
            </w:pPr>
            <w:r w:rsidRPr="00890DA0">
              <w:rPr>
                <w:rFonts w:ascii="Times New Roman" w:eastAsia="Calibri" w:hAnsi="Times New Roman" w:cs="Times New Roman"/>
                <w:b/>
                <w:sz w:val="24"/>
                <w:szCs w:val="24"/>
                <w:lang w:val="ro-RO" w:eastAsia="ru-RU"/>
              </w:rPr>
              <w:t>Modul de încorporare a actului în cadrul normativ în vigoare</w:t>
            </w:r>
          </w:p>
        </w:tc>
      </w:tr>
      <w:tr w:rsidR="00050045" w:rsidRPr="004E74D3" w14:paraId="0B4D86DC" w14:textId="77777777" w:rsidTr="002B55E0">
        <w:trPr>
          <w:trHeight w:val="415"/>
        </w:trPr>
        <w:tc>
          <w:tcPr>
            <w:tcW w:w="10915" w:type="dxa"/>
          </w:tcPr>
          <w:p w14:paraId="024E277D" w14:textId="2895A7D1" w:rsidR="006C1F9E" w:rsidRPr="00691BE5" w:rsidRDefault="00840584" w:rsidP="00691BE5">
            <w:pPr>
              <w:tabs>
                <w:tab w:val="left" w:pos="284"/>
              </w:tabs>
              <w:spacing w:line="276" w:lineRule="auto"/>
              <w:ind w:right="95" w:firstLine="598"/>
              <w:jc w:val="both"/>
              <w:rPr>
                <w:rFonts w:ascii="Times New Roman" w:hAnsi="Times New Roman" w:cs="Times New Roman"/>
                <w:sz w:val="24"/>
                <w:szCs w:val="24"/>
                <w:lang w:val="ro-RO"/>
              </w:rPr>
            </w:pPr>
            <w:r w:rsidRPr="00153510">
              <w:rPr>
                <w:rFonts w:ascii="Times New Roman" w:hAnsi="Times New Roman" w:cs="Times New Roman"/>
                <w:sz w:val="24"/>
                <w:szCs w:val="24"/>
                <w:lang w:val="ro-RO"/>
              </w:rPr>
              <w:lastRenderedPageBreak/>
              <w:t>Implementarea proiectului Hotărârii Guvernului</w:t>
            </w:r>
            <w:r w:rsidR="00691BE5">
              <w:rPr>
                <w:rFonts w:ascii="Times New Roman" w:hAnsi="Times New Roman" w:cs="Times New Roman"/>
                <w:sz w:val="24"/>
                <w:szCs w:val="24"/>
                <w:lang w:val="ro-RO"/>
              </w:rPr>
              <w:t xml:space="preserve"> vizat</w:t>
            </w:r>
            <w:r w:rsidRPr="00153510">
              <w:rPr>
                <w:rFonts w:ascii="Times New Roman" w:hAnsi="Times New Roman" w:cs="Times New Roman"/>
                <w:sz w:val="24"/>
                <w:szCs w:val="24"/>
                <w:lang w:val="ro-RO"/>
              </w:rPr>
              <w:t xml:space="preserve"> nu necesită modificarea</w:t>
            </w:r>
            <w:r w:rsidR="00691BE5">
              <w:rPr>
                <w:rFonts w:ascii="Times New Roman" w:hAnsi="Times New Roman" w:cs="Times New Roman"/>
                <w:sz w:val="24"/>
                <w:szCs w:val="24"/>
                <w:lang w:val="ro-RO"/>
              </w:rPr>
              <w:t>/abrogarea</w:t>
            </w:r>
            <w:r w:rsidRPr="00153510">
              <w:rPr>
                <w:rFonts w:ascii="Times New Roman" w:hAnsi="Times New Roman" w:cs="Times New Roman"/>
                <w:sz w:val="24"/>
                <w:szCs w:val="24"/>
                <w:lang w:val="ro-RO"/>
              </w:rPr>
              <w:t xml:space="preserve"> altor acte </w:t>
            </w:r>
            <w:r w:rsidRPr="00840584">
              <w:rPr>
                <w:rFonts w:ascii="Times New Roman" w:hAnsi="Times New Roman" w:cs="Times New Roman"/>
                <w:sz w:val="24"/>
                <w:szCs w:val="24"/>
                <w:lang w:val="ro-RO"/>
              </w:rPr>
              <w:t xml:space="preserve">normative. </w:t>
            </w:r>
          </w:p>
        </w:tc>
      </w:tr>
      <w:tr w:rsidR="00050045" w:rsidRPr="004E74D3" w14:paraId="55DEFDDE" w14:textId="77777777" w:rsidTr="002B55E0">
        <w:trPr>
          <w:trHeight w:val="415"/>
        </w:trPr>
        <w:tc>
          <w:tcPr>
            <w:tcW w:w="10915" w:type="dxa"/>
            <w:shd w:val="clear" w:color="auto" w:fill="F2F2F2" w:themeFill="background1" w:themeFillShade="F2"/>
          </w:tcPr>
          <w:p w14:paraId="383B4BFD" w14:textId="250B3041" w:rsidR="006C1F9E" w:rsidRPr="00890DA0" w:rsidRDefault="006C1F9E" w:rsidP="00531557">
            <w:pPr>
              <w:pStyle w:val="a7"/>
              <w:numPr>
                <w:ilvl w:val="0"/>
                <w:numId w:val="16"/>
              </w:numPr>
              <w:tabs>
                <w:tab w:val="left" w:pos="9354"/>
              </w:tabs>
              <w:spacing w:before="64" w:after="64"/>
              <w:ind w:right="-6"/>
              <w:jc w:val="both"/>
              <w:rPr>
                <w:rFonts w:ascii="Times New Roman" w:eastAsia="Calibri" w:hAnsi="Times New Roman" w:cs="Times New Roman"/>
                <w:b/>
                <w:sz w:val="24"/>
                <w:szCs w:val="24"/>
                <w:lang w:val="ro-RO" w:eastAsia="ru-RU"/>
              </w:rPr>
            </w:pPr>
            <w:r w:rsidRPr="00890DA0">
              <w:rPr>
                <w:rFonts w:ascii="Times New Roman" w:eastAsia="Calibri" w:hAnsi="Times New Roman" w:cs="Times New Roman"/>
                <w:b/>
                <w:sz w:val="24"/>
                <w:szCs w:val="24"/>
                <w:lang w:val="ro-RO" w:eastAsia="ru-RU"/>
              </w:rPr>
              <w:t xml:space="preserve">Avizarea </w:t>
            </w:r>
            <w:r w:rsidR="00890DA0" w:rsidRPr="00890DA0">
              <w:rPr>
                <w:rFonts w:ascii="Times New Roman" w:eastAsia="Calibri" w:hAnsi="Times New Roman" w:cs="Times New Roman"/>
                <w:b/>
                <w:sz w:val="24"/>
                <w:szCs w:val="24"/>
                <w:lang w:val="ro-RO" w:eastAsia="ru-RU"/>
              </w:rPr>
              <w:t>ș</w:t>
            </w:r>
            <w:r w:rsidRPr="00890DA0">
              <w:rPr>
                <w:rFonts w:ascii="Times New Roman" w:eastAsia="Calibri" w:hAnsi="Times New Roman" w:cs="Times New Roman"/>
                <w:b/>
                <w:sz w:val="24"/>
                <w:szCs w:val="24"/>
                <w:lang w:val="ro-RO" w:eastAsia="ru-RU"/>
              </w:rPr>
              <w:t>i consultarea publică a proiectului</w:t>
            </w:r>
          </w:p>
        </w:tc>
      </w:tr>
      <w:tr w:rsidR="00050045" w:rsidRPr="009C2A40" w14:paraId="31C9FA70" w14:textId="77777777" w:rsidTr="002B55E0">
        <w:trPr>
          <w:trHeight w:val="403"/>
        </w:trPr>
        <w:tc>
          <w:tcPr>
            <w:tcW w:w="10915" w:type="dxa"/>
          </w:tcPr>
          <w:p w14:paraId="4CB3DCE0" w14:textId="77777777" w:rsidR="002B55E0" w:rsidRDefault="009C2A40" w:rsidP="00691BE5">
            <w:pPr>
              <w:spacing w:line="276" w:lineRule="auto"/>
              <w:jc w:val="both"/>
              <w:rPr>
                <w:rFonts w:asciiTheme="majorBidi" w:hAnsiTheme="majorBidi" w:cstheme="majorBidi"/>
                <w:sz w:val="24"/>
                <w:szCs w:val="24"/>
                <w:lang w:val="es-AR" w:eastAsia="zh-CN"/>
              </w:rPr>
            </w:pPr>
            <w:proofErr w:type="spellStart"/>
            <w:r w:rsidRPr="00F10495">
              <w:rPr>
                <w:rFonts w:asciiTheme="majorBidi" w:hAnsiTheme="majorBidi" w:cstheme="majorBidi"/>
                <w:sz w:val="24"/>
                <w:szCs w:val="24"/>
                <w:lang w:val="es-AR" w:eastAsia="zh-CN"/>
              </w:rPr>
              <w:t>În</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scopul</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respectării</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prevederilor</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Legii</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nr</w:t>
            </w:r>
            <w:proofErr w:type="spellEnd"/>
            <w:r w:rsidRPr="00F10495">
              <w:rPr>
                <w:rFonts w:asciiTheme="majorBidi" w:hAnsiTheme="majorBidi" w:cstheme="majorBidi"/>
                <w:sz w:val="24"/>
                <w:szCs w:val="24"/>
                <w:lang w:val="es-AR" w:eastAsia="zh-CN"/>
              </w:rPr>
              <w:t xml:space="preserve">. 239/2008 </w:t>
            </w:r>
            <w:proofErr w:type="spellStart"/>
            <w:r w:rsidRPr="00F10495">
              <w:rPr>
                <w:rFonts w:asciiTheme="majorBidi" w:hAnsiTheme="majorBidi" w:cstheme="majorBidi"/>
                <w:sz w:val="24"/>
                <w:szCs w:val="24"/>
                <w:lang w:val="es-AR" w:eastAsia="zh-CN"/>
              </w:rPr>
              <w:t>privind</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transparența</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în</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procesul</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decizional</w:t>
            </w:r>
            <w:proofErr w:type="spellEnd"/>
            <w:r w:rsidRPr="00F10495">
              <w:rPr>
                <w:rFonts w:asciiTheme="majorBidi" w:hAnsiTheme="majorBidi" w:cstheme="majorBidi"/>
                <w:sz w:val="24"/>
                <w:szCs w:val="24"/>
                <w:lang w:val="es-AR" w:eastAsia="zh-CN"/>
              </w:rPr>
              <w:t>,</w:t>
            </w:r>
            <w:r w:rsidRPr="00B11E88">
              <w:rPr>
                <w:rFonts w:asciiTheme="majorBidi" w:hAnsiTheme="majorBidi" w:cstheme="majorBidi"/>
                <w:sz w:val="24"/>
                <w:szCs w:val="24"/>
                <w:lang w:val="ro-RO" w:eastAsia="zh-CN"/>
              </w:rPr>
              <w:t xml:space="preserve"> anunțul privind inițierea procesului de elaborare a </w:t>
            </w:r>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Proiectul</w:t>
            </w:r>
            <w:proofErr w:type="spellEnd"/>
            <w:r w:rsidRPr="00B11E88">
              <w:rPr>
                <w:rFonts w:asciiTheme="majorBidi" w:hAnsiTheme="majorBidi" w:cstheme="majorBidi"/>
                <w:sz w:val="24"/>
                <w:szCs w:val="24"/>
                <w:lang w:val="ro-RO" w:eastAsia="zh-CN"/>
              </w:rPr>
              <w:t>ui</w:t>
            </w:r>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Hotărârii</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Guvernului</w:t>
            </w:r>
            <w:proofErr w:type="spellEnd"/>
            <w:r w:rsidRPr="00B11E88">
              <w:rPr>
                <w:rFonts w:asciiTheme="majorBidi" w:hAnsiTheme="majorBidi" w:cstheme="majorBidi"/>
                <w:sz w:val="24"/>
                <w:szCs w:val="24"/>
                <w:lang w:val="ro-RO" w:eastAsia="zh-CN"/>
              </w:rPr>
              <w:t xml:space="preserve">, </w:t>
            </w:r>
            <w:r w:rsidRPr="00F10495">
              <w:rPr>
                <w:rFonts w:asciiTheme="majorBidi" w:hAnsiTheme="majorBidi" w:cstheme="majorBidi"/>
                <w:sz w:val="24"/>
                <w:szCs w:val="24"/>
                <w:lang w:val="es-AR" w:eastAsia="zh-CN"/>
              </w:rPr>
              <w:t xml:space="preserve">a </w:t>
            </w:r>
            <w:proofErr w:type="spellStart"/>
            <w:r w:rsidRPr="00F10495">
              <w:rPr>
                <w:rFonts w:asciiTheme="majorBidi" w:hAnsiTheme="majorBidi" w:cstheme="majorBidi"/>
                <w:sz w:val="24"/>
                <w:szCs w:val="24"/>
                <w:lang w:val="es-AR" w:eastAsia="zh-CN"/>
              </w:rPr>
              <w:t>fost</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plasat</w:t>
            </w:r>
            <w:proofErr w:type="spellEnd"/>
            <w:r w:rsidRPr="00F10495">
              <w:rPr>
                <w:rFonts w:asciiTheme="majorBidi" w:hAnsiTheme="majorBidi" w:cstheme="majorBidi"/>
                <w:sz w:val="24"/>
                <w:szCs w:val="24"/>
                <w:lang w:val="es-AR" w:eastAsia="zh-CN"/>
              </w:rPr>
              <w:t xml:space="preserve"> pe </w:t>
            </w:r>
            <w:proofErr w:type="spellStart"/>
            <w:r w:rsidRPr="00F10495">
              <w:rPr>
                <w:rFonts w:asciiTheme="majorBidi" w:hAnsiTheme="majorBidi" w:cstheme="majorBidi"/>
                <w:sz w:val="24"/>
                <w:szCs w:val="24"/>
                <w:lang w:val="es-AR" w:eastAsia="zh-CN"/>
              </w:rPr>
              <w:t>pagina</w:t>
            </w:r>
            <w:proofErr w:type="spellEnd"/>
            <w:r w:rsidRPr="00F10495">
              <w:rPr>
                <w:rFonts w:asciiTheme="majorBidi" w:hAnsiTheme="majorBidi" w:cstheme="majorBidi"/>
                <w:sz w:val="24"/>
                <w:szCs w:val="24"/>
                <w:lang w:val="es-AR" w:eastAsia="zh-CN"/>
              </w:rPr>
              <w:t xml:space="preserve"> web </w:t>
            </w:r>
            <w:proofErr w:type="spellStart"/>
            <w:r w:rsidRPr="00F10495">
              <w:rPr>
                <w:rFonts w:asciiTheme="majorBidi" w:hAnsiTheme="majorBidi" w:cstheme="majorBidi"/>
                <w:sz w:val="24"/>
                <w:szCs w:val="24"/>
                <w:lang w:val="es-AR" w:eastAsia="zh-CN"/>
              </w:rPr>
              <w:t>oficială</w:t>
            </w:r>
            <w:proofErr w:type="spellEnd"/>
            <w:r w:rsidRPr="00F10495">
              <w:rPr>
                <w:rFonts w:asciiTheme="majorBidi" w:hAnsiTheme="majorBidi" w:cstheme="majorBidi"/>
                <w:sz w:val="24"/>
                <w:szCs w:val="24"/>
                <w:lang w:val="es-AR" w:eastAsia="zh-CN"/>
              </w:rPr>
              <w:t xml:space="preserve"> a </w:t>
            </w:r>
            <w:proofErr w:type="spellStart"/>
            <w:r w:rsidRPr="00F10495">
              <w:rPr>
                <w:rFonts w:asciiTheme="majorBidi" w:hAnsiTheme="majorBidi" w:cstheme="majorBidi"/>
                <w:sz w:val="24"/>
                <w:szCs w:val="24"/>
                <w:lang w:val="es-AR" w:eastAsia="zh-CN"/>
              </w:rPr>
              <w:t>Ministerului</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Sănătății</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compartimentul</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Transparență</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Proiecte</w:t>
            </w:r>
            <w:proofErr w:type="spellEnd"/>
            <w:r w:rsidRPr="00F10495">
              <w:rPr>
                <w:rFonts w:asciiTheme="majorBidi" w:hAnsiTheme="majorBidi" w:cstheme="majorBidi"/>
                <w:sz w:val="24"/>
                <w:szCs w:val="24"/>
                <w:lang w:val="es-AR" w:eastAsia="zh-CN"/>
              </w:rPr>
              <w:t xml:space="preserve"> supuse </w:t>
            </w:r>
            <w:proofErr w:type="spellStart"/>
            <w:r w:rsidRPr="00F10495">
              <w:rPr>
                <w:rFonts w:asciiTheme="majorBidi" w:hAnsiTheme="majorBidi" w:cstheme="majorBidi"/>
                <w:sz w:val="24"/>
                <w:szCs w:val="24"/>
                <w:lang w:val="es-AR" w:eastAsia="zh-CN"/>
              </w:rPr>
              <w:t>consultărilor</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publice</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și</w:t>
            </w:r>
            <w:proofErr w:type="spellEnd"/>
            <w:r w:rsidRPr="00F10495">
              <w:rPr>
                <w:rFonts w:asciiTheme="majorBidi" w:hAnsiTheme="majorBidi" w:cstheme="majorBidi"/>
                <w:sz w:val="24"/>
                <w:szCs w:val="24"/>
                <w:lang w:val="es-AR" w:eastAsia="zh-CN"/>
              </w:rPr>
              <w:t xml:space="preserve"> pe </w:t>
            </w:r>
            <w:proofErr w:type="spellStart"/>
            <w:r w:rsidRPr="00F10495">
              <w:rPr>
                <w:rFonts w:asciiTheme="majorBidi" w:hAnsiTheme="majorBidi" w:cstheme="majorBidi"/>
                <w:sz w:val="24"/>
                <w:szCs w:val="24"/>
                <w:lang w:val="es-AR" w:eastAsia="zh-CN"/>
              </w:rPr>
              <w:t>portalul</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guvernamental</w:t>
            </w:r>
            <w:proofErr w:type="spellEnd"/>
            <w:r w:rsidRPr="00F10495">
              <w:rPr>
                <w:rFonts w:asciiTheme="majorBidi" w:hAnsiTheme="majorBidi" w:cstheme="majorBidi"/>
                <w:sz w:val="24"/>
                <w:szCs w:val="24"/>
                <w:lang w:val="es-AR" w:eastAsia="zh-CN"/>
              </w:rPr>
              <w:t xml:space="preserve"> (</w:t>
            </w:r>
            <w:hyperlink r:id="rId7" w:history="1">
              <w:r w:rsidRPr="00F10495">
                <w:rPr>
                  <w:rFonts w:asciiTheme="majorBidi" w:hAnsiTheme="majorBidi" w:cstheme="majorBidi"/>
                  <w:sz w:val="24"/>
                  <w:szCs w:val="24"/>
                  <w:lang w:val="es-AR" w:eastAsia="zh-CN"/>
                </w:rPr>
                <w:t>www.particip.gov.md</w:t>
              </w:r>
            </w:hyperlink>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și</w:t>
            </w:r>
            <w:proofErr w:type="spellEnd"/>
            <w:r w:rsidRPr="00F10495">
              <w:rPr>
                <w:rFonts w:asciiTheme="majorBidi" w:hAnsiTheme="majorBidi" w:cstheme="majorBidi"/>
                <w:sz w:val="24"/>
                <w:szCs w:val="24"/>
                <w:lang w:val="es-AR" w:eastAsia="zh-CN"/>
              </w:rPr>
              <w:t xml:space="preserve"> </w:t>
            </w:r>
            <w:proofErr w:type="spellStart"/>
            <w:r w:rsidRPr="00F10495">
              <w:rPr>
                <w:rFonts w:asciiTheme="majorBidi" w:hAnsiTheme="majorBidi" w:cstheme="majorBidi"/>
                <w:sz w:val="24"/>
                <w:szCs w:val="24"/>
                <w:lang w:val="es-AR" w:eastAsia="zh-CN"/>
              </w:rPr>
              <w:t>poate</w:t>
            </w:r>
            <w:proofErr w:type="spellEnd"/>
            <w:r w:rsidRPr="00F10495">
              <w:rPr>
                <w:rFonts w:asciiTheme="majorBidi" w:hAnsiTheme="majorBidi" w:cstheme="majorBidi"/>
                <w:sz w:val="24"/>
                <w:szCs w:val="24"/>
                <w:lang w:val="es-AR" w:eastAsia="zh-CN"/>
              </w:rPr>
              <w:t xml:space="preserve"> fi </w:t>
            </w:r>
            <w:proofErr w:type="spellStart"/>
            <w:r w:rsidRPr="00F10495">
              <w:rPr>
                <w:rFonts w:asciiTheme="majorBidi" w:hAnsiTheme="majorBidi" w:cstheme="majorBidi"/>
                <w:sz w:val="24"/>
                <w:szCs w:val="24"/>
                <w:lang w:val="es-AR" w:eastAsia="zh-CN"/>
              </w:rPr>
              <w:t>accesat</w:t>
            </w:r>
            <w:proofErr w:type="spellEnd"/>
            <w:r w:rsidRPr="00F10495">
              <w:rPr>
                <w:rFonts w:asciiTheme="majorBidi" w:hAnsiTheme="majorBidi" w:cstheme="majorBidi"/>
                <w:sz w:val="24"/>
                <w:szCs w:val="24"/>
                <w:lang w:val="es-AR" w:eastAsia="zh-CN"/>
              </w:rPr>
              <w:t xml:space="preserve"> la </w:t>
            </w:r>
            <w:proofErr w:type="spellStart"/>
            <w:r w:rsidRPr="00F10495">
              <w:rPr>
                <w:rFonts w:asciiTheme="majorBidi" w:hAnsiTheme="majorBidi" w:cstheme="majorBidi"/>
                <w:sz w:val="24"/>
                <w:szCs w:val="24"/>
                <w:lang w:val="es-AR" w:eastAsia="zh-CN"/>
              </w:rPr>
              <w:t>linkul</w:t>
            </w:r>
            <w:proofErr w:type="spellEnd"/>
            <w:r w:rsidRPr="00F10495">
              <w:rPr>
                <w:rFonts w:asciiTheme="majorBidi" w:hAnsiTheme="majorBidi" w:cstheme="majorBidi"/>
                <w:sz w:val="24"/>
                <w:szCs w:val="24"/>
                <w:lang w:val="es-AR" w:eastAsia="zh-CN"/>
              </w:rPr>
              <w:t xml:space="preserve">:  </w:t>
            </w:r>
            <w:hyperlink r:id="rId8" w:history="1">
              <w:r w:rsidRPr="003A7959">
                <w:rPr>
                  <w:rStyle w:val="aa"/>
                  <w:rFonts w:asciiTheme="majorBidi" w:hAnsiTheme="majorBidi" w:cstheme="majorBidi"/>
                  <w:sz w:val="24"/>
                  <w:szCs w:val="24"/>
                  <w:lang w:val="es-AR" w:eastAsia="zh-CN"/>
                </w:rPr>
                <w:t>https://particip.gov.md/ro/document/stages/*/12380</w:t>
              </w:r>
            </w:hyperlink>
            <w:r>
              <w:rPr>
                <w:rFonts w:asciiTheme="majorBidi" w:hAnsiTheme="majorBidi" w:cstheme="majorBidi"/>
                <w:sz w:val="24"/>
                <w:szCs w:val="24"/>
                <w:lang w:val="es-AR" w:eastAsia="zh-CN"/>
              </w:rPr>
              <w:t xml:space="preserve"> </w:t>
            </w:r>
          </w:p>
          <w:p w14:paraId="6134A9F9" w14:textId="77777777" w:rsidR="00691BE5" w:rsidRDefault="00691BE5" w:rsidP="00691BE5">
            <w:pPr>
              <w:spacing w:line="276" w:lineRule="auto"/>
              <w:jc w:val="both"/>
              <w:rPr>
                <w:rFonts w:ascii="Times New Roman" w:hAnsi="Times New Roman"/>
                <w:sz w:val="24"/>
                <w:szCs w:val="24"/>
                <w:lang w:val="es-AR"/>
              </w:rPr>
            </w:pPr>
            <w:proofErr w:type="spellStart"/>
            <w:r w:rsidRPr="00F10495">
              <w:rPr>
                <w:rFonts w:ascii="Times New Roman" w:hAnsi="Times New Roman"/>
                <w:sz w:val="24"/>
                <w:szCs w:val="24"/>
                <w:lang w:val="es-AR"/>
              </w:rPr>
              <w:t>Proiectul</w:t>
            </w:r>
            <w:proofErr w:type="spellEnd"/>
            <w:r w:rsidRPr="00F10495">
              <w:rPr>
                <w:rFonts w:ascii="Times New Roman" w:hAnsi="Times New Roman"/>
                <w:sz w:val="24"/>
                <w:szCs w:val="24"/>
                <w:lang w:val="es-AR"/>
              </w:rPr>
              <w:t xml:space="preserve"> este </w:t>
            </w:r>
            <w:proofErr w:type="spellStart"/>
            <w:r w:rsidRPr="00F10495">
              <w:rPr>
                <w:rFonts w:ascii="Times New Roman" w:hAnsi="Times New Roman"/>
                <w:sz w:val="24"/>
                <w:szCs w:val="24"/>
                <w:lang w:val="es-AR"/>
              </w:rPr>
              <w:t>plasat</w:t>
            </w:r>
            <w:proofErr w:type="spellEnd"/>
            <w:r w:rsidRPr="00F10495">
              <w:rPr>
                <w:rFonts w:ascii="Times New Roman" w:hAnsi="Times New Roman"/>
                <w:sz w:val="24"/>
                <w:szCs w:val="24"/>
                <w:lang w:val="es-AR"/>
              </w:rPr>
              <w:t xml:space="preserve"> </w:t>
            </w:r>
            <w:proofErr w:type="spellStart"/>
            <w:r w:rsidRPr="00F10495">
              <w:rPr>
                <w:rFonts w:ascii="Times New Roman" w:hAnsi="Times New Roman"/>
                <w:sz w:val="24"/>
                <w:szCs w:val="24"/>
                <w:lang w:val="es-AR"/>
              </w:rPr>
              <w:t>pentru</w:t>
            </w:r>
            <w:proofErr w:type="spellEnd"/>
            <w:r w:rsidRPr="00F10495">
              <w:rPr>
                <w:rFonts w:ascii="Times New Roman" w:hAnsi="Times New Roman"/>
                <w:sz w:val="24"/>
                <w:szCs w:val="24"/>
                <w:lang w:val="es-AR"/>
              </w:rPr>
              <w:t xml:space="preserve"> </w:t>
            </w:r>
            <w:proofErr w:type="spellStart"/>
            <w:r w:rsidRPr="00F10495">
              <w:rPr>
                <w:rFonts w:ascii="Times New Roman" w:hAnsi="Times New Roman"/>
                <w:sz w:val="24"/>
                <w:szCs w:val="24"/>
                <w:lang w:val="es-AR"/>
              </w:rPr>
              <w:t>consultări</w:t>
            </w:r>
            <w:proofErr w:type="spellEnd"/>
            <w:r w:rsidRPr="00F10495">
              <w:rPr>
                <w:rFonts w:ascii="Times New Roman" w:hAnsi="Times New Roman"/>
                <w:sz w:val="24"/>
                <w:szCs w:val="24"/>
                <w:lang w:val="es-AR"/>
              </w:rPr>
              <w:t xml:space="preserve"> </w:t>
            </w:r>
            <w:proofErr w:type="spellStart"/>
            <w:r w:rsidRPr="00F10495">
              <w:rPr>
                <w:rFonts w:ascii="Times New Roman" w:hAnsi="Times New Roman"/>
                <w:sz w:val="24"/>
                <w:szCs w:val="24"/>
                <w:lang w:val="es-AR"/>
              </w:rPr>
              <w:t>publice</w:t>
            </w:r>
            <w:proofErr w:type="spellEnd"/>
            <w:r w:rsidRPr="00F10495">
              <w:rPr>
                <w:rFonts w:ascii="Times New Roman" w:hAnsi="Times New Roman"/>
                <w:sz w:val="24"/>
                <w:szCs w:val="24"/>
                <w:lang w:val="es-AR"/>
              </w:rPr>
              <w:t xml:space="preserve"> pe </w:t>
            </w:r>
            <w:proofErr w:type="spellStart"/>
            <w:r w:rsidRPr="00F10495">
              <w:rPr>
                <w:rFonts w:ascii="Times New Roman" w:hAnsi="Times New Roman"/>
                <w:sz w:val="24"/>
                <w:szCs w:val="24"/>
                <w:lang w:val="es-AR"/>
              </w:rPr>
              <w:t>pagina</w:t>
            </w:r>
            <w:proofErr w:type="spellEnd"/>
            <w:r w:rsidRPr="00F10495">
              <w:rPr>
                <w:rFonts w:ascii="Times New Roman" w:hAnsi="Times New Roman"/>
                <w:sz w:val="24"/>
                <w:szCs w:val="24"/>
                <w:lang w:val="es-AR"/>
              </w:rPr>
              <w:t xml:space="preserve"> web a </w:t>
            </w:r>
            <w:proofErr w:type="spellStart"/>
            <w:r w:rsidRPr="00F10495">
              <w:rPr>
                <w:rFonts w:ascii="Times New Roman" w:hAnsi="Times New Roman"/>
                <w:sz w:val="24"/>
                <w:szCs w:val="24"/>
                <w:lang w:val="es-AR"/>
              </w:rPr>
              <w:t>Ministerului</w:t>
            </w:r>
            <w:proofErr w:type="spellEnd"/>
            <w:r w:rsidRPr="00F10495">
              <w:rPr>
                <w:rFonts w:ascii="Times New Roman" w:hAnsi="Times New Roman"/>
                <w:sz w:val="24"/>
                <w:szCs w:val="24"/>
                <w:lang w:val="es-AR"/>
              </w:rPr>
              <w:t xml:space="preserve"> </w:t>
            </w:r>
            <w:proofErr w:type="spellStart"/>
            <w:r w:rsidRPr="00F10495">
              <w:rPr>
                <w:rFonts w:ascii="Times New Roman" w:hAnsi="Times New Roman"/>
                <w:sz w:val="24"/>
                <w:szCs w:val="24"/>
                <w:lang w:val="es-AR"/>
              </w:rPr>
              <w:t>Sănătății</w:t>
            </w:r>
            <w:proofErr w:type="spellEnd"/>
            <w:r w:rsidRPr="00F10495">
              <w:rPr>
                <w:rFonts w:ascii="Times New Roman" w:hAnsi="Times New Roman"/>
                <w:sz w:val="24"/>
                <w:szCs w:val="24"/>
                <w:lang w:val="es-AR"/>
              </w:rPr>
              <w:t xml:space="preserve">, la </w:t>
            </w:r>
            <w:proofErr w:type="spellStart"/>
            <w:r w:rsidRPr="00F10495">
              <w:rPr>
                <w:rFonts w:ascii="Times New Roman" w:hAnsi="Times New Roman"/>
                <w:sz w:val="24"/>
                <w:szCs w:val="24"/>
                <w:lang w:val="es-AR"/>
              </w:rPr>
              <w:t>compartimentul</w:t>
            </w:r>
            <w:proofErr w:type="spellEnd"/>
            <w:r w:rsidRPr="00F10495">
              <w:rPr>
                <w:rFonts w:ascii="Times New Roman" w:hAnsi="Times New Roman"/>
                <w:sz w:val="24"/>
                <w:szCs w:val="24"/>
                <w:lang w:val="es-AR"/>
              </w:rPr>
              <w:t xml:space="preserve"> </w:t>
            </w:r>
            <w:proofErr w:type="spellStart"/>
            <w:r w:rsidRPr="00F10495">
              <w:rPr>
                <w:rFonts w:ascii="Times New Roman" w:hAnsi="Times New Roman"/>
                <w:sz w:val="24"/>
                <w:szCs w:val="24"/>
                <w:lang w:val="es-AR"/>
              </w:rPr>
              <w:t>Transparența</w:t>
            </w:r>
            <w:proofErr w:type="spellEnd"/>
            <w:r w:rsidRPr="00F10495">
              <w:rPr>
                <w:rFonts w:ascii="Times New Roman" w:hAnsi="Times New Roman"/>
                <w:sz w:val="24"/>
                <w:szCs w:val="24"/>
                <w:lang w:val="es-AR"/>
              </w:rPr>
              <w:t xml:space="preserve"> </w:t>
            </w:r>
            <w:proofErr w:type="spellStart"/>
            <w:r w:rsidRPr="00F10495">
              <w:rPr>
                <w:rFonts w:ascii="Times New Roman" w:hAnsi="Times New Roman"/>
                <w:sz w:val="24"/>
                <w:szCs w:val="24"/>
                <w:lang w:val="es-AR"/>
              </w:rPr>
              <w:t>decizională</w:t>
            </w:r>
            <w:proofErr w:type="spellEnd"/>
            <w:r w:rsidRPr="00F10495">
              <w:rPr>
                <w:rFonts w:ascii="Times New Roman" w:hAnsi="Times New Roman"/>
                <w:sz w:val="24"/>
                <w:szCs w:val="24"/>
                <w:lang w:val="es-AR"/>
              </w:rPr>
              <w:t xml:space="preserve"> </w:t>
            </w:r>
            <w:proofErr w:type="spellStart"/>
            <w:r w:rsidRPr="00F10495">
              <w:rPr>
                <w:rFonts w:ascii="Times New Roman" w:hAnsi="Times New Roman"/>
                <w:sz w:val="24"/>
                <w:szCs w:val="24"/>
                <w:lang w:val="es-AR"/>
              </w:rPr>
              <w:t>și</w:t>
            </w:r>
            <w:proofErr w:type="spellEnd"/>
            <w:r w:rsidRPr="00F10495">
              <w:rPr>
                <w:rFonts w:ascii="Times New Roman" w:hAnsi="Times New Roman"/>
                <w:sz w:val="24"/>
                <w:szCs w:val="24"/>
                <w:lang w:val="es-AR"/>
              </w:rPr>
              <w:t xml:space="preserve"> pe </w:t>
            </w:r>
            <w:proofErr w:type="spellStart"/>
            <w:r w:rsidRPr="00F10495">
              <w:rPr>
                <w:rFonts w:ascii="Times New Roman" w:hAnsi="Times New Roman"/>
                <w:sz w:val="24"/>
                <w:szCs w:val="24"/>
                <w:lang w:val="es-AR"/>
              </w:rPr>
              <w:t>portalul</w:t>
            </w:r>
            <w:proofErr w:type="spellEnd"/>
            <w:r w:rsidRPr="00F10495">
              <w:rPr>
                <w:rFonts w:ascii="Times New Roman" w:hAnsi="Times New Roman"/>
                <w:sz w:val="24"/>
                <w:szCs w:val="24"/>
                <w:lang w:val="es-AR"/>
              </w:rPr>
              <w:t xml:space="preserve"> particip.gov.md </w:t>
            </w:r>
            <w:proofErr w:type="spellStart"/>
            <w:r w:rsidRPr="00F10495">
              <w:rPr>
                <w:rFonts w:ascii="Times New Roman" w:hAnsi="Times New Roman"/>
                <w:sz w:val="24"/>
                <w:szCs w:val="24"/>
                <w:lang w:val="es-AR"/>
              </w:rPr>
              <w:t>și</w:t>
            </w:r>
            <w:proofErr w:type="spellEnd"/>
            <w:r w:rsidRPr="00F10495">
              <w:rPr>
                <w:rFonts w:ascii="Times New Roman" w:hAnsi="Times New Roman"/>
                <w:sz w:val="24"/>
                <w:szCs w:val="24"/>
                <w:lang w:val="es-AR"/>
              </w:rPr>
              <w:t xml:space="preserve"> </w:t>
            </w:r>
            <w:proofErr w:type="spellStart"/>
            <w:r w:rsidRPr="00F10495">
              <w:rPr>
                <w:rFonts w:ascii="Times New Roman" w:hAnsi="Times New Roman"/>
                <w:sz w:val="24"/>
                <w:szCs w:val="24"/>
                <w:lang w:val="es-AR"/>
              </w:rPr>
              <w:t>poate</w:t>
            </w:r>
            <w:proofErr w:type="spellEnd"/>
            <w:r w:rsidRPr="00F10495">
              <w:rPr>
                <w:rFonts w:ascii="Times New Roman" w:hAnsi="Times New Roman"/>
                <w:sz w:val="24"/>
                <w:szCs w:val="24"/>
                <w:lang w:val="es-AR"/>
              </w:rPr>
              <w:t xml:space="preserve"> fi </w:t>
            </w:r>
            <w:proofErr w:type="spellStart"/>
            <w:r w:rsidRPr="00F10495">
              <w:rPr>
                <w:rFonts w:ascii="Times New Roman" w:hAnsi="Times New Roman"/>
                <w:sz w:val="24"/>
                <w:szCs w:val="24"/>
                <w:lang w:val="es-AR"/>
              </w:rPr>
              <w:t>accesat</w:t>
            </w:r>
            <w:proofErr w:type="spellEnd"/>
            <w:r w:rsidRPr="00F10495">
              <w:rPr>
                <w:rFonts w:ascii="Times New Roman" w:hAnsi="Times New Roman"/>
                <w:sz w:val="24"/>
                <w:szCs w:val="24"/>
                <w:lang w:val="es-AR"/>
              </w:rPr>
              <w:t xml:space="preserve"> la </w:t>
            </w:r>
            <w:proofErr w:type="spellStart"/>
            <w:r w:rsidRPr="00F10495">
              <w:rPr>
                <w:rFonts w:ascii="Times New Roman" w:hAnsi="Times New Roman"/>
                <w:sz w:val="24"/>
                <w:szCs w:val="24"/>
                <w:lang w:val="es-AR"/>
              </w:rPr>
              <w:t>următoarea</w:t>
            </w:r>
            <w:proofErr w:type="spellEnd"/>
            <w:r w:rsidRPr="00F10495">
              <w:rPr>
                <w:rFonts w:ascii="Times New Roman" w:hAnsi="Times New Roman"/>
                <w:sz w:val="24"/>
                <w:szCs w:val="24"/>
                <w:lang w:val="es-AR"/>
              </w:rPr>
              <w:t xml:space="preserve"> </w:t>
            </w:r>
            <w:proofErr w:type="spellStart"/>
            <w:r w:rsidRPr="00F10495">
              <w:rPr>
                <w:rFonts w:ascii="Times New Roman" w:hAnsi="Times New Roman"/>
                <w:sz w:val="24"/>
                <w:szCs w:val="24"/>
                <w:lang w:val="es-AR"/>
              </w:rPr>
              <w:t>adresă</w:t>
            </w:r>
            <w:proofErr w:type="spellEnd"/>
            <w:r w:rsidRPr="00F10495">
              <w:rPr>
                <w:rFonts w:ascii="Times New Roman" w:hAnsi="Times New Roman"/>
                <w:sz w:val="24"/>
                <w:szCs w:val="24"/>
                <w:lang w:val="es-AR"/>
              </w:rPr>
              <w:t xml:space="preserve"> web:</w:t>
            </w:r>
          </w:p>
          <w:p w14:paraId="268AB18B" w14:textId="2B2D6454" w:rsidR="00691BE5" w:rsidRPr="009C2A40" w:rsidRDefault="00691BE5" w:rsidP="00691BE5">
            <w:pPr>
              <w:spacing w:line="276" w:lineRule="auto"/>
              <w:jc w:val="both"/>
              <w:rPr>
                <w:rFonts w:asciiTheme="majorBidi" w:hAnsiTheme="majorBidi" w:cstheme="majorBidi"/>
                <w:color w:val="0000FF" w:themeColor="hyperlink"/>
                <w:sz w:val="24"/>
                <w:szCs w:val="24"/>
                <w:u w:val="single"/>
                <w:shd w:val="clear" w:color="auto" w:fill="FFFFFF"/>
                <w:lang w:val="es-AR"/>
              </w:rPr>
            </w:pPr>
          </w:p>
        </w:tc>
      </w:tr>
      <w:tr w:rsidR="001E7EE1" w:rsidRPr="00CE76E4" w14:paraId="405183D7" w14:textId="77777777" w:rsidTr="002B55E0">
        <w:trPr>
          <w:trHeight w:val="403"/>
        </w:trPr>
        <w:tc>
          <w:tcPr>
            <w:tcW w:w="10915" w:type="dxa"/>
            <w:shd w:val="clear" w:color="auto" w:fill="F2F2F2" w:themeFill="background1" w:themeFillShade="F2"/>
          </w:tcPr>
          <w:p w14:paraId="3F2D1A2A" w14:textId="317EAA49" w:rsidR="001E7EE1" w:rsidRPr="00531557" w:rsidRDefault="001E7EE1" w:rsidP="00531557">
            <w:pPr>
              <w:pStyle w:val="a7"/>
              <w:numPr>
                <w:ilvl w:val="0"/>
                <w:numId w:val="16"/>
              </w:numPr>
              <w:jc w:val="both"/>
              <w:rPr>
                <w:rFonts w:ascii="Times New Roman" w:hAnsi="Times New Roman" w:cs="Times New Roman"/>
                <w:sz w:val="24"/>
                <w:szCs w:val="24"/>
                <w:lang w:val="ro-RO"/>
              </w:rPr>
            </w:pPr>
            <w:r w:rsidRPr="00531557">
              <w:rPr>
                <w:rFonts w:ascii="Times New Roman" w:hAnsi="Times New Roman" w:cs="Times New Roman"/>
                <w:b/>
                <w:bCs/>
                <w:sz w:val="24"/>
                <w:szCs w:val="24"/>
                <w:lang w:val="ro-RO"/>
              </w:rPr>
              <w:t xml:space="preserve">Constatările expertizei anticorupție </w:t>
            </w:r>
          </w:p>
        </w:tc>
      </w:tr>
      <w:tr w:rsidR="009C2A40" w:rsidRPr="00D51E15" w14:paraId="3F439D13" w14:textId="77777777" w:rsidTr="002B55E0">
        <w:trPr>
          <w:trHeight w:val="403"/>
        </w:trPr>
        <w:tc>
          <w:tcPr>
            <w:tcW w:w="10915" w:type="dxa"/>
          </w:tcPr>
          <w:p w14:paraId="0E4D1C4E" w14:textId="73F59145" w:rsidR="009C2A40" w:rsidRPr="00D14C54" w:rsidRDefault="009C2A40" w:rsidP="009C2A40">
            <w:pPr>
              <w:spacing w:line="276" w:lineRule="auto"/>
              <w:ind w:firstLine="315"/>
              <w:jc w:val="both"/>
              <w:rPr>
                <w:rFonts w:ascii="Times New Roman" w:hAnsi="Times New Roman" w:cs="Times New Roman"/>
                <w:sz w:val="24"/>
                <w:szCs w:val="24"/>
                <w:lang w:val="ro-RO"/>
              </w:rPr>
            </w:pPr>
            <w:r w:rsidRPr="00B11E88">
              <w:rPr>
                <w:rFonts w:asciiTheme="majorBidi" w:hAnsiTheme="majorBidi" w:cstheme="majorBidi"/>
                <w:sz w:val="24"/>
                <w:szCs w:val="24"/>
                <w:lang w:val="ro-RO"/>
              </w:rPr>
              <w:t>Proiectul va fi supus extertizei anticorupție iar</w:t>
            </w:r>
            <w:r w:rsidRPr="00B11E88">
              <w:rPr>
                <w:rFonts w:asciiTheme="majorBidi" w:hAnsiTheme="majorBidi" w:cstheme="majorBidi"/>
                <w:b/>
                <w:bCs/>
                <w:sz w:val="24"/>
                <w:szCs w:val="24"/>
                <w:lang w:val="ro-RO"/>
              </w:rPr>
              <w:t xml:space="preserve"> </w:t>
            </w:r>
            <w:r w:rsidRPr="00B11E88">
              <w:rPr>
                <w:rFonts w:asciiTheme="majorBidi" w:hAnsiTheme="majorBidi" w:cstheme="majorBidi"/>
                <w:sz w:val="24"/>
                <w:szCs w:val="24"/>
                <w:lang w:val="ro-RO"/>
              </w:rPr>
              <w:t xml:space="preserve">informația privind rezultatele expertizei anticorupție va fi inclusă în sinteza obiecțiilor și propunerilor/recomandărilor la proiectul de hotărâre. </w:t>
            </w:r>
          </w:p>
        </w:tc>
      </w:tr>
      <w:tr w:rsidR="009C2A40" w:rsidRPr="000B603A" w14:paraId="37AD948B" w14:textId="77777777" w:rsidTr="002B55E0">
        <w:trPr>
          <w:trHeight w:val="403"/>
        </w:trPr>
        <w:tc>
          <w:tcPr>
            <w:tcW w:w="10915" w:type="dxa"/>
            <w:shd w:val="clear" w:color="auto" w:fill="F2F2F2" w:themeFill="background1" w:themeFillShade="F2"/>
          </w:tcPr>
          <w:p w14:paraId="42865D14" w14:textId="79E60BD2" w:rsidR="009C2A40" w:rsidRPr="00D14C54" w:rsidRDefault="009C2A40" w:rsidP="009C2A40">
            <w:pPr>
              <w:pStyle w:val="a7"/>
              <w:numPr>
                <w:ilvl w:val="0"/>
                <w:numId w:val="16"/>
              </w:numPr>
              <w:jc w:val="both"/>
              <w:rPr>
                <w:rFonts w:ascii="Times New Roman" w:hAnsi="Times New Roman" w:cs="Times New Roman"/>
                <w:sz w:val="24"/>
                <w:szCs w:val="24"/>
                <w:lang w:val="ro-RO"/>
              </w:rPr>
            </w:pPr>
            <w:r w:rsidRPr="00D14C54">
              <w:rPr>
                <w:rFonts w:ascii="Times New Roman" w:hAnsi="Times New Roman" w:cs="Times New Roman"/>
                <w:b/>
                <w:bCs/>
                <w:sz w:val="24"/>
                <w:szCs w:val="24"/>
                <w:lang w:val="ro-RO"/>
              </w:rPr>
              <w:t>Consultările expertizei de compatibilitate</w:t>
            </w:r>
            <w:r w:rsidRPr="00D14C54">
              <w:rPr>
                <w:rFonts w:ascii="Times New Roman" w:hAnsi="Times New Roman" w:cs="Times New Roman"/>
                <w:sz w:val="24"/>
                <w:szCs w:val="24"/>
                <w:lang w:val="ro-RO"/>
              </w:rPr>
              <w:t xml:space="preserve">. </w:t>
            </w:r>
          </w:p>
        </w:tc>
      </w:tr>
      <w:tr w:rsidR="009C2A40" w:rsidRPr="004E74D3" w14:paraId="58708480" w14:textId="77777777" w:rsidTr="002B55E0">
        <w:trPr>
          <w:trHeight w:val="403"/>
        </w:trPr>
        <w:tc>
          <w:tcPr>
            <w:tcW w:w="10915" w:type="dxa"/>
          </w:tcPr>
          <w:p w14:paraId="1F5D46C4" w14:textId="14015DEF" w:rsidR="009C2A40" w:rsidRPr="00D14C54" w:rsidRDefault="009C2A40" w:rsidP="009C2A40">
            <w:pPr>
              <w:tabs>
                <w:tab w:val="left" w:pos="454"/>
              </w:tabs>
              <w:spacing w:line="276" w:lineRule="auto"/>
              <w:ind w:firstLine="312"/>
              <w:jc w:val="both"/>
              <w:rPr>
                <w:rFonts w:ascii="Times New Roman" w:hAnsi="Times New Roman" w:cs="Times New Roman"/>
                <w:sz w:val="24"/>
                <w:szCs w:val="24"/>
                <w:lang w:val="ro-RO"/>
              </w:rPr>
            </w:pPr>
            <w:r w:rsidRPr="00B11E88">
              <w:rPr>
                <w:rFonts w:asciiTheme="majorBidi" w:hAnsiTheme="majorBidi" w:cstheme="majorBidi"/>
                <w:sz w:val="24"/>
                <w:szCs w:val="24"/>
                <w:lang w:val="ro-RO"/>
              </w:rPr>
              <w:t>Proiectul va fi supus expertizei de compatibilitate.</w:t>
            </w:r>
          </w:p>
        </w:tc>
      </w:tr>
      <w:tr w:rsidR="009C2A40" w:rsidRPr="000B603A" w14:paraId="3C66EA62" w14:textId="77777777" w:rsidTr="002B55E0">
        <w:trPr>
          <w:trHeight w:val="403"/>
        </w:trPr>
        <w:tc>
          <w:tcPr>
            <w:tcW w:w="10915" w:type="dxa"/>
            <w:shd w:val="clear" w:color="auto" w:fill="F2F2F2" w:themeFill="background1" w:themeFillShade="F2"/>
          </w:tcPr>
          <w:p w14:paraId="21D9D256" w14:textId="25E8D6B2" w:rsidR="009C2A40" w:rsidRPr="00D14C54" w:rsidRDefault="009C2A40" w:rsidP="009C2A40">
            <w:pPr>
              <w:pStyle w:val="a7"/>
              <w:numPr>
                <w:ilvl w:val="0"/>
                <w:numId w:val="16"/>
              </w:numPr>
              <w:jc w:val="both"/>
              <w:rPr>
                <w:rFonts w:ascii="Times New Roman" w:hAnsi="Times New Roman" w:cs="Times New Roman"/>
                <w:b/>
                <w:bCs/>
                <w:sz w:val="24"/>
                <w:szCs w:val="24"/>
                <w:lang w:val="ro-RO"/>
              </w:rPr>
            </w:pPr>
            <w:r w:rsidRPr="00D14C54">
              <w:rPr>
                <w:rFonts w:ascii="Times New Roman" w:hAnsi="Times New Roman" w:cs="Times New Roman"/>
                <w:b/>
                <w:bCs/>
                <w:sz w:val="24"/>
                <w:szCs w:val="24"/>
                <w:lang w:val="ro-RO"/>
              </w:rPr>
              <w:t>Constatările expertizei juridice</w:t>
            </w:r>
          </w:p>
        </w:tc>
      </w:tr>
      <w:tr w:rsidR="009C2A40" w:rsidRPr="000B603A" w14:paraId="64DBC959" w14:textId="77777777" w:rsidTr="002B55E0">
        <w:trPr>
          <w:trHeight w:val="403"/>
        </w:trPr>
        <w:tc>
          <w:tcPr>
            <w:tcW w:w="10915" w:type="dxa"/>
          </w:tcPr>
          <w:p w14:paraId="0946313E" w14:textId="447193A2" w:rsidR="009C2A40" w:rsidRPr="00752C5E" w:rsidRDefault="009C2A40" w:rsidP="009C2A40">
            <w:pPr>
              <w:jc w:val="both"/>
              <w:rPr>
                <w:rFonts w:ascii="Times New Roman" w:hAnsi="Times New Roman" w:cs="Times New Roman"/>
                <w:sz w:val="24"/>
                <w:szCs w:val="24"/>
                <w:lang w:val="ro-RO"/>
              </w:rPr>
            </w:pPr>
            <w:r w:rsidRPr="00B11E88">
              <w:rPr>
                <w:rFonts w:asciiTheme="majorBidi" w:eastAsia="Times New Roman" w:hAnsiTheme="majorBidi" w:cstheme="majorBidi"/>
                <w:sz w:val="24"/>
                <w:szCs w:val="24"/>
                <w:lang w:val="ro-MD" w:eastAsia="ar-SA"/>
              </w:rPr>
              <w:t>În scopul respectării art. 34 și 37 din Legea nr. 100/2017 cu privire la actele normative, proiectul de hotărâre v</w:t>
            </w:r>
            <w:r w:rsidRPr="00B11E88">
              <w:rPr>
                <w:rFonts w:asciiTheme="majorBidi" w:hAnsiTheme="majorBidi" w:cstheme="majorBidi"/>
                <w:sz w:val="24"/>
                <w:szCs w:val="24"/>
                <w:lang w:val="ro-MD"/>
              </w:rPr>
              <w:t>a fi supus expertizei juridice.</w:t>
            </w:r>
          </w:p>
        </w:tc>
      </w:tr>
      <w:tr w:rsidR="009C2A40" w:rsidRPr="000B603A" w14:paraId="0D814E25" w14:textId="77777777" w:rsidTr="002B55E0">
        <w:trPr>
          <w:trHeight w:val="403"/>
        </w:trPr>
        <w:tc>
          <w:tcPr>
            <w:tcW w:w="10915" w:type="dxa"/>
            <w:shd w:val="clear" w:color="auto" w:fill="F2F2F2" w:themeFill="background1" w:themeFillShade="F2"/>
          </w:tcPr>
          <w:p w14:paraId="4638D647" w14:textId="7A8852CB" w:rsidR="009C2A40" w:rsidRPr="00890DA0" w:rsidRDefault="009C2A40" w:rsidP="009C2A40">
            <w:pPr>
              <w:pStyle w:val="a7"/>
              <w:numPr>
                <w:ilvl w:val="0"/>
                <w:numId w:val="16"/>
              </w:numPr>
              <w:jc w:val="both"/>
              <w:rPr>
                <w:rFonts w:ascii="Times New Roman" w:hAnsi="Times New Roman" w:cs="Times New Roman"/>
                <w:b/>
                <w:bCs/>
                <w:sz w:val="24"/>
                <w:szCs w:val="24"/>
                <w:lang w:val="ro-RO"/>
              </w:rPr>
            </w:pPr>
            <w:r w:rsidRPr="00890DA0">
              <w:rPr>
                <w:rFonts w:ascii="Times New Roman" w:hAnsi="Times New Roman" w:cs="Times New Roman"/>
                <w:b/>
                <w:bCs/>
                <w:sz w:val="24"/>
                <w:szCs w:val="24"/>
                <w:lang w:val="ro-RO"/>
              </w:rPr>
              <w:t>Constatările altor expertize</w:t>
            </w:r>
          </w:p>
        </w:tc>
      </w:tr>
      <w:tr w:rsidR="009C2A40" w:rsidRPr="004E74D3" w14:paraId="23C81182" w14:textId="77777777" w:rsidTr="009C2A40">
        <w:trPr>
          <w:trHeight w:val="369"/>
        </w:trPr>
        <w:tc>
          <w:tcPr>
            <w:tcW w:w="10915" w:type="dxa"/>
          </w:tcPr>
          <w:p w14:paraId="01909C47" w14:textId="513EBF9D" w:rsidR="009C2A40" w:rsidRPr="00D14C54" w:rsidRDefault="009C2A40" w:rsidP="009C2A40">
            <w:pPr>
              <w:jc w:val="both"/>
              <w:rPr>
                <w:rFonts w:ascii="Times New Roman" w:hAnsi="Times New Roman" w:cs="Times New Roman"/>
                <w:sz w:val="24"/>
                <w:szCs w:val="24"/>
                <w:lang w:val="ro-RO"/>
              </w:rPr>
            </w:pPr>
          </w:p>
        </w:tc>
      </w:tr>
    </w:tbl>
    <w:p w14:paraId="2C996578" w14:textId="77777777" w:rsidR="00F27381" w:rsidRDefault="00F27381" w:rsidP="006A393E">
      <w:pPr>
        <w:jc w:val="both"/>
        <w:rPr>
          <w:rFonts w:ascii="Times New Roman" w:hAnsi="Times New Roman" w:cs="Times New Roman"/>
          <w:sz w:val="24"/>
          <w:szCs w:val="24"/>
          <w:lang w:val="ro-RO"/>
        </w:rPr>
      </w:pPr>
    </w:p>
    <w:p w14:paraId="21ACAD4F" w14:textId="77777777" w:rsidR="009C2A40" w:rsidRDefault="009C2A40" w:rsidP="006A393E">
      <w:pPr>
        <w:jc w:val="both"/>
        <w:rPr>
          <w:rFonts w:ascii="Times New Roman" w:hAnsi="Times New Roman" w:cs="Times New Roman"/>
          <w:sz w:val="24"/>
          <w:szCs w:val="24"/>
          <w:lang w:val="ro-RO"/>
        </w:rPr>
      </w:pPr>
    </w:p>
    <w:p w14:paraId="77A8E363" w14:textId="77777777" w:rsidR="00691BE5" w:rsidRDefault="00691BE5" w:rsidP="006A393E">
      <w:pPr>
        <w:jc w:val="both"/>
        <w:rPr>
          <w:rFonts w:ascii="Times New Roman" w:hAnsi="Times New Roman" w:cs="Times New Roman"/>
          <w:sz w:val="24"/>
          <w:szCs w:val="24"/>
          <w:lang w:val="ro-RO"/>
        </w:rPr>
      </w:pPr>
    </w:p>
    <w:p w14:paraId="261A71F5" w14:textId="4A68630C" w:rsidR="009C2A40" w:rsidRPr="009C2A40" w:rsidRDefault="009C2A40" w:rsidP="006A393E">
      <w:pPr>
        <w:jc w:val="both"/>
        <w:rPr>
          <w:rFonts w:ascii="Times New Roman" w:hAnsi="Times New Roman" w:cs="Times New Roman"/>
          <w:b/>
          <w:bCs/>
          <w:sz w:val="24"/>
          <w:szCs w:val="24"/>
          <w:lang w:val="ro-RO"/>
        </w:rPr>
      </w:pPr>
      <w:r w:rsidRPr="009C2A40">
        <w:rPr>
          <w:rFonts w:ascii="Times New Roman" w:hAnsi="Times New Roman" w:cs="Times New Roman"/>
          <w:b/>
          <w:bCs/>
          <w:sz w:val="24"/>
          <w:szCs w:val="24"/>
          <w:lang w:val="ro-RO"/>
        </w:rPr>
        <w:t>Secretar de stat                                                                        Angela PARASCHIV</w:t>
      </w:r>
    </w:p>
    <w:sectPr w:rsidR="009C2A40" w:rsidRPr="009C2A40" w:rsidSect="0051247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3FF1"/>
    <w:multiLevelType w:val="hybridMultilevel"/>
    <w:tmpl w:val="732A70C8"/>
    <w:lvl w:ilvl="0" w:tplc="C8F28AAC">
      <w:start w:val="1"/>
      <w:numFmt w:val="upperRoman"/>
      <w:lvlText w:val="%1."/>
      <w:lvlJc w:val="left"/>
      <w:pPr>
        <w:ind w:left="1126" w:hanging="720"/>
      </w:pPr>
      <w:rPr>
        <w:rFonts w:ascii="Times New Roman" w:eastAsia="Calibri" w:hAnsi="Times New Roman" w:cs="Times New Roman" w:hint="default"/>
      </w:rPr>
    </w:lvl>
    <w:lvl w:ilvl="1" w:tplc="08190019" w:tentative="1">
      <w:start w:val="1"/>
      <w:numFmt w:val="lowerLetter"/>
      <w:lvlText w:val="%2."/>
      <w:lvlJc w:val="left"/>
      <w:pPr>
        <w:ind w:left="1486" w:hanging="360"/>
      </w:pPr>
    </w:lvl>
    <w:lvl w:ilvl="2" w:tplc="0819001B" w:tentative="1">
      <w:start w:val="1"/>
      <w:numFmt w:val="lowerRoman"/>
      <w:lvlText w:val="%3."/>
      <w:lvlJc w:val="right"/>
      <w:pPr>
        <w:ind w:left="2206" w:hanging="180"/>
      </w:pPr>
    </w:lvl>
    <w:lvl w:ilvl="3" w:tplc="0819000F" w:tentative="1">
      <w:start w:val="1"/>
      <w:numFmt w:val="decimal"/>
      <w:lvlText w:val="%4."/>
      <w:lvlJc w:val="left"/>
      <w:pPr>
        <w:ind w:left="2926" w:hanging="360"/>
      </w:pPr>
    </w:lvl>
    <w:lvl w:ilvl="4" w:tplc="08190019" w:tentative="1">
      <w:start w:val="1"/>
      <w:numFmt w:val="lowerLetter"/>
      <w:lvlText w:val="%5."/>
      <w:lvlJc w:val="left"/>
      <w:pPr>
        <w:ind w:left="3646" w:hanging="360"/>
      </w:pPr>
    </w:lvl>
    <w:lvl w:ilvl="5" w:tplc="0819001B" w:tentative="1">
      <w:start w:val="1"/>
      <w:numFmt w:val="lowerRoman"/>
      <w:lvlText w:val="%6."/>
      <w:lvlJc w:val="right"/>
      <w:pPr>
        <w:ind w:left="4366" w:hanging="180"/>
      </w:pPr>
    </w:lvl>
    <w:lvl w:ilvl="6" w:tplc="0819000F" w:tentative="1">
      <w:start w:val="1"/>
      <w:numFmt w:val="decimal"/>
      <w:lvlText w:val="%7."/>
      <w:lvlJc w:val="left"/>
      <w:pPr>
        <w:ind w:left="5086" w:hanging="360"/>
      </w:pPr>
    </w:lvl>
    <w:lvl w:ilvl="7" w:tplc="08190019" w:tentative="1">
      <w:start w:val="1"/>
      <w:numFmt w:val="lowerLetter"/>
      <w:lvlText w:val="%8."/>
      <w:lvlJc w:val="left"/>
      <w:pPr>
        <w:ind w:left="5806" w:hanging="360"/>
      </w:pPr>
    </w:lvl>
    <w:lvl w:ilvl="8" w:tplc="0819001B" w:tentative="1">
      <w:start w:val="1"/>
      <w:numFmt w:val="lowerRoman"/>
      <w:lvlText w:val="%9."/>
      <w:lvlJc w:val="right"/>
      <w:pPr>
        <w:ind w:left="6526" w:hanging="180"/>
      </w:pPr>
    </w:lvl>
  </w:abstractNum>
  <w:abstractNum w:abstractNumId="1" w15:restartNumberingAfterBreak="0">
    <w:nsid w:val="02344467"/>
    <w:multiLevelType w:val="hybridMultilevel"/>
    <w:tmpl w:val="16B447DC"/>
    <w:lvl w:ilvl="0" w:tplc="78222F8A">
      <w:start w:val="1"/>
      <w:numFmt w:val="decimal"/>
      <w:lvlText w:val="%1."/>
      <w:lvlJc w:val="left"/>
      <w:pPr>
        <w:ind w:left="720" w:hanging="360"/>
      </w:pPr>
      <w:rPr>
        <w:rFonts w:ascii="Times New Roman" w:eastAsia="Calibri" w:hAnsi="Times New Roman"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713D48"/>
    <w:multiLevelType w:val="hybridMultilevel"/>
    <w:tmpl w:val="45CAE1F8"/>
    <w:lvl w:ilvl="0" w:tplc="0418001B">
      <w:start w:val="1"/>
      <w:numFmt w:val="lowerRoman"/>
      <w:lvlText w:val="%1."/>
      <w:lvlJc w:val="right"/>
      <w:pPr>
        <w:ind w:left="1404" w:hanging="360"/>
      </w:pPr>
    </w:lvl>
    <w:lvl w:ilvl="1" w:tplc="04180019" w:tentative="1">
      <w:start w:val="1"/>
      <w:numFmt w:val="lowerLetter"/>
      <w:lvlText w:val="%2."/>
      <w:lvlJc w:val="left"/>
      <w:pPr>
        <w:ind w:left="2124" w:hanging="360"/>
      </w:pPr>
    </w:lvl>
    <w:lvl w:ilvl="2" w:tplc="0418001B" w:tentative="1">
      <w:start w:val="1"/>
      <w:numFmt w:val="lowerRoman"/>
      <w:lvlText w:val="%3."/>
      <w:lvlJc w:val="right"/>
      <w:pPr>
        <w:ind w:left="2844" w:hanging="180"/>
      </w:pPr>
    </w:lvl>
    <w:lvl w:ilvl="3" w:tplc="0418000F" w:tentative="1">
      <w:start w:val="1"/>
      <w:numFmt w:val="decimal"/>
      <w:lvlText w:val="%4."/>
      <w:lvlJc w:val="left"/>
      <w:pPr>
        <w:ind w:left="3564" w:hanging="360"/>
      </w:pPr>
    </w:lvl>
    <w:lvl w:ilvl="4" w:tplc="04180019" w:tentative="1">
      <w:start w:val="1"/>
      <w:numFmt w:val="lowerLetter"/>
      <w:lvlText w:val="%5."/>
      <w:lvlJc w:val="left"/>
      <w:pPr>
        <w:ind w:left="4284" w:hanging="360"/>
      </w:pPr>
    </w:lvl>
    <w:lvl w:ilvl="5" w:tplc="0418001B" w:tentative="1">
      <w:start w:val="1"/>
      <w:numFmt w:val="lowerRoman"/>
      <w:lvlText w:val="%6."/>
      <w:lvlJc w:val="right"/>
      <w:pPr>
        <w:ind w:left="5004" w:hanging="180"/>
      </w:pPr>
    </w:lvl>
    <w:lvl w:ilvl="6" w:tplc="0418000F" w:tentative="1">
      <w:start w:val="1"/>
      <w:numFmt w:val="decimal"/>
      <w:lvlText w:val="%7."/>
      <w:lvlJc w:val="left"/>
      <w:pPr>
        <w:ind w:left="5724" w:hanging="360"/>
      </w:pPr>
    </w:lvl>
    <w:lvl w:ilvl="7" w:tplc="04180019" w:tentative="1">
      <w:start w:val="1"/>
      <w:numFmt w:val="lowerLetter"/>
      <w:lvlText w:val="%8."/>
      <w:lvlJc w:val="left"/>
      <w:pPr>
        <w:ind w:left="6444" w:hanging="360"/>
      </w:pPr>
    </w:lvl>
    <w:lvl w:ilvl="8" w:tplc="0418001B" w:tentative="1">
      <w:start w:val="1"/>
      <w:numFmt w:val="lowerRoman"/>
      <w:lvlText w:val="%9."/>
      <w:lvlJc w:val="right"/>
      <w:pPr>
        <w:ind w:left="7164" w:hanging="180"/>
      </w:pPr>
    </w:lvl>
  </w:abstractNum>
  <w:abstractNum w:abstractNumId="3" w15:restartNumberingAfterBreak="0">
    <w:nsid w:val="1D6C65BE"/>
    <w:multiLevelType w:val="hybridMultilevel"/>
    <w:tmpl w:val="37D0B566"/>
    <w:lvl w:ilvl="0" w:tplc="808E3BC6">
      <w:start w:val="1"/>
      <w:numFmt w:val="decimal"/>
      <w:lvlText w:val="%1."/>
      <w:lvlJc w:val="left"/>
      <w:pPr>
        <w:ind w:left="720" w:hanging="360"/>
      </w:pPr>
      <w:rPr>
        <w:rFonts w:eastAsia="Calibri"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FBA6B6A"/>
    <w:multiLevelType w:val="multilevel"/>
    <w:tmpl w:val="9B442D76"/>
    <w:lvl w:ilvl="0">
      <w:start w:val="1"/>
      <w:numFmt w:val="decimal"/>
      <w:lvlText w:val="%1."/>
      <w:lvlJc w:val="left"/>
      <w:pPr>
        <w:ind w:left="1800" w:hanging="360"/>
      </w:pPr>
      <w:rPr>
        <w:rFonts w:ascii="Times New Roman" w:hAnsi="Times New Roman" w:cs="Times New Roman" w:hint="default"/>
        <w:color w:val="333333"/>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22CE70AC"/>
    <w:multiLevelType w:val="hybridMultilevel"/>
    <w:tmpl w:val="818E9454"/>
    <w:lvl w:ilvl="0" w:tplc="04190001">
      <w:start w:val="1"/>
      <w:numFmt w:val="bullet"/>
      <w:lvlText w:val=""/>
      <w:lvlJc w:val="left"/>
      <w:pPr>
        <w:ind w:left="1126" w:hanging="360"/>
      </w:pPr>
      <w:rPr>
        <w:rFonts w:ascii="Symbol" w:hAnsi="Symbol" w:hint="default"/>
      </w:rPr>
    </w:lvl>
    <w:lvl w:ilvl="1" w:tplc="04190003" w:tentative="1">
      <w:start w:val="1"/>
      <w:numFmt w:val="bullet"/>
      <w:lvlText w:val="o"/>
      <w:lvlJc w:val="left"/>
      <w:pPr>
        <w:ind w:left="1846" w:hanging="360"/>
      </w:pPr>
      <w:rPr>
        <w:rFonts w:ascii="Courier New" w:hAnsi="Courier New" w:cs="Courier New" w:hint="default"/>
      </w:rPr>
    </w:lvl>
    <w:lvl w:ilvl="2" w:tplc="04190005" w:tentative="1">
      <w:start w:val="1"/>
      <w:numFmt w:val="bullet"/>
      <w:lvlText w:val=""/>
      <w:lvlJc w:val="left"/>
      <w:pPr>
        <w:ind w:left="2566" w:hanging="360"/>
      </w:pPr>
      <w:rPr>
        <w:rFonts w:ascii="Wingdings" w:hAnsi="Wingdings" w:hint="default"/>
      </w:rPr>
    </w:lvl>
    <w:lvl w:ilvl="3" w:tplc="04190001" w:tentative="1">
      <w:start w:val="1"/>
      <w:numFmt w:val="bullet"/>
      <w:lvlText w:val=""/>
      <w:lvlJc w:val="left"/>
      <w:pPr>
        <w:ind w:left="3286" w:hanging="360"/>
      </w:pPr>
      <w:rPr>
        <w:rFonts w:ascii="Symbol" w:hAnsi="Symbol" w:hint="default"/>
      </w:rPr>
    </w:lvl>
    <w:lvl w:ilvl="4" w:tplc="04190003" w:tentative="1">
      <w:start w:val="1"/>
      <w:numFmt w:val="bullet"/>
      <w:lvlText w:val="o"/>
      <w:lvlJc w:val="left"/>
      <w:pPr>
        <w:ind w:left="4006" w:hanging="360"/>
      </w:pPr>
      <w:rPr>
        <w:rFonts w:ascii="Courier New" w:hAnsi="Courier New" w:cs="Courier New" w:hint="default"/>
      </w:rPr>
    </w:lvl>
    <w:lvl w:ilvl="5" w:tplc="04190005" w:tentative="1">
      <w:start w:val="1"/>
      <w:numFmt w:val="bullet"/>
      <w:lvlText w:val=""/>
      <w:lvlJc w:val="left"/>
      <w:pPr>
        <w:ind w:left="4726" w:hanging="360"/>
      </w:pPr>
      <w:rPr>
        <w:rFonts w:ascii="Wingdings" w:hAnsi="Wingdings" w:hint="default"/>
      </w:rPr>
    </w:lvl>
    <w:lvl w:ilvl="6" w:tplc="04190001" w:tentative="1">
      <w:start w:val="1"/>
      <w:numFmt w:val="bullet"/>
      <w:lvlText w:val=""/>
      <w:lvlJc w:val="left"/>
      <w:pPr>
        <w:ind w:left="5446" w:hanging="360"/>
      </w:pPr>
      <w:rPr>
        <w:rFonts w:ascii="Symbol" w:hAnsi="Symbol" w:hint="default"/>
      </w:rPr>
    </w:lvl>
    <w:lvl w:ilvl="7" w:tplc="04190003" w:tentative="1">
      <w:start w:val="1"/>
      <w:numFmt w:val="bullet"/>
      <w:lvlText w:val="o"/>
      <w:lvlJc w:val="left"/>
      <w:pPr>
        <w:ind w:left="6166" w:hanging="360"/>
      </w:pPr>
      <w:rPr>
        <w:rFonts w:ascii="Courier New" w:hAnsi="Courier New" w:cs="Courier New" w:hint="default"/>
      </w:rPr>
    </w:lvl>
    <w:lvl w:ilvl="8" w:tplc="04190005" w:tentative="1">
      <w:start w:val="1"/>
      <w:numFmt w:val="bullet"/>
      <w:lvlText w:val=""/>
      <w:lvlJc w:val="left"/>
      <w:pPr>
        <w:ind w:left="6886" w:hanging="360"/>
      </w:pPr>
      <w:rPr>
        <w:rFonts w:ascii="Wingdings" w:hAnsi="Wingdings" w:hint="default"/>
      </w:rPr>
    </w:lvl>
  </w:abstractNum>
  <w:abstractNum w:abstractNumId="6" w15:restartNumberingAfterBreak="0">
    <w:nsid w:val="265A7DCF"/>
    <w:multiLevelType w:val="hybridMultilevel"/>
    <w:tmpl w:val="01427CC2"/>
    <w:lvl w:ilvl="0" w:tplc="E3167190">
      <w:start w:val="1"/>
      <w:numFmt w:val="decimal"/>
      <w:lvlText w:val="%1."/>
      <w:lvlJc w:val="left"/>
      <w:pPr>
        <w:ind w:left="720" w:hanging="360"/>
      </w:pPr>
      <w:rPr>
        <w:rFonts w:ascii="Times New Roman" w:eastAsia="Calibri"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6E65DC"/>
    <w:multiLevelType w:val="multilevel"/>
    <w:tmpl w:val="08F05892"/>
    <w:lvl w:ilvl="0">
      <w:start w:val="1"/>
      <w:numFmt w:val="bullet"/>
      <w:lvlText w:val="o"/>
      <w:lvlJc w:val="left"/>
      <w:pPr>
        <w:ind w:left="1800" w:hanging="360"/>
      </w:pPr>
      <w:rPr>
        <w:rFonts w:ascii="Courier New" w:hAnsi="Courier New" w:cs="Courier New" w:hint="default"/>
        <w:color w:val="333333"/>
      </w:rPr>
    </w:lvl>
    <w:lvl w:ilvl="1">
      <w:start w:val="1"/>
      <w:numFmt w:val="bullet"/>
      <w:lvlText w:val=""/>
      <w:lvlJc w:val="left"/>
      <w:pPr>
        <w:ind w:left="180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8" w15:restartNumberingAfterBreak="0">
    <w:nsid w:val="36157570"/>
    <w:multiLevelType w:val="multilevel"/>
    <w:tmpl w:val="08F05892"/>
    <w:lvl w:ilvl="0">
      <w:start w:val="1"/>
      <w:numFmt w:val="bullet"/>
      <w:lvlText w:val="o"/>
      <w:lvlJc w:val="left"/>
      <w:pPr>
        <w:ind w:left="1800" w:hanging="360"/>
      </w:pPr>
      <w:rPr>
        <w:rFonts w:ascii="Courier New" w:hAnsi="Courier New" w:cs="Courier New" w:hint="default"/>
        <w:color w:val="333333"/>
      </w:rPr>
    </w:lvl>
    <w:lvl w:ilvl="1">
      <w:start w:val="1"/>
      <w:numFmt w:val="bullet"/>
      <w:lvlText w:val=""/>
      <w:lvlJc w:val="left"/>
      <w:pPr>
        <w:ind w:left="180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9" w15:restartNumberingAfterBreak="0">
    <w:nsid w:val="4227025B"/>
    <w:multiLevelType w:val="multilevel"/>
    <w:tmpl w:val="FC226912"/>
    <w:lvl w:ilvl="0">
      <w:start w:val="1"/>
      <w:numFmt w:val="decimal"/>
      <w:lvlText w:val="%1."/>
      <w:lvlJc w:val="left"/>
      <w:pPr>
        <w:ind w:left="1800" w:hanging="360"/>
      </w:pPr>
      <w:rPr>
        <w:rFonts w:ascii="Times New Roman" w:hAnsi="Times New Roman" w:cs="Times New Roman" w:hint="default"/>
        <w:color w:val="333333"/>
      </w:rPr>
    </w:lvl>
    <w:lvl w:ilvl="1">
      <w:start w:val="1"/>
      <w:numFmt w:val="bullet"/>
      <w:lvlText w:val=""/>
      <w:lvlJc w:val="left"/>
      <w:pPr>
        <w:ind w:left="180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45FD2DDD"/>
    <w:multiLevelType w:val="multilevel"/>
    <w:tmpl w:val="FC226912"/>
    <w:lvl w:ilvl="0">
      <w:start w:val="1"/>
      <w:numFmt w:val="decimal"/>
      <w:lvlText w:val="%1."/>
      <w:lvlJc w:val="left"/>
      <w:pPr>
        <w:ind w:left="1800" w:hanging="360"/>
      </w:pPr>
      <w:rPr>
        <w:rFonts w:ascii="Times New Roman" w:hAnsi="Times New Roman" w:cs="Times New Roman" w:hint="default"/>
        <w:color w:val="333333"/>
      </w:rPr>
    </w:lvl>
    <w:lvl w:ilvl="1">
      <w:start w:val="1"/>
      <w:numFmt w:val="bullet"/>
      <w:lvlText w:val=""/>
      <w:lvlJc w:val="left"/>
      <w:pPr>
        <w:ind w:left="180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48116561"/>
    <w:multiLevelType w:val="multilevel"/>
    <w:tmpl w:val="FF9CCFCA"/>
    <w:lvl w:ilvl="0">
      <w:start w:val="1"/>
      <w:numFmt w:val="bullet"/>
      <w:lvlText w:val="o"/>
      <w:lvlJc w:val="left"/>
      <w:pPr>
        <w:ind w:left="1800" w:hanging="360"/>
      </w:pPr>
      <w:rPr>
        <w:rFonts w:ascii="Courier New" w:hAnsi="Courier New" w:cs="Courier New" w:hint="default"/>
        <w:color w:val="333333"/>
      </w:rPr>
    </w:lvl>
    <w:lvl w:ilvl="1">
      <w:start w:val="1"/>
      <w:numFmt w:val="bullet"/>
      <w:lvlText w:val=""/>
      <w:lvlJc w:val="left"/>
      <w:pPr>
        <w:ind w:left="1800" w:hanging="360"/>
      </w:pPr>
      <w:rPr>
        <w:rFonts w:ascii="Symbol" w:hAnsi="Symbol" w:hint="default"/>
      </w:rPr>
    </w:lvl>
    <w:lvl w:ilvl="2">
      <w:start w:val="1"/>
      <w:numFmt w:val="bullet"/>
      <w:lvlText w:val="o"/>
      <w:lvlJc w:val="left"/>
      <w:pPr>
        <w:ind w:left="2160" w:hanging="720"/>
      </w:pPr>
      <w:rPr>
        <w:rFonts w:ascii="Courier New" w:hAnsi="Courier New" w:cs="Courier New"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4A170820"/>
    <w:multiLevelType w:val="hybridMultilevel"/>
    <w:tmpl w:val="429243B8"/>
    <w:lvl w:ilvl="0" w:tplc="F4ECAF58">
      <w:numFmt w:val="bullet"/>
      <w:lvlText w:val="•"/>
      <w:lvlJc w:val="left"/>
      <w:pPr>
        <w:ind w:left="1404" w:hanging="720"/>
      </w:pPr>
      <w:rPr>
        <w:rFonts w:ascii="Times New Roman" w:eastAsia="Calibri" w:hAnsi="Times New Roman" w:cs="Times New Roman" w:hint="default"/>
      </w:rPr>
    </w:lvl>
    <w:lvl w:ilvl="1" w:tplc="04180003" w:tentative="1">
      <w:start w:val="1"/>
      <w:numFmt w:val="bullet"/>
      <w:lvlText w:val="o"/>
      <w:lvlJc w:val="left"/>
      <w:pPr>
        <w:ind w:left="1764" w:hanging="360"/>
      </w:pPr>
      <w:rPr>
        <w:rFonts w:ascii="Courier New" w:hAnsi="Courier New" w:cs="Courier New" w:hint="default"/>
      </w:rPr>
    </w:lvl>
    <w:lvl w:ilvl="2" w:tplc="04180005" w:tentative="1">
      <w:start w:val="1"/>
      <w:numFmt w:val="bullet"/>
      <w:lvlText w:val=""/>
      <w:lvlJc w:val="left"/>
      <w:pPr>
        <w:ind w:left="2484" w:hanging="360"/>
      </w:pPr>
      <w:rPr>
        <w:rFonts w:ascii="Wingdings" w:hAnsi="Wingdings" w:hint="default"/>
      </w:rPr>
    </w:lvl>
    <w:lvl w:ilvl="3" w:tplc="04180001" w:tentative="1">
      <w:start w:val="1"/>
      <w:numFmt w:val="bullet"/>
      <w:lvlText w:val=""/>
      <w:lvlJc w:val="left"/>
      <w:pPr>
        <w:ind w:left="3204" w:hanging="360"/>
      </w:pPr>
      <w:rPr>
        <w:rFonts w:ascii="Symbol" w:hAnsi="Symbol" w:hint="default"/>
      </w:rPr>
    </w:lvl>
    <w:lvl w:ilvl="4" w:tplc="04180003" w:tentative="1">
      <w:start w:val="1"/>
      <w:numFmt w:val="bullet"/>
      <w:lvlText w:val="o"/>
      <w:lvlJc w:val="left"/>
      <w:pPr>
        <w:ind w:left="3924" w:hanging="360"/>
      </w:pPr>
      <w:rPr>
        <w:rFonts w:ascii="Courier New" w:hAnsi="Courier New" w:cs="Courier New" w:hint="default"/>
      </w:rPr>
    </w:lvl>
    <w:lvl w:ilvl="5" w:tplc="04180005" w:tentative="1">
      <w:start w:val="1"/>
      <w:numFmt w:val="bullet"/>
      <w:lvlText w:val=""/>
      <w:lvlJc w:val="left"/>
      <w:pPr>
        <w:ind w:left="4644" w:hanging="360"/>
      </w:pPr>
      <w:rPr>
        <w:rFonts w:ascii="Wingdings" w:hAnsi="Wingdings" w:hint="default"/>
      </w:rPr>
    </w:lvl>
    <w:lvl w:ilvl="6" w:tplc="04180001" w:tentative="1">
      <w:start w:val="1"/>
      <w:numFmt w:val="bullet"/>
      <w:lvlText w:val=""/>
      <w:lvlJc w:val="left"/>
      <w:pPr>
        <w:ind w:left="5364" w:hanging="360"/>
      </w:pPr>
      <w:rPr>
        <w:rFonts w:ascii="Symbol" w:hAnsi="Symbol" w:hint="default"/>
      </w:rPr>
    </w:lvl>
    <w:lvl w:ilvl="7" w:tplc="04180003" w:tentative="1">
      <w:start w:val="1"/>
      <w:numFmt w:val="bullet"/>
      <w:lvlText w:val="o"/>
      <w:lvlJc w:val="left"/>
      <w:pPr>
        <w:ind w:left="6084" w:hanging="360"/>
      </w:pPr>
      <w:rPr>
        <w:rFonts w:ascii="Courier New" w:hAnsi="Courier New" w:cs="Courier New" w:hint="default"/>
      </w:rPr>
    </w:lvl>
    <w:lvl w:ilvl="8" w:tplc="04180005" w:tentative="1">
      <w:start w:val="1"/>
      <w:numFmt w:val="bullet"/>
      <w:lvlText w:val=""/>
      <w:lvlJc w:val="left"/>
      <w:pPr>
        <w:ind w:left="6804" w:hanging="360"/>
      </w:pPr>
      <w:rPr>
        <w:rFonts w:ascii="Wingdings" w:hAnsi="Wingdings" w:hint="default"/>
      </w:rPr>
    </w:lvl>
  </w:abstractNum>
  <w:abstractNum w:abstractNumId="13" w15:restartNumberingAfterBreak="0">
    <w:nsid w:val="545A4C07"/>
    <w:multiLevelType w:val="multilevel"/>
    <w:tmpl w:val="FF9CCFCA"/>
    <w:lvl w:ilvl="0">
      <w:start w:val="1"/>
      <w:numFmt w:val="bullet"/>
      <w:lvlText w:val="o"/>
      <w:lvlJc w:val="left"/>
      <w:pPr>
        <w:ind w:left="1800" w:hanging="360"/>
      </w:pPr>
      <w:rPr>
        <w:rFonts w:ascii="Courier New" w:hAnsi="Courier New" w:cs="Courier New" w:hint="default"/>
        <w:color w:val="333333"/>
      </w:rPr>
    </w:lvl>
    <w:lvl w:ilvl="1">
      <w:start w:val="1"/>
      <w:numFmt w:val="bullet"/>
      <w:lvlText w:val=""/>
      <w:lvlJc w:val="left"/>
      <w:pPr>
        <w:ind w:left="1800" w:hanging="360"/>
      </w:pPr>
      <w:rPr>
        <w:rFonts w:ascii="Symbol" w:hAnsi="Symbol" w:hint="default"/>
      </w:rPr>
    </w:lvl>
    <w:lvl w:ilvl="2">
      <w:start w:val="1"/>
      <w:numFmt w:val="bullet"/>
      <w:lvlText w:val="o"/>
      <w:lvlJc w:val="left"/>
      <w:pPr>
        <w:ind w:left="2160" w:hanging="720"/>
      </w:pPr>
      <w:rPr>
        <w:rFonts w:ascii="Courier New" w:hAnsi="Courier New" w:cs="Courier New"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5B5339DB"/>
    <w:multiLevelType w:val="hybridMultilevel"/>
    <w:tmpl w:val="65AE4434"/>
    <w:lvl w:ilvl="0" w:tplc="612A0ADE">
      <w:start w:val="1"/>
      <w:numFmt w:val="bullet"/>
      <w:lvlText w:val="̶"/>
      <w:lvlJc w:val="left"/>
      <w:pPr>
        <w:ind w:left="1429" w:hanging="360"/>
      </w:pPr>
      <w:rPr>
        <w:rFonts w:ascii="Times New Roman" w:hAnsi="Times New Roman" w:cs="Times New Roman" w:hint="default"/>
      </w:rPr>
    </w:lvl>
    <w:lvl w:ilvl="1" w:tplc="08190003">
      <w:start w:val="1"/>
      <w:numFmt w:val="bullet"/>
      <w:lvlText w:val="o"/>
      <w:lvlJc w:val="left"/>
      <w:pPr>
        <w:ind w:left="1429" w:hanging="360"/>
      </w:pPr>
      <w:rPr>
        <w:rFonts w:ascii="Courier New" w:hAnsi="Courier New" w:cs="Courier New" w:hint="default"/>
      </w:rPr>
    </w:lvl>
    <w:lvl w:ilvl="2" w:tplc="08190005">
      <w:start w:val="1"/>
      <w:numFmt w:val="bullet"/>
      <w:lvlText w:val=""/>
      <w:lvlJc w:val="left"/>
      <w:pPr>
        <w:ind w:left="2149" w:hanging="360"/>
      </w:pPr>
      <w:rPr>
        <w:rFonts w:ascii="Wingdings" w:hAnsi="Wingdings" w:hint="default"/>
      </w:rPr>
    </w:lvl>
    <w:lvl w:ilvl="3" w:tplc="08190001" w:tentative="1">
      <w:start w:val="1"/>
      <w:numFmt w:val="bullet"/>
      <w:lvlText w:val=""/>
      <w:lvlJc w:val="left"/>
      <w:pPr>
        <w:ind w:left="2869" w:hanging="360"/>
      </w:pPr>
      <w:rPr>
        <w:rFonts w:ascii="Symbol" w:hAnsi="Symbol" w:hint="default"/>
      </w:rPr>
    </w:lvl>
    <w:lvl w:ilvl="4" w:tplc="08190003" w:tentative="1">
      <w:start w:val="1"/>
      <w:numFmt w:val="bullet"/>
      <w:lvlText w:val="o"/>
      <w:lvlJc w:val="left"/>
      <w:pPr>
        <w:ind w:left="3589" w:hanging="360"/>
      </w:pPr>
      <w:rPr>
        <w:rFonts w:ascii="Courier New" w:hAnsi="Courier New" w:cs="Courier New" w:hint="default"/>
      </w:rPr>
    </w:lvl>
    <w:lvl w:ilvl="5" w:tplc="08190005" w:tentative="1">
      <w:start w:val="1"/>
      <w:numFmt w:val="bullet"/>
      <w:lvlText w:val=""/>
      <w:lvlJc w:val="left"/>
      <w:pPr>
        <w:ind w:left="4309" w:hanging="360"/>
      </w:pPr>
      <w:rPr>
        <w:rFonts w:ascii="Wingdings" w:hAnsi="Wingdings" w:hint="default"/>
      </w:rPr>
    </w:lvl>
    <w:lvl w:ilvl="6" w:tplc="08190001" w:tentative="1">
      <w:start w:val="1"/>
      <w:numFmt w:val="bullet"/>
      <w:lvlText w:val=""/>
      <w:lvlJc w:val="left"/>
      <w:pPr>
        <w:ind w:left="5029" w:hanging="360"/>
      </w:pPr>
      <w:rPr>
        <w:rFonts w:ascii="Symbol" w:hAnsi="Symbol" w:hint="default"/>
      </w:rPr>
    </w:lvl>
    <w:lvl w:ilvl="7" w:tplc="08190003" w:tentative="1">
      <w:start w:val="1"/>
      <w:numFmt w:val="bullet"/>
      <w:lvlText w:val="o"/>
      <w:lvlJc w:val="left"/>
      <w:pPr>
        <w:ind w:left="5749" w:hanging="360"/>
      </w:pPr>
      <w:rPr>
        <w:rFonts w:ascii="Courier New" w:hAnsi="Courier New" w:cs="Courier New" w:hint="default"/>
      </w:rPr>
    </w:lvl>
    <w:lvl w:ilvl="8" w:tplc="08190005" w:tentative="1">
      <w:start w:val="1"/>
      <w:numFmt w:val="bullet"/>
      <w:lvlText w:val=""/>
      <w:lvlJc w:val="left"/>
      <w:pPr>
        <w:ind w:left="6469" w:hanging="360"/>
      </w:pPr>
      <w:rPr>
        <w:rFonts w:ascii="Wingdings" w:hAnsi="Wingdings" w:hint="default"/>
      </w:rPr>
    </w:lvl>
  </w:abstractNum>
  <w:abstractNum w:abstractNumId="15" w15:restartNumberingAfterBreak="0">
    <w:nsid w:val="678400F0"/>
    <w:multiLevelType w:val="hybridMultilevel"/>
    <w:tmpl w:val="54468A56"/>
    <w:lvl w:ilvl="0" w:tplc="04190001">
      <w:start w:val="1"/>
      <w:numFmt w:val="bullet"/>
      <w:lvlText w:val=""/>
      <w:lvlJc w:val="left"/>
      <w:pPr>
        <w:ind w:left="1126" w:hanging="360"/>
      </w:pPr>
      <w:rPr>
        <w:rFonts w:ascii="Symbol" w:hAnsi="Symbol" w:hint="default"/>
      </w:rPr>
    </w:lvl>
    <w:lvl w:ilvl="1" w:tplc="04190003" w:tentative="1">
      <w:start w:val="1"/>
      <w:numFmt w:val="bullet"/>
      <w:lvlText w:val="o"/>
      <w:lvlJc w:val="left"/>
      <w:pPr>
        <w:ind w:left="1846" w:hanging="360"/>
      </w:pPr>
      <w:rPr>
        <w:rFonts w:ascii="Courier New" w:hAnsi="Courier New" w:cs="Courier New" w:hint="default"/>
      </w:rPr>
    </w:lvl>
    <w:lvl w:ilvl="2" w:tplc="04190005" w:tentative="1">
      <w:start w:val="1"/>
      <w:numFmt w:val="bullet"/>
      <w:lvlText w:val=""/>
      <w:lvlJc w:val="left"/>
      <w:pPr>
        <w:ind w:left="2566" w:hanging="360"/>
      </w:pPr>
      <w:rPr>
        <w:rFonts w:ascii="Wingdings" w:hAnsi="Wingdings" w:hint="default"/>
      </w:rPr>
    </w:lvl>
    <w:lvl w:ilvl="3" w:tplc="04190001" w:tentative="1">
      <w:start w:val="1"/>
      <w:numFmt w:val="bullet"/>
      <w:lvlText w:val=""/>
      <w:lvlJc w:val="left"/>
      <w:pPr>
        <w:ind w:left="3286" w:hanging="360"/>
      </w:pPr>
      <w:rPr>
        <w:rFonts w:ascii="Symbol" w:hAnsi="Symbol" w:hint="default"/>
      </w:rPr>
    </w:lvl>
    <w:lvl w:ilvl="4" w:tplc="04190003" w:tentative="1">
      <w:start w:val="1"/>
      <w:numFmt w:val="bullet"/>
      <w:lvlText w:val="o"/>
      <w:lvlJc w:val="left"/>
      <w:pPr>
        <w:ind w:left="4006" w:hanging="360"/>
      </w:pPr>
      <w:rPr>
        <w:rFonts w:ascii="Courier New" w:hAnsi="Courier New" w:cs="Courier New" w:hint="default"/>
      </w:rPr>
    </w:lvl>
    <w:lvl w:ilvl="5" w:tplc="04190005" w:tentative="1">
      <w:start w:val="1"/>
      <w:numFmt w:val="bullet"/>
      <w:lvlText w:val=""/>
      <w:lvlJc w:val="left"/>
      <w:pPr>
        <w:ind w:left="4726" w:hanging="360"/>
      </w:pPr>
      <w:rPr>
        <w:rFonts w:ascii="Wingdings" w:hAnsi="Wingdings" w:hint="default"/>
      </w:rPr>
    </w:lvl>
    <w:lvl w:ilvl="6" w:tplc="04190001" w:tentative="1">
      <w:start w:val="1"/>
      <w:numFmt w:val="bullet"/>
      <w:lvlText w:val=""/>
      <w:lvlJc w:val="left"/>
      <w:pPr>
        <w:ind w:left="5446" w:hanging="360"/>
      </w:pPr>
      <w:rPr>
        <w:rFonts w:ascii="Symbol" w:hAnsi="Symbol" w:hint="default"/>
      </w:rPr>
    </w:lvl>
    <w:lvl w:ilvl="7" w:tplc="04190003" w:tentative="1">
      <w:start w:val="1"/>
      <w:numFmt w:val="bullet"/>
      <w:lvlText w:val="o"/>
      <w:lvlJc w:val="left"/>
      <w:pPr>
        <w:ind w:left="6166" w:hanging="360"/>
      </w:pPr>
      <w:rPr>
        <w:rFonts w:ascii="Courier New" w:hAnsi="Courier New" w:cs="Courier New" w:hint="default"/>
      </w:rPr>
    </w:lvl>
    <w:lvl w:ilvl="8" w:tplc="04190005" w:tentative="1">
      <w:start w:val="1"/>
      <w:numFmt w:val="bullet"/>
      <w:lvlText w:val=""/>
      <w:lvlJc w:val="left"/>
      <w:pPr>
        <w:ind w:left="6886" w:hanging="360"/>
      </w:pPr>
      <w:rPr>
        <w:rFonts w:ascii="Wingdings" w:hAnsi="Wingdings" w:hint="default"/>
      </w:rPr>
    </w:lvl>
  </w:abstractNum>
  <w:abstractNum w:abstractNumId="16" w15:restartNumberingAfterBreak="0">
    <w:nsid w:val="6C0963BD"/>
    <w:multiLevelType w:val="hybridMultilevel"/>
    <w:tmpl w:val="2EAC0BC4"/>
    <w:lvl w:ilvl="0" w:tplc="08190001">
      <w:start w:val="1"/>
      <w:numFmt w:val="bullet"/>
      <w:lvlText w:val=""/>
      <w:lvlJc w:val="left"/>
      <w:pPr>
        <w:ind w:left="720" w:hanging="360"/>
      </w:pPr>
      <w:rPr>
        <w:rFonts w:ascii="Symbol" w:hAnsi="Symbol" w:hint="default"/>
      </w:rPr>
    </w:lvl>
    <w:lvl w:ilvl="1" w:tplc="612A0ADE">
      <w:start w:val="1"/>
      <w:numFmt w:val="bullet"/>
      <w:lvlText w:val="̶"/>
      <w:lvlJc w:val="left"/>
      <w:pPr>
        <w:ind w:left="1440" w:hanging="360"/>
      </w:pPr>
      <w:rPr>
        <w:rFonts w:ascii="Times New Roman" w:hAnsi="Times New Roman" w:cs="Times New Roman"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7" w15:restartNumberingAfterBreak="0">
    <w:nsid w:val="7A705A98"/>
    <w:multiLevelType w:val="hybridMultilevel"/>
    <w:tmpl w:val="65ACD1CC"/>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num w:numId="1" w16cid:durableId="1013646902">
    <w:abstractNumId w:val="1"/>
  </w:num>
  <w:num w:numId="2" w16cid:durableId="2019699808">
    <w:abstractNumId w:val="6"/>
  </w:num>
  <w:num w:numId="3" w16cid:durableId="1621108474">
    <w:abstractNumId w:val="17"/>
  </w:num>
  <w:num w:numId="4" w16cid:durableId="227034674">
    <w:abstractNumId w:val="0"/>
  </w:num>
  <w:num w:numId="5" w16cid:durableId="741104591">
    <w:abstractNumId w:val="5"/>
  </w:num>
  <w:num w:numId="6" w16cid:durableId="1778871150">
    <w:abstractNumId w:val="14"/>
  </w:num>
  <w:num w:numId="7" w16cid:durableId="1149859102">
    <w:abstractNumId w:val="16"/>
  </w:num>
  <w:num w:numId="8" w16cid:durableId="2011373273">
    <w:abstractNumId w:val="15"/>
  </w:num>
  <w:num w:numId="9" w16cid:durableId="1006444782">
    <w:abstractNumId w:val="4"/>
  </w:num>
  <w:num w:numId="10" w16cid:durableId="1246768526">
    <w:abstractNumId w:val="9"/>
  </w:num>
  <w:num w:numId="11" w16cid:durableId="1429306675">
    <w:abstractNumId w:val="10"/>
  </w:num>
  <w:num w:numId="12" w16cid:durableId="1414930186">
    <w:abstractNumId w:val="12"/>
  </w:num>
  <w:num w:numId="13" w16cid:durableId="1298485119">
    <w:abstractNumId w:val="7"/>
  </w:num>
  <w:num w:numId="14" w16cid:durableId="1462311483">
    <w:abstractNumId w:val="8"/>
  </w:num>
  <w:num w:numId="15" w16cid:durableId="900991173">
    <w:abstractNumId w:val="11"/>
  </w:num>
  <w:num w:numId="16" w16cid:durableId="1347168727">
    <w:abstractNumId w:val="3"/>
  </w:num>
  <w:num w:numId="17" w16cid:durableId="787969952">
    <w:abstractNumId w:val="2"/>
  </w:num>
  <w:num w:numId="18" w16cid:durableId="9724442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B7"/>
    <w:rsid w:val="00027BD7"/>
    <w:rsid w:val="00050045"/>
    <w:rsid w:val="000578B0"/>
    <w:rsid w:val="000746BC"/>
    <w:rsid w:val="00077CC2"/>
    <w:rsid w:val="000B603A"/>
    <w:rsid w:val="000C7BB7"/>
    <w:rsid w:val="000D3466"/>
    <w:rsid w:val="000D5226"/>
    <w:rsid w:val="000E0D6A"/>
    <w:rsid w:val="000F4126"/>
    <w:rsid w:val="000F7E38"/>
    <w:rsid w:val="00111C01"/>
    <w:rsid w:val="00133ABC"/>
    <w:rsid w:val="001519E1"/>
    <w:rsid w:val="001536A2"/>
    <w:rsid w:val="00164106"/>
    <w:rsid w:val="00173722"/>
    <w:rsid w:val="001B3FBC"/>
    <w:rsid w:val="001C1441"/>
    <w:rsid w:val="001E1870"/>
    <w:rsid w:val="001E7EE1"/>
    <w:rsid w:val="001F28EC"/>
    <w:rsid w:val="001F35D9"/>
    <w:rsid w:val="00210525"/>
    <w:rsid w:val="00242610"/>
    <w:rsid w:val="00265119"/>
    <w:rsid w:val="00297C70"/>
    <w:rsid w:val="002A63C2"/>
    <w:rsid w:val="002A6656"/>
    <w:rsid w:val="002B55E0"/>
    <w:rsid w:val="002C53EA"/>
    <w:rsid w:val="002C6CAE"/>
    <w:rsid w:val="002D72C7"/>
    <w:rsid w:val="002D7EDC"/>
    <w:rsid w:val="003063C2"/>
    <w:rsid w:val="003258B0"/>
    <w:rsid w:val="00334F37"/>
    <w:rsid w:val="003511E7"/>
    <w:rsid w:val="003569F2"/>
    <w:rsid w:val="003648B1"/>
    <w:rsid w:val="003947DC"/>
    <w:rsid w:val="003A7A94"/>
    <w:rsid w:val="003B61CC"/>
    <w:rsid w:val="003C3920"/>
    <w:rsid w:val="003C6D57"/>
    <w:rsid w:val="003F431C"/>
    <w:rsid w:val="0040753F"/>
    <w:rsid w:val="00441430"/>
    <w:rsid w:val="004616AD"/>
    <w:rsid w:val="0048132D"/>
    <w:rsid w:val="00486168"/>
    <w:rsid w:val="00490E50"/>
    <w:rsid w:val="00495F54"/>
    <w:rsid w:val="004B0FB3"/>
    <w:rsid w:val="004E3E3D"/>
    <w:rsid w:val="004E74D3"/>
    <w:rsid w:val="004F4161"/>
    <w:rsid w:val="00512472"/>
    <w:rsid w:val="0052057A"/>
    <w:rsid w:val="00522F44"/>
    <w:rsid w:val="00531557"/>
    <w:rsid w:val="00570356"/>
    <w:rsid w:val="00571247"/>
    <w:rsid w:val="00594376"/>
    <w:rsid w:val="005A1534"/>
    <w:rsid w:val="005A1A18"/>
    <w:rsid w:val="00657C4F"/>
    <w:rsid w:val="00691BE5"/>
    <w:rsid w:val="006948EC"/>
    <w:rsid w:val="006A393E"/>
    <w:rsid w:val="006C1F9E"/>
    <w:rsid w:val="00712361"/>
    <w:rsid w:val="00713475"/>
    <w:rsid w:val="00752C5E"/>
    <w:rsid w:val="00773508"/>
    <w:rsid w:val="0078349A"/>
    <w:rsid w:val="00784997"/>
    <w:rsid w:val="007C21D2"/>
    <w:rsid w:val="007D6C0F"/>
    <w:rsid w:val="007F0E93"/>
    <w:rsid w:val="0080174B"/>
    <w:rsid w:val="00824CD4"/>
    <w:rsid w:val="00840584"/>
    <w:rsid w:val="00872D8D"/>
    <w:rsid w:val="00890DA0"/>
    <w:rsid w:val="008A064B"/>
    <w:rsid w:val="008B1C88"/>
    <w:rsid w:val="008F06ED"/>
    <w:rsid w:val="009133C6"/>
    <w:rsid w:val="009219FC"/>
    <w:rsid w:val="00926102"/>
    <w:rsid w:val="00976A5C"/>
    <w:rsid w:val="00987DAE"/>
    <w:rsid w:val="009A2900"/>
    <w:rsid w:val="009A56E4"/>
    <w:rsid w:val="009B065E"/>
    <w:rsid w:val="009C2A40"/>
    <w:rsid w:val="009F1D5C"/>
    <w:rsid w:val="00A02E64"/>
    <w:rsid w:val="00A035C8"/>
    <w:rsid w:val="00A50771"/>
    <w:rsid w:val="00A601AC"/>
    <w:rsid w:val="00A649DA"/>
    <w:rsid w:val="00A662E8"/>
    <w:rsid w:val="00A85ABE"/>
    <w:rsid w:val="00AB1D1F"/>
    <w:rsid w:val="00AB46FA"/>
    <w:rsid w:val="00AD3611"/>
    <w:rsid w:val="00B2341A"/>
    <w:rsid w:val="00B3210D"/>
    <w:rsid w:val="00B62CEE"/>
    <w:rsid w:val="00B902C0"/>
    <w:rsid w:val="00BB4982"/>
    <w:rsid w:val="00BF7677"/>
    <w:rsid w:val="00C22305"/>
    <w:rsid w:val="00C555E0"/>
    <w:rsid w:val="00C75A2E"/>
    <w:rsid w:val="00C80939"/>
    <w:rsid w:val="00C81279"/>
    <w:rsid w:val="00C933DB"/>
    <w:rsid w:val="00CC4521"/>
    <w:rsid w:val="00CD2BDF"/>
    <w:rsid w:val="00CE36E6"/>
    <w:rsid w:val="00CE4185"/>
    <w:rsid w:val="00CE76E4"/>
    <w:rsid w:val="00D06F33"/>
    <w:rsid w:val="00D14C54"/>
    <w:rsid w:val="00D51E15"/>
    <w:rsid w:val="00D702DD"/>
    <w:rsid w:val="00D75F12"/>
    <w:rsid w:val="00DC4942"/>
    <w:rsid w:val="00DD665F"/>
    <w:rsid w:val="00DE0FC5"/>
    <w:rsid w:val="00DE38E8"/>
    <w:rsid w:val="00DE3903"/>
    <w:rsid w:val="00E171B4"/>
    <w:rsid w:val="00E32B72"/>
    <w:rsid w:val="00E32FA2"/>
    <w:rsid w:val="00E34A0E"/>
    <w:rsid w:val="00E6199B"/>
    <w:rsid w:val="00E6711F"/>
    <w:rsid w:val="00E86A7E"/>
    <w:rsid w:val="00E971DD"/>
    <w:rsid w:val="00EE2CE0"/>
    <w:rsid w:val="00EE4E61"/>
    <w:rsid w:val="00EF196E"/>
    <w:rsid w:val="00F2737E"/>
    <w:rsid w:val="00F27381"/>
    <w:rsid w:val="00F51FCC"/>
    <w:rsid w:val="00F54558"/>
    <w:rsid w:val="00F641DE"/>
    <w:rsid w:val="00F82F60"/>
    <w:rsid w:val="00FA1677"/>
    <w:rsid w:val="00FA5F23"/>
    <w:rsid w:val="00FF108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91D9"/>
  <w15:docId w15:val="{6972F083-B78A-44CE-AA99-43549A39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C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1C88"/>
    <w:pPr>
      <w:spacing w:after="0" w:line="240" w:lineRule="auto"/>
    </w:pPr>
  </w:style>
  <w:style w:type="paragraph" w:styleId="2">
    <w:name w:val="Quote"/>
    <w:basedOn w:val="a"/>
    <w:next w:val="a"/>
    <w:link w:val="20"/>
    <w:uiPriority w:val="29"/>
    <w:qFormat/>
    <w:rsid w:val="008B1C88"/>
    <w:rPr>
      <w:i/>
      <w:iCs/>
      <w:color w:val="000000" w:themeColor="text1"/>
    </w:rPr>
  </w:style>
  <w:style w:type="character" w:customStyle="1" w:styleId="20">
    <w:name w:val="Цитата 2 Знак"/>
    <w:basedOn w:val="a0"/>
    <w:link w:val="2"/>
    <w:uiPriority w:val="29"/>
    <w:rsid w:val="008B1C88"/>
    <w:rPr>
      <w:i/>
      <w:iCs/>
      <w:color w:val="000000" w:themeColor="text1"/>
    </w:rPr>
  </w:style>
  <w:style w:type="paragraph" w:styleId="a4">
    <w:name w:val="Intense Quote"/>
    <w:basedOn w:val="a"/>
    <w:next w:val="a"/>
    <w:link w:val="a5"/>
    <w:uiPriority w:val="30"/>
    <w:qFormat/>
    <w:rsid w:val="008B1C88"/>
    <w:pPr>
      <w:pBdr>
        <w:bottom w:val="single" w:sz="4" w:space="4" w:color="4F81BD" w:themeColor="accent1"/>
      </w:pBdr>
      <w:spacing w:before="200" w:after="280"/>
      <w:ind w:left="936" w:right="936"/>
    </w:pPr>
    <w:rPr>
      <w:b/>
      <w:bCs/>
      <w:i/>
      <w:iCs/>
      <w:color w:val="4F81BD" w:themeColor="accent1"/>
    </w:rPr>
  </w:style>
  <w:style w:type="character" w:customStyle="1" w:styleId="a5">
    <w:name w:val="Выделенная цитата Знак"/>
    <w:basedOn w:val="a0"/>
    <w:link w:val="a4"/>
    <w:uiPriority w:val="30"/>
    <w:rsid w:val="008B1C88"/>
    <w:rPr>
      <w:b/>
      <w:bCs/>
      <w:i/>
      <w:iCs/>
      <w:color w:val="4F81BD" w:themeColor="accent1"/>
    </w:rPr>
  </w:style>
  <w:style w:type="table" w:styleId="a6">
    <w:name w:val="Table Grid"/>
    <w:basedOn w:val="a1"/>
    <w:uiPriority w:val="59"/>
    <w:rsid w:val="0082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24CD4"/>
    <w:pPr>
      <w:ind w:left="720"/>
      <w:contextualSpacing/>
    </w:pPr>
  </w:style>
  <w:style w:type="paragraph" w:styleId="a8">
    <w:name w:val="Balloon Text"/>
    <w:basedOn w:val="a"/>
    <w:link w:val="a9"/>
    <w:uiPriority w:val="99"/>
    <w:semiHidden/>
    <w:unhideWhenUsed/>
    <w:rsid w:val="000E0D6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E0D6A"/>
    <w:rPr>
      <w:rFonts w:ascii="Segoe UI" w:hAnsi="Segoe UI" w:cs="Segoe UI"/>
      <w:sz w:val="18"/>
      <w:szCs w:val="18"/>
    </w:rPr>
  </w:style>
  <w:style w:type="character" w:styleId="aa">
    <w:name w:val="Hyperlink"/>
    <w:basedOn w:val="a0"/>
    <w:uiPriority w:val="99"/>
    <w:unhideWhenUsed/>
    <w:rsid w:val="00DD665F"/>
    <w:rPr>
      <w:color w:val="0000FF" w:themeColor="hyperlink"/>
      <w:u w:val="single"/>
    </w:rPr>
  </w:style>
  <w:style w:type="character" w:styleId="ab">
    <w:name w:val="Unresolved Mention"/>
    <w:basedOn w:val="a0"/>
    <w:uiPriority w:val="99"/>
    <w:semiHidden/>
    <w:unhideWhenUsed/>
    <w:rsid w:val="00DD6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2380" TargetMode="External"/><Relationship Id="rId3" Type="http://schemas.openxmlformats.org/officeDocument/2006/relationships/settings" Target="settings.xml"/><Relationship Id="rId7" Type="http://schemas.openxmlformats.org/officeDocument/2006/relationships/hyperlink" Target="http://www.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737892301815381E-2"/>
          <c:y val="6.8943904732058914E-2"/>
          <c:w val="0.87873072309048417"/>
          <c:h val="0.77782197469753767"/>
        </c:manualLayout>
      </c:layout>
      <c:barChart>
        <c:barDir val="col"/>
        <c:grouping val="clustered"/>
        <c:varyColors val="0"/>
        <c:ser>
          <c:idx val="0"/>
          <c:order val="0"/>
          <c:tx>
            <c:strRef>
              <c:f>Лист1!$B$1</c:f>
              <c:strCache>
                <c:ptCount val="1"/>
                <c:pt idx="0">
                  <c:v>Obiective investigate (abs.)</c:v>
                </c:pt>
              </c:strCache>
            </c:strRef>
          </c:tx>
          <c:spPr>
            <a:solidFill>
              <a:schemeClr val="accent1"/>
            </a:solidFill>
            <a:ln>
              <a:noFill/>
            </a:ln>
            <a:effectLst/>
          </c:spPr>
          <c:invertIfNegative val="0"/>
          <c:dLbls>
            <c:delete val="1"/>
          </c:dLbls>
          <c:trendline>
            <c:spPr>
              <a:ln w="19050" cap="rnd">
                <a:solidFill>
                  <a:schemeClr val="accent1"/>
                </a:solidFill>
                <a:prstDash val="sysDot"/>
              </a:ln>
              <a:effectLst/>
            </c:spPr>
            <c:trendlineType val="linear"/>
            <c:dispRSqr val="0"/>
            <c:dispEq val="0"/>
          </c:trendline>
          <c:cat>
            <c:numRef>
              <c:f>Лист1!$A$2:$A$11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Лист1!$B$2:$B$11</c:f>
              <c:numCache>
                <c:formatCode>General</c:formatCode>
                <c:ptCount val="10"/>
                <c:pt idx="0">
                  <c:v>1583</c:v>
                </c:pt>
                <c:pt idx="1">
                  <c:v>1518</c:v>
                </c:pt>
                <c:pt idx="2">
                  <c:v>1434</c:v>
                </c:pt>
                <c:pt idx="3">
                  <c:v>1207</c:v>
                </c:pt>
                <c:pt idx="4">
                  <c:v>875</c:v>
                </c:pt>
                <c:pt idx="5">
                  <c:v>498</c:v>
                </c:pt>
                <c:pt idx="6">
                  <c:v>383</c:v>
                </c:pt>
                <c:pt idx="7">
                  <c:v>445</c:v>
                </c:pt>
                <c:pt idx="8">
                  <c:v>930</c:v>
                </c:pt>
                <c:pt idx="9">
                  <c:v>311</c:v>
                </c:pt>
              </c:numCache>
            </c:numRef>
          </c:val>
          <c:extLst>
            <c:ext xmlns:c16="http://schemas.microsoft.com/office/drawing/2014/chart" uri="{C3380CC4-5D6E-409C-BE32-E72D297353CC}">
              <c16:uniqueId val="{00000001-FE78-48D1-BC2E-4D5D3845C1BB}"/>
            </c:ext>
          </c:extLst>
        </c:ser>
        <c:dLbls>
          <c:showLegendKey val="0"/>
          <c:showVal val="1"/>
          <c:showCatName val="0"/>
          <c:showSerName val="0"/>
          <c:showPercent val="0"/>
          <c:showBubbleSize val="0"/>
        </c:dLbls>
        <c:gapWidth val="75"/>
        <c:axId val="765790528"/>
        <c:axId val="765786784"/>
      </c:barChart>
      <c:catAx>
        <c:axId val="76579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765786784"/>
        <c:crosses val="autoZero"/>
        <c:auto val="1"/>
        <c:lblAlgn val="ctr"/>
        <c:lblOffset val="100"/>
        <c:noMultiLvlLbl val="0"/>
      </c:catAx>
      <c:valAx>
        <c:axId val="7657867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7657905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737892301815381E-2"/>
          <c:y val="6.8943904732058914E-2"/>
          <c:w val="0.87638137503456959"/>
          <c:h val="0.75275146388587988"/>
        </c:manualLayout>
      </c:layout>
      <c:barChart>
        <c:barDir val="col"/>
        <c:grouping val="clustered"/>
        <c:varyColors val="0"/>
        <c:ser>
          <c:idx val="0"/>
          <c:order val="0"/>
          <c:tx>
            <c:strRef>
              <c:f>Лист1!$B$1</c:f>
              <c:strCache>
                <c:ptCount val="1"/>
                <c:pt idx="0">
                  <c:v>Nu corespund (%)</c:v>
                </c:pt>
              </c:strCache>
            </c:strRef>
          </c:tx>
          <c:spPr>
            <a:solidFill>
              <a:schemeClr val="accent2"/>
            </a:solidFill>
            <a:ln>
              <a:noFill/>
            </a:ln>
            <a:effectLst/>
          </c:spPr>
          <c:invertIfNegative val="0"/>
          <c:dLbls>
            <c:delete val="1"/>
          </c:dLbls>
          <c:trendline>
            <c:spPr>
              <a:ln w="9525" cap="flat" cmpd="sng" algn="ctr">
                <a:solidFill>
                  <a:schemeClr val="accent2">
                    <a:shade val="95000"/>
                    <a:satMod val="105000"/>
                  </a:schemeClr>
                </a:solidFill>
                <a:prstDash val="solid"/>
              </a:ln>
              <a:effectLst/>
            </c:spPr>
            <c:trendlineType val="linear"/>
            <c:dispRSqr val="0"/>
            <c:dispEq val="0"/>
          </c:trendline>
          <c:cat>
            <c:numRef>
              <c:f>Лист1!$A$2:$A$11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Лист1!$B$2:$B$11</c:f>
              <c:numCache>
                <c:formatCode>General</c:formatCode>
                <c:ptCount val="10"/>
                <c:pt idx="0">
                  <c:v>14.6</c:v>
                </c:pt>
                <c:pt idx="1">
                  <c:v>14.7</c:v>
                </c:pt>
                <c:pt idx="2">
                  <c:v>13</c:v>
                </c:pt>
                <c:pt idx="3">
                  <c:v>8.8000000000000007</c:v>
                </c:pt>
                <c:pt idx="4">
                  <c:v>9.6999999999999993</c:v>
                </c:pt>
                <c:pt idx="5">
                  <c:v>10.5</c:v>
                </c:pt>
                <c:pt idx="6">
                  <c:v>11.2</c:v>
                </c:pt>
                <c:pt idx="7">
                  <c:v>7.8</c:v>
                </c:pt>
                <c:pt idx="8">
                  <c:v>3.22</c:v>
                </c:pt>
                <c:pt idx="9">
                  <c:v>77.2</c:v>
                </c:pt>
              </c:numCache>
            </c:numRef>
          </c:val>
          <c:extLst>
            <c:ext xmlns:c16="http://schemas.microsoft.com/office/drawing/2014/chart" uri="{C3380CC4-5D6E-409C-BE32-E72D297353CC}">
              <c16:uniqueId val="{00000001-B5C6-4904-9EC9-24EDEEFC90ED}"/>
            </c:ext>
          </c:extLst>
        </c:ser>
        <c:dLbls>
          <c:showLegendKey val="0"/>
          <c:showVal val="1"/>
          <c:showCatName val="0"/>
          <c:showSerName val="0"/>
          <c:showPercent val="0"/>
          <c:showBubbleSize val="0"/>
        </c:dLbls>
        <c:gapWidth val="75"/>
        <c:axId val="765790528"/>
        <c:axId val="765786784"/>
      </c:barChart>
      <c:catAx>
        <c:axId val="76579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765786784"/>
        <c:crosses val="autoZero"/>
        <c:auto val="1"/>
        <c:lblAlgn val="ctr"/>
        <c:lblOffset val="100"/>
        <c:noMultiLvlLbl val="0"/>
      </c:catAx>
      <c:valAx>
        <c:axId val="7657867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7657905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5246</TotalTime>
  <Pages>4</Pages>
  <Words>1946</Words>
  <Characters>11289</Characters>
  <Application>Microsoft Office Word</Application>
  <DocSecurity>0</DocSecurity>
  <Lines>94</Lines>
  <Paragraphs>26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Serviciul Programe Nationale</cp:lastModifiedBy>
  <cp:revision>51</cp:revision>
  <dcterms:created xsi:type="dcterms:W3CDTF">2023-04-28T22:03:00Z</dcterms:created>
  <dcterms:modified xsi:type="dcterms:W3CDTF">2024-05-21T12:33:00Z</dcterms:modified>
</cp:coreProperties>
</file>