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5E341A" w:rsidRPr="002237CE" w:rsidRDefault="005E341A" w:rsidP="00337C04">
      <w:pPr>
        <w:jc w:val="center"/>
        <w:rPr>
          <w:b/>
          <w:lang w:val="ro-MD"/>
        </w:rPr>
      </w:pPr>
      <w:r w:rsidRPr="002237CE">
        <w:rPr>
          <w:b/>
          <w:lang w:val="ro-MD"/>
        </w:rPr>
        <w:t xml:space="preserve">Notă </w:t>
      </w:r>
      <w:r w:rsidR="00337C04" w:rsidRPr="002237CE">
        <w:rPr>
          <w:b/>
          <w:lang w:val="ro-MD"/>
        </w:rPr>
        <w:t>i</w:t>
      </w:r>
      <w:r w:rsidRPr="002237CE">
        <w:rPr>
          <w:b/>
          <w:lang w:val="ro-MD"/>
        </w:rPr>
        <w:t>nformativă</w:t>
      </w:r>
    </w:p>
    <w:p w:rsidR="002C2727" w:rsidRPr="002237CE" w:rsidRDefault="006D79CD" w:rsidP="002C2727">
      <w:pPr>
        <w:jc w:val="center"/>
        <w:rPr>
          <w:bCs/>
          <w:lang w:val="ro-MD"/>
        </w:rPr>
      </w:pPr>
      <w:r w:rsidRPr="002237CE">
        <w:rPr>
          <w:lang w:val="ro-MD"/>
        </w:rPr>
        <w:t xml:space="preserve">la </w:t>
      </w:r>
      <w:r w:rsidRPr="002237CE">
        <w:rPr>
          <w:bCs/>
          <w:lang w:val="ro-MD"/>
        </w:rPr>
        <w:t xml:space="preserve">proiectul </w:t>
      </w:r>
      <w:r w:rsidR="00861D31" w:rsidRPr="002237CE">
        <w:rPr>
          <w:bCs/>
          <w:lang w:val="ro-MD"/>
        </w:rPr>
        <w:t xml:space="preserve">de lege cu privire la modificarea Legii nr.1308/1997 </w:t>
      </w:r>
      <w:r w:rsidR="00EF431A" w:rsidRPr="002237CE">
        <w:rPr>
          <w:bCs/>
          <w:lang w:val="ro-MD"/>
        </w:rPr>
        <w:t xml:space="preserve">privind prețul normativ </w:t>
      </w:r>
      <w:proofErr w:type="spellStart"/>
      <w:r w:rsidR="00EF431A" w:rsidRPr="002237CE">
        <w:rPr>
          <w:bCs/>
          <w:lang w:val="ro-MD"/>
        </w:rPr>
        <w:t>şi</w:t>
      </w:r>
      <w:proofErr w:type="spellEnd"/>
      <w:r w:rsidR="00EF431A" w:rsidRPr="002237CE">
        <w:rPr>
          <w:bCs/>
          <w:lang w:val="ro-MD"/>
        </w:rPr>
        <w:t xml:space="preserve"> </w:t>
      </w:r>
      <w:r w:rsidR="00861D31" w:rsidRPr="002237CE">
        <w:rPr>
          <w:bCs/>
          <w:lang w:val="ro-MD"/>
        </w:rPr>
        <w:t>modul de vânzare-cumpărare a pământului</w:t>
      </w:r>
    </w:p>
    <w:p w:rsidR="005E341A" w:rsidRPr="002237CE" w:rsidRDefault="002B73B7" w:rsidP="002C2727">
      <w:pPr>
        <w:jc w:val="center"/>
        <w:rPr>
          <w:bCs/>
          <w:lang w:val="ro-MD"/>
        </w:rPr>
      </w:pPr>
      <w:r w:rsidRPr="002237CE">
        <w:rPr>
          <w:bCs/>
          <w:lang w:val="ro-MD"/>
        </w:rPr>
        <w:t xml:space="preserve"> </w:t>
      </w:r>
      <w:r w:rsidR="006D79CD" w:rsidRPr="002237CE">
        <w:rPr>
          <w:bCs/>
          <w:lang w:val="ro-MD"/>
        </w:rPr>
        <w:t xml:space="preserve"> (privind </w:t>
      </w:r>
      <w:r w:rsidR="002028F2" w:rsidRPr="002237CE">
        <w:rPr>
          <w:bCs/>
          <w:lang w:val="ro-MD"/>
        </w:rPr>
        <w:t xml:space="preserve">administrarea </w:t>
      </w:r>
      <w:r w:rsidR="007A3A4A" w:rsidRPr="002237CE">
        <w:rPr>
          <w:bCs/>
          <w:lang w:val="ro-MD"/>
        </w:rPr>
        <w:t>terenurilor proprietate publică</w:t>
      </w:r>
      <w:r w:rsidR="006D79CD" w:rsidRPr="002237CE">
        <w:rPr>
          <w:bCs/>
          <w:lang w:val="ro-MD"/>
        </w:rPr>
        <w:t>)</w:t>
      </w:r>
    </w:p>
    <w:p w:rsidR="00A83BBE" w:rsidRPr="002237CE" w:rsidRDefault="00A83BBE" w:rsidP="002C2727">
      <w:pPr>
        <w:jc w:val="center"/>
        <w:rPr>
          <w:bCs/>
          <w:lang w:val="ro-MD"/>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788"/>
      </w:tblGrid>
      <w:tr w:rsidR="005E341A" w:rsidRPr="00945EF4" w:rsidTr="007C1521">
        <w:trPr>
          <w:trHeight w:val="535"/>
        </w:trPr>
        <w:tc>
          <w:tcPr>
            <w:tcW w:w="568" w:type="dxa"/>
            <w:shd w:val="clear" w:color="auto" w:fill="BFBFBF"/>
          </w:tcPr>
          <w:p w:rsidR="005E341A" w:rsidRPr="002237CE" w:rsidRDefault="005E341A" w:rsidP="007D65ED">
            <w:pPr>
              <w:spacing w:line="276" w:lineRule="auto"/>
              <w:jc w:val="both"/>
              <w:rPr>
                <w:b/>
                <w:lang w:val="ro-MD"/>
              </w:rPr>
            </w:pPr>
            <w:r w:rsidRPr="002237CE">
              <w:rPr>
                <w:b/>
                <w:lang w:val="ro-MD"/>
              </w:rPr>
              <w:t>1.</w:t>
            </w:r>
          </w:p>
        </w:tc>
        <w:tc>
          <w:tcPr>
            <w:tcW w:w="8788" w:type="dxa"/>
            <w:shd w:val="clear" w:color="auto" w:fill="BFBFBF"/>
          </w:tcPr>
          <w:p w:rsidR="005E341A" w:rsidRPr="002237CE" w:rsidRDefault="005E341A" w:rsidP="007D65ED">
            <w:pPr>
              <w:spacing w:line="276" w:lineRule="auto"/>
              <w:jc w:val="both"/>
              <w:rPr>
                <w:b/>
                <w:lang w:val="ro-MD"/>
              </w:rPr>
            </w:pPr>
            <w:r w:rsidRPr="002237CE">
              <w:rPr>
                <w:b/>
                <w:lang w:val="ro-MD"/>
              </w:rPr>
              <w:t>Denumirea autorului și, după caz, a participanților la elaborarea proiectului</w:t>
            </w:r>
          </w:p>
        </w:tc>
      </w:tr>
      <w:tr w:rsidR="005E341A" w:rsidRPr="00945EF4" w:rsidTr="007C1521">
        <w:trPr>
          <w:trHeight w:val="198"/>
        </w:trPr>
        <w:tc>
          <w:tcPr>
            <w:tcW w:w="568" w:type="dxa"/>
            <w:shd w:val="clear" w:color="auto" w:fill="FFFFFF"/>
          </w:tcPr>
          <w:p w:rsidR="005E341A" w:rsidRPr="002237CE" w:rsidRDefault="005E341A" w:rsidP="007D65ED">
            <w:pPr>
              <w:spacing w:line="276" w:lineRule="auto"/>
              <w:jc w:val="both"/>
              <w:rPr>
                <w:lang w:val="ro-MD"/>
              </w:rPr>
            </w:pPr>
          </w:p>
        </w:tc>
        <w:tc>
          <w:tcPr>
            <w:tcW w:w="8788" w:type="dxa"/>
            <w:shd w:val="clear" w:color="auto" w:fill="FFFFFF"/>
          </w:tcPr>
          <w:p w:rsidR="005E341A" w:rsidRPr="002237CE" w:rsidRDefault="005E341A" w:rsidP="00F57804">
            <w:pPr>
              <w:jc w:val="both"/>
              <w:rPr>
                <w:lang w:val="ro-MD"/>
              </w:rPr>
            </w:pPr>
            <w:r w:rsidRPr="002237CE">
              <w:rPr>
                <w:lang w:val="ro-MD"/>
              </w:rPr>
              <w:t xml:space="preserve">Proiectul </w:t>
            </w:r>
            <w:r w:rsidR="00BF2E4D" w:rsidRPr="002237CE">
              <w:rPr>
                <w:lang w:val="ro-MD"/>
              </w:rPr>
              <w:t xml:space="preserve">de lege </w:t>
            </w:r>
            <w:r w:rsidRPr="002237CE">
              <w:rPr>
                <w:lang w:val="ro-MD"/>
              </w:rPr>
              <w:t xml:space="preserve">a fost elaborat de Ministerul </w:t>
            </w:r>
            <w:r w:rsidR="00B53765" w:rsidRPr="002237CE">
              <w:rPr>
                <w:lang w:val="ro-MD"/>
              </w:rPr>
              <w:t>Dezvoltării Economice și Digitalizării</w:t>
            </w:r>
            <w:r w:rsidRPr="002237CE">
              <w:rPr>
                <w:lang w:val="ro-MD"/>
              </w:rPr>
              <w:t xml:space="preserve"> </w:t>
            </w:r>
            <w:r w:rsidR="00A06915" w:rsidRPr="002237CE">
              <w:rPr>
                <w:lang w:val="ro-MD"/>
              </w:rPr>
              <w:t xml:space="preserve">  </w:t>
            </w:r>
          </w:p>
        </w:tc>
      </w:tr>
      <w:tr w:rsidR="005E341A" w:rsidRPr="00945EF4" w:rsidTr="007C1521">
        <w:trPr>
          <w:trHeight w:val="535"/>
        </w:trPr>
        <w:tc>
          <w:tcPr>
            <w:tcW w:w="568" w:type="dxa"/>
            <w:shd w:val="clear" w:color="auto" w:fill="BFBFBF"/>
          </w:tcPr>
          <w:p w:rsidR="005E341A" w:rsidRPr="002237CE" w:rsidRDefault="005E341A" w:rsidP="007D65ED">
            <w:pPr>
              <w:spacing w:line="276" w:lineRule="auto"/>
              <w:jc w:val="both"/>
              <w:rPr>
                <w:b/>
                <w:lang w:val="ro-MD"/>
              </w:rPr>
            </w:pPr>
            <w:r w:rsidRPr="002237CE">
              <w:rPr>
                <w:b/>
                <w:lang w:val="ro-MD"/>
              </w:rPr>
              <w:t>2.</w:t>
            </w:r>
          </w:p>
        </w:tc>
        <w:tc>
          <w:tcPr>
            <w:tcW w:w="8788" w:type="dxa"/>
            <w:shd w:val="clear" w:color="auto" w:fill="BFBFBF"/>
          </w:tcPr>
          <w:p w:rsidR="005E341A" w:rsidRPr="002237CE" w:rsidRDefault="005E341A" w:rsidP="007D65ED">
            <w:pPr>
              <w:spacing w:line="276" w:lineRule="auto"/>
              <w:jc w:val="both"/>
              <w:rPr>
                <w:b/>
                <w:lang w:val="ro-MD"/>
              </w:rPr>
            </w:pPr>
            <w:r w:rsidRPr="002237CE">
              <w:rPr>
                <w:b/>
                <w:lang w:val="ro-MD"/>
              </w:rPr>
              <w:t xml:space="preserve">Condițiile ce au impus elaborarea proiectului de act normativ și finalitățile urmărite </w:t>
            </w:r>
          </w:p>
        </w:tc>
      </w:tr>
      <w:tr w:rsidR="005E341A" w:rsidRPr="00945EF4" w:rsidTr="007C1521">
        <w:trPr>
          <w:trHeight w:val="847"/>
        </w:trPr>
        <w:tc>
          <w:tcPr>
            <w:tcW w:w="568" w:type="dxa"/>
            <w:shd w:val="clear" w:color="auto" w:fill="auto"/>
          </w:tcPr>
          <w:p w:rsidR="005E341A" w:rsidRPr="002237CE" w:rsidRDefault="005E341A" w:rsidP="007D65ED">
            <w:pPr>
              <w:ind w:firstLine="567"/>
              <w:jc w:val="both"/>
              <w:rPr>
                <w:lang w:val="ro-MD"/>
              </w:rPr>
            </w:pPr>
          </w:p>
        </w:tc>
        <w:tc>
          <w:tcPr>
            <w:tcW w:w="8788" w:type="dxa"/>
            <w:shd w:val="clear" w:color="auto" w:fill="auto"/>
          </w:tcPr>
          <w:p w:rsidR="007F7F68" w:rsidRPr="002237CE" w:rsidRDefault="002028F2" w:rsidP="00B50F01">
            <w:pPr>
              <w:pStyle w:val="ListParagraph"/>
              <w:ind w:left="0" w:firstLine="317"/>
              <w:jc w:val="both"/>
              <w:rPr>
                <w:lang w:val="ro-MD" w:eastAsia="ro-RO"/>
              </w:rPr>
            </w:pPr>
            <w:r w:rsidRPr="002237CE">
              <w:rPr>
                <w:lang w:val="ro-MD" w:eastAsia="ro-RO"/>
              </w:rPr>
              <w:t>Prezentul proiect a fost elaborat</w:t>
            </w:r>
            <w:r w:rsidR="00FD41E5" w:rsidRPr="002237CE">
              <w:rPr>
                <w:lang w:val="ro-MD" w:eastAsia="ro-RO"/>
              </w:rPr>
              <w:t xml:space="preserve"> în temeiul </w:t>
            </w:r>
            <w:r w:rsidR="00000B33" w:rsidRPr="002237CE">
              <w:rPr>
                <w:lang w:val="ro-MD" w:eastAsia="ro-RO"/>
              </w:rPr>
              <w:t>Hotărârii</w:t>
            </w:r>
            <w:r w:rsidR="00513972" w:rsidRPr="002237CE">
              <w:rPr>
                <w:lang w:val="ro-MD" w:eastAsia="ro-RO"/>
              </w:rPr>
              <w:t xml:space="preserve"> Curții Constituționale nr. 19/2023 </w:t>
            </w:r>
            <w:r w:rsidR="00BF2E4D" w:rsidRPr="002237CE">
              <w:rPr>
                <w:i/>
                <w:lang w:val="ro-MD" w:eastAsia="ro-RO"/>
              </w:rPr>
              <w:t>p</w:t>
            </w:r>
            <w:r w:rsidR="00513972" w:rsidRPr="002237CE">
              <w:rPr>
                <w:i/>
                <w:lang w:val="ro-MD" w:eastAsia="ro-RO"/>
              </w:rPr>
              <w:t xml:space="preserve">rivind controlul constituționalității unor </w:t>
            </w:r>
            <w:r w:rsidR="00000B33" w:rsidRPr="002237CE">
              <w:rPr>
                <w:i/>
                <w:lang w:val="ro-MD" w:eastAsia="ro-RO"/>
              </w:rPr>
              <w:t>prevederi</w:t>
            </w:r>
            <w:r w:rsidR="00513972" w:rsidRPr="002237CE">
              <w:rPr>
                <w:i/>
                <w:lang w:val="ro-MD" w:eastAsia="ro-RO"/>
              </w:rPr>
              <w:t xml:space="preserve"> din Legea nr.1308/1997 privind prețul normativ și modul de </w:t>
            </w:r>
            <w:r w:rsidR="00000B33" w:rsidRPr="002237CE">
              <w:rPr>
                <w:i/>
                <w:lang w:val="ro-MD" w:eastAsia="ro-RO"/>
              </w:rPr>
              <w:t>vânzare</w:t>
            </w:r>
            <w:r w:rsidR="00513972" w:rsidRPr="002237CE">
              <w:rPr>
                <w:i/>
                <w:lang w:val="ro-MD" w:eastAsia="ro-RO"/>
              </w:rPr>
              <w:t xml:space="preserve">-cumpărare a </w:t>
            </w:r>
            <w:r w:rsidR="00000B33" w:rsidRPr="002237CE">
              <w:rPr>
                <w:i/>
                <w:lang w:val="ro-MD" w:eastAsia="ro-RO"/>
              </w:rPr>
              <w:t>pământului</w:t>
            </w:r>
            <w:r w:rsidR="00513972" w:rsidRPr="002237CE">
              <w:rPr>
                <w:i/>
                <w:lang w:val="ro-MD" w:eastAsia="ro-RO"/>
              </w:rPr>
              <w:t xml:space="preserve"> (plata anuală a arendei pentru terenurile proprietate publică</w:t>
            </w:r>
            <w:r w:rsidR="00B807D4" w:rsidRPr="002237CE">
              <w:rPr>
                <w:i/>
                <w:lang w:val="ro-MD" w:eastAsia="ro-RO"/>
              </w:rPr>
              <w:t xml:space="preserve"> aferente obiectivelor privatizate/private)</w:t>
            </w:r>
            <w:r w:rsidR="007F7F68" w:rsidRPr="002237CE">
              <w:rPr>
                <w:i/>
                <w:lang w:val="ro-MD" w:eastAsia="ro-RO"/>
              </w:rPr>
              <w:t>.</w:t>
            </w:r>
          </w:p>
          <w:p w:rsidR="00BF2E4D" w:rsidRPr="002237CE" w:rsidRDefault="00823174" w:rsidP="00B50F01">
            <w:pPr>
              <w:pStyle w:val="ListParagraph"/>
              <w:ind w:left="0" w:firstLine="317"/>
              <w:jc w:val="both"/>
              <w:rPr>
                <w:lang w:val="ro-MD"/>
              </w:rPr>
            </w:pPr>
            <w:r w:rsidRPr="002237CE">
              <w:rPr>
                <w:lang w:val="ro-MD" w:eastAsia="ro-RO"/>
              </w:rPr>
              <w:t>În acest sens menționăm că</w:t>
            </w:r>
            <w:r w:rsidR="00000B33" w:rsidRPr="002237CE">
              <w:rPr>
                <w:lang w:val="ro-MD" w:eastAsia="ro-RO"/>
              </w:rPr>
              <w:t>,</w:t>
            </w:r>
            <w:r w:rsidRPr="002237CE">
              <w:rPr>
                <w:lang w:val="ro-MD" w:eastAsia="ro-RO"/>
              </w:rPr>
              <w:t xml:space="preserve"> conform </w:t>
            </w:r>
            <w:r w:rsidR="00BF2E4D" w:rsidRPr="002237CE">
              <w:rPr>
                <w:lang w:val="ro-MD" w:eastAsia="ro-RO"/>
              </w:rPr>
              <w:t xml:space="preserve">hotărârii </w:t>
            </w:r>
            <w:r w:rsidR="00000B33" w:rsidRPr="002237CE">
              <w:rPr>
                <w:lang w:val="ro-MD" w:eastAsia="ro-RO"/>
              </w:rPr>
              <w:t>sus-citate</w:t>
            </w:r>
            <w:r w:rsidR="00BF2E4D" w:rsidRPr="002237CE">
              <w:rPr>
                <w:lang w:val="ro-MD" w:eastAsia="ro-RO"/>
              </w:rPr>
              <w:t>,</w:t>
            </w:r>
            <w:r w:rsidR="00000B33" w:rsidRPr="002237CE">
              <w:rPr>
                <w:lang w:val="ro-MD" w:eastAsia="ro-RO"/>
              </w:rPr>
              <w:t xml:space="preserve"> Curtea Constituțională a declarat neconstituțional</w:t>
            </w:r>
            <w:r w:rsidR="00BF2E4D" w:rsidRPr="002237CE">
              <w:rPr>
                <w:lang w:val="ro-MD" w:eastAsia="ro-RO"/>
              </w:rPr>
              <w:t>e</w:t>
            </w:r>
            <w:r w:rsidR="00000B33" w:rsidRPr="002237CE">
              <w:rPr>
                <w:lang w:val="ro-MD" w:eastAsia="ro-RO"/>
              </w:rPr>
              <w:t xml:space="preserve"> </w:t>
            </w:r>
            <w:r w:rsidR="00BF2E4D" w:rsidRPr="002237CE">
              <w:rPr>
                <w:lang w:val="ro-MD" w:eastAsia="ro-RO"/>
              </w:rPr>
              <w:t xml:space="preserve">alineatele (8) și (11) ale </w:t>
            </w:r>
            <w:r w:rsidR="00000B33" w:rsidRPr="002237CE">
              <w:rPr>
                <w:lang w:val="ro-MD" w:eastAsia="ro-RO"/>
              </w:rPr>
              <w:t>articol</w:t>
            </w:r>
            <w:r w:rsidR="00BF2E4D" w:rsidRPr="002237CE">
              <w:rPr>
                <w:lang w:val="ro-MD" w:eastAsia="ro-RO"/>
              </w:rPr>
              <w:t>ului</w:t>
            </w:r>
            <w:r w:rsidR="00000B33" w:rsidRPr="002237CE">
              <w:rPr>
                <w:lang w:val="ro-MD" w:eastAsia="ro-RO"/>
              </w:rPr>
              <w:t xml:space="preserve"> 10 din </w:t>
            </w:r>
            <w:r w:rsidR="00000B33" w:rsidRPr="002237CE">
              <w:rPr>
                <w:lang w:val="ro-MD"/>
              </w:rPr>
              <w:t xml:space="preserve">Legea nr. </w:t>
            </w:r>
            <w:r w:rsidR="00BF2E4D" w:rsidRPr="002237CE">
              <w:rPr>
                <w:lang w:val="ro-MD"/>
              </w:rPr>
              <w:t>1308/1</w:t>
            </w:r>
            <w:r w:rsidR="00000B33" w:rsidRPr="002237CE">
              <w:rPr>
                <w:lang w:val="ro-MD"/>
              </w:rPr>
              <w:t xml:space="preserve">997 </w:t>
            </w:r>
            <w:r w:rsidR="00000B33" w:rsidRPr="002237CE">
              <w:rPr>
                <w:i/>
                <w:lang w:val="ro-MD"/>
              </w:rPr>
              <w:t xml:space="preserve">privind </w:t>
            </w:r>
            <w:r w:rsidR="00896816" w:rsidRPr="002237CE">
              <w:rPr>
                <w:i/>
                <w:lang w:val="ro-MD"/>
              </w:rPr>
              <w:t>prețul</w:t>
            </w:r>
            <w:r w:rsidR="00000B33" w:rsidRPr="002237CE">
              <w:rPr>
                <w:i/>
                <w:lang w:val="ro-MD"/>
              </w:rPr>
              <w:t xml:space="preserve"> normativ și modul de </w:t>
            </w:r>
            <w:r w:rsidR="00896816" w:rsidRPr="002237CE">
              <w:rPr>
                <w:i/>
                <w:lang w:val="ro-MD"/>
              </w:rPr>
              <w:t>vânzare-</w:t>
            </w:r>
            <w:r w:rsidR="00000B33" w:rsidRPr="002237CE">
              <w:rPr>
                <w:i/>
                <w:lang w:val="ro-MD"/>
              </w:rPr>
              <w:t xml:space="preserve">cumpărare a </w:t>
            </w:r>
            <w:r w:rsidR="00896816" w:rsidRPr="002237CE">
              <w:rPr>
                <w:i/>
                <w:lang w:val="ro-MD"/>
              </w:rPr>
              <w:t>pământului</w:t>
            </w:r>
            <w:r w:rsidR="00000B33" w:rsidRPr="002237CE">
              <w:rPr>
                <w:lang w:val="ro-MD"/>
              </w:rPr>
              <w:t>.</w:t>
            </w:r>
            <w:r w:rsidR="00896816" w:rsidRPr="002237CE">
              <w:rPr>
                <w:lang w:val="ro-MD"/>
              </w:rPr>
              <w:t xml:space="preserve"> </w:t>
            </w:r>
            <w:r w:rsidR="00BF2E4D" w:rsidRPr="002237CE">
              <w:rPr>
                <w:lang w:val="ro-MD"/>
              </w:rPr>
              <w:t>Totodată, instanța a statuat că hotărârea este irevocabilă, neputând fi contestată prin nici</w:t>
            </w:r>
            <w:r w:rsidR="0011731E" w:rsidRPr="002237CE">
              <w:rPr>
                <w:lang w:val="ro-MD"/>
              </w:rPr>
              <w:t xml:space="preserve"> </w:t>
            </w:r>
            <w:r w:rsidR="00BF2E4D" w:rsidRPr="002237CE">
              <w:rPr>
                <w:lang w:val="ro-MD"/>
              </w:rPr>
              <w:t>o cale de atac și va intra în vigoare la data adoptării.</w:t>
            </w:r>
          </w:p>
          <w:p w:rsidR="00950EAA" w:rsidRPr="002237CE" w:rsidRDefault="00950EAA" w:rsidP="0054005F">
            <w:pPr>
              <w:pStyle w:val="tt"/>
              <w:ind w:firstLine="317"/>
              <w:jc w:val="both"/>
              <w:rPr>
                <w:b w:val="0"/>
                <w:lang w:val="ro-MD"/>
              </w:rPr>
            </w:pPr>
          </w:p>
        </w:tc>
      </w:tr>
      <w:tr w:rsidR="005E341A" w:rsidRPr="00945EF4" w:rsidTr="007C1521">
        <w:tc>
          <w:tcPr>
            <w:tcW w:w="568" w:type="dxa"/>
            <w:shd w:val="clear" w:color="auto" w:fill="BFBFBF"/>
          </w:tcPr>
          <w:p w:rsidR="005E341A" w:rsidRPr="002237CE" w:rsidRDefault="00314B59" w:rsidP="007D65ED">
            <w:pPr>
              <w:spacing w:line="276" w:lineRule="auto"/>
              <w:jc w:val="both"/>
              <w:rPr>
                <w:b/>
                <w:lang w:val="ro-MD"/>
              </w:rPr>
            </w:pPr>
            <w:r w:rsidRPr="002237CE">
              <w:rPr>
                <w:b/>
                <w:lang w:val="ro-MD"/>
              </w:rPr>
              <w:t xml:space="preserve">  </w:t>
            </w:r>
            <w:r w:rsidR="00C03988" w:rsidRPr="002237CE">
              <w:rPr>
                <w:b/>
                <w:lang w:val="ro-MD"/>
              </w:rPr>
              <w:t>3.</w:t>
            </w:r>
            <w:r w:rsidRPr="002237CE">
              <w:rPr>
                <w:b/>
                <w:lang w:val="ro-MD"/>
              </w:rPr>
              <w:t xml:space="preserve">   </w:t>
            </w:r>
          </w:p>
        </w:tc>
        <w:tc>
          <w:tcPr>
            <w:tcW w:w="8788" w:type="dxa"/>
            <w:shd w:val="clear" w:color="auto" w:fill="BFBFBF"/>
          </w:tcPr>
          <w:p w:rsidR="005E341A" w:rsidRPr="002237CE" w:rsidRDefault="005E341A" w:rsidP="007D65ED">
            <w:pPr>
              <w:spacing w:line="276" w:lineRule="auto"/>
              <w:jc w:val="both"/>
              <w:rPr>
                <w:b/>
                <w:lang w:val="ro-MD"/>
              </w:rPr>
            </w:pPr>
            <w:r w:rsidRPr="002237CE">
              <w:rPr>
                <w:b/>
                <w:lang w:val="ro-MD"/>
              </w:rPr>
              <w:t>Descrierea gradului de compatibilitate a prevederilor proiectului cu legislația Uniunii Europene</w:t>
            </w:r>
          </w:p>
        </w:tc>
      </w:tr>
      <w:tr w:rsidR="005E341A" w:rsidRPr="00945EF4" w:rsidTr="007C1521">
        <w:tc>
          <w:tcPr>
            <w:tcW w:w="568" w:type="dxa"/>
            <w:shd w:val="clear" w:color="auto" w:fill="auto"/>
          </w:tcPr>
          <w:p w:rsidR="005E341A" w:rsidRPr="002237CE" w:rsidRDefault="005E341A" w:rsidP="007D65ED">
            <w:pPr>
              <w:spacing w:line="276" w:lineRule="auto"/>
              <w:jc w:val="both"/>
              <w:rPr>
                <w:lang w:val="ro-MD"/>
              </w:rPr>
            </w:pPr>
          </w:p>
        </w:tc>
        <w:tc>
          <w:tcPr>
            <w:tcW w:w="8788" w:type="dxa"/>
            <w:shd w:val="clear" w:color="auto" w:fill="auto"/>
          </w:tcPr>
          <w:p w:rsidR="005E341A" w:rsidRPr="002237CE" w:rsidRDefault="005E341A" w:rsidP="00D0737A">
            <w:pPr>
              <w:ind w:firstLine="317"/>
              <w:jc w:val="both"/>
              <w:rPr>
                <w:lang w:val="ro-MD"/>
              </w:rPr>
            </w:pPr>
            <w:r w:rsidRPr="002237CE">
              <w:rPr>
                <w:lang w:val="ro-MD"/>
              </w:rPr>
              <w:t>Prezentul proiect de act normativ nu contravine legislației UE</w:t>
            </w:r>
            <w:r w:rsidR="00BC5CAF" w:rsidRPr="002237CE">
              <w:rPr>
                <w:lang w:val="ro-MD"/>
              </w:rPr>
              <w:t xml:space="preserve"> și nu reprezintă un act de armonizare a legislației naționale cu legislația UE</w:t>
            </w:r>
          </w:p>
        </w:tc>
      </w:tr>
      <w:tr w:rsidR="005E341A" w:rsidRPr="00945EF4" w:rsidTr="007C1521">
        <w:tc>
          <w:tcPr>
            <w:tcW w:w="568" w:type="dxa"/>
            <w:shd w:val="clear" w:color="auto" w:fill="D9D9D9"/>
          </w:tcPr>
          <w:p w:rsidR="005E341A" w:rsidRPr="002237CE" w:rsidRDefault="005E341A" w:rsidP="007D65ED">
            <w:pPr>
              <w:spacing w:line="276" w:lineRule="auto"/>
              <w:jc w:val="both"/>
              <w:rPr>
                <w:b/>
                <w:lang w:val="ro-MD"/>
              </w:rPr>
            </w:pPr>
            <w:r w:rsidRPr="002237CE">
              <w:rPr>
                <w:b/>
                <w:lang w:val="ro-MD"/>
              </w:rPr>
              <w:t>4.</w:t>
            </w:r>
          </w:p>
        </w:tc>
        <w:tc>
          <w:tcPr>
            <w:tcW w:w="8788" w:type="dxa"/>
            <w:shd w:val="clear" w:color="auto" w:fill="D9D9D9"/>
          </w:tcPr>
          <w:p w:rsidR="005E341A" w:rsidRPr="002237CE" w:rsidRDefault="005E341A" w:rsidP="007D65ED">
            <w:pPr>
              <w:spacing w:line="276" w:lineRule="auto"/>
              <w:ind w:firstLine="175"/>
              <w:jc w:val="both"/>
              <w:rPr>
                <w:b/>
                <w:lang w:val="ro-MD" w:eastAsia="en-GB"/>
              </w:rPr>
            </w:pPr>
            <w:r w:rsidRPr="002237CE">
              <w:rPr>
                <w:b/>
                <w:lang w:val="ro-MD" w:eastAsia="en-GB"/>
              </w:rPr>
              <w:t>Principalele prevederi ale proiectului și evidențierea elementelor noi</w:t>
            </w:r>
          </w:p>
        </w:tc>
      </w:tr>
      <w:tr w:rsidR="005E341A" w:rsidRPr="00945EF4" w:rsidTr="00D50CF0">
        <w:trPr>
          <w:trHeight w:val="983"/>
        </w:trPr>
        <w:tc>
          <w:tcPr>
            <w:tcW w:w="568" w:type="dxa"/>
            <w:shd w:val="clear" w:color="auto" w:fill="auto"/>
          </w:tcPr>
          <w:p w:rsidR="005E341A" w:rsidRPr="008E376A" w:rsidRDefault="005E341A" w:rsidP="007D65ED">
            <w:pPr>
              <w:ind w:left="29" w:firstLine="709"/>
              <w:jc w:val="both"/>
              <w:rPr>
                <w:lang w:val="ro-MD"/>
              </w:rPr>
            </w:pPr>
          </w:p>
          <w:p w:rsidR="005E341A" w:rsidRPr="008E376A" w:rsidRDefault="005E341A" w:rsidP="007D65ED">
            <w:pPr>
              <w:rPr>
                <w:lang w:val="ro-MD"/>
              </w:rPr>
            </w:pPr>
          </w:p>
        </w:tc>
        <w:tc>
          <w:tcPr>
            <w:tcW w:w="8788" w:type="dxa"/>
            <w:shd w:val="clear" w:color="auto" w:fill="auto"/>
          </w:tcPr>
          <w:p w:rsidR="009E4E64" w:rsidRDefault="00444F6A" w:rsidP="00500082">
            <w:pPr>
              <w:pStyle w:val="NormalWeb"/>
              <w:shd w:val="clear" w:color="auto" w:fill="FFFFFF"/>
              <w:ind w:firstLine="34"/>
              <w:rPr>
                <w:lang w:val="ro-MD"/>
              </w:rPr>
            </w:pPr>
            <w:r w:rsidRPr="008E376A">
              <w:rPr>
                <w:lang w:val="ro-MD"/>
              </w:rPr>
              <w:t>P</w:t>
            </w:r>
            <w:r w:rsidR="00D0737A" w:rsidRPr="008E376A">
              <w:rPr>
                <w:lang w:val="ro-MD"/>
              </w:rPr>
              <w:t>rincipalele prevederile ale p</w:t>
            </w:r>
            <w:r w:rsidRPr="008E376A">
              <w:rPr>
                <w:lang w:val="ro-MD"/>
              </w:rPr>
              <w:t>roiectul</w:t>
            </w:r>
            <w:r w:rsidR="00D0737A" w:rsidRPr="008E376A">
              <w:rPr>
                <w:lang w:val="ro-MD"/>
              </w:rPr>
              <w:t>ui</w:t>
            </w:r>
            <w:r w:rsidR="002C2727" w:rsidRPr="008E376A">
              <w:rPr>
                <w:lang w:val="ro-MD"/>
              </w:rPr>
              <w:t xml:space="preserve"> de</w:t>
            </w:r>
            <w:r w:rsidRPr="008E376A">
              <w:rPr>
                <w:lang w:val="ro-MD"/>
              </w:rPr>
              <w:t xml:space="preserve"> </w:t>
            </w:r>
            <w:r w:rsidR="00D0737A" w:rsidRPr="008E376A">
              <w:rPr>
                <w:lang w:val="ro-MD"/>
              </w:rPr>
              <w:t>leg</w:t>
            </w:r>
            <w:r w:rsidR="002C2727" w:rsidRPr="008E376A">
              <w:rPr>
                <w:lang w:val="ro-MD"/>
              </w:rPr>
              <w:t>e</w:t>
            </w:r>
            <w:r w:rsidRPr="008E376A">
              <w:rPr>
                <w:lang w:val="ro-MD"/>
              </w:rPr>
              <w:t xml:space="preserve"> </w:t>
            </w:r>
            <w:r w:rsidR="00D0737A" w:rsidRPr="008E376A">
              <w:rPr>
                <w:lang w:val="ro-MD"/>
              </w:rPr>
              <w:t xml:space="preserve">se pliază pe </w:t>
            </w:r>
            <w:r w:rsidR="00242733" w:rsidRPr="008E376A">
              <w:rPr>
                <w:lang w:val="ro-MD"/>
              </w:rPr>
              <w:t>executarea Hotărârii Curții Constituționale nr.19/2023</w:t>
            </w:r>
            <w:r w:rsidR="002C2727" w:rsidRPr="008E376A">
              <w:rPr>
                <w:i/>
                <w:lang w:val="ro-MD" w:eastAsia="ro-RO"/>
              </w:rPr>
              <w:t xml:space="preserve"> </w:t>
            </w:r>
            <w:r w:rsidR="002C2727" w:rsidRPr="008E376A">
              <w:rPr>
                <w:i/>
                <w:lang w:val="ro-MD"/>
              </w:rPr>
              <w:t>privind controlul constituționalității unor prevederi din Legea nr.1308/1997 privind prețul normativ și modul de vânzare-cumpărare a pământului (plata anuală a arendei pentru terenurile proprietate publică aferente obiectivelor privatizate/private),</w:t>
            </w:r>
            <w:r w:rsidR="00242733" w:rsidRPr="008E376A">
              <w:rPr>
                <w:lang w:val="ro-MD"/>
              </w:rPr>
              <w:t xml:space="preserve"> </w:t>
            </w:r>
            <w:r w:rsidR="009E4E64">
              <w:rPr>
                <w:lang w:val="ro-MD"/>
              </w:rPr>
              <w:t xml:space="preserve">și anume completarea articolului 10 din Legea 1308/1997 cu </w:t>
            </w:r>
            <w:r w:rsidR="00945EF4">
              <w:rPr>
                <w:lang w:val="ro-MD"/>
              </w:rPr>
              <w:t xml:space="preserve">un </w:t>
            </w:r>
            <w:r w:rsidR="009E4E64">
              <w:rPr>
                <w:lang w:val="ro-MD"/>
              </w:rPr>
              <w:t xml:space="preserve"> aliniat no</w:t>
            </w:r>
            <w:r w:rsidR="00945EF4">
              <w:rPr>
                <w:lang w:val="ro-MD"/>
              </w:rPr>
              <w:t xml:space="preserve">u, </w:t>
            </w:r>
            <w:r w:rsidR="009E4E64">
              <w:rPr>
                <w:lang w:val="ro-MD"/>
              </w:rPr>
              <w:t xml:space="preserve">cu următorul conținut: </w:t>
            </w:r>
          </w:p>
          <w:p w:rsidR="00945EF4" w:rsidRPr="00945EF4" w:rsidRDefault="00945EF4" w:rsidP="00945EF4">
            <w:pPr>
              <w:shd w:val="clear" w:color="auto" w:fill="FFFFFF"/>
              <w:jc w:val="both"/>
              <w:rPr>
                <w:bCs/>
                <w:lang w:val="ro-MD"/>
              </w:rPr>
            </w:pPr>
            <w:r w:rsidRPr="00945EF4">
              <w:rPr>
                <w:bCs/>
                <w:lang w:val="ro-MD"/>
              </w:rPr>
              <w:t>”(7</w:t>
            </w:r>
            <w:r w:rsidRPr="00945EF4">
              <w:rPr>
                <w:bCs/>
                <w:vertAlign w:val="superscript"/>
                <w:lang w:val="ro-MD"/>
              </w:rPr>
              <w:t>1</w:t>
            </w:r>
            <w:r w:rsidRPr="00945EF4">
              <w:rPr>
                <w:bCs/>
                <w:lang w:val="ro-MD"/>
              </w:rPr>
              <w:t xml:space="preserve">) Plata anuală de arendă a terenurilor proprietate publică aferente bunurilor proprietate privată/bunurilor privatizate va constitui nu mai puțin de 2% din prețul normativ al pământului calculat pentru destinația respectivă, cu excepția cazurilor prevăzute la alin.(9) </w:t>
            </w:r>
            <w:proofErr w:type="spellStart"/>
            <w:r w:rsidRPr="00945EF4">
              <w:rPr>
                <w:bCs/>
                <w:lang w:val="ro-MD"/>
              </w:rPr>
              <w:t>şi</w:t>
            </w:r>
            <w:proofErr w:type="spellEnd"/>
            <w:r w:rsidRPr="00945EF4">
              <w:rPr>
                <w:bCs/>
                <w:lang w:val="ro-MD"/>
              </w:rPr>
              <w:t xml:space="preserve"> (10)”. </w:t>
            </w:r>
          </w:p>
          <w:p w:rsidR="009C7CF4" w:rsidRDefault="009C7CF4" w:rsidP="009C7CF4">
            <w:pPr>
              <w:shd w:val="clear" w:color="auto" w:fill="FFFFFF"/>
              <w:jc w:val="both"/>
              <w:rPr>
                <w:lang w:val="ro-MD"/>
              </w:rPr>
            </w:pPr>
            <w:r>
              <w:rPr>
                <w:lang w:val="ro-MD"/>
              </w:rPr>
              <w:t>Completarea respectivă vine ca</w:t>
            </w:r>
            <w:r w:rsidRPr="009C7CF4">
              <w:rPr>
                <w:lang w:val="ro-MD"/>
              </w:rPr>
              <w:t xml:space="preserve"> rezultat al examinării avizelor parvenite de la părțile implicate, în special avizul Congresului Autorităților Publice Locale din Moldova, si discuțiilor cu reprezentanții CALM</w:t>
            </w:r>
            <w:r>
              <w:rPr>
                <w:lang w:val="ro-MD"/>
              </w:rPr>
              <w:t xml:space="preserve">, care au </w:t>
            </w:r>
            <w:r w:rsidRPr="009C7CF4">
              <w:rPr>
                <w:lang w:val="ro-MD"/>
              </w:rPr>
              <w:t>menționat că, autoritățile publice locale nu își pot permite  să efectueze rapoarte de evaluare la fiecare caz de arendă sau locațiune a bunurilor sale. Motivul fiind că</w:t>
            </w:r>
            <w:r w:rsidR="00864CCA">
              <w:rPr>
                <w:lang w:val="ro-MD"/>
              </w:rPr>
              <w:t>,</w:t>
            </w:r>
            <w:r w:rsidRPr="009C7CF4">
              <w:rPr>
                <w:lang w:val="ro-MD"/>
              </w:rPr>
              <w:t xml:space="preserve">  costurile rapoartelor de evaluare sunt costisitoare, acestea neacoperind plata anuală obținută pentru arenda/locațiune.</w:t>
            </w:r>
          </w:p>
          <w:p w:rsidR="009C7CF4" w:rsidRDefault="009E4E64" w:rsidP="00500082">
            <w:pPr>
              <w:pStyle w:val="NormalWeb"/>
              <w:shd w:val="clear" w:color="auto" w:fill="FFFFFF"/>
              <w:ind w:firstLine="34"/>
              <w:rPr>
                <w:lang w:val="ro-MD"/>
              </w:rPr>
            </w:pPr>
            <w:bookmarkStart w:id="0" w:name="_GoBack"/>
            <w:bookmarkEnd w:id="0"/>
            <w:r>
              <w:rPr>
                <w:lang w:val="ro-MD"/>
              </w:rPr>
              <w:t>Respectiv, considerăm că aceste modificări vin</w:t>
            </w:r>
            <w:r w:rsidR="002C2727" w:rsidRPr="008E376A">
              <w:rPr>
                <w:lang w:val="ro-MD"/>
              </w:rPr>
              <w:t xml:space="preserve"> să se alinieze cu concluziile și recomandările formulate în hotărârea Curții Constituționale.</w:t>
            </w:r>
          </w:p>
          <w:p w:rsidR="002237CE" w:rsidRPr="008E376A" w:rsidRDefault="00500082" w:rsidP="00500082">
            <w:pPr>
              <w:pStyle w:val="NormalWeb"/>
              <w:shd w:val="clear" w:color="auto" w:fill="FFFFFF"/>
              <w:ind w:firstLine="34"/>
              <w:rPr>
                <w:lang w:val="ro-MD"/>
              </w:rPr>
            </w:pPr>
            <w:r w:rsidRPr="008E376A">
              <w:rPr>
                <w:lang w:val="ro-MD"/>
              </w:rPr>
              <w:t xml:space="preserve"> De asemenea, alin.</w:t>
            </w:r>
            <w:r w:rsidR="009C7CF4">
              <w:rPr>
                <w:lang w:val="ro-MD"/>
              </w:rPr>
              <w:t xml:space="preserve"> (8) și</w:t>
            </w:r>
            <w:r w:rsidRPr="008E376A">
              <w:rPr>
                <w:lang w:val="ro-MD"/>
              </w:rPr>
              <w:t xml:space="preserve"> (11) a</w:t>
            </w:r>
            <w:r w:rsidR="00864CCA">
              <w:rPr>
                <w:lang w:val="ro-MD"/>
              </w:rPr>
              <w:t>u</w:t>
            </w:r>
            <w:r w:rsidRPr="008E376A">
              <w:rPr>
                <w:lang w:val="ro-MD"/>
              </w:rPr>
              <w:t xml:space="preserve"> fost abrogat</w:t>
            </w:r>
            <w:r w:rsidR="009C7CF4">
              <w:rPr>
                <w:lang w:val="ro-MD"/>
              </w:rPr>
              <w:t>e</w:t>
            </w:r>
            <w:r w:rsidR="00325A4B">
              <w:rPr>
                <w:lang w:val="ro-MD"/>
              </w:rPr>
              <w:t xml:space="preserve">, </w:t>
            </w:r>
            <w:r w:rsidR="00325A4B" w:rsidRPr="00864CCA">
              <w:rPr>
                <w:lang w:val="ro-MD"/>
              </w:rPr>
              <w:t>ca urmare declarării de către Curtea Constituțională ca fiind neconstituționale</w:t>
            </w:r>
            <w:r w:rsidRPr="00D50CF0">
              <w:rPr>
                <w:lang w:val="ro-MD"/>
              </w:rPr>
              <w:t>.</w:t>
            </w:r>
          </w:p>
          <w:p w:rsidR="00500082" w:rsidRPr="008E376A" w:rsidRDefault="00500082" w:rsidP="00500082">
            <w:pPr>
              <w:pStyle w:val="NormalWeb"/>
              <w:shd w:val="clear" w:color="auto" w:fill="FFFFFF"/>
              <w:ind w:firstLine="34"/>
              <w:rPr>
                <w:lang w:val="ro-MD"/>
              </w:rPr>
            </w:pPr>
            <w:r w:rsidRPr="008E376A">
              <w:rPr>
                <w:lang w:val="ro-MD"/>
              </w:rPr>
              <w:t>Propunerile de modificare aduse proiectului au determinat ajustări tangențiale în ceea ce privește</w:t>
            </w:r>
            <w:r w:rsidR="00945EF4">
              <w:rPr>
                <w:lang w:val="ro-MD"/>
              </w:rPr>
              <w:t xml:space="preserve"> alin. (12) art. 10</w:t>
            </w:r>
            <w:r w:rsidRPr="008E376A">
              <w:rPr>
                <w:lang w:val="ro-MD"/>
              </w:rPr>
              <w:t>.</w:t>
            </w:r>
          </w:p>
          <w:p w:rsidR="008E376A" w:rsidRPr="008E376A" w:rsidRDefault="008E376A" w:rsidP="00500082">
            <w:pPr>
              <w:pStyle w:val="NormalWeb"/>
              <w:shd w:val="clear" w:color="auto" w:fill="FFFFFF"/>
              <w:ind w:firstLine="34"/>
              <w:rPr>
                <w:b/>
                <w:lang w:val="ro-MD"/>
              </w:rPr>
            </w:pPr>
            <w:r w:rsidRPr="008E376A">
              <w:rPr>
                <w:lang w:val="ro-MD"/>
              </w:rPr>
              <w:t>De asemenea, ținând cont de prevederile art. 7 din Codul Civil, în proiect a fost introdusă o clauză care precizează că prevederile prezentei legi nu se aplică contractelor deja încheiate la data intrării în vigoare a prezentei legi.</w:t>
            </w:r>
          </w:p>
          <w:p w:rsidR="002C2727" w:rsidRPr="008E376A" w:rsidRDefault="0054005F" w:rsidP="0054005F">
            <w:pPr>
              <w:pStyle w:val="tt"/>
              <w:ind w:firstLine="33"/>
              <w:jc w:val="both"/>
              <w:rPr>
                <w:b w:val="0"/>
                <w:lang w:val="ro-MD"/>
              </w:rPr>
            </w:pPr>
            <w:r w:rsidRPr="008E376A">
              <w:rPr>
                <w:b w:val="0"/>
                <w:lang w:val="ro-MD"/>
              </w:rPr>
              <w:t>Totodată, ținând cont că proiectul de hotărâre urmărește realizarea prevederilor Hotărârii Curții Constituționale, se propune ca hotărârea de Guvern să intre în vigoare la data publicării acesteia în Monitorul Oficial al Republicii Moldova.</w:t>
            </w:r>
          </w:p>
        </w:tc>
      </w:tr>
      <w:tr w:rsidR="005E341A" w:rsidRPr="002237CE" w:rsidTr="007C1521">
        <w:tc>
          <w:tcPr>
            <w:tcW w:w="568" w:type="dxa"/>
            <w:shd w:val="clear" w:color="auto" w:fill="BFBFBF"/>
          </w:tcPr>
          <w:p w:rsidR="005E341A" w:rsidRPr="002237CE" w:rsidRDefault="005E341A" w:rsidP="007D65ED">
            <w:pPr>
              <w:spacing w:line="276" w:lineRule="auto"/>
              <w:jc w:val="both"/>
              <w:rPr>
                <w:b/>
                <w:lang w:val="ro-MD"/>
              </w:rPr>
            </w:pPr>
            <w:r w:rsidRPr="002237CE">
              <w:rPr>
                <w:b/>
                <w:lang w:val="ro-MD"/>
              </w:rPr>
              <w:t>5.</w:t>
            </w:r>
          </w:p>
        </w:tc>
        <w:tc>
          <w:tcPr>
            <w:tcW w:w="8788" w:type="dxa"/>
            <w:shd w:val="clear" w:color="auto" w:fill="BFBFBF"/>
          </w:tcPr>
          <w:p w:rsidR="005E341A" w:rsidRPr="002237CE" w:rsidRDefault="005E341A" w:rsidP="007D65ED">
            <w:pPr>
              <w:ind w:firstLine="34"/>
              <w:jc w:val="both"/>
              <w:rPr>
                <w:b/>
                <w:lang w:val="ro-MD" w:eastAsia="en-GB"/>
              </w:rPr>
            </w:pPr>
            <w:r w:rsidRPr="002237CE">
              <w:rPr>
                <w:b/>
                <w:lang w:val="ro-MD" w:eastAsia="en-GB"/>
              </w:rPr>
              <w:t xml:space="preserve">Fundamentarea </w:t>
            </w:r>
            <w:proofErr w:type="spellStart"/>
            <w:r w:rsidRPr="002237CE">
              <w:rPr>
                <w:b/>
                <w:lang w:val="ro-MD" w:eastAsia="en-GB"/>
              </w:rPr>
              <w:t>economico</w:t>
            </w:r>
            <w:proofErr w:type="spellEnd"/>
            <w:r w:rsidRPr="002237CE">
              <w:rPr>
                <w:b/>
                <w:lang w:val="ro-MD" w:eastAsia="en-GB"/>
              </w:rPr>
              <w:t>-financiară</w:t>
            </w:r>
          </w:p>
        </w:tc>
      </w:tr>
      <w:tr w:rsidR="005E341A" w:rsidRPr="00945EF4" w:rsidTr="007C1521">
        <w:tc>
          <w:tcPr>
            <w:tcW w:w="568" w:type="dxa"/>
            <w:shd w:val="clear" w:color="auto" w:fill="FFFFFF"/>
          </w:tcPr>
          <w:p w:rsidR="005E341A" w:rsidRPr="002237CE" w:rsidRDefault="005E341A" w:rsidP="007D65ED">
            <w:pPr>
              <w:spacing w:line="276" w:lineRule="auto"/>
              <w:ind w:firstLine="738"/>
              <w:jc w:val="both"/>
              <w:rPr>
                <w:lang w:val="ro-MD"/>
              </w:rPr>
            </w:pPr>
          </w:p>
        </w:tc>
        <w:tc>
          <w:tcPr>
            <w:tcW w:w="8788" w:type="dxa"/>
            <w:shd w:val="clear" w:color="auto" w:fill="FFFFFF"/>
          </w:tcPr>
          <w:p w:rsidR="005E341A" w:rsidRPr="002237CE" w:rsidRDefault="005E341A" w:rsidP="00066B44">
            <w:pPr>
              <w:jc w:val="both"/>
              <w:rPr>
                <w:lang w:val="ro-MD"/>
              </w:rPr>
            </w:pPr>
            <w:r w:rsidRPr="002237CE">
              <w:rPr>
                <w:lang w:val="ro-MD"/>
              </w:rPr>
              <w:t xml:space="preserve">Realizarea proiectului nu </w:t>
            </w:r>
            <w:r w:rsidR="00066B44" w:rsidRPr="002237CE">
              <w:rPr>
                <w:lang w:val="ro-MD"/>
              </w:rPr>
              <w:t>necesită</w:t>
            </w:r>
            <w:r w:rsidRPr="002237CE">
              <w:rPr>
                <w:lang w:val="ro-MD"/>
              </w:rPr>
              <w:t xml:space="preserve"> </w:t>
            </w:r>
            <w:r w:rsidR="00066B44" w:rsidRPr="002237CE">
              <w:rPr>
                <w:lang w:val="ro-MD"/>
              </w:rPr>
              <w:t xml:space="preserve">alocarea </w:t>
            </w:r>
            <w:r w:rsidRPr="002237CE">
              <w:rPr>
                <w:lang w:val="ro-MD"/>
              </w:rPr>
              <w:t>mijloace</w:t>
            </w:r>
            <w:r w:rsidR="00066B44" w:rsidRPr="002237CE">
              <w:rPr>
                <w:lang w:val="ro-MD"/>
              </w:rPr>
              <w:t>lor</w:t>
            </w:r>
            <w:r w:rsidRPr="002237CE">
              <w:rPr>
                <w:lang w:val="ro-MD"/>
              </w:rPr>
              <w:t xml:space="preserve"> financiare </w:t>
            </w:r>
            <w:r w:rsidR="00066B44" w:rsidRPr="002237CE">
              <w:rPr>
                <w:lang w:val="ro-MD"/>
              </w:rPr>
              <w:t>din bugetul de stat</w:t>
            </w:r>
          </w:p>
        </w:tc>
      </w:tr>
      <w:tr w:rsidR="005E341A" w:rsidRPr="00945EF4" w:rsidTr="007C1521">
        <w:tc>
          <w:tcPr>
            <w:tcW w:w="568" w:type="dxa"/>
            <w:shd w:val="clear" w:color="auto" w:fill="D9D9D9"/>
          </w:tcPr>
          <w:p w:rsidR="005E341A" w:rsidRPr="002237CE" w:rsidRDefault="005E341A" w:rsidP="007D65ED">
            <w:pPr>
              <w:spacing w:line="276" w:lineRule="auto"/>
              <w:rPr>
                <w:b/>
                <w:lang w:val="ro-MD"/>
              </w:rPr>
            </w:pPr>
            <w:r w:rsidRPr="002237CE">
              <w:rPr>
                <w:b/>
                <w:lang w:val="ro-MD"/>
              </w:rPr>
              <w:t>6.</w:t>
            </w:r>
          </w:p>
        </w:tc>
        <w:tc>
          <w:tcPr>
            <w:tcW w:w="8788" w:type="dxa"/>
            <w:shd w:val="clear" w:color="auto" w:fill="D9D9D9"/>
          </w:tcPr>
          <w:p w:rsidR="005E341A" w:rsidRPr="002237CE" w:rsidRDefault="005E341A" w:rsidP="007D65ED">
            <w:pPr>
              <w:spacing w:line="276" w:lineRule="auto"/>
              <w:rPr>
                <w:b/>
                <w:lang w:val="ro-MD"/>
              </w:rPr>
            </w:pPr>
            <w:r w:rsidRPr="002237CE">
              <w:rPr>
                <w:b/>
                <w:lang w:val="ro-MD"/>
              </w:rPr>
              <w:t>Modul de încorporare a actului în cadrul normativ în vigoare</w:t>
            </w:r>
          </w:p>
        </w:tc>
      </w:tr>
      <w:tr w:rsidR="005E341A" w:rsidRPr="00945EF4" w:rsidTr="007C1521">
        <w:tc>
          <w:tcPr>
            <w:tcW w:w="568" w:type="dxa"/>
            <w:shd w:val="clear" w:color="auto" w:fill="FFFFFF"/>
          </w:tcPr>
          <w:p w:rsidR="005E341A" w:rsidRPr="002237CE" w:rsidRDefault="005E341A" w:rsidP="007D65ED">
            <w:pPr>
              <w:spacing w:line="276" w:lineRule="auto"/>
              <w:jc w:val="both"/>
              <w:rPr>
                <w:lang w:val="ro-MD"/>
              </w:rPr>
            </w:pPr>
          </w:p>
        </w:tc>
        <w:tc>
          <w:tcPr>
            <w:tcW w:w="8788" w:type="dxa"/>
            <w:shd w:val="clear" w:color="auto" w:fill="FFFFFF"/>
          </w:tcPr>
          <w:p w:rsidR="005E341A" w:rsidRPr="002237CE" w:rsidRDefault="005E341A" w:rsidP="007D65ED">
            <w:pPr>
              <w:ind w:left="-720" w:firstLine="720"/>
              <w:jc w:val="both"/>
              <w:rPr>
                <w:bCs/>
                <w:color w:val="000000"/>
                <w:lang w:val="ro-MD"/>
              </w:rPr>
            </w:pPr>
            <w:r w:rsidRPr="002237CE">
              <w:rPr>
                <w:lang w:val="ro-MD"/>
              </w:rPr>
              <w:t>Prezentul proiect de act normativ nu contravine legislației Uniunii Europene.</w:t>
            </w:r>
          </w:p>
        </w:tc>
      </w:tr>
      <w:tr w:rsidR="005E341A" w:rsidRPr="00945EF4" w:rsidTr="007C1521">
        <w:tc>
          <w:tcPr>
            <w:tcW w:w="568" w:type="dxa"/>
            <w:shd w:val="clear" w:color="auto" w:fill="D9D9D9"/>
          </w:tcPr>
          <w:p w:rsidR="005E341A" w:rsidRPr="002237CE" w:rsidRDefault="005E341A" w:rsidP="007D65ED">
            <w:pPr>
              <w:spacing w:line="276" w:lineRule="auto"/>
              <w:jc w:val="both"/>
              <w:rPr>
                <w:b/>
                <w:lang w:val="ro-MD"/>
              </w:rPr>
            </w:pPr>
            <w:r w:rsidRPr="002237CE">
              <w:rPr>
                <w:b/>
                <w:lang w:val="ro-MD"/>
              </w:rPr>
              <w:t>7.</w:t>
            </w:r>
          </w:p>
        </w:tc>
        <w:tc>
          <w:tcPr>
            <w:tcW w:w="8788" w:type="dxa"/>
            <w:shd w:val="clear" w:color="auto" w:fill="D9D9D9"/>
          </w:tcPr>
          <w:p w:rsidR="005E341A" w:rsidRPr="002237CE" w:rsidRDefault="005E341A" w:rsidP="007D65ED">
            <w:pPr>
              <w:spacing w:line="276" w:lineRule="auto"/>
              <w:jc w:val="both"/>
              <w:rPr>
                <w:lang w:val="ro-MD"/>
              </w:rPr>
            </w:pPr>
            <w:r w:rsidRPr="002237CE">
              <w:rPr>
                <w:b/>
                <w:lang w:val="ro-MD"/>
              </w:rPr>
              <w:t>Avizarea și consultarea publică a proiectului</w:t>
            </w:r>
          </w:p>
        </w:tc>
      </w:tr>
      <w:tr w:rsidR="005E341A" w:rsidRPr="00945EF4" w:rsidTr="007C1521">
        <w:tc>
          <w:tcPr>
            <w:tcW w:w="568" w:type="dxa"/>
            <w:shd w:val="clear" w:color="auto" w:fill="FFFFFF"/>
          </w:tcPr>
          <w:p w:rsidR="005E341A" w:rsidRPr="002237CE" w:rsidRDefault="005E341A" w:rsidP="007D65ED">
            <w:pPr>
              <w:spacing w:line="276" w:lineRule="auto"/>
              <w:jc w:val="both"/>
              <w:rPr>
                <w:lang w:val="ro-MD"/>
              </w:rPr>
            </w:pPr>
          </w:p>
        </w:tc>
        <w:tc>
          <w:tcPr>
            <w:tcW w:w="8788" w:type="dxa"/>
            <w:shd w:val="clear" w:color="auto" w:fill="FFFFFF"/>
          </w:tcPr>
          <w:p w:rsidR="005E341A" w:rsidRPr="002237CE" w:rsidRDefault="005E341A" w:rsidP="00500082">
            <w:pPr>
              <w:jc w:val="both"/>
              <w:rPr>
                <w:lang w:val="ro-MD"/>
              </w:rPr>
            </w:pPr>
            <w:r w:rsidRPr="002237CE">
              <w:rPr>
                <w:lang w:val="ro-MD"/>
              </w:rPr>
              <w:t xml:space="preserve">În scopul respectării prevederilor Legii nr. 239/2008 privind transparența în procesul decizional, anunțul privind inițierea elaborării proiectului </w:t>
            </w:r>
            <w:r w:rsidR="0000617E" w:rsidRPr="002237CE">
              <w:rPr>
                <w:lang w:val="ro-MD"/>
              </w:rPr>
              <w:t>legii</w:t>
            </w:r>
            <w:r w:rsidRPr="002237CE">
              <w:rPr>
                <w:lang w:val="ro-MD"/>
              </w:rPr>
              <w:t>, a fost publicat pe pag</w:t>
            </w:r>
            <w:r w:rsidR="00500082">
              <w:rPr>
                <w:lang w:val="ro-MD"/>
              </w:rPr>
              <w:t xml:space="preserve">ina web oficială a Ministerului </w:t>
            </w:r>
            <w:r w:rsidR="00B53765" w:rsidRPr="002237CE">
              <w:rPr>
                <w:lang w:val="ro-MD"/>
              </w:rPr>
              <w:t>Dezvoltării Economice și Digitalizării</w:t>
            </w:r>
            <w:r w:rsidRPr="002237CE">
              <w:rPr>
                <w:lang w:val="ro-MD"/>
              </w:rPr>
              <w:t xml:space="preserve"> </w:t>
            </w:r>
            <w:r w:rsidR="0000617E" w:rsidRPr="002237CE">
              <w:rPr>
                <w:lang w:val="ro-MD"/>
              </w:rPr>
              <w:t>(</w:t>
            </w:r>
            <w:hyperlink r:id="rId8" w:history="1">
              <w:r w:rsidR="0000617E" w:rsidRPr="002237CE">
                <w:rPr>
                  <w:lang w:val="ro-MD"/>
                </w:rPr>
                <w:t>https://particip.gov.md/ro/document/stages/*/11903</w:t>
              </w:r>
            </w:hyperlink>
            <w:r w:rsidR="0000617E" w:rsidRPr="002237CE">
              <w:rPr>
                <w:lang w:val="ro-MD"/>
              </w:rPr>
              <w:t>)</w:t>
            </w:r>
            <w:r w:rsidRPr="002237CE">
              <w:rPr>
                <w:lang w:val="ro-MD"/>
              </w:rPr>
              <w:t>.</w:t>
            </w:r>
          </w:p>
        </w:tc>
      </w:tr>
      <w:tr w:rsidR="006D79CD" w:rsidRPr="002237CE" w:rsidTr="006D79CD">
        <w:tc>
          <w:tcPr>
            <w:tcW w:w="568" w:type="dxa"/>
            <w:shd w:val="clear" w:color="auto" w:fill="BFBFBF" w:themeFill="background1" w:themeFillShade="BF"/>
          </w:tcPr>
          <w:p w:rsidR="006D79CD" w:rsidRPr="002237CE" w:rsidRDefault="006D79CD" w:rsidP="00F312EE">
            <w:pPr>
              <w:spacing w:line="276" w:lineRule="auto"/>
              <w:jc w:val="both"/>
              <w:rPr>
                <w:highlight w:val="lightGray"/>
                <w:lang w:val="ro-MD"/>
              </w:rPr>
            </w:pPr>
            <w:r w:rsidRPr="002237CE">
              <w:rPr>
                <w:lang w:val="ro-MD"/>
              </w:rPr>
              <w:t>8.</w:t>
            </w:r>
          </w:p>
        </w:tc>
        <w:tc>
          <w:tcPr>
            <w:tcW w:w="8788" w:type="dxa"/>
            <w:shd w:val="clear" w:color="auto" w:fill="BFBFBF" w:themeFill="background1" w:themeFillShade="BF"/>
          </w:tcPr>
          <w:p w:rsidR="006D79CD" w:rsidRPr="002237CE" w:rsidRDefault="006D79CD" w:rsidP="006D79CD">
            <w:pPr>
              <w:spacing w:line="276" w:lineRule="auto"/>
              <w:jc w:val="both"/>
              <w:rPr>
                <w:lang w:val="ro-MD"/>
              </w:rPr>
            </w:pPr>
            <w:r w:rsidRPr="002237CE">
              <w:rPr>
                <w:lang w:val="ro-MD"/>
              </w:rPr>
              <w:t>Constatările expertizei anticorupție</w:t>
            </w:r>
          </w:p>
        </w:tc>
      </w:tr>
      <w:tr w:rsidR="006D79CD" w:rsidRPr="00945EF4" w:rsidTr="00F312EE">
        <w:tc>
          <w:tcPr>
            <w:tcW w:w="568" w:type="dxa"/>
            <w:shd w:val="clear" w:color="auto" w:fill="FFFFFF" w:themeFill="background1"/>
          </w:tcPr>
          <w:p w:rsidR="006D79CD" w:rsidRPr="002237CE" w:rsidRDefault="006D79CD" w:rsidP="00F312EE">
            <w:pPr>
              <w:spacing w:line="276" w:lineRule="auto"/>
              <w:jc w:val="both"/>
              <w:rPr>
                <w:highlight w:val="lightGray"/>
                <w:lang w:val="ro-MD"/>
              </w:rPr>
            </w:pPr>
          </w:p>
        </w:tc>
        <w:tc>
          <w:tcPr>
            <w:tcW w:w="8788" w:type="dxa"/>
            <w:shd w:val="clear" w:color="auto" w:fill="FFFFFF" w:themeFill="background1"/>
          </w:tcPr>
          <w:p w:rsidR="006D79CD" w:rsidRPr="002237CE" w:rsidRDefault="006D79CD">
            <w:pPr>
              <w:jc w:val="both"/>
              <w:rPr>
                <w:rFonts w:eastAsia="Calibri"/>
                <w:b/>
                <w:lang w:val="ro-MD"/>
              </w:rPr>
            </w:pPr>
            <w:r w:rsidRPr="002237CE">
              <w:rPr>
                <w:rFonts w:eastAsia="Calibri"/>
                <w:color w:val="000000"/>
                <w:lang w:val="ro-MD"/>
              </w:rPr>
              <w:t xml:space="preserve">Proiectul </w:t>
            </w:r>
            <w:r w:rsidR="002C2727" w:rsidRPr="002237CE">
              <w:rPr>
                <w:rFonts w:eastAsia="Calibri"/>
                <w:color w:val="000000"/>
                <w:lang w:val="ro-MD"/>
              </w:rPr>
              <w:t xml:space="preserve">de </w:t>
            </w:r>
            <w:r w:rsidR="0000617E" w:rsidRPr="002237CE">
              <w:rPr>
                <w:rFonts w:eastAsia="Calibri"/>
                <w:color w:val="000000"/>
                <w:lang w:val="ro-MD"/>
              </w:rPr>
              <w:t>leg</w:t>
            </w:r>
            <w:r w:rsidR="002C2727" w:rsidRPr="002237CE">
              <w:rPr>
                <w:rFonts w:eastAsia="Calibri"/>
                <w:color w:val="000000"/>
                <w:lang w:val="ro-MD"/>
              </w:rPr>
              <w:t>e</w:t>
            </w:r>
            <w:r w:rsidR="0000617E" w:rsidRPr="002237CE">
              <w:rPr>
                <w:rFonts w:eastAsia="Calibri"/>
                <w:color w:val="000000"/>
                <w:lang w:val="ro-MD"/>
              </w:rPr>
              <w:t xml:space="preserve"> va</w:t>
            </w:r>
            <w:r w:rsidRPr="002237CE">
              <w:rPr>
                <w:rFonts w:eastAsia="Calibri"/>
                <w:color w:val="000000"/>
                <w:lang w:val="ro-MD"/>
              </w:rPr>
              <w:t xml:space="preserve"> f</w:t>
            </w:r>
            <w:r w:rsidR="0000617E" w:rsidRPr="002237CE">
              <w:rPr>
                <w:rFonts w:eastAsia="Calibri"/>
                <w:color w:val="000000"/>
                <w:lang w:val="ro-MD"/>
              </w:rPr>
              <w:t>i</w:t>
            </w:r>
            <w:r w:rsidRPr="002237CE">
              <w:rPr>
                <w:rFonts w:eastAsia="Calibri"/>
                <w:color w:val="000000"/>
                <w:lang w:val="ro-MD"/>
              </w:rPr>
              <w:t xml:space="preserve"> supus expertizei anticorupție. </w:t>
            </w:r>
          </w:p>
        </w:tc>
      </w:tr>
      <w:tr w:rsidR="006D79CD" w:rsidRPr="002237CE" w:rsidTr="00F312EE">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79CD" w:rsidRPr="002237CE" w:rsidRDefault="006D79CD" w:rsidP="00F312EE">
            <w:pPr>
              <w:spacing w:line="276" w:lineRule="auto"/>
              <w:jc w:val="both"/>
              <w:rPr>
                <w:rFonts w:eastAsia="Calibri"/>
                <w:b/>
                <w:lang w:val="ro-MD"/>
              </w:rPr>
            </w:pPr>
            <w:r w:rsidRPr="002237CE">
              <w:rPr>
                <w:rFonts w:eastAsia="Calibri"/>
                <w:b/>
                <w:lang w:val="ro-MD"/>
              </w:rPr>
              <w:t>9.</w:t>
            </w:r>
          </w:p>
        </w:tc>
        <w:tc>
          <w:tcPr>
            <w:tcW w:w="87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79CD" w:rsidRPr="002237CE" w:rsidRDefault="006D79CD" w:rsidP="00F312EE">
            <w:pPr>
              <w:jc w:val="both"/>
              <w:rPr>
                <w:rFonts w:eastAsia="Calibri"/>
                <w:b/>
                <w:lang w:val="ro-MD"/>
              </w:rPr>
            </w:pPr>
            <w:r w:rsidRPr="002237CE">
              <w:rPr>
                <w:rFonts w:eastAsia="Calibri"/>
                <w:b/>
                <w:lang w:val="ro-MD"/>
              </w:rPr>
              <w:t xml:space="preserve">Constatările expertizei de compatibilitate </w:t>
            </w:r>
          </w:p>
        </w:tc>
      </w:tr>
      <w:tr w:rsidR="006D79CD" w:rsidRPr="00945EF4" w:rsidTr="00F312EE">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6D79CD" w:rsidRPr="002237CE" w:rsidRDefault="006D79CD" w:rsidP="00F312EE">
            <w:pPr>
              <w:spacing w:line="276" w:lineRule="auto"/>
              <w:jc w:val="both"/>
              <w:rPr>
                <w:highlight w:val="lightGray"/>
                <w:lang w:val="ro-MD"/>
              </w:rPr>
            </w:pPr>
          </w:p>
        </w:tc>
        <w:tc>
          <w:tcPr>
            <w:tcW w:w="8788" w:type="dxa"/>
            <w:tcBorders>
              <w:top w:val="single" w:sz="4" w:space="0" w:color="auto"/>
              <w:left w:val="single" w:sz="4" w:space="0" w:color="auto"/>
              <w:bottom w:val="single" w:sz="4" w:space="0" w:color="auto"/>
              <w:right w:val="single" w:sz="4" w:space="0" w:color="auto"/>
            </w:tcBorders>
            <w:shd w:val="clear" w:color="auto" w:fill="FFFFFF" w:themeFill="background1"/>
          </w:tcPr>
          <w:p w:rsidR="006D79CD" w:rsidRPr="002237CE" w:rsidRDefault="00244A29" w:rsidP="00244A29">
            <w:pPr>
              <w:jc w:val="both"/>
              <w:rPr>
                <w:lang w:val="ro-MD"/>
              </w:rPr>
            </w:pPr>
            <w:r w:rsidRPr="002237CE">
              <w:rPr>
                <w:lang w:val="ro-MD"/>
              </w:rPr>
              <w:t>Efectuarea expertizei de compatibilitate nu este necesara, proiectul de act normativ neavând scopul de a armoniza legislația națională la legislația Uniunii Europene.</w:t>
            </w:r>
          </w:p>
        </w:tc>
      </w:tr>
      <w:tr w:rsidR="006D79CD" w:rsidRPr="002237CE" w:rsidTr="00F312EE">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79CD" w:rsidRPr="002237CE" w:rsidRDefault="006D79CD" w:rsidP="00F312EE">
            <w:pPr>
              <w:spacing w:line="276" w:lineRule="auto"/>
              <w:jc w:val="both"/>
              <w:rPr>
                <w:rFonts w:eastAsia="Calibri"/>
                <w:b/>
                <w:lang w:val="ro-MD"/>
              </w:rPr>
            </w:pPr>
            <w:r w:rsidRPr="002237CE">
              <w:rPr>
                <w:rFonts w:eastAsia="Calibri"/>
                <w:b/>
                <w:lang w:val="ro-MD"/>
              </w:rPr>
              <w:t>10</w:t>
            </w:r>
          </w:p>
        </w:tc>
        <w:tc>
          <w:tcPr>
            <w:tcW w:w="87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79CD" w:rsidRPr="002237CE" w:rsidRDefault="006D79CD" w:rsidP="00F312EE">
            <w:pPr>
              <w:jc w:val="both"/>
              <w:rPr>
                <w:rFonts w:eastAsia="Calibri"/>
                <w:b/>
                <w:lang w:val="ro-MD"/>
              </w:rPr>
            </w:pPr>
            <w:r w:rsidRPr="002237CE">
              <w:rPr>
                <w:rFonts w:eastAsia="Calibri"/>
                <w:b/>
                <w:lang w:val="ro-MD"/>
              </w:rPr>
              <w:t xml:space="preserve">Constatările expertizei juridice </w:t>
            </w:r>
          </w:p>
        </w:tc>
      </w:tr>
      <w:tr w:rsidR="006D79CD" w:rsidRPr="00945EF4" w:rsidTr="00F312EE">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6D79CD" w:rsidRPr="002237CE" w:rsidRDefault="006D79CD" w:rsidP="00F312EE">
            <w:pPr>
              <w:spacing w:line="276" w:lineRule="auto"/>
              <w:jc w:val="both"/>
              <w:rPr>
                <w:highlight w:val="lightGray"/>
                <w:lang w:val="ro-MD"/>
              </w:rPr>
            </w:pPr>
          </w:p>
        </w:tc>
        <w:tc>
          <w:tcPr>
            <w:tcW w:w="8788" w:type="dxa"/>
            <w:tcBorders>
              <w:top w:val="single" w:sz="4" w:space="0" w:color="auto"/>
              <w:left w:val="single" w:sz="4" w:space="0" w:color="auto"/>
              <w:bottom w:val="single" w:sz="4" w:space="0" w:color="auto"/>
              <w:right w:val="single" w:sz="4" w:space="0" w:color="auto"/>
            </w:tcBorders>
            <w:shd w:val="clear" w:color="auto" w:fill="FFFFFF" w:themeFill="background1"/>
          </w:tcPr>
          <w:p w:rsidR="006D79CD" w:rsidRPr="002237CE" w:rsidRDefault="0000617E" w:rsidP="0091705E">
            <w:pPr>
              <w:jc w:val="both"/>
              <w:rPr>
                <w:lang w:val="ro-MD"/>
              </w:rPr>
            </w:pPr>
            <w:r w:rsidRPr="002237CE">
              <w:rPr>
                <w:rFonts w:eastAsia="Calibri"/>
                <w:color w:val="000000"/>
                <w:lang w:val="ro-MD"/>
              </w:rPr>
              <w:t xml:space="preserve">Proiectul </w:t>
            </w:r>
            <w:r w:rsidR="002C2727" w:rsidRPr="002237CE">
              <w:rPr>
                <w:rFonts w:eastAsia="Calibri"/>
                <w:color w:val="000000"/>
                <w:lang w:val="ro-MD"/>
              </w:rPr>
              <w:t xml:space="preserve">de lege </w:t>
            </w:r>
            <w:r w:rsidRPr="002237CE">
              <w:rPr>
                <w:rFonts w:eastAsia="Calibri"/>
                <w:color w:val="000000"/>
                <w:lang w:val="ro-MD"/>
              </w:rPr>
              <w:t>va fi supus expertizei juridice</w:t>
            </w:r>
            <w:r w:rsidR="0091705E" w:rsidRPr="002237CE">
              <w:rPr>
                <w:rFonts w:eastAsia="Calibri"/>
                <w:color w:val="000000"/>
                <w:lang w:val="ro-MD"/>
              </w:rPr>
              <w:t>.</w:t>
            </w:r>
          </w:p>
        </w:tc>
      </w:tr>
      <w:tr w:rsidR="006D79CD" w:rsidRPr="002237CE" w:rsidTr="00F312EE">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79CD" w:rsidRPr="002237CE" w:rsidRDefault="006D79CD" w:rsidP="00F312EE">
            <w:pPr>
              <w:spacing w:line="276" w:lineRule="auto"/>
              <w:jc w:val="both"/>
              <w:rPr>
                <w:rFonts w:eastAsia="Calibri"/>
                <w:b/>
                <w:lang w:val="ro-MD"/>
              </w:rPr>
            </w:pPr>
            <w:r w:rsidRPr="002237CE">
              <w:rPr>
                <w:rFonts w:eastAsia="Calibri"/>
                <w:b/>
                <w:lang w:val="ro-MD"/>
              </w:rPr>
              <w:t>11.</w:t>
            </w:r>
          </w:p>
        </w:tc>
        <w:tc>
          <w:tcPr>
            <w:tcW w:w="87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79CD" w:rsidRPr="002237CE" w:rsidRDefault="006D79CD" w:rsidP="00F312EE">
            <w:pPr>
              <w:jc w:val="both"/>
              <w:rPr>
                <w:rFonts w:eastAsia="Calibri"/>
                <w:b/>
                <w:lang w:val="ro-MD"/>
              </w:rPr>
            </w:pPr>
            <w:r w:rsidRPr="002237CE">
              <w:rPr>
                <w:rFonts w:eastAsia="Calibri"/>
                <w:b/>
                <w:lang w:val="ro-MD"/>
              </w:rPr>
              <w:t xml:space="preserve">Constatările altor expertize </w:t>
            </w:r>
          </w:p>
        </w:tc>
      </w:tr>
      <w:tr w:rsidR="006D79CD" w:rsidRPr="002237CE" w:rsidTr="00F312EE">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6D79CD" w:rsidRPr="002237CE" w:rsidRDefault="006D79CD" w:rsidP="00F312EE">
            <w:pPr>
              <w:spacing w:line="276" w:lineRule="auto"/>
              <w:jc w:val="both"/>
              <w:rPr>
                <w:highlight w:val="lightGray"/>
                <w:lang w:val="ro-MD"/>
              </w:rPr>
            </w:pPr>
          </w:p>
        </w:tc>
        <w:tc>
          <w:tcPr>
            <w:tcW w:w="8788" w:type="dxa"/>
            <w:tcBorders>
              <w:top w:val="single" w:sz="4" w:space="0" w:color="auto"/>
              <w:left w:val="single" w:sz="4" w:space="0" w:color="auto"/>
              <w:bottom w:val="single" w:sz="4" w:space="0" w:color="auto"/>
              <w:right w:val="single" w:sz="4" w:space="0" w:color="auto"/>
            </w:tcBorders>
            <w:shd w:val="clear" w:color="auto" w:fill="FFFFFF" w:themeFill="background1"/>
          </w:tcPr>
          <w:p w:rsidR="006D79CD" w:rsidRPr="002237CE" w:rsidRDefault="006D79CD" w:rsidP="00F312EE">
            <w:pPr>
              <w:jc w:val="both"/>
              <w:rPr>
                <w:lang w:val="ro-MD"/>
              </w:rPr>
            </w:pPr>
            <w:r w:rsidRPr="002237CE">
              <w:rPr>
                <w:lang w:val="ro-MD"/>
              </w:rPr>
              <w:t>Nu este necesară</w:t>
            </w:r>
          </w:p>
          <w:p w:rsidR="006D79CD" w:rsidRPr="002237CE" w:rsidRDefault="006D79CD" w:rsidP="00F312EE">
            <w:pPr>
              <w:jc w:val="both"/>
              <w:rPr>
                <w:lang w:val="ro-MD"/>
              </w:rPr>
            </w:pPr>
          </w:p>
        </w:tc>
      </w:tr>
    </w:tbl>
    <w:p w:rsidR="005E341A" w:rsidRPr="002237CE" w:rsidRDefault="005E341A" w:rsidP="005E341A">
      <w:pPr>
        <w:ind w:firstLine="425"/>
        <w:jc w:val="both"/>
        <w:rPr>
          <w:b/>
          <w:sz w:val="26"/>
          <w:szCs w:val="26"/>
          <w:lang w:val="ro-MD"/>
        </w:rPr>
      </w:pPr>
    </w:p>
    <w:p w:rsidR="00173421" w:rsidRPr="002237CE" w:rsidRDefault="00CD388E" w:rsidP="00775C7E">
      <w:pPr>
        <w:jc w:val="both"/>
        <w:rPr>
          <w:b/>
          <w:sz w:val="26"/>
          <w:szCs w:val="26"/>
          <w:lang w:val="ro-MD"/>
        </w:rPr>
      </w:pPr>
      <w:r w:rsidRPr="002237CE">
        <w:rPr>
          <w:b/>
          <w:sz w:val="26"/>
          <w:szCs w:val="26"/>
          <w:lang w:val="ro-MD"/>
        </w:rPr>
        <w:t xml:space="preserve">            </w:t>
      </w:r>
    </w:p>
    <w:p w:rsidR="00FE7EE4" w:rsidRPr="002237CE" w:rsidRDefault="00CD388E" w:rsidP="00173421">
      <w:pPr>
        <w:ind w:firstLine="720"/>
        <w:jc w:val="both"/>
        <w:rPr>
          <w:lang w:val="ro-MD"/>
        </w:rPr>
      </w:pPr>
      <w:r w:rsidRPr="002237CE">
        <w:rPr>
          <w:b/>
          <w:sz w:val="26"/>
          <w:szCs w:val="26"/>
          <w:lang w:val="ro-MD"/>
        </w:rPr>
        <w:t xml:space="preserve"> </w:t>
      </w:r>
      <w:r w:rsidR="00DC25D9" w:rsidRPr="002237CE">
        <w:rPr>
          <w:b/>
          <w:sz w:val="26"/>
          <w:szCs w:val="26"/>
          <w:lang w:val="ro-MD"/>
        </w:rPr>
        <w:t xml:space="preserve">Secretar de stat                                     </w:t>
      </w:r>
      <w:r w:rsidR="007C1521" w:rsidRPr="002237CE">
        <w:rPr>
          <w:b/>
          <w:sz w:val="26"/>
          <w:szCs w:val="26"/>
          <w:lang w:val="ro-MD"/>
        </w:rPr>
        <w:t xml:space="preserve">  </w:t>
      </w:r>
      <w:r w:rsidR="00DC25D9" w:rsidRPr="002237CE">
        <w:rPr>
          <w:b/>
          <w:sz w:val="26"/>
          <w:szCs w:val="26"/>
          <w:lang w:val="ro-MD"/>
        </w:rPr>
        <w:t xml:space="preserve">                 V</w:t>
      </w:r>
      <w:r w:rsidR="00A56AFD" w:rsidRPr="002237CE">
        <w:rPr>
          <w:b/>
          <w:sz w:val="26"/>
          <w:szCs w:val="26"/>
          <w:lang w:val="ro-MD"/>
        </w:rPr>
        <w:t>iorel</w:t>
      </w:r>
      <w:r w:rsidR="00DC25D9" w:rsidRPr="002237CE">
        <w:rPr>
          <w:b/>
          <w:sz w:val="26"/>
          <w:szCs w:val="26"/>
          <w:lang w:val="ro-MD"/>
        </w:rPr>
        <w:t xml:space="preserve"> G</w:t>
      </w:r>
      <w:r w:rsidR="00A56AFD" w:rsidRPr="002237CE">
        <w:rPr>
          <w:b/>
          <w:sz w:val="26"/>
          <w:szCs w:val="26"/>
          <w:lang w:val="ro-MD"/>
        </w:rPr>
        <w:t>ARAZ</w:t>
      </w:r>
      <w:r w:rsidR="005E341A" w:rsidRPr="002237CE">
        <w:rPr>
          <w:b/>
          <w:sz w:val="26"/>
          <w:szCs w:val="26"/>
          <w:lang w:val="ro-MD"/>
        </w:rPr>
        <w:t xml:space="preserve"> </w:t>
      </w:r>
    </w:p>
    <w:p w:rsidR="00A83BBE" w:rsidRPr="002237CE" w:rsidRDefault="00A83BBE">
      <w:pPr>
        <w:ind w:firstLine="720"/>
        <w:jc w:val="both"/>
        <w:rPr>
          <w:lang w:val="ro-MD"/>
        </w:rPr>
      </w:pPr>
    </w:p>
    <w:sectPr w:rsidR="00A83BBE" w:rsidRPr="002237CE" w:rsidSect="00926619">
      <w:footerReference w:type="default" r:id="rId9"/>
      <w:pgSz w:w="11906" w:h="16838" w:code="9"/>
      <w:pgMar w:top="851" w:right="851" w:bottom="567" w:left="1701"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6CC" w:rsidRDefault="00F916CC">
      <w:r>
        <w:separator/>
      </w:r>
    </w:p>
  </w:endnote>
  <w:endnote w:type="continuationSeparator" w:id="0">
    <w:p w:rsidR="00F916CC" w:rsidRDefault="00F9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BEE" w:rsidRPr="00861D46" w:rsidRDefault="006F3BEE">
    <w:pPr>
      <w:pStyle w:val="Footer"/>
      <w:jc w:val="right"/>
      <w:rPr>
        <w:sz w:val="22"/>
        <w:szCs w:val="22"/>
      </w:rPr>
    </w:pPr>
    <w:r w:rsidRPr="00861D46">
      <w:rPr>
        <w:sz w:val="22"/>
        <w:szCs w:val="22"/>
      </w:rPr>
      <w:fldChar w:fldCharType="begin"/>
    </w:r>
    <w:r w:rsidRPr="00861D46">
      <w:rPr>
        <w:sz w:val="22"/>
        <w:szCs w:val="22"/>
      </w:rPr>
      <w:instrText xml:space="preserve"> PAGE   \* MERGEFORMAT </w:instrText>
    </w:r>
    <w:r w:rsidRPr="00861D46">
      <w:rPr>
        <w:sz w:val="22"/>
        <w:szCs w:val="22"/>
      </w:rPr>
      <w:fldChar w:fldCharType="separate"/>
    </w:r>
    <w:r w:rsidR="009113CF">
      <w:rPr>
        <w:noProof/>
        <w:sz w:val="22"/>
        <w:szCs w:val="22"/>
      </w:rPr>
      <w:t>2</w:t>
    </w:r>
    <w:r w:rsidRPr="00861D46">
      <w:rPr>
        <w:sz w:val="22"/>
        <w:szCs w:val="22"/>
      </w:rPr>
      <w:fldChar w:fldCharType="end"/>
    </w:r>
  </w:p>
  <w:p w:rsidR="006F3BEE" w:rsidRDefault="006F3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6CC" w:rsidRDefault="00F916CC">
      <w:r>
        <w:separator/>
      </w:r>
    </w:p>
  </w:footnote>
  <w:footnote w:type="continuationSeparator" w:id="0">
    <w:p w:rsidR="00F916CC" w:rsidRDefault="00F916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06D8"/>
    <w:multiLevelType w:val="hybridMultilevel"/>
    <w:tmpl w:val="D6BC6940"/>
    <w:lvl w:ilvl="0" w:tplc="3CF6F4D2">
      <w:start w:val="6"/>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57949"/>
    <w:multiLevelType w:val="hybridMultilevel"/>
    <w:tmpl w:val="52726126"/>
    <w:lvl w:ilvl="0" w:tplc="7A743354">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A821AE8"/>
    <w:multiLevelType w:val="hybridMultilevel"/>
    <w:tmpl w:val="F2AC518A"/>
    <w:lvl w:ilvl="0" w:tplc="C75C8D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D5576D"/>
    <w:multiLevelType w:val="hybridMultilevel"/>
    <w:tmpl w:val="B198A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1C70BD"/>
    <w:multiLevelType w:val="hybridMultilevel"/>
    <w:tmpl w:val="0FCEBEC6"/>
    <w:lvl w:ilvl="0" w:tplc="869EECE0">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2897FCE"/>
    <w:multiLevelType w:val="hybridMultilevel"/>
    <w:tmpl w:val="B428D354"/>
    <w:lvl w:ilvl="0" w:tplc="795AD18E">
      <w:start w:val="1"/>
      <w:numFmt w:val="bullet"/>
      <w:lvlText w:val="-"/>
      <w:lvlJc w:val="left"/>
      <w:pPr>
        <w:ind w:left="1129" w:hanging="360"/>
      </w:pPr>
      <w:rPr>
        <w:rFonts w:ascii="Times New Roman" w:eastAsia="Times New Roman" w:hAnsi="Times New Roman" w:cs="Times New Roman" w:hint="default"/>
      </w:rPr>
    </w:lvl>
    <w:lvl w:ilvl="1" w:tplc="08090003" w:tentative="1">
      <w:start w:val="1"/>
      <w:numFmt w:val="bullet"/>
      <w:lvlText w:val="o"/>
      <w:lvlJc w:val="left"/>
      <w:pPr>
        <w:ind w:left="1849" w:hanging="360"/>
      </w:pPr>
      <w:rPr>
        <w:rFonts w:ascii="Courier New" w:hAnsi="Courier New" w:cs="Courier New" w:hint="default"/>
      </w:rPr>
    </w:lvl>
    <w:lvl w:ilvl="2" w:tplc="08090005" w:tentative="1">
      <w:start w:val="1"/>
      <w:numFmt w:val="bullet"/>
      <w:lvlText w:val=""/>
      <w:lvlJc w:val="left"/>
      <w:pPr>
        <w:ind w:left="2569" w:hanging="360"/>
      </w:pPr>
      <w:rPr>
        <w:rFonts w:ascii="Wingdings" w:hAnsi="Wingdings" w:hint="default"/>
      </w:rPr>
    </w:lvl>
    <w:lvl w:ilvl="3" w:tplc="08090001" w:tentative="1">
      <w:start w:val="1"/>
      <w:numFmt w:val="bullet"/>
      <w:lvlText w:val=""/>
      <w:lvlJc w:val="left"/>
      <w:pPr>
        <w:ind w:left="3289" w:hanging="360"/>
      </w:pPr>
      <w:rPr>
        <w:rFonts w:ascii="Symbol" w:hAnsi="Symbol" w:hint="default"/>
      </w:rPr>
    </w:lvl>
    <w:lvl w:ilvl="4" w:tplc="08090003" w:tentative="1">
      <w:start w:val="1"/>
      <w:numFmt w:val="bullet"/>
      <w:lvlText w:val="o"/>
      <w:lvlJc w:val="left"/>
      <w:pPr>
        <w:ind w:left="4009" w:hanging="360"/>
      </w:pPr>
      <w:rPr>
        <w:rFonts w:ascii="Courier New" w:hAnsi="Courier New" w:cs="Courier New" w:hint="default"/>
      </w:rPr>
    </w:lvl>
    <w:lvl w:ilvl="5" w:tplc="08090005" w:tentative="1">
      <w:start w:val="1"/>
      <w:numFmt w:val="bullet"/>
      <w:lvlText w:val=""/>
      <w:lvlJc w:val="left"/>
      <w:pPr>
        <w:ind w:left="4729" w:hanging="360"/>
      </w:pPr>
      <w:rPr>
        <w:rFonts w:ascii="Wingdings" w:hAnsi="Wingdings" w:hint="default"/>
      </w:rPr>
    </w:lvl>
    <w:lvl w:ilvl="6" w:tplc="08090001" w:tentative="1">
      <w:start w:val="1"/>
      <w:numFmt w:val="bullet"/>
      <w:lvlText w:val=""/>
      <w:lvlJc w:val="left"/>
      <w:pPr>
        <w:ind w:left="5449" w:hanging="360"/>
      </w:pPr>
      <w:rPr>
        <w:rFonts w:ascii="Symbol" w:hAnsi="Symbol" w:hint="default"/>
      </w:rPr>
    </w:lvl>
    <w:lvl w:ilvl="7" w:tplc="08090003" w:tentative="1">
      <w:start w:val="1"/>
      <w:numFmt w:val="bullet"/>
      <w:lvlText w:val="o"/>
      <w:lvlJc w:val="left"/>
      <w:pPr>
        <w:ind w:left="6169" w:hanging="360"/>
      </w:pPr>
      <w:rPr>
        <w:rFonts w:ascii="Courier New" w:hAnsi="Courier New" w:cs="Courier New" w:hint="default"/>
      </w:rPr>
    </w:lvl>
    <w:lvl w:ilvl="8" w:tplc="08090005" w:tentative="1">
      <w:start w:val="1"/>
      <w:numFmt w:val="bullet"/>
      <w:lvlText w:val=""/>
      <w:lvlJc w:val="left"/>
      <w:pPr>
        <w:ind w:left="6889" w:hanging="360"/>
      </w:pPr>
      <w:rPr>
        <w:rFonts w:ascii="Wingdings" w:hAnsi="Wingdings" w:hint="default"/>
      </w:rPr>
    </w:lvl>
  </w:abstractNum>
  <w:abstractNum w:abstractNumId="6" w15:restartNumberingAfterBreak="0">
    <w:nsid w:val="39F76F78"/>
    <w:multiLevelType w:val="hybridMultilevel"/>
    <w:tmpl w:val="67CC6F4E"/>
    <w:lvl w:ilvl="0" w:tplc="53741F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3CF1399"/>
    <w:multiLevelType w:val="hybridMultilevel"/>
    <w:tmpl w:val="505C38D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5F3330D"/>
    <w:multiLevelType w:val="hybridMultilevel"/>
    <w:tmpl w:val="AE78BFD4"/>
    <w:lvl w:ilvl="0" w:tplc="FD86BD8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574C4FE0"/>
    <w:multiLevelType w:val="hybridMultilevel"/>
    <w:tmpl w:val="4B489770"/>
    <w:lvl w:ilvl="0" w:tplc="597657D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5EFF2485"/>
    <w:multiLevelType w:val="hybridMultilevel"/>
    <w:tmpl w:val="E4343F4E"/>
    <w:lvl w:ilvl="0" w:tplc="DE66977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7C0067CC"/>
    <w:multiLevelType w:val="hybridMultilevel"/>
    <w:tmpl w:val="1D604812"/>
    <w:lvl w:ilvl="0" w:tplc="FF7CD6D4">
      <w:start w:val="6"/>
      <w:numFmt w:val="bullet"/>
      <w:lvlText w:val="-"/>
      <w:lvlJc w:val="left"/>
      <w:pPr>
        <w:ind w:left="677" w:hanging="360"/>
      </w:pPr>
      <w:rPr>
        <w:rFonts w:ascii="Times New Roman" w:eastAsia="Times New Roman" w:hAnsi="Times New Roman" w:cs="Times New Roman"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2" w15:restartNumberingAfterBreak="0">
    <w:nsid w:val="7E9C75BB"/>
    <w:multiLevelType w:val="hybridMultilevel"/>
    <w:tmpl w:val="1C9E6270"/>
    <w:lvl w:ilvl="0" w:tplc="70DC25A8">
      <w:start w:val="7"/>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7"/>
  </w:num>
  <w:num w:numId="3">
    <w:abstractNumId w:val="1"/>
  </w:num>
  <w:num w:numId="4">
    <w:abstractNumId w:val="5"/>
  </w:num>
  <w:num w:numId="5">
    <w:abstractNumId w:val="8"/>
  </w:num>
  <w:num w:numId="6">
    <w:abstractNumId w:val="9"/>
  </w:num>
  <w:num w:numId="7">
    <w:abstractNumId w:val="0"/>
  </w:num>
  <w:num w:numId="8">
    <w:abstractNumId w:val="2"/>
  </w:num>
  <w:num w:numId="9">
    <w:abstractNumId w:val="10"/>
  </w:num>
  <w:num w:numId="10">
    <w:abstractNumId w:val="4"/>
  </w:num>
  <w:num w:numId="11">
    <w:abstractNumId w:val="12"/>
  </w:num>
  <w:num w:numId="12">
    <w:abstractNumId w:val="6"/>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activeWritingStyle w:appName="MSWord" w:lang="ru-RU" w:vendorID="64" w:dllVersion="6" w:nlCheck="1" w:checkStyle="0"/>
  <w:activeWritingStyle w:appName="MSWord" w:lang="en-GB" w:vendorID="64" w:dllVersion="6" w:nlCheck="1" w:checkStyle="1"/>
  <w:activeWritingStyle w:appName="MSWord" w:lang="en-US" w:vendorID="64" w:dllVersion="0" w:nlCheck="1" w:checkStyle="0"/>
  <w:activeWritingStyle w:appName="MSWord" w:lang="aa-ET" w:vendorID="64" w:dllVersion="0" w:nlCheck="1" w:checkStyle="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ru-MD"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6CB"/>
    <w:rsid w:val="00000B33"/>
    <w:rsid w:val="0000617E"/>
    <w:rsid w:val="00010273"/>
    <w:rsid w:val="00010B0A"/>
    <w:rsid w:val="00014C4C"/>
    <w:rsid w:val="00023B7E"/>
    <w:rsid w:val="00024D06"/>
    <w:rsid w:val="000255EC"/>
    <w:rsid w:val="00027C24"/>
    <w:rsid w:val="00041ECE"/>
    <w:rsid w:val="00043047"/>
    <w:rsid w:val="000506EA"/>
    <w:rsid w:val="00051C8C"/>
    <w:rsid w:val="000642E0"/>
    <w:rsid w:val="00064684"/>
    <w:rsid w:val="00066139"/>
    <w:rsid w:val="00066B44"/>
    <w:rsid w:val="00067358"/>
    <w:rsid w:val="00077CEB"/>
    <w:rsid w:val="000810EC"/>
    <w:rsid w:val="00084848"/>
    <w:rsid w:val="0008645A"/>
    <w:rsid w:val="0008685F"/>
    <w:rsid w:val="00097EB2"/>
    <w:rsid w:val="00097FFD"/>
    <w:rsid w:val="000A5A36"/>
    <w:rsid w:val="000B04B3"/>
    <w:rsid w:val="000B2395"/>
    <w:rsid w:val="000C0BB2"/>
    <w:rsid w:val="000C1BDA"/>
    <w:rsid w:val="000C36A8"/>
    <w:rsid w:val="000C4099"/>
    <w:rsid w:val="000D0FF4"/>
    <w:rsid w:val="000D2C19"/>
    <w:rsid w:val="000D790B"/>
    <w:rsid w:val="000E4479"/>
    <w:rsid w:val="000E4E29"/>
    <w:rsid w:val="000F301B"/>
    <w:rsid w:val="000F3E80"/>
    <w:rsid w:val="000F5419"/>
    <w:rsid w:val="00100FA7"/>
    <w:rsid w:val="001011A2"/>
    <w:rsid w:val="00103C40"/>
    <w:rsid w:val="00104ED6"/>
    <w:rsid w:val="001061E3"/>
    <w:rsid w:val="00107721"/>
    <w:rsid w:val="0011731E"/>
    <w:rsid w:val="00117AF6"/>
    <w:rsid w:val="00120FFE"/>
    <w:rsid w:val="0012147E"/>
    <w:rsid w:val="001247BD"/>
    <w:rsid w:val="00125C6C"/>
    <w:rsid w:val="0012614D"/>
    <w:rsid w:val="00132402"/>
    <w:rsid w:val="0013263C"/>
    <w:rsid w:val="00135CBD"/>
    <w:rsid w:val="0013652D"/>
    <w:rsid w:val="00141750"/>
    <w:rsid w:val="00145431"/>
    <w:rsid w:val="0014566B"/>
    <w:rsid w:val="00145A3A"/>
    <w:rsid w:val="00150A8E"/>
    <w:rsid w:val="0015296F"/>
    <w:rsid w:val="00154CAB"/>
    <w:rsid w:val="001576C5"/>
    <w:rsid w:val="00165C0C"/>
    <w:rsid w:val="001669F6"/>
    <w:rsid w:val="00173421"/>
    <w:rsid w:val="00176A51"/>
    <w:rsid w:val="00187D4A"/>
    <w:rsid w:val="001904F1"/>
    <w:rsid w:val="00190C2C"/>
    <w:rsid w:val="001943A5"/>
    <w:rsid w:val="001A0CAC"/>
    <w:rsid w:val="001A5090"/>
    <w:rsid w:val="001A7C3C"/>
    <w:rsid w:val="001B072B"/>
    <w:rsid w:val="001B5B12"/>
    <w:rsid w:val="001B73DA"/>
    <w:rsid w:val="001C5AC6"/>
    <w:rsid w:val="001C6693"/>
    <w:rsid w:val="001C74F1"/>
    <w:rsid w:val="001D6BB9"/>
    <w:rsid w:val="001E04BB"/>
    <w:rsid w:val="001E0E19"/>
    <w:rsid w:val="001E20E4"/>
    <w:rsid w:val="001E4DE2"/>
    <w:rsid w:val="001F7F22"/>
    <w:rsid w:val="00201E56"/>
    <w:rsid w:val="002028F2"/>
    <w:rsid w:val="002136C6"/>
    <w:rsid w:val="002237CE"/>
    <w:rsid w:val="0022413C"/>
    <w:rsid w:val="0023088D"/>
    <w:rsid w:val="00230A0C"/>
    <w:rsid w:val="00232E62"/>
    <w:rsid w:val="002365A4"/>
    <w:rsid w:val="00240C11"/>
    <w:rsid w:val="00242035"/>
    <w:rsid w:val="00242733"/>
    <w:rsid w:val="00244A29"/>
    <w:rsid w:val="00251221"/>
    <w:rsid w:val="002534AF"/>
    <w:rsid w:val="00255DB5"/>
    <w:rsid w:val="002578A6"/>
    <w:rsid w:val="00263048"/>
    <w:rsid w:val="00263331"/>
    <w:rsid w:val="00266BC8"/>
    <w:rsid w:val="0027139F"/>
    <w:rsid w:val="00277260"/>
    <w:rsid w:val="002829CC"/>
    <w:rsid w:val="002910A2"/>
    <w:rsid w:val="002A4EBA"/>
    <w:rsid w:val="002A701D"/>
    <w:rsid w:val="002B1338"/>
    <w:rsid w:val="002B599C"/>
    <w:rsid w:val="002B73B7"/>
    <w:rsid w:val="002B74B1"/>
    <w:rsid w:val="002C2727"/>
    <w:rsid w:val="002C4D31"/>
    <w:rsid w:val="002E05BC"/>
    <w:rsid w:val="002F5904"/>
    <w:rsid w:val="002F62EA"/>
    <w:rsid w:val="002F6503"/>
    <w:rsid w:val="00305DDC"/>
    <w:rsid w:val="00306A59"/>
    <w:rsid w:val="00310BFA"/>
    <w:rsid w:val="00311488"/>
    <w:rsid w:val="00314B59"/>
    <w:rsid w:val="00322F3B"/>
    <w:rsid w:val="003234E4"/>
    <w:rsid w:val="0032450E"/>
    <w:rsid w:val="003251AD"/>
    <w:rsid w:val="00325A4B"/>
    <w:rsid w:val="00334EF3"/>
    <w:rsid w:val="003369F8"/>
    <w:rsid w:val="00337ADF"/>
    <w:rsid w:val="00337C04"/>
    <w:rsid w:val="00350452"/>
    <w:rsid w:val="003506D2"/>
    <w:rsid w:val="0035114B"/>
    <w:rsid w:val="00353519"/>
    <w:rsid w:val="00356F7F"/>
    <w:rsid w:val="00365A7D"/>
    <w:rsid w:val="00370BB1"/>
    <w:rsid w:val="00373B2B"/>
    <w:rsid w:val="00375515"/>
    <w:rsid w:val="00383348"/>
    <w:rsid w:val="003859E7"/>
    <w:rsid w:val="00392311"/>
    <w:rsid w:val="00392D07"/>
    <w:rsid w:val="003969E8"/>
    <w:rsid w:val="00397B67"/>
    <w:rsid w:val="003B3C9B"/>
    <w:rsid w:val="003C08B4"/>
    <w:rsid w:val="003C0B30"/>
    <w:rsid w:val="003C2DCB"/>
    <w:rsid w:val="003C320B"/>
    <w:rsid w:val="003D1E13"/>
    <w:rsid w:val="003D7F07"/>
    <w:rsid w:val="003E62BC"/>
    <w:rsid w:val="003F2CC4"/>
    <w:rsid w:val="00400747"/>
    <w:rsid w:val="0040253B"/>
    <w:rsid w:val="004076F9"/>
    <w:rsid w:val="00414BE9"/>
    <w:rsid w:val="00420957"/>
    <w:rsid w:val="00426BC4"/>
    <w:rsid w:val="004367D3"/>
    <w:rsid w:val="00437C34"/>
    <w:rsid w:val="00437F0A"/>
    <w:rsid w:val="00444F6A"/>
    <w:rsid w:val="0044652F"/>
    <w:rsid w:val="004468D7"/>
    <w:rsid w:val="00452CA9"/>
    <w:rsid w:val="004555F1"/>
    <w:rsid w:val="004564A0"/>
    <w:rsid w:val="00462B87"/>
    <w:rsid w:val="0046537B"/>
    <w:rsid w:val="00467D98"/>
    <w:rsid w:val="0047000B"/>
    <w:rsid w:val="00470936"/>
    <w:rsid w:val="00473C77"/>
    <w:rsid w:val="004759E6"/>
    <w:rsid w:val="00476554"/>
    <w:rsid w:val="00476CF0"/>
    <w:rsid w:val="00480514"/>
    <w:rsid w:val="004843ED"/>
    <w:rsid w:val="004865D5"/>
    <w:rsid w:val="00491256"/>
    <w:rsid w:val="00497D5A"/>
    <w:rsid w:val="004A190B"/>
    <w:rsid w:val="004A34E4"/>
    <w:rsid w:val="004B07AA"/>
    <w:rsid w:val="004B1F93"/>
    <w:rsid w:val="004B2237"/>
    <w:rsid w:val="004B49DB"/>
    <w:rsid w:val="004B4A74"/>
    <w:rsid w:val="004B6C10"/>
    <w:rsid w:val="004B6D7C"/>
    <w:rsid w:val="004C0821"/>
    <w:rsid w:val="004C253C"/>
    <w:rsid w:val="004C385A"/>
    <w:rsid w:val="004C5EEC"/>
    <w:rsid w:val="004C7464"/>
    <w:rsid w:val="004D06EF"/>
    <w:rsid w:val="004D2B35"/>
    <w:rsid w:val="004D3CBA"/>
    <w:rsid w:val="004D62B1"/>
    <w:rsid w:val="004E2D54"/>
    <w:rsid w:val="004E5B84"/>
    <w:rsid w:val="00500082"/>
    <w:rsid w:val="005028F6"/>
    <w:rsid w:val="00511FED"/>
    <w:rsid w:val="00513972"/>
    <w:rsid w:val="00514D07"/>
    <w:rsid w:val="00517CF8"/>
    <w:rsid w:val="0054005F"/>
    <w:rsid w:val="0054132A"/>
    <w:rsid w:val="00542906"/>
    <w:rsid w:val="0054413C"/>
    <w:rsid w:val="0054467B"/>
    <w:rsid w:val="005521F1"/>
    <w:rsid w:val="005574D0"/>
    <w:rsid w:val="00561271"/>
    <w:rsid w:val="0056236C"/>
    <w:rsid w:val="00564B7D"/>
    <w:rsid w:val="0057117B"/>
    <w:rsid w:val="005716A0"/>
    <w:rsid w:val="00574759"/>
    <w:rsid w:val="005835B7"/>
    <w:rsid w:val="00590ACB"/>
    <w:rsid w:val="005917FE"/>
    <w:rsid w:val="005A34B3"/>
    <w:rsid w:val="005A66B5"/>
    <w:rsid w:val="005B777C"/>
    <w:rsid w:val="005C265F"/>
    <w:rsid w:val="005C566D"/>
    <w:rsid w:val="005C7067"/>
    <w:rsid w:val="005D0579"/>
    <w:rsid w:val="005D3EC9"/>
    <w:rsid w:val="005D5742"/>
    <w:rsid w:val="005D59A1"/>
    <w:rsid w:val="005D61FD"/>
    <w:rsid w:val="005D6818"/>
    <w:rsid w:val="005E2755"/>
    <w:rsid w:val="005E341A"/>
    <w:rsid w:val="005E34C4"/>
    <w:rsid w:val="005F0908"/>
    <w:rsid w:val="005F4DCD"/>
    <w:rsid w:val="0060081B"/>
    <w:rsid w:val="00602434"/>
    <w:rsid w:val="0061375A"/>
    <w:rsid w:val="00614854"/>
    <w:rsid w:val="006162BC"/>
    <w:rsid w:val="00624902"/>
    <w:rsid w:val="006265F9"/>
    <w:rsid w:val="00631B53"/>
    <w:rsid w:val="006322F3"/>
    <w:rsid w:val="00635592"/>
    <w:rsid w:val="00647F93"/>
    <w:rsid w:val="00650732"/>
    <w:rsid w:val="00652614"/>
    <w:rsid w:val="00655F1C"/>
    <w:rsid w:val="0066053C"/>
    <w:rsid w:val="0066162C"/>
    <w:rsid w:val="006651EC"/>
    <w:rsid w:val="00665C21"/>
    <w:rsid w:val="006722CC"/>
    <w:rsid w:val="00673014"/>
    <w:rsid w:val="00674FEC"/>
    <w:rsid w:val="00675337"/>
    <w:rsid w:val="00676B7A"/>
    <w:rsid w:val="00677848"/>
    <w:rsid w:val="00683837"/>
    <w:rsid w:val="00685A4F"/>
    <w:rsid w:val="00687040"/>
    <w:rsid w:val="006873B9"/>
    <w:rsid w:val="006904D3"/>
    <w:rsid w:val="00692744"/>
    <w:rsid w:val="006952FE"/>
    <w:rsid w:val="006A30F5"/>
    <w:rsid w:val="006B0507"/>
    <w:rsid w:val="006C0F06"/>
    <w:rsid w:val="006C2227"/>
    <w:rsid w:val="006C75AE"/>
    <w:rsid w:val="006D06AA"/>
    <w:rsid w:val="006D1FA4"/>
    <w:rsid w:val="006D79CD"/>
    <w:rsid w:val="006E25CA"/>
    <w:rsid w:val="006F2F79"/>
    <w:rsid w:val="006F3BEE"/>
    <w:rsid w:val="006F5442"/>
    <w:rsid w:val="006F7AE5"/>
    <w:rsid w:val="00704651"/>
    <w:rsid w:val="00705D46"/>
    <w:rsid w:val="00710896"/>
    <w:rsid w:val="00711B54"/>
    <w:rsid w:val="007152E5"/>
    <w:rsid w:val="00715563"/>
    <w:rsid w:val="00722068"/>
    <w:rsid w:val="00723601"/>
    <w:rsid w:val="007278C4"/>
    <w:rsid w:val="00733C2B"/>
    <w:rsid w:val="00741579"/>
    <w:rsid w:val="00742090"/>
    <w:rsid w:val="00747583"/>
    <w:rsid w:val="00753ECC"/>
    <w:rsid w:val="0075425F"/>
    <w:rsid w:val="00762BF8"/>
    <w:rsid w:val="007655DE"/>
    <w:rsid w:val="00767187"/>
    <w:rsid w:val="007735B1"/>
    <w:rsid w:val="00774547"/>
    <w:rsid w:val="00775C7E"/>
    <w:rsid w:val="007935ED"/>
    <w:rsid w:val="007A3A4A"/>
    <w:rsid w:val="007A4A0E"/>
    <w:rsid w:val="007B0493"/>
    <w:rsid w:val="007B2211"/>
    <w:rsid w:val="007B2BA4"/>
    <w:rsid w:val="007B4979"/>
    <w:rsid w:val="007B680D"/>
    <w:rsid w:val="007C1521"/>
    <w:rsid w:val="007D164B"/>
    <w:rsid w:val="007D46A1"/>
    <w:rsid w:val="007D65ED"/>
    <w:rsid w:val="007E4B9F"/>
    <w:rsid w:val="007E6999"/>
    <w:rsid w:val="007F3A99"/>
    <w:rsid w:val="007F4E41"/>
    <w:rsid w:val="007F7F68"/>
    <w:rsid w:val="00805FF2"/>
    <w:rsid w:val="008075DA"/>
    <w:rsid w:val="0081353C"/>
    <w:rsid w:val="00816D42"/>
    <w:rsid w:val="00823174"/>
    <w:rsid w:val="00834037"/>
    <w:rsid w:val="008360FE"/>
    <w:rsid w:val="0084197D"/>
    <w:rsid w:val="00841AA3"/>
    <w:rsid w:val="0084391F"/>
    <w:rsid w:val="00845AA4"/>
    <w:rsid w:val="008526DD"/>
    <w:rsid w:val="00852B1F"/>
    <w:rsid w:val="00853DDE"/>
    <w:rsid w:val="008569F8"/>
    <w:rsid w:val="00857765"/>
    <w:rsid w:val="008610DC"/>
    <w:rsid w:val="00861D31"/>
    <w:rsid w:val="00864CCA"/>
    <w:rsid w:val="0087393F"/>
    <w:rsid w:val="00876E5B"/>
    <w:rsid w:val="00880185"/>
    <w:rsid w:val="008825F9"/>
    <w:rsid w:val="00883550"/>
    <w:rsid w:val="00884BC3"/>
    <w:rsid w:val="0088664A"/>
    <w:rsid w:val="00892822"/>
    <w:rsid w:val="00893931"/>
    <w:rsid w:val="00896816"/>
    <w:rsid w:val="008A00B7"/>
    <w:rsid w:val="008A1288"/>
    <w:rsid w:val="008A34FE"/>
    <w:rsid w:val="008A4933"/>
    <w:rsid w:val="008B680E"/>
    <w:rsid w:val="008C0997"/>
    <w:rsid w:val="008C2387"/>
    <w:rsid w:val="008C76B0"/>
    <w:rsid w:val="008D24C6"/>
    <w:rsid w:val="008D2DD0"/>
    <w:rsid w:val="008D5031"/>
    <w:rsid w:val="008D6CF0"/>
    <w:rsid w:val="008D78F5"/>
    <w:rsid w:val="008E122F"/>
    <w:rsid w:val="008E376A"/>
    <w:rsid w:val="008F1381"/>
    <w:rsid w:val="008F21DA"/>
    <w:rsid w:val="008F5EF3"/>
    <w:rsid w:val="008F66F1"/>
    <w:rsid w:val="00900385"/>
    <w:rsid w:val="00900C19"/>
    <w:rsid w:val="00903E0B"/>
    <w:rsid w:val="00907C7E"/>
    <w:rsid w:val="009113CF"/>
    <w:rsid w:val="0091705E"/>
    <w:rsid w:val="009263A3"/>
    <w:rsid w:val="00926619"/>
    <w:rsid w:val="00926661"/>
    <w:rsid w:val="009313A4"/>
    <w:rsid w:val="00943F62"/>
    <w:rsid w:val="00945EF4"/>
    <w:rsid w:val="00945F4C"/>
    <w:rsid w:val="00946CFD"/>
    <w:rsid w:val="00950EAA"/>
    <w:rsid w:val="009522F5"/>
    <w:rsid w:val="0095675B"/>
    <w:rsid w:val="009571F0"/>
    <w:rsid w:val="009576EC"/>
    <w:rsid w:val="00971EFC"/>
    <w:rsid w:val="00973C87"/>
    <w:rsid w:val="00977D07"/>
    <w:rsid w:val="0098146D"/>
    <w:rsid w:val="00983757"/>
    <w:rsid w:val="00985065"/>
    <w:rsid w:val="00991944"/>
    <w:rsid w:val="009930F5"/>
    <w:rsid w:val="0099678E"/>
    <w:rsid w:val="009970B4"/>
    <w:rsid w:val="009A6F33"/>
    <w:rsid w:val="009B212D"/>
    <w:rsid w:val="009B23BB"/>
    <w:rsid w:val="009C07BC"/>
    <w:rsid w:val="009C10C8"/>
    <w:rsid w:val="009C1D78"/>
    <w:rsid w:val="009C4A65"/>
    <w:rsid w:val="009C6AC7"/>
    <w:rsid w:val="009C7CF4"/>
    <w:rsid w:val="009D525B"/>
    <w:rsid w:val="009D6229"/>
    <w:rsid w:val="009D6755"/>
    <w:rsid w:val="009E2A30"/>
    <w:rsid w:val="009E3546"/>
    <w:rsid w:val="009E4E64"/>
    <w:rsid w:val="009E7188"/>
    <w:rsid w:val="009F15F0"/>
    <w:rsid w:val="00A01A9F"/>
    <w:rsid w:val="00A030D3"/>
    <w:rsid w:val="00A05D86"/>
    <w:rsid w:val="00A06915"/>
    <w:rsid w:val="00A06943"/>
    <w:rsid w:val="00A14CDC"/>
    <w:rsid w:val="00A21A5C"/>
    <w:rsid w:val="00A224DF"/>
    <w:rsid w:val="00A23501"/>
    <w:rsid w:val="00A2558E"/>
    <w:rsid w:val="00A3379A"/>
    <w:rsid w:val="00A4530A"/>
    <w:rsid w:val="00A4737D"/>
    <w:rsid w:val="00A47F66"/>
    <w:rsid w:val="00A51A6A"/>
    <w:rsid w:val="00A56A76"/>
    <w:rsid w:val="00A56AFD"/>
    <w:rsid w:val="00A61D08"/>
    <w:rsid w:val="00A62524"/>
    <w:rsid w:val="00A65A3E"/>
    <w:rsid w:val="00A7142A"/>
    <w:rsid w:val="00A7297F"/>
    <w:rsid w:val="00A73E99"/>
    <w:rsid w:val="00A7594B"/>
    <w:rsid w:val="00A82092"/>
    <w:rsid w:val="00A833FF"/>
    <w:rsid w:val="00A83BBE"/>
    <w:rsid w:val="00A843B5"/>
    <w:rsid w:val="00A9073F"/>
    <w:rsid w:val="00A91343"/>
    <w:rsid w:val="00A942C6"/>
    <w:rsid w:val="00A9748E"/>
    <w:rsid w:val="00AA074E"/>
    <w:rsid w:val="00AB1E24"/>
    <w:rsid w:val="00AC5376"/>
    <w:rsid w:val="00AD0F73"/>
    <w:rsid w:val="00AD2D37"/>
    <w:rsid w:val="00AD339E"/>
    <w:rsid w:val="00AE060B"/>
    <w:rsid w:val="00AE1919"/>
    <w:rsid w:val="00AE53FC"/>
    <w:rsid w:val="00AE7253"/>
    <w:rsid w:val="00AE72A7"/>
    <w:rsid w:val="00AE7822"/>
    <w:rsid w:val="00AF3F6F"/>
    <w:rsid w:val="00AF75AD"/>
    <w:rsid w:val="00AF7CD2"/>
    <w:rsid w:val="00B06715"/>
    <w:rsid w:val="00B072F8"/>
    <w:rsid w:val="00B07AA4"/>
    <w:rsid w:val="00B2031F"/>
    <w:rsid w:val="00B2263E"/>
    <w:rsid w:val="00B30A7D"/>
    <w:rsid w:val="00B33927"/>
    <w:rsid w:val="00B34142"/>
    <w:rsid w:val="00B44487"/>
    <w:rsid w:val="00B45DD0"/>
    <w:rsid w:val="00B46740"/>
    <w:rsid w:val="00B505C7"/>
    <w:rsid w:val="00B50F01"/>
    <w:rsid w:val="00B51BBF"/>
    <w:rsid w:val="00B53765"/>
    <w:rsid w:val="00B540AF"/>
    <w:rsid w:val="00B56246"/>
    <w:rsid w:val="00B67DB2"/>
    <w:rsid w:val="00B71813"/>
    <w:rsid w:val="00B7201C"/>
    <w:rsid w:val="00B745BE"/>
    <w:rsid w:val="00B807D4"/>
    <w:rsid w:val="00B87B95"/>
    <w:rsid w:val="00B9007D"/>
    <w:rsid w:val="00B9053B"/>
    <w:rsid w:val="00B91741"/>
    <w:rsid w:val="00B92C96"/>
    <w:rsid w:val="00B94D23"/>
    <w:rsid w:val="00BA1FBC"/>
    <w:rsid w:val="00BA26CB"/>
    <w:rsid w:val="00BA2EEF"/>
    <w:rsid w:val="00BB4F3C"/>
    <w:rsid w:val="00BC2F64"/>
    <w:rsid w:val="00BC5CAF"/>
    <w:rsid w:val="00BD64C0"/>
    <w:rsid w:val="00BE05A4"/>
    <w:rsid w:val="00BE3EBF"/>
    <w:rsid w:val="00BF2E4D"/>
    <w:rsid w:val="00BF579E"/>
    <w:rsid w:val="00C03988"/>
    <w:rsid w:val="00C07024"/>
    <w:rsid w:val="00C10B16"/>
    <w:rsid w:val="00C12517"/>
    <w:rsid w:val="00C12E67"/>
    <w:rsid w:val="00C16059"/>
    <w:rsid w:val="00C16A96"/>
    <w:rsid w:val="00C17EE0"/>
    <w:rsid w:val="00C34B4E"/>
    <w:rsid w:val="00C44F4B"/>
    <w:rsid w:val="00C47536"/>
    <w:rsid w:val="00C65222"/>
    <w:rsid w:val="00C75155"/>
    <w:rsid w:val="00C7550F"/>
    <w:rsid w:val="00C809D8"/>
    <w:rsid w:val="00C80D40"/>
    <w:rsid w:val="00C83944"/>
    <w:rsid w:val="00C90A53"/>
    <w:rsid w:val="00C95210"/>
    <w:rsid w:val="00CA11A7"/>
    <w:rsid w:val="00CA2249"/>
    <w:rsid w:val="00CA61AE"/>
    <w:rsid w:val="00CA626A"/>
    <w:rsid w:val="00CB5EDC"/>
    <w:rsid w:val="00CB6313"/>
    <w:rsid w:val="00CC0E36"/>
    <w:rsid w:val="00CC1C87"/>
    <w:rsid w:val="00CC60BC"/>
    <w:rsid w:val="00CC6668"/>
    <w:rsid w:val="00CC6829"/>
    <w:rsid w:val="00CD16D2"/>
    <w:rsid w:val="00CD388E"/>
    <w:rsid w:val="00CD59D7"/>
    <w:rsid w:val="00CD602B"/>
    <w:rsid w:val="00CD7020"/>
    <w:rsid w:val="00CD7D84"/>
    <w:rsid w:val="00CE2F85"/>
    <w:rsid w:val="00CE33FC"/>
    <w:rsid w:val="00CE3B64"/>
    <w:rsid w:val="00CF1216"/>
    <w:rsid w:val="00CF22DE"/>
    <w:rsid w:val="00CF3619"/>
    <w:rsid w:val="00CF50BF"/>
    <w:rsid w:val="00CF6FF4"/>
    <w:rsid w:val="00D03F37"/>
    <w:rsid w:val="00D04771"/>
    <w:rsid w:val="00D0737A"/>
    <w:rsid w:val="00D100D7"/>
    <w:rsid w:val="00D10382"/>
    <w:rsid w:val="00D15641"/>
    <w:rsid w:val="00D21E2E"/>
    <w:rsid w:val="00D22BED"/>
    <w:rsid w:val="00D27AAB"/>
    <w:rsid w:val="00D27EBB"/>
    <w:rsid w:val="00D404BA"/>
    <w:rsid w:val="00D40777"/>
    <w:rsid w:val="00D40F06"/>
    <w:rsid w:val="00D420EF"/>
    <w:rsid w:val="00D4405E"/>
    <w:rsid w:val="00D50CF0"/>
    <w:rsid w:val="00D50E2F"/>
    <w:rsid w:val="00D61A90"/>
    <w:rsid w:val="00D72582"/>
    <w:rsid w:val="00D752A3"/>
    <w:rsid w:val="00D82893"/>
    <w:rsid w:val="00D82E66"/>
    <w:rsid w:val="00D86283"/>
    <w:rsid w:val="00D86A0A"/>
    <w:rsid w:val="00D902C1"/>
    <w:rsid w:val="00D96122"/>
    <w:rsid w:val="00DA0C56"/>
    <w:rsid w:val="00DA1C56"/>
    <w:rsid w:val="00DA37EB"/>
    <w:rsid w:val="00DA5A0B"/>
    <w:rsid w:val="00DA748C"/>
    <w:rsid w:val="00DB16F7"/>
    <w:rsid w:val="00DB2A5D"/>
    <w:rsid w:val="00DC0234"/>
    <w:rsid w:val="00DC25D9"/>
    <w:rsid w:val="00DC3B70"/>
    <w:rsid w:val="00DC4537"/>
    <w:rsid w:val="00DC7941"/>
    <w:rsid w:val="00DD0035"/>
    <w:rsid w:val="00DD01B6"/>
    <w:rsid w:val="00DD5E73"/>
    <w:rsid w:val="00DD6A94"/>
    <w:rsid w:val="00DE3A71"/>
    <w:rsid w:val="00DE63F3"/>
    <w:rsid w:val="00DF1387"/>
    <w:rsid w:val="00DF2DFB"/>
    <w:rsid w:val="00DF3277"/>
    <w:rsid w:val="00DF4032"/>
    <w:rsid w:val="00DF484C"/>
    <w:rsid w:val="00DF6C90"/>
    <w:rsid w:val="00E028F8"/>
    <w:rsid w:val="00E10643"/>
    <w:rsid w:val="00E174C8"/>
    <w:rsid w:val="00E205C8"/>
    <w:rsid w:val="00E235BF"/>
    <w:rsid w:val="00E259CC"/>
    <w:rsid w:val="00E26CA2"/>
    <w:rsid w:val="00E2720F"/>
    <w:rsid w:val="00E338FF"/>
    <w:rsid w:val="00E343B3"/>
    <w:rsid w:val="00E3518D"/>
    <w:rsid w:val="00E43B55"/>
    <w:rsid w:val="00E46E0D"/>
    <w:rsid w:val="00E547E2"/>
    <w:rsid w:val="00E559BC"/>
    <w:rsid w:val="00E56DC4"/>
    <w:rsid w:val="00E6109B"/>
    <w:rsid w:val="00E62B7E"/>
    <w:rsid w:val="00E64D14"/>
    <w:rsid w:val="00E71177"/>
    <w:rsid w:val="00E75C9C"/>
    <w:rsid w:val="00E7719A"/>
    <w:rsid w:val="00E85D61"/>
    <w:rsid w:val="00E913EA"/>
    <w:rsid w:val="00E937ED"/>
    <w:rsid w:val="00E95AB2"/>
    <w:rsid w:val="00EA03D9"/>
    <w:rsid w:val="00EA0BB2"/>
    <w:rsid w:val="00EA25D2"/>
    <w:rsid w:val="00EA2949"/>
    <w:rsid w:val="00EB0F14"/>
    <w:rsid w:val="00EB12B4"/>
    <w:rsid w:val="00EB7FEB"/>
    <w:rsid w:val="00EC2CC8"/>
    <w:rsid w:val="00EC2FD0"/>
    <w:rsid w:val="00EC45CE"/>
    <w:rsid w:val="00EC5BDA"/>
    <w:rsid w:val="00ED3AAD"/>
    <w:rsid w:val="00ED6529"/>
    <w:rsid w:val="00ED7D42"/>
    <w:rsid w:val="00EE227A"/>
    <w:rsid w:val="00EE6214"/>
    <w:rsid w:val="00EF4229"/>
    <w:rsid w:val="00EF431A"/>
    <w:rsid w:val="00F01CCB"/>
    <w:rsid w:val="00F01F44"/>
    <w:rsid w:val="00F02CF0"/>
    <w:rsid w:val="00F03FE7"/>
    <w:rsid w:val="00F04821"/>
    <w:rsid w:val="00F06496"/>
    <w:rsid w:val="00F06A1B"/>
    <w:rsid w:val="00F06B74"/>
    <w:rsid w:val="00F11A2D"/>
    <w:rsid w:val="00F13719"/>
    <w:rsid w:val="00F16B06"/>
    <w:rsid w:val="00F20479"/>
    <w:rsid w:val="00F26693"/>
    <w:rsid w:val="00F3178E"/>
    <w:rsid w:val="00F326B2"/>
    <w:rsid w:val="00F340F6"/>
    <w:rsid w:val="00F41279"/>
    <w:rsid w:val="00F41F9B"/>
    <w:rsid w:val="00F42D8A"/>
    <w:rsid w:val="00F51D4B"/>
    <w:rsid w:val="00F536B8"/>
    <w:rsid w:val="00F53EC2"/>
    <w:rsid w:val="00F5590E"/>
    <w:rsid w:val="00F57804"/>
    <w:rsid w:val="00F601E5"/>
    <w:rsid w:val="00F611EE"/>
    <w:rsid w:val="00F64850"/>
    <w:rsid w:val="00F64A46"/>
    <w:rsid w:val="00F7367A"/>
    <w:rsid w:val="00F7630C"/>
    <w:rsid w:val="00F8103F"/>
    <w:rsid w:val="00F81342"/>
    <w:rsid w:val="00F87D61"/>
    <w:rsid w:val="00F916CC"/>
    <w:rsid w:val="00F9710F"/>
    <w:rsid w:val="00FA51D9"/>
    <w:rsid w:val="00FA577B"/>
    <w:rsid w:val="00FA6FB3"/>
    <w:rsid w:val="00FB7045"/>
    <w:rsid w:val="00FC13F9"/>
    <w:rsid w:val="00FC194A"/>
    <w:rsid w:val="00FC2937"/>
    <w:rsid w:val="00FC3FCF"/>
    <w:rsid w:val="00FD0634"/>
    <w:rsid w:val="00FD41E5"/>
    <w:rsid w:val="00FD4ABE"/>
    <w:rsid w:val="00FE21F0"/>
    <w:rsid w:val="00FE2BB3"/>
    <w:rsid w:val="00FE434E"/>
    <w:rsid w:val="00FE504B"/>
    <w:rsid w:val="00FE7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81118-7E2C-4064-9479-B51403DA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41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5E341A"/>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Heading4Char"/>
    <w:uiPriority w:val="9"/>
    <w:unhideWhenUsed/>
    <w:qFormat/>
    <w:rsid w:val="00B5376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341A"/>
    <w:rPr>
      <w:rFonts w:ascii="Calibri Light" w:eastAsia="Times New Roman" w:hAnsi="Calibri Light" w:cs="Times New Roman"/>
      <w:b/>
      <w:bCs/>
      <w:kern w:val="32"/>
      <w:sz w:val="32"/>
      <w:szCs w:val="32"/>
      <w:lang w:val="ru-RU" w:eastAsia="ru-RU"/>
    </w:rPr>
  </w:style>
  <w:style w:type="paragraph" w:styleId="NormalWeb">
    <w:name w:val="Normal (Web)"/>
    <w:aliases w:val="Знак, Знак,webb,webb Знак Знак"/>
    <w:basedOn w:val="Normal"/>
    <w:link w:val="NormalWebChar"/>
    <w:uiPriority w:val="99"/>
    <w:qFormat/>
    <w:rsid w:val="005E341A"/>
    <w:pPr>
      <w:ind w:firstLine="567"/>
      <w:jc w:val="both"/>
    </w:pPr>
  </w:style>
  <w:style w:type="paragraph" w:styleId="Footer">
    <w:name w:val="footer"/>
    <w:basedOn w:val="Normal"/>
    <w:link w:val="FooterChar"/>
    <w:rsid w:val="005E341A"/>
    <w:pPr>
      <w:tabs>
        <w:tab w:val="center" w:pos="4677"/>
        <w:tab w:val="right" w:pos="9355"/>
      </w:tabs>
    </w:pPr>
  </w:style>
  <w:style w:type="character" w:customStyle="1" w:styleId="FooterChar">
    <w:name w:val="Footer Char"/>
    <w:basedOn w:val="DefaultParagraphFont"/>
    <w:link w:val="Footer"/>
    <w:rsid w:val="005E341A"/>
    <w:rPr>
      <w:rFonts w:ascii="Times New Roman" w:eastAsia="Times New Roman" w:hAnsi="Times New Roman" w:cs="Times New Roman"/>
      <w:sz w:val="24"/>
      <w:szCs w:val="24"/>
      <w:lang w:val="ru-RU" w:eastAsia="ru-RU"/>
    </w:rPr>
  </w:style>
  <w:style w:type="paragraph" w:customStyle="1" w:styleId="tt">
    <w:name w:val="tt"/>
    <w:basedOn w:val="Normal"/>
    <w:rsid w:val="005E341A"/>
    <w:pPr>
      <w:jc w:val="center"/>
    </w:pPr>
    <w:rPr>
      <w:b/>
      <w:bCs/>
    </w:rPr>
  </w:style>
  <w:style w:type="character" w:styleId="Hyperlink">
    <w:name w:val="Hyperlink"/>
    <w:rsid w:val="005E341A"/>
    <w:rPr>
      <w:rFonts w:cs="Times New Roman"/>
      <w:color w:val="0000FF"/>
      <w:u w:val="single"/>
    </w:rPr>
  </w:style>
  <w:style w:type="paragraph" w:styleId="ListParagraph">
    <w:name w:val="List Paragraph"/>
    <w:aliases w:val="strikethrough,List Paragraph 1,Scriptoria bullet points,standaard met opsomming"/>
    <w:basedOn w:val="Normal"/>
    <w:link w:val="ListParagraphChar"/>
    <w:uiPriority w:val="34"/>
    <w:qFormat/>
    <w:rsid w:val="005E341A"/>
    <w:pPr>
      <w:ind w:left="720"/>
      <w:contextualSpacing/>
    </w:pPr>
  </w:style>
  <w:style w:type="character" w:customStyle="1" w:styleId="NormalWebChar">
    <w:name w:val="Normal (Web) Char"/>
    <w:aliases w:val="Знак Char, Знак Char,webb Char,webb Знак Знак Char"/>
    <w:link w:val="NormalWeb"/>
    <w:uiPriority w:val="99"/>
    <w:rsid w:val="005E341A"/>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EA03D9"/>
    <w:rPr>
      <w:b/>
      <w:bCs/>
    </w:rPr>
  </w:style>
  <w:style w:type="character" w:customStyle="1" w:styleId="ListParagraphChar">
    <w:name w:val="List Paragraph Char"/>
    <w:aliases w:val="strikethrough Char,List Paragraph 1 Char,Scriptoria bullet points Char,standaard met opsomming Char"/>
    <w:link w:val="ListParagraph"/>
    <w:uiPriority w:val="34"/>
    <w:locked/>
    <w:rsid w:val="006C2227"/>
    <w:rPr>
      <w:rFonts w:ascii="Times New Roman" w:eastAsia="Times New Roman" w:hAnsi="Times New Roman" w:cs="Times New Roman"/>
      <w:sz w:val="24"/>
      <w:szCs w:val="24"/>
      <w:lang w:val="ru-RU" w:eastAsia="ru-RU"/>
    </w:rPr>
  </w:style>
  <w:style w:type="paragraph" w:styleId="FootnoteText">
    <w:name w:val="footnote text"/>
    <w:aliases w:val="Char, Char,Знак1, Знак1,single space,footnote text,FOOTNOTES,fn,Footnote Text Char1,Footnote Text Char2 Char,Footnote Text Char1 Char Char,Footnote Text Char2 Char Char Char,Footnote Text Char1 Char Char Char Char, Cha,ft,Cha,A"/>
    <w:basedOn w:val="Normal"/>
    <w:link w:val="FootnoteTextChar"/>
    <w:uiPriority w:val="99"/>
    <w:unhideWhenUsed/>
    <w:qFormat/>
    <w:rsid w:val="007A4A0E"/>
    <w:rPr>
      <w:rFonts w:eastAsiaTheme="minorHAnsi" w:cstheme="minorBidi"/>
      <w:sz w:val="20"/>
      <w:szCs w:val="20"/>
      <w:lang w:val="ro-RO" w:eastAsia="en-US"/>
    </w:rPr>
  </w:style>
  <w:style w:type="character" w:customStyle="1" w:styleId="FootnoteTextChar">
    <w:name w:val="Footnote Text Char"/>
    <w:aliases w:val="Char Char, Char Char,Знак1 Char, Знак1 Char,single space Char,footnote text Char,FOOTNOTES Char,fn Char,Footnote Text Char1 Char,Footnote Text Char2 Char Char,Footnote Text Char1 Char Char Char,Footnote Text Char2 Char Char Char Char"/>
    <w:basedOn w:val="DefaultParagraphFont"/>
    <w:link w:val="FootnoteText"/>
    <w:uiPriority w:val="99"/>
    <w:rsid w:val="007A4A0E"/>
    <w:rPr>
      <w:rFonts w:ascii="Times New Roman" w:hAnsi="Times New Roman"/>
      <w:sz w:val="20"/>
      <w:szCs w:val="20"/>
      <w:lang w:val="ro-RO"/>
    </w:rPr>
  </w:style>
  <w:style w:type="character" w:styleId="FootnoteReference">
    <w:name w:val="footnote reference"/>
    <w:aliases w:val="ftref,Times 10 Point,Exposant 3 Point,Footnote symbol,Footnote reference number,EN Footnote Reference,note TESI,16 Point,Superscript 6 Point,BVI fnr,FOOTNOTES Char1,fn Char1,single space Char1,ft Char1,Ref,fr"/>
    <w:basedOn w:val="DefaultParagraphFont"/>
    <w:link w:val="FNRefeCharChar"/>
    <w:unhideWhenUsed/>
    <w:rsid w:val="007A4A0E"/>
    <w:rPr>
      <w:vertAlign w:val="superscript"/>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FootnoteReference"/>
    <w:uiPriority w:val="99"/>
    <w:qFormat/>
    <w:rsid w:val="007A4A0E"/>
    <w:pPr>
      <w:spacing w:after="160" w:line="240" w:lineRule="exact"/>
    </w:pPr>
    <w:rPr>
      <w:rFonts w:asciiTheme="minorHAnsi" w:eastAsiaTheme="minorHAnsi" w:hAnsiTheme="minorHAnsi" w:cstheme="minorBidi"/>
      <w:sz w:val="22"/>
      <w:szCs w:val="22"/>
      <w:vertAlign w:val="superscript"/>
      <w:lang w:val="en-GB" w:eastAsia="en-US"/>
    </w:rPr>
  </w:style>
  <w:style w:type="character" w:styleId="HTMLSample">
    <w:name w:val="HTML Sample"/>
    <w:basedOn w:val="DefaultParagraphFont"/>
    <w:uiPriority w:val="99"/>
    <w:rsid w:val="001C6693"/>
    <w:rPr>
      <w:rFonts w:ascii="Courier New" w:hAnsi="Courier New" w:cs="Courier New"/>
    </w:rPr>
  </w:style>
  <w:style w:type="character" w:styleId="CommentReference">
    <w:name w:val="annotation reference"/>
    <w:basedOn w:val="DefaultParagraphFont"/>
    <w:uiPriority w:val="99"/>
    <w:semiHidden/>
    <w:unhideWhenUsed/>
    <w:rsid w:val="001C6693"/>
    <w:rPr>
      <w:sz w:val="16"/>
      <w:szCs w:val="16"/>
    </w:rPr>
  </w:style>
  <w:style w:type="paragraph" w:styleId="CommentText">
    <w:name w:val="annotation text"/>
    <w:basedOn w:val="Normal"/>
    <w:link w:val="CommentTextChar"/>
    <w:uiPriority w:val="99"/>
    <w:unhideWhenUsed/>
    <w:rsid w:val="001C6693"/>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1C6693"/>
    <w:rPr>
      <w:sz w:val="20"/>
      <w:szCs w:val="20"/>
      <w:lang w:val="ru-RU"/>
    </w:rPr>
  </w:style>
  <w:style w:type="paragraph" w:styleId="BalloonText">
    <w:name w:val="Balloon Text"/>
    <w:basedOn w:val="Normal"/>
    <w:link w:val="BalloonTextChar"/>
    <w:uiPriority w:val="99"/>
    <w:semiHidden/>
    <w:unhideWhenUsed/>
    <w:rsid w:val="00CB6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313"/>
    <w:rPr>
      <w:rFonts w:ascii="Segoe UI" w:eastAsia="Times New Roman" w:hAnsi="Segoe UI" w:cs="Segoe UI"/>
      <w:sz w:val="18"/>
      <w:szCs w:val="18"/>
      <w:lang w:val="ru-RU" w:eastAsia="ru-RU"/>
    </w:rPr>
  </w:style>
  <w:style w:type="paragraph" w:styleId="CommentSubject">
    <w:name w:val="annotation subject"/>
    <w:basedOn w:val="CommentText"/>
    <w:next w:val="CommentText"/>
    <w:link w:val="CommentSubjectChar"/>
    <w:uiPriority w:val="99"/>
    <w:semiHidden/>
    <w:unhideWhenUsed/>
    <w:rsid w:val="0008645A"/>
    <w:pPr>
      <w:spacing w:after="0"/>
    </w:pPr>
    <w:rPr>
      <w:rFonts w:ascii="Times New Roman" w:eastAsia="Times New Roman" w:hAnsi="Times New Roman" w:cs="Times New Roman"/>
      <w:b/>
      <w:bCs/>
      <w:lang w:eastAsia="ru-RU"/>
    </w:rPr>
  </w:style>
  <w:style w:type="character" w:customStyle="1" w:styleId="CommentSubjectChar">
    <w:name w:val="Comment Subject Char"/>
    <w:basedOn w:val="CommentTextChar"/>
    <w:link w:val="CommentSubject"/>
    <w:uiPriority w:val="99"/>
    <w:semiHidden/>
    <w:rsid w:val="0008645A"/>
    <w:rPr>
      <w:rFonts w:ascii="Times New Roman" w:eastAsia="Times New Roman" w:hAnsi="Times New Roman" w:cs="Times New Roman"/>
      <w:b/>
      <w:bCs/>
      <w:sz w:val="20"/>
      <w:szCs w:val="20"/>
      <w:lang w:val="ru-RU" w:eastAsia="ru-RU"/>
    </w:rPr>
  </w:style>
  <w:style w:type="paragraph" w:customStyle="1" w:styleId="cb">
    <w:name w:val="cb"/>
    <w:basedOn w:val="Normal"/>
    <w:rsid w:val="00350452"/>
    <w:pPr>
      <w:jc w:val="center"/>
    </w:pPr>
    <w:rPr>
      <w:b/>
      <w:bCs/>
      <w:lang w:val="en-GB" w:eastAsia="en-GB"/>
    </w:rPr>
  </w:style>
  <w:style w:type="paragraph" w:customStyle="1" w:styleId="rg">
    <w:name w:val="rg"/>
    <w:basedOn w:val="Normal"/>
    <w:rsid w:val="00B06715"/>
    <w:pPr>
      <w:jc w:val="right"/>
    </w:pPr>
    <w:rPr>
      <w:lang w:val="en-GB" w:eastAsia="en-GB"/>
    </w:rPr>
  </w:style>
  <w:style w:type="paragraph" w:customStyle="1" w:styleId="Default">
    <w:name w:val="Default"/>
    <w:rsid w:val="00723601"/>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character" w:customStyle="1" w:styleId="Heading4Char">
    <w:name w:val="Heading 4 Char"/>
    <w:basedOn w:val="DefaultParagraphFont"/>
    <w:link w:val="Heading4"/>
    <w:uiPriority w:val="9"/>
    <w:rsid w:val="00B53765"/>
    <w:rPr>
      <w:rFonts w:asciiTheme="majorHAnsi" w:eastAsiaTheme="majorEastAsia" w:hAnsiTheme="majorHAnsi" w:cstheme="majorBidi"/>
      <w:i/>
      <w:iCs/>
      <w:color w:val="2E74B5" w:themeColor="accent1" w:themeShade="B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9699">
      <w:bodyDiv w:val="1"/>
      <w:marLeft w:val="0"/>
      <w:marRight w:val="0"/>
      <w:marTop w:val="0"/>
      <w:marBottom w:val="0"/>
      <w:divBdr>
        <w:top w:val="none" w:sz="0" w:space="0" w:color="auto"/>
        <w:left w:val="none" w:sz="0" w:space="0" w:color="auto"/>
        <w:bottom w:val="none" w:sz="0" w:space="0" w:color="auto"/>
        <w:right w:val="none" w:sz="0" w:space="0" w:color="auto"/>
      </w:divBdr>
    </w:div>
    <w:div w:id="22219485">
      <w:bodyDiv w:val="1"/>
      <w:marLeft w:val="0"/>
      <w:marRight w:val="0"/>
      <w:marTop w:val="0"/>
      <w:marBottom w:val="0"/>
      <w:divBdr>
        <w:top w:val="none" w:sz="0" w:space="0" w:color="auto"/>
        <w:left w:val="none" w:sz="0" w:space="0" w:color="auto"/>
        <w:bottom w:val="none" w:sz="0" w:space="0" w:color="auto"/>
        <w:right w:val="none" w:sz="0" w:space="0" w:color="auto"/>
      </w:divBdr>
    </w:div>
    <w:div w:id="98986686">
      <w:bodyDiv w:val="1"/>
      <w:marLeft w:val="0"/>
      <w:marRight w:val="0"/>
      <w:marTop w:val="0"/>
      <w:marBottom w:val="0"/>
      <w:divBdr>
        <w:top w:val="none" w:sz="0" w:space="0" w:color="auto"/>
        <w:left w:val="none" w:sz="0" w:space="0" w:color="auto"/>
        <w:bottom w:val="none" w:sz="0" w:space="0" w:color="auto"/>
        <w:right w:val="none" w:sz="0" w:space="0" w:color="auto"/>
      </w:divBdr>
    </w:div>
    <w:div w:id="272594309">
      <w:bodyDiv w:val="1"/>
      <w:marLeft w:val="0"/>
      <w:marRight w:val="0"/>
      <w:marTop w:val="0"/>
      <w:marBottom w:val="0"/>
      <w:divBdr>
        <w:top w:val="none" w:sz="0" w:space="0" w:color="auto"/>
        <w:left w:val="none" w:sz="0" w:space="0" w:color="auto"/>
        <w:bottom w:val="none" w:sz="0" w:space="0" w:color="auto"/>
        <w:right w:val="none" w:sz="0" w:space="0" w:color="auto"/>
      </w:divBdr>
    </w:div>
    <w:div w:id="288705173">
      <w:bodyDiv w:val="1"/>
      <w:marLeft w:val="0"/>
      <w:marRight w:val="0"/>
      <w:marTop w:val="0"/>
      <w:marBottom w:val="0"/>
      <w:divBdr>
        <w:top w:val="none" w:sz="0" w:space="0" w:color="auto"/>
        <w:left w:val="none" w:sz="0" w:space="0" w:color="auto"/>
        <w:bottom w:val="none" w:sz="0" w:space="0" w:color="auto"/>
        <w:right w:val="none" w:sz="0" w:space="0" w:color="auto"/>
      </w:divBdr>
    </w:div>
    <w:div w:id="298413453">
      <w:bodyDiv w:val="1"/>
      <w:marLeft w:val="0"/>
      <w:marRight w:val="0"/>
      <w:marTop w:val="0"/>
      <w:marBottom w:val="0"/>
      <w:divBdr>
        <w:top w:val="none" w:sz="0" w:space="0" w:color="auto"/>
        <w:left w:val="none" w:sz="0" w:space="0" w:color="auto"/>
        <w:bottom w:val="none" w:sz="0" w:space="0" w:color="auto"/>
        <w:right w:val="none" w:sz="0" w:space="0" w:color="auto"/>
      </w:divBdr>
    </w:div>
    <w:div w:id="300036371">
      <w:bodyDiv w:val="1"/>
      <w:marLeft w:val="0"/>
      <w:marRight w:val="0"/>
      <w:marTop w:val="0"/>
      <w:marBottom w:val="0"/>
      <w:divBdr>
        <w:top w:val="none" w:sz="0" w:space="0" w:color="auto"/>
        <w:left w:val="none" w:sz="0" w:space="0" w:color="auto"/>
        <w:bottom w:val="none" w:sz="0" w:space="0" w:color="auto"/>
        <w:right w:val="none" w:sz="0" w:space="0" w:color="auto"/>
      </w:divBdr>
    </w:div>
    <w:div w:id="316880442">
      <w:bodyDiv w:val="1"/>
      <w:marLeft w:val="0"/>
      <w:marRight w:val="0"/>
      <w:marTop w:val="0"/>
      <w:marBottom w:val="0"/>
      <w:divBdr>
        <w:top w:val="none" w:sz="0" w:space="0" w:color="auto"/>
        <w:left w:val="none" w:sz="0" w:space="0" w:color="auto"/>
        <w:bottom w:val="none" w:sz="0" w:space="0" w:color="auto"/>
        <w:right w:val="none" w:sz="0" w:space="0" w:color="auto"/>
      </w:divBdr>
    </w:div>
    <w:div w:id="397287091">
      <w:bodyDiv w:val="1"/>
      <w:marLeft w:val="0"/>
      <w:marRight w:val="0"/>
      <w:marTop w:val="0"/>
      <w:marBottom w:val="0"/>
      <w:divBdr>
        <w:top w:val="none" w:sz="0" w:space="0" w:color="auto"/>
        <w:left w:val="none" w:sz="0" w:space="0" w:color="auto"/>
        <w:bottom w:val="none" w:sz="0" w:space="0" w:color="auto"/>
        <w:right w:val="none" w:sz="0" w:space="0" w:color="auto"/>
      </w:divBdr>
    </w:div>
    <w:div w:id="448281247">
      <w:bodyDiv w:val="1"/>
      <w:marLeft w:val="0"/>
      <w:marRight w:val="0"/>
      <w:marTop w:val="0"/>
      <w:marBottom w:val="0"/>
      <w:divBdr>
        <w:top w:val="none" w:sz="0" w:space="0" w:color="auto"/>
        <w:left w:val="none" w:sz="0" w:space="0" w:color="auto"/>
        <w:bottom w:val="none" w:sz="0" w:space="0" w:color="auto"/>
        <w:right w:val="none" w:sz="0" w:space="0" w:color="auto"/>
      </w:divBdr>
    </w:div>
    <w:div w:id="739598684">
      <w:bodyDiv w:val="1"/>
      <w:marLeft w:val="0"/>
      <w:marRight w:val="0"/>
      <w:marTop w:val="0"/>
      <w:marBottom w:val="0"/>
      <w:divBdr>
        <w:top w:val="none" w:sz="0" w:space="0" w:color="auto"/>
        <w:left w:val="none" w:sz="0" w:space="0" w:color="auto"/>
        <w:bottom w:val="none" w:sz="0" w:space="0" w:color="auto"/>
        <w:right w:val="none" w:sz="0" w:space="0" w:color="auto"/>
      </w:divBdr>
    </w:div>
    <w:div w:id="743449006">
      <w:bodyDiv w:val="1"/>
      <w:marLeft w:val="0"/>
      <w:marRight w:val="0"/>
      <w:marTop w:val="0"/>
      <w:marBottom w:val="0"/>
      <w:divBdr>
        <w:top w:val="none" w:sz="0" w:space="0" w:color="auto"/>
        <w:left w:val="none" w:sz="0" w:space="0" w:color="auto"/>
        <w:bottom w:val="none" w:sz="0" w:space="0" w:color="auto"/>
        <w:right w:val="none" w:sz="0" w:space="0" w:color="auto"/>
      </w:divBdr>
    </w:div>
    <w:div w:id="780803679">
      <w:bodyDiv w:val="1"/>
      <w:marLeft w:val="0"/>
      <w:marRight w:val="0"/>
      <w:marTop w:val="0"/>
      <w:marBottom w:val="0"/>
      <w:divBdr>
        <w:top w:val="none" w:sz="0" w:space="0" w:color="auto"/>
        <w:left w:val="none" w:sz="0" w:space="0" w:color="auto"/>
        <w:bottom w:val="none" w:sz="0" w:space="0" w:color="auto"/>
        <w:right w:val="none" w:sz="0" w:space="0" w:color="auto"/>
      </w:divBdr>
    </w:div>
    <w:div w:id="794829974">
      <w:bodyDiv w:val="1"/>
      <w:marLeft w:val="0"/>
      <w:marRight w:val="0"/>
      <w:marTop w:val="0"/>
      <w:marBottom w:val="0"/>
      <w:divBdr>
        <w:top w:val="none" w:sz="0" w:space="0" w:color="auto"/>
        <w:left w:val="none" w:sz="0" w:space="0" w:color="auto"/>
        <w:bottom w:val="none" w:sz="0" w:space="0" w:color="auto"/>
        <w:right w:val="none" w:sz="0" w:space="0" w:color="auto"/>
      </w:divBdr>
    </w:div>
    <w:div w:id="888108421">
      <w:bodyDiv w:val="1"/>
      <w:marLeft w:val="0"/>
      <w:marRight w:val="0"/>
      <w:marTop w:val="0"/>
      <w:marBottom w:val="0"/>
      <w:divBdr>
        <w:top w:val="none" w:sz="0" w:space="0" w:color="auto"/>
        <w:left w:val="none" w:sz="0" w:space="0" w:color="auto"/>
        <w:bottom w:val="none" w:sz="0" w:space="0" w:color="auto"/>
        <w:right w:val="none" w:sz="0" w:space="0" w:color="auto"/>
      </w:divBdr>
    </w:div>
    <w:div w:id="1044906064">
      <w:bodyDiv w:val="1"/>
      <w:marLeft w:val="0"/>
      <w:marRight w:val="0"/>
      <w:marTop w:val="0"/>
      <w:marBottom w:val="0"/>
      <w:divBdr>
        <w:top w:val="none" w:sz="0" w:space="0" w:color="auto"/>
        <w:left w:val="none" w:sz="0" w:space="0" w:color="auto"/>
        <w:bottom w:val="none" w:sz="0" w:space="0" w:color="auto"/>
        <w:right w:val="none" w:sz="0" w:space="0" w:color="auto"/>
      </w:divBdr>
    </w:div>
    <w:div w:id="1073089173">
      <w:bodyDiv w:val="1"/>
      <w:marLeft w:val="0"/>
      <w:marRight w:val="0"/>
      <w:marTop w:val="0"/>
      <w:marBottom w:val="0"/>
      <w:divBdr>
        <w:top w:val="none" w:sz="0" w:space="0" w:color="auto"/>
        <w:left w:val="none" w:sz="0" w:space="0" w:color="auto"/>
        <w:bottom w:val="none" w:sz="0" w:space="0" w:color="auto"/>
        <w:right w:val="none" w:sz="0" w:space="0" w:color="auto"/>
      </w:divBdr>
    </w:div>
    <w:div w:id="1080253101">
      <w:bodyDiv w:val="1"/>
      <w:marLeft w:val="0"/>
      <w:marRight w:val="0"/>
      <w:marTop w:val="0"/>
      <w:marBottom w:val="0"/>
      <w:divBdr>
        <w:top w:val="none" w:sz="0" w:space="0" w:color="auto"/>
        <w:left w:val="none" w:sz="0" w:space="0" w:color="auto"/>
        <w:bottom w:val="none" w:sz="0" w:space="0" w:color="auto"/>
        <w:right w:val="none" w:sz="0" w:space="0" w:color="auto"/>
      </w:divBdr>
    </w:div>
    <w:div w:id="1106772671">
      <w:bodyDiv w:val="1"/>
      <w:marLeft w:val="0"/>
      <w:marRight w:val="0"/>
      <w:marTop w:val="0"/>
      <w:marBottom w:val="0"/>
      <w:divBdr>
        <w:top w:val="none" w:sz="0" w:space="0" w:color="auto"/>
        <w:left w:val="none" w:sz="0" w:space="0" w:color="auto"/>
        <w:bottom w:val="none" w:sz="0" w:space="0" w:color="auto"/>
        <w:right w:val="none" w:sz="0" w:space="0" w:color="auto"/>
      </w:divBdr>
    </w:div>
    <w:div w:id="1182283797">
      <w:bodyDiv w:val="1"/>
      <w:marLeft w:val="0"/>
      <w:marRight w:val="0"/>
      <w:marTop w:val="0"/>
      <w:marBottom w:val="0"/>
      <w:divBdr>
        <w:top w:val="none" w:sz="0" w:space="0" w:color="auto"/>
        <w:left w:val="none" w:sz="0" w:space="0" w:color="auto"/>
        <w:bottom w:val="none" w:sz="0" w:space="0" w:color="auto"/>
        <w:right w:val="none" w:sz="0" w:space="0" w:color="auto"/>
      </w:divBdr>
    </w:div>
    <w:div w:id="1195851499">
      <w:bodyDiv w:val="1"/>
      <w:marLeft w:val="0"/>
      <w:marRight w:val="0"/>
      <w:marTop w:val="0"/>
      <w:marBottom w:val="0"/>
      <w:divBdr>
        <w:top w:val="none" w:sz="0" w:space="0" w:color="auto"/>
        <w:left w:val="none" w:sz="0" w:space="0" w:color="auto"/>
        <w:bottom w:val="none" w:sz="0" w:space="0" w:color="auto"/>
        <w:right w:val="none" w:sz="0" w:space="0" w:color="auto"/>
      </w:divBdr>
    </w:div>
    <w:div w:id="1218515955">
      <w:bodyDiv w:val="1"/>
      <w:marLeft w:val="0"/>
      <w:marRight w:val="0"/>
      <w:marTop w:val="0"/>
      <w:marBottom w:val="0"/>
      <w:divBdr>
        <w:top w:val="none" w:sz="0" w:space="0" w:color="auto"/>
        <w:left w:val="none" w:sz="0" w:space="0" w:color="auto"/>
        <w:bottom w:val="none" w:sz="0" w:space="0" w:color="auto"/>
        <w:right w:val="none" w:sz="0" w:space="0" w:color="auto"/>
      </w:divBdr>
    </w:div>
    <w:div w:id="1343822412">
      <w:bodyDiv w:val="1"/>
      <w:marLeft w:val="0"/>
      <w:marRight w:val="0"/>
      <w:marTop w:val="0"/>
      <w:marBottom w:val="0"/>
      <w:divBdr>
        <w:top w:val="none" w:sz="0" w:space="0" w:color="auto"/>
        <w:left w:val="none" w:sz="0" w:space="0" w:color="auto"/>
        <w:bottom w:val="none" w:sz="0" w:space="0" w:color="auto"/>
        <w:right w:val="none" w:sz="0" w:space="0" w:color="auto"/>
      </w:divBdr>
    </w:div>
    <w:div w:id="1349255644">
      <w:bodyDiv w:val="1"/>
      <w:marLeft w:val="0"/>
      <w:marRight w:val="0"/>
      <w:marTop w:val="0"/>
      <w:marBottom w:val="0"/>
      <w:divBdr>
        <w:top w:val="none" w:sz="0" w:space="0" w:color="auto"/>
        <w:left w:val="none" w:sz="0" w:space="0" w:color="auto"/>
        <w:bottom w:val="none" w:sz="0" w:space="0" w:color="auto"/>
        <w:right w:val="none" w:sz="0" w:space="0" w:color="auto"/>
      </w:divBdr>
    </w:div>
    <w:div w:id="1353874175">
      <w:bodyDiv w:val="1"/>
      <w:marLeft w:val="0"/>
      <w:marRight w:val="0"/>
      <w:marTop w:val="0"/>
      <w:marBottom w:val="0"/>
      <w:divBdr>
        <w:top w:val="none" w:sz="0" w:space="0" w:color="auto"/>
        <w:left w:val="none" w:sz="0" w:space="0" w:color="auto"/>
        <w:bottom w:val="none" w:sz="0" w:space="0" w:color="auto"/>
        <w:right w:val="none" w:sz="0" w:space="0" w:color="auto"/>
      </w:divBdr>
    </w:div>
    <w:div w:id="1423643692">
      <w:bodyDiv w:val="1"/>
      <w:marLeft w:val="0"/>
      <w:marRight w:val="0"/>
      <w:marTop w:val="0"/>
      <w:marBottom w:val="0"/>
      <w:divBdr>
        <w:top w:val="none" w:sz="0" w:space="0" w:color="auto"/>
        <w:left w:val="none" w:sz="0" w:space="0" w:color="auto"/>
        <w:bottom w:val="none" w:sz="0" w:space="0" w:color="auto"/>
        <w:right w:val="none" w:sz="0" w:space="0" w:color="auto"/>
      </w:divBdr>
    </w:div>
    <w:div w:id="1616983848">
      <w:bodyDiv w:val="1"/>
      <w:marLeft w:val="0"/>
      <w:marRight w:val="0"/>
      <w:marTop w:val="0"/>
      <w:marBottom w:val="0"/>
      <w:divBdr>
        <w:top w:val="none" w:sz="0" w:space="0" w:color="auto"/>
        <w:left w:val="none" w:sz="0" w:space="0" w:color="auto"/>
        <w:bottom w:val="none" w:sz="0" w:space="0" w:color="auto"/>
        <w:right w:val="none" w:sz="0" w:space="0" w:color="auto"/>
      </w:divBdr>
    </w:div>
    <w:div w:id="1665206063">
      <w:bodyDiv w:val="1"/>
      <w:marLeft w:val="0"/>
      <w:marRight w:val="0"/>
      <w:marTop w:val="0"/>
      <w:marBottom w:val="0"/>
      <w:divBdr>
        <w:top w:val="none" w:sz="0" w:space="0" w:color="auto"/>
        <w:left w:val="none" w:sz="0" w:space="0" w:color="auto"/>
        <w:bottom w:val="none" w:sz="0" w:space="0" w:color="auto"/>
        <w:right w:val="none" w:sz="0" w:space="0" w:color="auto"/>
      </w:divBdr>
    </w:div>
    <w:div w:id="1842891748">
      <w:bodyDiv w:val="1"/>
      <w:marLeft w:val="0"/>
      <w:marRight w:val="0"/>
      <w:marTop w:val="0"/>
      <w:marBottom w:val="0"/>
      <w:divBdr>
        <w:top w:val="none" w:sz="0" w:space="0" w:color="auto"/>
        <w:left w:val="none" w:sz="0" w:space="0" w:color="auto"/>
        <w:bottom w:val="none" w:sz="0" w:space="0" w:color="auto"/>
        <w:right w:val="none" w:sz="0" w:space="0" w:color="auto"/>
      </w:divBdr>
    </w:div>
    <w:div w:id="1851874530">
      <w:bodyDiv w:val="1"/>
      <w:marLeft w:val="0"/>
      <w:marRight w:val="0"/>
      <w:marTop w:val="0"/>
      <w:marBottom w:val="0"/>
      <w:divBdr>
        <w:top w:val="none" w:sz="0" w:space="0" w:color="auto"/>
        <w:left w:val="none" w:sz="0" w:space="0" w:color="auto"/>
        <w:bottom w:val="none" w:sz="0" w:space="0" w:color="auto"/>
        <w:right w:val="none" w:sz="0" w:space="0" w:color="auto"/>
      </w:divBdr>
    </w:div>
    <w:div w:id="1983266317">
      <w:bodyDiv w:val="1"/>
      <w:marLeft w:val="0"/>
      <w:marRight w:val="0"/>
      <w:marTop w:val="0"/>
      <w:marBottom w:val="0"/>
      <w:divBdr>
        <w:top w:val="none" w:sz="0" w:space="0" w:color="auto"/>
        <w:left w:val="none" w:sz="0" w:space="0" w:color="auto"/>
        <w:bottom w:val="none" w:sz="0" w:space="0" w:color="auto"/>
        <w:right w:val="none" w:sz="0" w:space="0" w:color="auto"/>
      </w:divBdr>
    </w:div>
    <w:div w:id="2037270120">
      <w:bodyDiv w:val="1"/>
      <w:marLeft w:val="0"/>
      <w:marRight w:val="0"/>
      <w:marTop w:val="0"/>
      <w:marBottom w:val="0"/>
      <w:divBdr>
        <w:top w:val="none" w:sz="0" w:space="0" w:color="auto"/>
        <w:left w:val="none" w:sz="0" w:space="0" w:color="auto"/>
        <w:bottom w:val="none" w:sz="0" w:space="0" w:color="auto"/>
        <w:right w:val="none" w:sz="0" w:space="0" w:color="auto"/>
      </w:divBdr>
    </w:div>
    <w:div w:id="213890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190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81E17-2DED-4B9D-BE97-039B0D615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734</Words>
  <Characters>4190</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Ludmila Vulpe</cp:lastModifiedBy>
  <cp:revision>4</cp:revision>
  <cp:lastPrinted>2024-01-04T11:12:00Z</cp:lastPrinted>
  <dcterms:created xsi:type="dcterms:W3CDTF">2024-04-12T05:47:00Z</dcterms:created>
  <dcterms:modified xsi:type="dcterms:W3CDTF">2024-05-22T06:32:00Z</dcterms:modified>
</cp:coreProperties>
</file>