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7B0B3" w14:textId="59400533" w:rsidR="00836FB2" w:rsidRDefault="00836FB2" w:rsidP="004318A7">
      <w:pPr>
        <w:spacing w:after="0" w:line="259" w:lineRule="auto"/>
        <w:ind w:left="0" w:right="0" w:firstLine="0"/>
      </w:pPr>
    </w:p>
    <w:p w14:paraId="4CE19AF2" w14:textId="53E357E3" w:rsidR="00836FB2" w:rsidRDefault="00000000" w:rsidP="00DB7D92">
      <w:pPr>
        <w:pStyle w:val="Titlu1"/>
        <w:ind w:right="7"/>
      </w:pPr>
      <w:r>
        <w:t>GUVERNUL REPUBLICII MOLDOVA</w:t>
      </w:r>
    </w:p>
    <w:p w14:paraId="06020E8F" w14:textId="77777777" w:rsidR="00836FB2" w:rsidRDefault="00000000">
      <w:pPr>
        <w:spacing w:after="7" w:line="259" w:lineRule="auto"/>
        <w:ind w:left="65" w:right="0" w:firstLine="0"/>
        <w:jc w:val="center"/>
      </w:pPr>
      <w:r>
        <w:rPr>
          <w:b/>
          <w:sz w:val="27"/>
        </w:rPr>
        <w:t xml:space="preserve"> </w:t>
      </w:r>
    </w:p>
    <w:p w14:paraId="17F532DB" w14:textId="123F5286" w:rsidR="00836FB2" w:rsidRPr="00DB7D92" w:rsidRDefault="00000000" w:rsidP="00DB7D92">
      <w:pPr>
        <w:spacing w:after="0" w:line="270" w:lineRule="auto"/>
        <w:ind w:left="40" w:right="35" w:hanging="10"/>
        <w:jc w:val="center"/>
        <w:rPr>
          <w:szCs w:val="28"/>
        </w:rPr>
      </w:pPr>
      <w:r w:rsidRPr="00DB7D92">
        <w:rPr>
          <w:b/>
          <w:szCs w:val="28"/>
        </w:rPr>
        <w:t xml:space="preserve">HOTĂRÂRE </w:t>
      </w:r>
      <w:r w:rsidRPr="00DB7D92">
        <w:rPr>
          <w:szCs w:val="28"/>
        </w:rPr>
        <w:t>nr. ____</w:t>
      </w:r>
    </w:p>
    <w:p w14:paraId="10B3BE1D" w14:textId="1517F844" w:rsidR="004318A7" w:rsidRPr="00DB7D92" w:rsidRDefault="00000000" w:rsidP="00DB7D92">
      <w:pPr>
        <w:spacing w:after="0" w:line="259" w:lineRule="auto"/>
        <w:ind w:left="65" w:right="0" w:firstLine="0"/>
        <w:jc w:val="center"/>
        <w:rPr>
          <w:szCs w:val="28"/>
        </w:rPr>
      </w:pPr>
      <w:r w:rsidRPr="00DB7D92">
        <w:rPr>
          <w:szCs w:val="28"/>
        </w:rPr>
        <w:t>din __________</w:t>
      </w:r>
      <w:r w:rsidR="00DB7D92">
        <w:rPr>
          <w:szCs w:val="28"/>
        </w:rPr>
        <w:t>_____</w:t>
      </w:r>
      <w:r w:rsidRPr="00DB7D92">
        <w:rPr>
          <w:szCs w:val="28"/>
        </w:rPr>
        <w:t>___ 2024</w:t>
      </w:r>
    </w:p>
    <w:p w14:paraId="63D44F20" w14:textId="2451096D" w:rsidR="00836FB2" w:rsidRPr="00DB7D92" w:rsidRDefault="00000000" w:rsidP="00DB7D92">
      <w:pPr>
        <w:spacing w:after="0" w:line="275" w:lineRule="auto"/>
        <w:ind w:left="2808" w:right="2746" w:firstLine="0"/>
        <w:jc w:val="center"/>
        <w:rPr>
          <w:szCs w:val="28"/>
        </w:rPr>
      </w:pPr>
      <w:r w:rsidRPr="00DB7D92">
        <w:rPr>
          <w:szCs w:val="28"/>
        </w:rPr>
        <w:t>Chișinău</w:t>
      </w:r>
    </w:p>
    <w:p w14:paraId="62EC5C5C" w14:textId="77777777" w:rsidR="00836FB2" w:rsidRPr="00DB7D92" w:rsidRDefault="00000000" w:rsidP="00DB7D92">
      <w:pPr>
        <w:spacing w:after="15" w:line="259" w:lineRule="auto"/>
        <w:ind w:left="0" w:right="0" w:firstLine="0"/>
        <w:rPr>
          <w:szCs w:val="28"/>
        </w:rPr>
      </w:pPr>
      <w:r w:rsidRPr="00DB7D92">
        <w:rPr>
          <w:szCs w:val="28"/>
        </w:rPr>
        <w:t xml:space="preserve"> </w:t>
      </w:r>
    </w:p>
    <w:p w14:paraId="62A1F190" w14:textId="79BD062A" w:rsidR="00DB7D92" w:rsidRDefault="00000000" w:rsidP="00DB7D92">
      <w:pPr>
        <w:spacing w:after="0" w:line="270" w:lineRule="auto"/>
        <w:ind w:left="40" w:right="0" w:hanging="10"/>
        <w:jc w:val="center"/>
        <w:rPr>
          <w:b/>
          <w:szCs w:val="28"/>
        </w:rPr>
      </w:pPr>
      <w:r w:rsidRPr="00DB7D92">
        <w:rPr>
          <w:b/>
          <w:szCs w:val="28"/>
        </w:rPr>
        <w:t>pentru modificarea Hotărârii Guvernului nr.</w:t>
      </w:r>
      <w:r w:rsidR="00B760A9" w:rsidRPr="00DB7D92">
        <w:rPr>
          <w:b/>
          <w:szCs w:val="28"/>
        </w:rPr>
        <w:t xml:space="preserve"> </w:t>
      </w:r>
      <w:r w:rsidRPr="00DB7D92">
        <w:rPr>
          <w:b/>
          <w:szCs w:val="28"/>
        </w:rPr>
        <w:t>194/2017</w:t>
      </w:r>
    </w:p>
    <w:p w14:paraId="20A0182E" w14:textId="63A265D4" w:rsidR="00836FB2" w:rsidRPr="00DB7D92" w:rsidRDefault="00000000" w:rsidP="00DB7D92">
      <w:pPr>
        <w:spacing w:after="0" w:line="270" w:lineRule="auto"/>
        <w:ind w:left="40" w:right="0" w:hanging="10"/>
        <w:jc w:val="center"/>
        <w:rPr>
          <w:szCs w:val="28"/>
        </w:rPr>
      </w:pPr>
      <w:r w:rsidRPr="00DB7D92">
        <w:rPr>
          <w:b/>
          <w:szCs w:val="28"/>
        </w:rPr>
        <w:t xml:space="preserve">pentru aprobarea tarifelor la serviciile de expertiză judiciară </w:t>
      </w:r>
      <w:proofErr w:type="spellStart"/>
      <w:r w:rsidRPr="00DB7D92">
        <w:rPr>
          <w:b/>
          <w:szCs w:val="28"/>
        </w:rPr>
        <w:t>şi</w:t>
      </w:r>
      <w:proofErr w:type="spellEnd"/>
      <w:r w:rsidRPr="00DB7D92">
        <w:rPr>
          <w:b/>
          <w:szCs w:val="28"/>
        </w:rPr>
        <w:t xml:space="preserve"> extrajudiciară</w:t>
      </w:r>
    </w:p>
    <w:p w14:paraId="38CC5F9F" w14:textId="42881D0C" w:rsidR="00836FB2" w:rsidRPr="00DB7D92" w:rsidRDefault="00836FB2" w:rsidP="00DB7D92">
      <w:pPr>
        <w:spacing w:after="0" w:line="270" w:lineRule="auto"/>
        <w:ind w:left="40" w:right="49" w:hanging="10"/>
        <w:rPr>
          <w:szCs w:val="28"/>
        </w:rPr>
      </w:pPr>
    </w:p>
    <w:p w14:paraId="45EC280A" w14:textId="4400AA93" w:rsidR="00836FB2" w:rsidRPr="00DB7D92" w:rsidRDefault="00000000" w:rsidP="00DB7D92">
      <w:pPr>
        <w:spacing w:after="43" w:line="248" w:lineRule="auto"/>
        <w:ind w:left="0" w:right="0" w:firstLine="541"/>
        <w:rPr>
          <w:szCs w:val="28"/>
        </w:rPr>
      </w:pPr>
      <w:r w:rsidRPr="00DB7D92">
        <w:rPr>
          <w:szCs w:val="28"/>
        </w:rPr>
        <w:t xml:space="preserve">Guvernul </w:t>
      </w:r>
      <w:r w:rsidRPr="00DB7D92">
        <w:rPr>
          <w:b/>
          <w:szCs w:val="28"/>
        </w:rPr>
        <w:t xml:space="preserve">HOTĂRĂŞTE: </w:t>
      </w:r>
    </w:p>
    <w:p w14:paraId="0FC8D650" w14:textId="77777777" w:rsidR="00836FB2" w:rsidRPr="00DB7D92" w:rsidRDefault="00000000" w:rsidP="00DB7D92">
      <w:pPr>
        <w:spacing w:after="12" w:line="259" w:lineRule="auto"/>
        <w:ind w:left="566" w:right="0" w:firstLine="0"/>
        <w:rPr>
          <w:szCs w:val="28"/>
        </w:rPr>
      </w:pPr>
      <w:r w:rsidRPr="00DB7D92">
        <w:rPr>
          <w:szCs w:val="28"/>
        </w:rPr>
        <w:t xml:space="preserve"> </w:t>
      </w:r>
    </w:p>
    <w:p w14:paraId="31A297D2" w14:textId="77777777" w:rsidR="00B760A9" w:rsidRPr="00DB7D92" w:rsidRDefault="00000000" w:rsidP="00DB7D92">
      <w:pPr>
        <w:spacing w:after="13" w:line="248" w:lineRule="auto"/>
        <w:ind w:left="-15" w:right="0" w:firstLine="556"/>
        <w:rPr>
          <w:szCs w:val="28"/>
        </w:rPr>
      </w:pPr>
      <w:r w:rsidRPr="00DB7D92">
        <w:rPr>
          <w:szCs w:val="28"/>
        </w:rPr>
        <w:t>1.</w:t>
      </w:r>
      <w:r w:rsidRPr="00DB7D92">
        <w:rPr>
          <w:rFonts w:ascii="Arial" w:eastAsia="Arial" w:hAnsi="Arial" w:cs="Arial"/>
          <w:szCs w:val="28"/>
        </w:rPr>
        <w:t xml:space="preserve"> </w:t>
      </w:r>
      <w:r w:rsidRPr="00DB7D92">
        <w:rPr>
          <w:szCs w:val="28"/>
        </w:rPr>
        <w:t>Hotărârea Guvernului nr.</w:t>
      </w:r>
      <w:r w:rsidR="00B760A9" w:rsidRPr="00DB7D92">
        <w:rPr>
          <w:szCs w:val="28"/>
        </w:rPr>
        <w:t xml:space="preserve"> </w:t>
      </w:r>
      <w:r w:rsidRPr="00DB7D92">
        <w:rPr>
          <w:szCs w:val="28"/>
        </w:rPr>
        <w:t xml:space="preserve">194/2017 pentru aprobarea tarifelor la serviciile de expertiză judiciară </w:t>
      </w:r>
      <w:proofErr w:type="spellStart"/>
      <w:r w:rsidRPr="00DB7D92">
        <w:rPr>
          <w:szCs w:val="28"/>
        </w:rPr>
        <w:t>şi</w:t>
      </w:r>
      <w:proofErr w:type="spellEnd"/>
      <w:r w:rsidRPr="00DB7D92">
        <w:rPr>
          <w:szCs w:val="28"/>
        </w:rPr>
        <w:t xml:space="preserve"> extrajudiciară (Monitorul Oficial al Republicii Moldova,</w:t>
      </w:r>
      <w:r w:rsidR="00B760A9" w:rsidRPr="00DB7D92">
        <w:rPr>
          <w:szCs w:val="28"/>
        </w:rPr>
        <w:t xml:space="preserve"> </w:t>
      </w:r>
      <w:r w:rsidRPr="00DB7D92">
        <w:rPr>
          <w:szCs w:val="28"/>
        </w:rPr>
        <w:t>2017, nr.109-118, art.273) cu modificările ulterioare, se modifică după cum urmează:</w:t>
      </w:r>
    </w:p>
    <w:p w14:paraId="26D263E6" w14:textId="423FF7C6" w:rsidR="00836FB2" w:rsidRPr="00DB7D92" w:rsidRDefault="00000000" w:rsidP="00DB7D92">
      <w:pPr>
        <w:spacing w:after="13" w:line="248" w:lineRule="auto"/>
        <w:ind w:left="-15" w:right="0" w:firstLine="556"/>
        <w:rPr>
          <w:szCs w:val="28"/>
        </w:rPr>
      </w:pPr>
      <w:r w:rsidRPr="00DB7D92">
        <w:rPr>
          <w:szCs w:val="28"/>
        </w:rPr>
        <w:t>1)</w:t>
      </w:r>
      <w:r w:rsidRPr="00DB7D92">
        <w:rPr>
          <w:rFonts w:ascii="Arial" w:eastAsia="Arial" w:hAnsi="Arial" w:cs="Arial"/>
          <w:szCs w:val="28"/>
        </w:rPr>
        <w:t xml:space="preserve"> </w:t>
      </w:r>
      <w:r w:rsidR="00B760A9" w:rsidRPr="00DB7D92">
        <w:rPr>
          <w:rFonts w:eastAsia="Arial"/>
          <w:szCs w:val="28"/>
        </w:rPr>
        <w:t>p</w:t>
      </w:r>
      <w:r w:rsidR="00D85E53">
        <w:rPr>
          <w:rFonts w:eastAsia="Arial"/>
          <w:szCs w:val="28"/>
        </w:rPr>
        <w:t>unctul</w:t>
      </w:r>
      <w:r w:rsidR="00B760A9" w:rsidRPr="00DB7D92">
        <w:rPr>
          <w:rFonts w:eastAsia="Arial"/>
          <w:szCs w:val="28"/>
        </w:rPr>
        <w:t xml:space="preserve"> 1</w:t>
      </w:r>
      <w:r w:rsidR="00B760A9" w:rsidRPr="00DB7D92">
        <w:rPr>
          <w:rFonts w:ascii="Arial" w:eastAsia="Arial" w:hAnsi="Arial" w:cs="Arial"/>
          <w:szCs w:val="28"/>
        </w:rPr>
        <w:t xml:space="preserve"> </w:t>
      </w:r>
      <w:r w:rsidRPr="00DB7D92">
        <w:rPr>
          <w:szCs w:val="28"/>
        </w:rPr>
        <w:t xml:space="preserve">se completează cu </w:t>
      </w:r>
      <w:r w:rsidR="00B760A9" w:rsidRPr="00DB7D92">
        <w:rPr>
          <w:szCs w:val="28"/>
        </w:rPr>
        <w:t>sub</w:t>
      </w:r>
      <w:r w:rsidRPr="00DB7D92">
        <w:rPr>
          <w:szCs w:val="28"/>
        </w:rPr>
        <w:t>punctul 1</w:t>
      </w:r>
      <w:r w:rsidRPr="00DB7D92">
        <w:rPr>
          <w:szCs w:val="28"/>
          <w:vertAlign w:val="superscript"/>
        </w:rPr>
        <w:t>1</w:t>
      </w:r>
      <w:r w:rsidR="00B760A9" w:rsidRPr="00DB7D92">
        <w:rPr>
          <w:szCs w:val="28"/>
        </w:rPr>
        <w:t xml:space="preserve">) </w:t>
      </w:r>
      <w:r w:rsidRPr="00DB7D92">
        <w:rPr>
          <w:szCs w:val="28"/>
        </w:rPr>
        <w:t xml:space="preserve">cu următorul cuprins: </w:t>
      </w:r>
    </w:p>
    <w:p w14:paraId="704F482B" w14:textId="747E9CF2" w:rsidR="00836FB2" w:rsidRPr="00DB7D92" w:rsidRDefault="00000000" w:rsidP="00DB7D92">
      <w:pPr>
        <w:spacing w:after="13" w:line="248" w:lineRule="auto"/>
        <w:ind w:left="-15" w:right="0" w:firstLine="556"/>
        <w:rPr>
          <w:szCs w:val="28"/>
        </w:rPr>
      </w:pPr>
      <w:r w:rsidRPr="00DB7D92">
        <w:rPr>
          <w:szCs w:val="28"/>
        </w:rPr>
        <w:t>„1</w:t>
      </w:r>
      <w:r w:rsidRPr="00DB7D92">
        <w:rPr>
          <w:szCs w:val="28"/>
          <w:vertAlign w:val="superscript"/>
        </w:rPr>
        <w:t>1</w:t>
      </w:r>
      <w:r w:rsidRPr="00DB7D92">
        <w:rPr>
          <w:szCs w:val="28"/>
        </w:rPr>
        <w:t xml:space="preserve">) Tarifele la serviciile de expertiză genetică prestate de Centrul </w:t>
      </w:r>
      <w:proofErr w:type="spellStart"/>
      <w:r w:rsidRPr="00DB7D92">
        <w:rPr>
          <w:szCs w:val="28"/>
        </w:rPr>
        <w:t>tehnico</w:t>
      </w:r>
      <w:proofErr w:type="spellEnd"/>
      <w:r w:rsidR="004318A7" w:rsidRPr="00DB7D92">
        <w:rPr>
          <w:szCs w:val="28"/>
        </w:rPr>
        <w:t>-</w:t>
      </w:r>
      <w:r w:rsidRPr="00DB7D92">
        <w:rPr>
          <w:szCs w:val="28"/>
        </w:rPr>
        <w:t xml:space="preserve">criminalistic și expertize judiciare </w:t>
      </w:r>
      <w:r w:rsidR="00B760A9" w:rsidRPr="00DB7D92">
        <w:rPr>
          <w:szCs w:val="28"/>
        </w:rPr>
        <w:t>din cadrul</w:t>
      </w:r>
      <w:r w:rsidRPr="00DB7D92">
        <w:rPr>
          <w:szCs w:val="28"/>
        </w:rPr>
        <w:t xml:space="preserve"> Inspectoratului General al Poliției al Ministerului Afacerilor Interne, conform anexei nr.1</w:t>
      </w:r>
      <w:r w:rsidRPr="00DB7D92">
        <w:rPr>
          <w:szCs w:val="28"/>
          <w:vertAlign w:val="superscript"/>
        </w:rPr>
        <w:t>1</w:t>
      </w:r>
      <w:r w:rsidRPr="00DB7D92">
        <w:rPr>
          <w:szCs w:val="28"/>
        </w:rPr>
        <w:t xml:space="preserve">;”; </w:t>
      </w:r>
    </w:p>
    <w:p w14:paraId="2C907CC1" w14:textId="74B44174" w:rsidR="00836FB2" w:rsidRPr="00DB7D92" w:rsidRDefault="00000000" w:rsidP="00DB7D92">
      <w:pPr>
        <w:spacing w:after="13" w:line="248" w:lineRule="auto"/>
        <w:ind w:right="0"/>
        <w:rPr>
          <w:szCs w:val="28"/>
        </w:rPr>
      </w:pPr>
      <w:r w:rsidRPr="00DB7D92">
        <w:rPr>
          <w:szCs w:val="28"/>
        </w:rPr>
        <w:t>2)</w:t>
      </w:r>
      <w:r w:rsidRPr="00DB7D92">
        <w:rPr>
          <w:rFonts w:ascii="Arial" w:eastAsia="Arial" w:hAnsi="Arial" w:cs="Arial"/>
          <w:szCs w:val="28"/>
        </w:rPr>
        <w:t xml:space="preserve"> </w:t>
      </w:r>
      <w:r w:rsidRPr="00DB7D92">
        <w:rPr>
          <w:szCs w:val="28"/>
        </w:rPr>
        <w:t xml:space="preserve">se completează cu </w:t>
      </w:r>
      <w:r w:rsidR="0031340E">
        <w:rPr>
          <w:szCs w:val="28"/>
        </w:rPr>
        <w:t>a</w:t>
      </w:r>
      <w:r w:rsidRPr="00DB7D92">
        <w:rPr>
          <w:szCs w:val="28"/>
        </w:rPr>
        <w:t>nexa nr.1</w:t>
      </w:r>
      <w:r w:rsidRPr="00DB7D92">
        <w:rPr>
          <w:szCs w:val="28"/>
          <w:vertAlign w:val="superscript"/>
        </w:rPr>
        <w:t>1</w:t>
      </w:r>
      <w:r w:rsidRPr="00DB7D92">
        <w:rPr>
          <w:szCs w:val="28"/>
        </w:rPr>
        <w:t xml:space="preserve"> cu următorul cuprins: </w:t>
      </w:r>
    </w:p>
    <w:p w14:paraId="3E0EB794" w14:textId="77777777" w:rsidR="00836FB2" w:rsidRPr="00DB7D92" w:rsidRDefault="00000000" w:rsidP="00DB7D92">
      <w:pPr>
        <w:spacing w:after="0" w:line="259" w:lineRule="auto"/>
        <w:ind w:left="566" w:right="0" w:firstLine="0"/>
        <w:rPr>
          <w:szCs w:val="28"/>
        </w:rPr>
      </w:pPr>
      <w:r w:rsidRPr="00DB7D92">
        <w:rPr>
          <w:szCs w:val="28"/>
        </w:rPr>
        <w:t xml:space="preserve"> </w:t>
      </w:r>
    </w:p>
    <w:p w14:paraId="20B79FD1" w14:textId="18556B40" w:rsidR="00B760A9" w:rsidRPr="00E64C9A" w:rsidRDefault="003F282B" w:rsidP="00DB7D92">
      <w:pPr>
        <w:spacing w:after="0" w:line="271" w:lineRule="auto"/>
        <w:ind w:left="10" w:right="7" w:hanging="10"/>
        <w:rPr>
          <w:bCs/>
          <w:sz w:val="24"/>
          <w:szCs w:val="24"/>
        </w:rPr>
      </w:pPr>
      <w:r w:rsidRPr="00DB7D92">
        <w:rPr>
          <w:b/>
          <w:szCs w:val="28"/>
        </w:rPr>
        <w:t xml:space="preserve">  </w:t>
      </w:r>
      <w:r w:rsidR="00DB7D92">
        <w:rPr>
          <w:b/>
          <w:szCs w:val="28"/>
        </w:rPr>
        <w:t xml:space="preserve">       </w:t>
      </w:r>
      <w:r w:rsidRPr="00DB7D92">
        <w:rPr>
          <w:b/>
          <w:szCs w:val="28"/>
        </w:rPr>
        <w:t xml:space="preserve">                                                                                              </w:t>
      </w:r>
      <w:r w:rsidR="007E645E">
        <w:rPr>
          <w:b/>
          <w:szCs w:val="28"/>
        </w:rPr>
        <w:t xml:space="preserve">     </w:t>
      </w:r>
      <w:r w:rsidRPr="00DB7D92">
        <w:rPr>
          <w:b/>
          <w:szCs w:val="28"/>
        </w:rPr>
        <w:t xml:space="preserve">  </w:t>
      </w:r>
      <w:r w:rsidRPr="00DB7D92">
        <w:rPr>
          <w:bCs/>
          <w:szCs w:val="28"/>
        </w:rPr>
        <w:t>„</w:t>
      </w:r>
      <w:r w:rsidR="00B760A9" w:rsidRPr="00E64C9A">
        <w:rPr>
          <w:bCs/>
          <w:sz w:val="24"/>
          <w:szCs w:val="24"/>
        </w:rPr>
        <w:t>Anexa nr. 1</w:t>
      </w:r>
      <w:r w:rsidR="00B760A9" w:rsidRPr="00E64C9A">
        <w:rPr>
          <w:bCs/>
          <w:sz w:val="24"/>
          <w:szCs w:val="24"/>
          <w:vertAlign w:val="superscript"/>
        </w:rPr>
        <w:t>1</w:t>
      </w:r>
    </w:p>
    <w:p w14:paraId="67D96162" w14:textId="476A08B7" w:rsidR="00B760A9" w:rsidRPr="00E64C9A" w:rsidRDefault="003F282B" w:rsidP="00DB7D92">
      <w:pPr>
        <w:spacing w:after="0" w:line="271" w:lineRule="auto"/>
        <w:ind w:left="10" w:right="7" w:hanging="10"/>
        <w:rPr>
          <w:bCs/>
          <w:sz w:val="24"/>
          <w:szCs w:val="24"/>
        </w:rPr>
      </w:pPr>
      <w:r w:rsidRPr="00E64C9A">
        <w:rPr>
          <w:bCs/>
          <w:sz w:val="24"/>
          <w:szCs w:val="24"/>
        </w:rPr>
        <w:t xml:space="preserve">                                                                                           </w:t>
      </w:r>
      <w:r w:rsidR="00E64C9A">
        <w:rPr>
          <w:bCs/>
          <w:sz w:val="24"/>
          <w:szCs w:val="24"/>
        </w:rPr>
        <w:t xml:space="preserve">                       </w:t>
      </w:r>
      <w:r w:rsidRPr="00E64C9A">
        <w:rPr>
          <w:bCs/>
          <w:sz w:val="24"/>
          <w:szCs w:val="24"/>
        </w:rPr>
        <w:t xml:space="preserve">la Hotărârea Guvernului  </w:t>
      </w:r>
    </w:p>
    <w:p w14:paraId="758CCBDC" w14:textId="1B9904C1" w:rsidR="00B760A9" w:rsidRPr="00E64C9A" w:rsidRDefault="003F282B" w:rsidP="00DB7D92">
      <w:pPr>
        <w:spacing w:after="0" w:line="271" w:lineRule="auto"/>
        <w:ind w:left="10" w:right="7" w:hanging="10"/>
        <w:rPr>
          <w:b/>
          <w:sz w:val="24"/>
          <w:szCs w:val="24"/>
        </w:rPr>
      </w:pPr>
      <w:r w:rsidRPr="00E64C9A">
        <w:rPr>
          <w:bCs/>
          <w:sz w:val="24"/>
          <w:szCs w:val="24"/>
        </w:rPr>
        <w:t xml:space="preserve">                                                                                         </w:t>
      </w:r>
      <w:r w:rsidR="00E64C9A">
        <w:rPr>
          <w:bCs/>
          <w:sz w:val="24"/>
          <w:szCs w:val="24"/>
        </w:rPr>
        <w:t xml:space="preserve">                      </w:t>
      </w:r>
      <w:r w:rsidRPr="00E64C9A">
        <w:rPr>
          <w:bCs/>
          <w:sz w:val="24"/>
          <w:szCs w:val="24"/>
        </w:rPr>
        <w:t xml:space="preserve">   nr. 194 din 24 martie 2017</w:t>
      </w:r>
    </w:p>
    <w:p w14:paraId="6B6AD1C8" w14:textId="77777777" w:rsidR="003F282B" w:rsidRPr="00DB7D92" w:rsidRDefault="003F282B" w:rsidP="00DB7D92">
      <w:pPr>
        <w:spacing w:after="0" w:line="271" w:lineRule="auto"/>
        <w:ind w:left="10" w:right="7" w:hanging="10"/>
        <w:rPr>
          <w:b/>
          <w:szCs w:val="28"/>
        </w:rPr>
      </w:pPr>
    </w:p>
    <w:p w14:paraId="55A57CD6" w14:textId="6630FBB5" w:rsidR="00836FB2" w:rsidRPr="00DB7D92" w:rsidRDefault="00000000" w:rsidP="00DB7D92">
      <w:pPr>
        <w:spacing w:after="0" w:line="271" w:lineRule="auto"/>
        <w:ind w:left="10" w:right="7" w:hanging="10"/>
        <w:jc w:val="center"/>
        <w:rPr>
          <w:szCs w:val="28"/>
        </w:rPr>
      </w:pPr>
      <w:r w:rsidRPr="00DB7D92">
        <w:rPr>
          <w:b/>
          <w:szCs w:val="28"/>
        </w:rPr>
        <w:t>TARIFELE</w:t>
      </w:r>
    </w:p>
    <w:p w14:paraId="13ABADFF" w14:textId="00352A8C" w:rsidR="00836FB2" w:rsidRPr="00DB7D92" w:rsidRDefault="00000000" w:rsidP="00DB7D92">
      <w:pPr>
        <w:spacing w:after="56" w:line="271" w:lineRule="auto"/>
        <w:ind w:left="10" w:right="0" w:hanging="10"/>
        <w:jc w:val="center"/>
        <w:rPr>
          <w:szCs w:val="28"/>
        </w:rPr>
      </w:pPr>
      <w:r w:rsidRPr="00DB7D92">
        <w:rPr>
          <w:b/>
          <w:szCs w:val="28"/>
        </w:rPr>
        <w:t xml:space="preserve">la serviciile de expertiză genetică prestate de Centrul </w:t>
      </w:r>
      <w:proofErr w:type="spellStart"/>
      <w:r w:rsidRPr="00DB7D92">
        <w:rPr>
          <w:b/>
          <w:szCs w:val="28"/>
        </w:rPr>
        <w:t>tehnico</w:t>
      </w:r>
      <w:proofErr w:type="spellEnd"/>
      <w:r w:rsidRPr="00DB7D92">
        <w:rPr>
          <w:b/>
          <w:szCs w:val="28"/>
        </w:rPr>
        <w:t xml:space="preserve">-criminalistic </w:t>
      </w:r>
      <w:r w:rsidR="003F282B" w:rsidRPr="00DB7D92">
        <w:rPr>
          <w:b/>
          <w:szCs w:val="28"/>
        </w:rPr>
        <w:t>și expertize judiciare din cadrul</w:t>
      </w:r>
      <w:r w:rsidRPr="00DB7D92">
        <w:rPr>
          <w:b/>
          <w:szCs w:val="28"/>
        </w:rPr>
        <w:t xml:space="preserve"> Inspectoratului General al Poliției al Ministerului Afacerilor Interne</w:t>
      </w:r>
    </w:p>
    <w:tbl>
      <w:tblPr>
        <w:tblStyle w:val="TableGrid"/>
        <w:tblW w:w="9352" w:type="dxa"/>
        <w:tblInd w:w="5" w:type="dxa"/>
        <w:tblCellMar>
          <w:top w:w="14" w:type="dxa"/>
          <w:left w:w="101" w:type="dxa"/>
          <w:right w:w="19" w:type="dxa"/>
        </w:tblCellMar>
        <w:tblLook w:val="04A0" w:firstRow="1" w:lastRow="0" w:firstColumn="1" w:lastColumn="0" w:noHBand="0" w:noVBand="1"/>
      </w:tblPr>
      <w:tblGrid>
        <w:gridCol w:w="1577"/>
        <w:gridCol w:w="1325"/>
        <w:gridCol w:w="2421"/>
        <w:gridCol w:w="1013"/>
        <w:gridCol w:w="1002"/>
        <w:gridCol w:w="960"/>
        <w:gridCol w:w="1054"/>
      </w:tblGrid>
      <w:tr w:rsidR="00836FB2" w14:paraId="68CC0BA8" w14:textId="77777777" w:rsidTr="00FF5931">
        <w:trPr>
          <w:trHeight w:val="92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104" w14:textId="77777777" w:rsidR="00836FB2" w:rsidRPr="00DF2E9C" w:rsidRDefault="0000000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Genul expertizei judiciare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84D4" w14:textId="77777777" w:rsidR="00836FB2" w:rsidRPr="00DF2E9C" w:rsidRDefault="00000000">
            <w:pPr>
              <w:spacing w:after="0" w:line="259" w:lineRule="auto"/>
              <w:ind w:left="135" w:right="0" w:hanging="128"/>
              <w:jc w:val="left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Specialitatea expertizei judiciare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92B5" w14:textId="77777777" w:rsidR="00836FB2" w:rsidRPr="00DF2E9C" w:rsidRDefault="00000000">
            <w:pPr>
              <w:spacing w:after="0" w:line="259" w:lineRule="auto"/>
              <w:ind w:left="0" w:right="99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Tipul expertizei judiciare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ED7D" w14:textId="77777777" w:rsidR="00836FB2" w:rsidRPr="00DF2E9C" w:rsidRDefault="0000000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Timpul necesar </w:t>
            </w:r>
          </w:p>
          <w:p w14:paraId="009AB60C" w14:textId="77777777" w:rsidR="00836FB2" w:rsidRPr="00DF2E9C" w:rsidRDefault="0000000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(numărul de ore)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179" w14:textId="3B86ABC7" w:rsidR="00836FB2" w:rsidRPr="00DF2E9C" w:rsidRDefault="00000000">
            <w:pPr>
              <w:spacing w:after="0" w:line="240" w:lineRule="auto"/>
              <w:ind w:left="101" w:right="0" w:hanging="82"/>
              <w:jc w:val="left"/>
              <w:rPr>
                <w:sz w:val="22"/>
              </w:rPr>
            </w:pPr>
            <w:r w:rsidRPr="00DF2E9C">
              <w:rPr>
                <w:b/>
                <w:sz w:val="22"/>
              </w:rPr>
              <w:t>Cost</w:t>
            </w:r>
            <w:r w:rsidR="00B32D8B" w:rsidRPr="00DF2E9C">
              <w:rPr>
                <w:b/>
                <w:sz w:val="22"/>
              </w:rPr>
              <w:t xml:space="preserve"> </w:t>
            </w:r>
            <w:r w:rsidRPr="00DF2E9C">
              <w:rPr>
                <w:b/>
                <w:sz w:val="22"/>
              </w:rPr>
              <w:t xml:space="preserve">oră </w:t>
            </w:r>
          </w:p>
          <w:p w14:paraId="1047A1C2" w14:textId="77777777" w:rsidR="00836FB2" w:rsidRPr="00DF2E9C" w:rsidRDefault="00000000">
            <w:pPr>
              <w:spacing w:after="0" w:line="259" w:lineRule="auto"/>
              <w:ind w:left="0" w:right="97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(lei)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4367" w14:textId="77777777" w:rsidR="00836FB2" w:rsidRPr="00DF2E9C" w:rsidRDefault="00000000">
            <w:pPr>
              <w:spacing w:after="0" w:line="259" w:lineRule="auto"/>
              <w:ind w:left="65" w:right="0" w:hanging="43"/>
              <w:jc w:val="left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Unitatea de măsură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9B89" w14:textId="77777777" w:rsidR="00836FB2" w:rsidRPr="00DF2E9C" w:rsidRDefault="00000000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Tarif </w:t>
            </w:r>
          </w:p>
          <w:p w14:paraId="05A6BDCD" w14:textId="77777777" w:rsidR="00836FB2" w:rsidRPr="00DF2E9C" w:rsidRDefault="00000000">
            <w:pPr>
              <w:spacing w:after="0" w:line="259" w:lineRule="auto"/>
              <w:ind w:left="0" w:right="100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(lei) </w:t>
            </w:r>
          </w:p>
        </w:tc>
      </w:tr>
      <w:tr w:rsidR="00836FB2" w14:paraId="2739571E" w14:textId="77777777" w:rsidTr="00FF5931">
        <w:trPr>
          <w:trHeight w:val="24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FFC" w14:textId="77777777" w:rsidR="00836FB2" w:rsidRPr="00DF2E9C" w:rsidRDefault="00000000">
            <w:pPr>
              <w:spacing w:after="0" w:line="259" w:lineRule="auto"/>
              <w:ind w:left="0" w:right="98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1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1C3A" w14:textId="77777777" w:rsidR="00836FB2" w:rsidRPr="00DF2E9C" w:rsidRDefault="00000000">
            <w:pPr>
              <w:spacing w:after="0" w:line="259" w:lineRule="auto"/>
              <w:ind w:left="0" w:right="92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2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347" w14:textId="77777777" w:rsidR="00836FB2" w:rsidRPr="00DF2E9C" w:rsidRDefault="00000000">
            <w:pPr>
              <w:spacing w:after="0" w:line="259" w:lineRule="auto"/>
              <w:ind w:left="0" w:right="98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BC32" w14:textId="77777777" w:rsidR="00836FB2" w:rsidRPr="00DF2E9C" w:rsidRDefault="00000000">
            <w:pPr>
              <w:spacing w:after="0" w:line="259" w:lineRule="auto"/>
              <w:ind w:left="0" w:right="98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4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F77" w14:textId="77777777" w:rsidR="00836FB2" w:rsidRPr="00DF2E9C" w:rsidRDefault="00000000">
            <w:pPr>
              <w:spacing w:after="0" w:line="259" w:lineRule="auto"/>
              <w:ind w:left="0" w:right="95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11A" w14:textId="77777777" w:rsidR="00836FB2" w:rsidRPr="00DF2E9C" w:rsidRDefault="00000000">
            <w:pPr>
              <w:spacing w:after="0" w:line="259" w:lineRule="auto"/>
              <w:ind w:left="0" w:right="95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71C" w14:textId="77777777" w:rsidR="00836FB2" w:rsidRPr="00DF2E9C" w:rsidRDefault="00000000">
            <w:pPr>
              <w:spacing w:after="0" w:line="259" w:lineRule="auto"/>
              <w:ind w:left="0" w:right="98" w:firstLine="0"/>
              <w:jc w:val="center"/>
              <w:rPr>
                <w:sz w:val="22"/>
              </w:rPr>
            </w:pPr>
            <w:r w:rsidRPr="00DF2E9C">
              <w:rPr>
                <w:b/>
                <w:sz w:val="22"/>
              </w:rPr>
              <w:t xml:space="preserve">7 </w:t>
            </w:r>
          </w:p>
        </w:tc>
      </w:tr>
      <w:tr w:rsidR="003F282B" w14:paraId="4B58F499" w14:textId="77777777" w:rsidTr="00FF5931">
        <w:trPr>
          <w:trHeight w:val="701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6D2E9" w14:textId="438281E8" w:rsidR="003F282B" w:rsidRPr="00DF2E9C" w:rsidRDefault="003F282B" w:rsidP="005107AB">
            <w:pPr>
              <w:spacing w:after="0" w:line="240" w:lineRule="auto"/>
              <w:ind w:left="7" w:right="47" w:firstLine="0"/>
              <w:rPr>
                <w:sz w:val="22"/>
              </w:rPr>
            </w:pPr>
            <w:r w:rsidRPr="00DF2E9C">
              <w:rPr>
                <w:sz w:val="22"/>
              </w:rPr>
              <w:t>Expertiza medico-legală a obiectelor biologice de origine umană și a</w:t>
            </w:r>
            <w:r w:rsidR="005107AB" w:rsidRPr="00DF2E9C">
              <w:rPr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corpurilor delicte </w:t>
            </w:r>
          </w:p>
          <w:p w14:paraId="3FE5E2BA" w14:textId="77777777" w:rsidR="003F282B" w:rsidRPr="00DF2E9C" w:rsidRDefault="003F282B">
            <w:pPr>
              <w:spacing w:after="221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7137C83E" w14:textId="77777777" w:rsidR="003F282B" w:rsidRPr="00DF2E9C" w:rsidRDefault="003F282B">
            <w:pPr>
              <w:spacing w:after="45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0409E817" w14:textId="77777777" w:rsidR="003F282B" w:rsidRPr="00DF2E9C" w:rsidRDefault="003F282B">
            <w:pPr>
              <w:spacing w:after="91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lastRenderedPageBreak/>
              <w:t xml:space="preserve"> </w:t>
            </w:r>
          </w:p>
          <w:p w14:paraId="0B196DAF" w14:textId="77777777" w:rsidR="003F282B" w:rsidRPr="00DF2E9C" w:rsidRDefault="003F282B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6991964F" w14:textId="77777777" w:rsidR="003F282B" w:rsidRPr="00DF2E9C" w:rsidRDefault="003F282B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3655" w14:textId="77777777" w:rsidR="003F282B" w:rsidRPr="00DF2E9C" w:rsidRDefault="003F282B">
            <w:pPr>
              <w:spacing w:after="904" w:line="278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lastRenderedPageBreak/>
              <w:t xml:space="preserve">Expertiza genetică </w:t>
            </w:r>
          </w:p>
          <w:p w14:paraId="6771285A" w14:textId="77777777" w:rsidR="003F282B" w:rsidRPr="00DF2E9C" w:rsidRDefault="003F282B">
            <w:pPr>
              <w:spacing w:after="221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7B25FDDA" w14:textId="77777777" w:rsidR="003F282B" w:rsidRPr="00DF2E9C" w:rsidRDefault="003F282B">
            <w:pPr>
              <w:spacing w:after="45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7B888961" w14:textId="77777777" w:rsidR="003F282B" w:rsidRPr="00DF2E9C" w:rsidRDefault="003F282B">
            <w:pPr>
              <w:spacing w:after="91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400B51BD" w14:textId="77777777" w:rsidR="003F282B" w:rsidRPr="00DF2E9C" w:rsidRDefault="003F282B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  <w:p w14:paraId="0D4B911C" w14:textId="77777777" w:rsidR="003F282B" w:rsidRPr="00DF2E9C" w:rsidRDefault="003F282B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A3A8" w14:textId="77777777" w:rsidR="003F282B" w:rsidRPr="00DF2E9C" w:rsidRDefault="003F282B">
            <w:pPr>
              <w:spacing w:after="0" w:line="259" w:lineRule="auto"/>
              <w:ind w:left="0" w:right="9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lastRenderedPageBreak/>
              <w:t>1.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Prelevarea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conservarea probelor biologice în vederea analizei ADN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3E9E" w14:textId="77777777" w:rsidR="003F282B" w:rsidRPr="00DF2E9C" w:rsidRDefault="003F282B">
            <w:pPr>
              <w:spacing w:after="0" w:line="259" w:lineRule="auto"/>
              <w:ind w:left="0" w:right="33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0,5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2464" w14:textId="7E2F1D97" w:rsidR="003F282B" w:rsidRPr="00DF2E9C" w:rsidRDefault="003F282B" w:rsidP="00FF5931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E6DE" w14:textId="77777777" w:rsidR="003F282B" w:rsidRPr="00DF2E9C" w:rsidRDefault="003F282B">
            <w:pPr>
              <w:spacing w:after="0" w:line="259" w:lineRule="auto"/>
              <w:ind w:left="0" w:right="136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CAFB" w14:textId="64120895" w:rsidR="003F282B" w:rsidRPr="00DF2E9C" w:rsidRDefault="003F282B" w:rsidP="00885FB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143</w:t>
            </w:r>
          </w:p>
        </w:tc>
      </w:tr>
      <w:tr w:rsidR="003F282B" w14:paraId="7AAB86AB" w14:textId="77777777" w:rsidTr="00FF5931">
        <w:trPr>
          <w:trHeight w:val="70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C5D43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2985A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7356" w14:textId="77777777" w:rsidR="003F282B" w:rsidRPr="00DF2E9C" w:rsidRDefault="003F282B">
            <w:pPr>
              <w:spacing w:after="0" w:line="259" w:lineRule="auto"/>
              <w:ind w:left="0" w:right="91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2.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Examinarea preliminară, </w:t>
            </w:r>
            <w:proofErr w:type="spellStart"/>
            <w:r w:rsidRPr="00DF2E9C">
              <w:rPr>
                <w:sz w:val="22"/>
              </w:rPr>
              <w:t>eşantionarea</w:t>
            </w:r>
            <w:proofErr w:type="spellEnd"/>
            <w:r w:rsidRPr="00DF2E9C">
              <w:rPr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/sau testarea rapidă a probei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7E64" w14:textId="77777777" w:rsidR="003F282B" w:rsidRPr="00DF2E9C" w:rsidRDefault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520" w14:textId="708F3572" w:rsidR="003F282B" w:rsidRPr="00DF2E9C" w:rsidRDefault="003F282B" w:rsidP="00FF5931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52AC" w14:textId="77777777" w:rsidR="003F282B" w:rsidRPr="00DF2E9C" w:rsidRDefault="003F282B">
            <w:pPr>
              <w:spacing w:after="0" w:line="259" w:lineRule="auto"/>
              <w:ind w:left="0" w:right="136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8AD" w14:textId="22E02A5A" w:rsidR="003F282B" w:rsidRPr="00DF2E9C" w:rsidRDefault="003F282B" w:rsidP="00885FB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</w:tr>
      <w:tr w:rsidR="003F282B" w14:paraId="0BC4B4E7" w14:textId="77777777" w:rsidTr="00FF5931">
        <w:trPr>
          <w:trHeight w:val="4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A3573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142D6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DF36" w14:textId="77777777" w:rsidR="003F282B" w:rsidRPr="00DF2E9C" w:rsidRDefault="003F28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3.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Pregătirea probei biologice pentru izolarea ADN: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901CC" w14:textId="77777777" w:rsidR="003F282B" w:rsidRPr="00DF2E9C" w:rsidRDefault="003F282B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6A728" w14:textId="41023F8A" w:rsidR="003F282B" w:rsidRPr="00DF2E9C" w:rsidRDefault="003F282B" w:rsidP="00FF5931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77E48" w14:textId="77777777" w:rsidR="003F282B" w:rsidRPr="00DF2E9C" w:rsidRDefault="003F282B">
            <w:pPr>
              <w:spacing w:after="0" w:line="259" w:lineRule="auto"/>
              <w:ind w:left="0" w:right="88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42DFA" w14:textId="77777777" w:rsidR="003F282B" w:rsidRPr="00DF2E9C" w:rsidRDefault="003F282B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</w:tr>
      <w:tr w:rsidR="003F282B" w14:paraId="596E0E9E" w14:textId="77777777" w:rsidTr="00FF5931">
        <w:trPr>
          <w:trHeight w:val="6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CC222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05F61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B96" w14:textId="77777777" w:rsidR="003F282B" w:rsidRPr="00DF2E9C" w:rsidRDefault="003F282B">
            <w:pPr>
              <w:spacing w:after="0" w:line="259" w:lineRule="auto"/>
              <w:ind w:left="7" w:right="92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3.1.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prelevarea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examinarea probei biologice simple (</w:t>
            </w:r>
            <w:proofErr w:type="spellStart"/>
            <w:r w:rsidRPr="00DF2E9C">
              <w:rPr>
                <w:sz w:val="22"/>
              </w:rPr>
              <w:t>sînge</w:t>
            </w:r>
            <w:proofErr w:type="spellEnd"/>
            <w:r w:rsidRPr="00DF2E9C">
              <w:rPr>
                <w:sz w:val="22"/>
              </w:rPr>
              <w:t xml:space="preserve">, salivă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alte </w:t>
            </w:r>
            <w:proofErr w:type="spellStart"/>
            <w:r w:rsidRPr="00DF2E9C">
              <w:rPr>
                <w:sz w:val="22"/>
              </w:rPr>
              <w:t>secreţii</w:t>
            </w:r>
            <w:proofErr w:type="spellEnd"/>
            <w:r w:rsidRPr="00DF2E9C">
              <w:rPr>
                <w:sz w:val="22"/>
              </w:rPr>
              <w:t xml:space="preserve">)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10C" w14:textId="77777777" w:rsidR="003F282B" w:rsidRPr="00DF2E9C" w:rsidRDefault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0DE2" w14:textId="0E4C64FB" w:rsidR="003F282B" w:rsidRPr="00DF2E9C" w:rsidRDefault="003F282B" w:rsidP="00FF5931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7D9A" w14:textId="77777777" w:rsidR="003F282B" w:rsidRPr="00DF2E9C" w:rsidRDefault="003F282B">
            <w:pPr>
              <w:spacing w:after="0" w:line="259" w:lineRule="auto"/>
              <w:ind w:left="0" w:right="136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695D" w14:textId="0CC57998" w:rsidR="003F282B" w:rsidRPr="00DF2E9C" w:rsidRDefault="003F282B" w:rsidP="00885FB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</w:tr>
      <w:tr w:rsidR="003F282B" w14:paraId="626061F4" w14:textId="77777777" w:rsidTr="00FF5931">
        <w:trPr>
          <w:trHeight w:val="1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3AAB9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9678E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7F3E" w14:textId="77777777" w:rsidR="003F282B" w:rsidRPr="00DF2E9C" w:rsidRDefault="003F282B">
            <w:pPr>
              <w:spacing w:after="24" w:line="240" w:lineRule="auto"/>
              <w:ind w:left="0" w:right="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3.2.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prelevarea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examinarea probei biologice complicate </w:t>
            </w:r>
          </w:p>
          <w:p w14:paraId="16FC1A09" w14:textId="77777777" w:rsidR="003F282B" w:rsidRPr="00DF2E9C" w:rsidRDefault="003F282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(oase, </w:t>
            </w:r>
            <w:r w:rsidRPr="00DF2E9C">
              <w:rPr>
                <w:sz w:val="22"/>
              </w:rPr>
              <w:tab/>
            </w:r>
            <w:proofErr w:type="spellStart"/>
            <w:r w:rsidRPr="00DF2E9C">
              <w:rPr>
                <w:sz w:val="22"/>
              </w:rPr>
              <w:t>dinţi</w:t>
            </w:r>
            <w:proofErr w:type="spellEnd"/>
            <w:r w:rsidRPr="00DF2E9C">
              <w:rPr>
                <w:sz w:val="22"/>
              </w:rPr>
              <w:t xml:space="preserve">, </w:t>
            </w:r>
            <w:r w:rsidRPr="00DF2E9C">
              <w:rPr>
                <w:sz w:val="22"/>
              </w:rPr>
              <w:tab/>
            </w:r>
            <w:proofErr w:type="spellStart"/>
            <w:r w:rsidRPr="00DF2E9C">
              <w:rPr>
                <w:sz w:val="22"/>
              </w:rPr>
              <w:t>ţesuturi</w:t>
            </w:r>
            <w:proofErr w:type="spellEnd"/>
            <w:r w:rsidRPr="00DF2E9C">
              <w:rPr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împarafinate</w:t>
            </w:r>
            <w:proofErr w:type="spellEnd"/>
            <w:r w:rsidRPr="00DF2E9C">
              <w:rPr>
                <w:sz w:val="22"/>
              </w:rPr>
              <w:t xml:space="preserve">, material biologic degradat etc.)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7AB3" w14:textId="77777777" w:rsidR="003F282B" w:rsidRPr="00DF2E9C" w:rsidRDefault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4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150C" w14:textId="23CAAE7A" w:rsidR="003F282B" w:rsidRPr="00DF2E9C" w:rsidRDefault="003F282B" w:rsidP="00FF5931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60A" w14:textId="77777777" w:rsidR="003F282B" w:rsidRPr="00DF2E9C" w:rsidRDefault="003F282B">
            <w:pPr>
              <w:spacing w:after="0" w:line="259" w:lineRule="auto"/>
              <w:ind w:left="0" w:right="136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ED0" w14:textId="0ED666DB" w:rsidR="003F282B" w:rsidRPr="00DF2E9C" w:rsidRDefault="003F282B" w:rsidP="00885FB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1144</w:t>
            </w:r>
          </w:p>
        </w:tc>
      </w:tr>
      <w:tr w:rsidR="003F282B" w14:paraId="6142496C" w14:textId="77777777" w:rsidTr="00FF5931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AB92A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E4CD6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79A5" w14:textId="254E371E" w:rsidR="003F282B" w:rsidRPr="00DF2E9C" w:rsidRDefault="003F282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F2E9C">
              <w:rPr>
                <w:b/>
                <w:sz w:val="22"/>
              </w:rPr>
              <w:t>4.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Stabilirea profilului ADN: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588DB" w14:textId="77777777" w:rsidR="003F282B" w:rsidRPr="00DF2E9C" w:rsidRDefault="003F282B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01233" w14:textId="77777777" w:rsidR="003F282B" w:rsidRPr="00DF2E9C" w:rsidRDefault="003F282B">
            <w:pPr>
              <w:spacing w:after="0" w:line="259" w:lineRule="auto"/>
              <w:ind w:left="7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703CB" w14:textId="77777777" w:rsidR="003F282B" w:rsidRPr="00DF2E9C" w:rsidRDefault="003F282B">
            <w:pPr>
              <w:spacing w:after="0" w:line="259" w:lineRule="auto"/>
              <w:ind w:left="0" w:right="88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977B6" w14:textId="77777777" w:rsidR="003F282B" w:rsidRPr="00DF2E9C" w:rsidRDefault="003F282B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DF2E9C">
              <w:rPr>
                <w:sz w:val="22"/>
              </w:rPr>
              <w:t xml:space="preserve"> </w:t>
            </w:r>
          </w:p>
        </w:tc>
      </w:tr>
      <w:tr w:rsidR="003F282B" w14:paraId="10061D18" w14:textId="77777777" w:rsidTr="00FF5931">
        <w:trPr>
          <w:trHeight w:val="9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98F0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30DD3" w14:textId="77777777" w:rsidR="003F282B" w:rsidRPr="00DF2E9C" w:rsidRDefault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61AF1" w14:textId="24981D66" w:rsidR="003F282B" w:rsidRPr="00DF2E9C" w:rsidRDefault="003F282B" w:rsidP="003F28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4.1.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extracţia</w:t>
            </w:r>
            <w:proofErr w:type="spellEnd"/>
            <w:r w:rsidRPr="00DF2E9C">
              <w:rPr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cuantificarea</w:t>
            </w:r>
          </w:p>
          <w:p w14:paraId="7CA2EDB6" w14:textId="07CD3362" w:rsidR="003F282B" w:rsidRPr="00DF2E9C" w:rsidRDefault="003F282B" w:rsidP="003F282B">
            <w:pPr>
              <w:spacing w:after="37" w:line="240" w:lineRule="auto"/>
              <w:ind w:left="0" w:right="0" w:firstLine="0"/>
              <w:rPr>
                <w:sz w:val="22"/>
              </w:rPr>
            </w:pPr>
            <w:r w:rsidRPr="00DF2E9C">
              <w:rPr>
                <w:sz w:val="22"/>
              </w:rPr>
              <w:t>ADN din probe biologice simple (</w:t>
            </w:r>
            <w:proofErr w:type="spellStart"/>
            <w:r w:rsidRPr="00DF2E9C">
              <w:rPr>
                <w:sz w:val="22"/>
              </w:rPr>
              <w:t>sînge</w:t>
            </w:r>
            <w:proofErr w:type="spellEnd"/>
            <w:r w:rsidRPr="00DF2E9C">
              <w:rPr>
                <w:sz w:val="22"/>
              </w:rPr>
              <w:t xml:space="preserve">, salivă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alte </w:t>
            </w:r>
            <w:proofErr w:type="spellStart"/>
            <w:r w:rsidRPr="00DF2E9C">
              <w:rPr>
                <w:sz w:val="22"/>
              </w:rPr>
              <w:t>secreţii</w:t>
            </w:r>
            <w:proofErr w:type="spellEnd"/>
            <w:r w:rsidRPr="00DF2E9C">
              <w:rPr>
                <w:sz w:val="22"/>
              </w:rPr>
              <w:t>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65608" w14:textId="77777777" w:rsidR="003F282B" w:rsidRPr="00DF2E9C" w:rsidRDefault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F2E92" w14:textId="31944820" w:rsidR="003F282B" w:rsidRPr="00DF2E9C" w:rsidRDefault="003F282B" w:rsidP="00FF5931">
            <w:pPr>
              <w:spacing w:after="0" w:line="259" w:lineRule="auto"/>
              <w:ind w:left="51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83B0" w14:textId="77777777" w:rsidR="003F282B" w:rsidRPr="00DF2E9C" w:rsidRDefault="003F282B">
            <w:pPr>
              <w:spacing w:after="0" w:line="259" w:lineRule="auto"/>
              <w:ind w:left="0" w:right="136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B8F3" w14:textId="5234A098" w:rsidR="003F282B" w:rsidRPr="00DF2E9C" w:rsidRDefault="003F282B" w:rsidP="00885FB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1430</w:t>
            </w:r>
          </w:p>
        </w:tc>
      </w:tr>
      <w:tr w:rsidR="00DF2E9C" w14:paraId="52274B13" w14:textId="77777777" w:rsidTr="00FF5931">
        <w:trPr>
          <w:trHeight w:val="6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65E0B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28818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A7C2" w14:textId="529833EB" w:rsidR="003F282B" w:rsidRPr="00DF2E9C" w:rsidRDefault="003F282B" w:rsidP="003F28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4.2.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extracţia</w:t>
            </w:r>
            <w:proofErr w:type="spellEnd"/>
            <w:r w:rsidRPr="00DF2E9C">
              <w:rPr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cuantificarea ADN din probe </w:t>
            </w:r>
            <w:r w:rsidRPr="00DF2E9C">
              <w:rPr>
                <w:sz w:val="22"/>
              </w:rPr>
              <w:tab/>
              <w:t xml:space="preserve">biologice complicate (amestec </w:t>
            </w:r>
            <w:proofErr w:type="spellStart"/>
            <w:r w:rsidRPr="00DF2E9C">
              <w:rPr>
                <w:sz w:val="22"/>
              </w:rPr>
              <w:t>secreţii</w:t>
            </w:r>
            <w:proofErr w:type="spellEnd"/>
            <w:r w:rsidRPr="00DF2E9C">
              <w:rPr>
                <w:sz w:val="22"/>
              </w:rPr>
              <w:t xml:space="preserve">, oase, </w:t>
            </w:r>
            <w:r w:rsidRPr="00DF2E9C">
              <w:rPr>
                <w:sz w:val="22"/>
              </w:rPr>
              <w:tab/>
            </w:r>
            <w:proofErr w:type="spellStart"/>
            <w:r w:rsidRPr="00DF2E9C">
              <w:rPr>
                <w:sz w:val="22"/>
              </w:rPr>
              <w:t>dinţi</w:t>
            </w:r>
            <w:proofErr w:type="spellEnd"/>
            <w:r w:rsidRPr="00DF2E9C">
              <w:rPr>
                <w:sz w:val="22"/>
              </w:rPr>
              <w:t xml:space="preserve">, </w:t>
            </w:r>
            <w:proofErr w:type="spellStart"/>
            <w:r w:rsidRPr="00DF2E9C">
              <w:rPr>
                <w:sz w:val="22"/>
              </w:rPr>
              <w:t>ţesuturi</w:t>
            </w:r>
            <w:proofErr w:type="spellEnd"/>
            <w:r w:rsidRPr="00DF2E9C">
              <w:rPr>
                <w:sz w:val="22"/>
              </w:rPr>
              <w:t xml:space="preserve"> </w:t>
            </w:r>
            <w:proofErr w:type="spellStart"/>
            <w:r w:rsidRPr="00DF2E9C">
              <w:rPr>
                <w:sz w:val="22"/>
              </w:rPr>
              <w:t>împarafinate</w:t>
            </w:r>
            <w:proofErr w:type="spellEnd"/>
            <w:r w:rsidRPr="00DF2E9C">
              <w:rPr>
                <w:sz w:val="22"/>
              </w:rPr>
              <w:t>, material biologic degradat, urme material genetic etc.)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94F" w14:textId="340CA8D8" w:rsidR="003F282B" w:rsidRPr="00DF2E9C" w:rsidRDefault="003F282B" w:rsidP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F4A" w14:textId="209FCA3F" w:rsidR="003F282B" w:rsidRPr="00DF2E9C" w:rsidRDefault="003F282B" w:rsidP="00FF593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737" w14:textId="2718CB48" w:rsidR="003F282B" w:rsidRPr="00DF2E9C" w:rsidRDefault="003F282B" w:rsidP="003F282B">
            <w:pPr>
              <w:spacing w:after="0" w:line="259" w:lineRule="auto"/>
              <w:ind w:left="0" w:right="136" w:firstLine="0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EB3" w14:textId="4801DA89" w:rsidR="003F282B" w:rsidRPr="00DF2E9C" w:rsidRDefault="003F282B" w:rsidP="00885FB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2288</w:t>
            </w:r>
          </w:p>
        </w:tc>
      </w:tr>
      <w:tr w:rsidR="00DF2E9C" w14:paraId="0FCF28D4" w14:textId="77777777" w:rsidTr="00FF5931">
        <w:trPr>
          <w:trHeight w:val="651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F9D64BE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2E8A3D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F5C" w14:textId="5B68CEE3" w:rsidR="003F282B" w:rsidRPr="00DF2E9C" w:rsidRDefault="003F282B" w:rsidP="00FF5931">
            <w:pPr>
              <w:spacing w:after="0" w:line="259" w:lineRule="auto"/>
              <w:ind w:left="0" w:right="0" w:firstLine="0"/>
              <w:rPr>
                <w:b/>
                <w:sz w:val="22"/>
              </w:rPr>
            </w:pPr>
            <w:r w:rsidRPr="00DF2E9C">
              <w:rPr>
                <w:b/>
                <w:sz w:val="22"/>
              </w:rPr>
              <w:t>4.3.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stabilirea profilului ADN pentru </w:t>
            </w:r>
            <w:proofErr w:type="spellStart"/>
            <w:r w:rsidRPr="00DF2E9C">
              <w:rPr>
                <w:sz w:val="22"/>
              </w:rPr>
              <w:t>markeri</w:t>
            </w:r>
            <w:proofErr w:type="spellEnd"/>
            <w:r w:rsidRPr="00DF2E9C">
              <w:rPr>
                <w:sz w:val="22"/>
              </w:rPr>
              <w:t xml:space="preserve"> STR </w:t>
            </w:r>
            <w:proofErr w:type="spellStart"/>
            <w:r w:rsidRPr="00DF2E9C">
              <w:rPr>
                <w:sz w:val="22"/>
              </w:rPr>
              <w:t>autozomali</w:t>
            </w:r>
            <w:proofErr w:type="spellEnd"/>
            <w:r w:rsidRPr="00DF2E9C">
              <w:rPr>
                <w:sz w:val="22"/>
              </w:rPr>
              <w:t xml:space="preserve">, completat cu </w:t>
            </w:r>
            <w:proofErr w:type="spellStart"/>
            <w:r w:rsidRPr="00DF2E9C">
              <w:rPr>
                <w:sz w:val="22"/>
              </w:rPr>
              <w:t>markeri</w:t>
            </w:r>
            <w:proofErr w:type="spellEnd"/>
            <w:r w:rsidRPr="00DF2E9C">
              <w:rPr>
                <w:sz w:val="22"/>
              </w:rPr>
              <w:t xml:space="preserve"> cromozomiali X </w:t>
            </w:r>
            <w:proofErr w:type="spellStart"/>
            <w:r w:rsidRPr="00DF2E9C">
              <w:rPr>
                <w:sz w:val="22"/>
              </w:rPr>
              <w:t>şi</w:t>
            </w:r>
            <w:proofErr w:type="spellEnd"/>
            <w:r w:rsidRPr="00DF2E9C">
              <w:rPr>
                <w:sz w:val="22"/>
              </w:rPr>
              <w:t xml:space="preserve"> Y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B729" w14:textId="64B64494" w:rsidR="003F282B" w:rsidRPr="00DF2E9C" w:rsidRDefault="003F282B" w:rsidP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877" w14:textId="2D1E8577" w:rsidR="003F282B" w:rsidRPr="00DF2E9C" w:rsidRDefault="003F282B" w:rsidP="00FF593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52A" w14:textId="54101C84" w:rsidR="003F282B" w:rsidRPr="00DF2E9C" w:rsidRDefault="003F282B" w:rsidP="003F282B">
            <w:pPr>
              <w:spacing w:after="0" w:line="259" w:lineRule="auto"/>
              <w:ind w:left="0" w:right="136" w:firstLine="0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558" w14:textId="0A298227" w:rsidR="003F282B" w:rsidRPr="00DF2E9C" w:rsidRDefault="003F282B" w:rsidP="00885FB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4004</w:t>
            </w:r>
          </w:p>
        </w:tc>
      </w:tr>
      <w:tr w:rsidR="00DF2E9C" w14:paraId="5C2BDEA5" w14:textId="77777777" w:rsidTr="00FF5931">
        <w:trPr>
          <w:trHeight w:val="651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4DCF921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C4E41A8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0DE" w14:textId="5ED5C4B6" w:rsidR="003F282B" w:rsidRPr="00DF2E9C" w:rsidRDefault="003F282B" w:rsidP="003F282B">
            <w:pPr>
              <w:tabs>
                <w:tab w:val="right" w:pos="2598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DF2E9C">
              <w:rPr>
                <w:b/>
                <w:sz w:val="22"/>
              </w:rPr>
              <w:t>4.5.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stabilirea </w:t>
            </w:r>
            <w:r w:rsidRPr="00DF2E9C">
              <w:rPr>
                <w:sz w:val="22"/>
              </w:rPr>
              <w:tab/>
              <w:t>ADN</w:t>
            </w:r>
          </w:p>
          <w:p w14:paraId="31397544" w14:textId="49E869AF" w:rsidR="003F282B" w:rsidRPr="00DF2E9C" w:rsidRDefault="003F282B" w:rsidP="003F282B">
            <w:pPr>
              <w:spacing w:after="0" w:line="259" w:lineRule="auto"/>
              <w:ind w:left="0" w:right="0"/>
              <w:rPr>
                <w:b/>
                <w:sz w:val="22"/>
              </w:rPr>
            </w:pPr>
            <w:r w:rsidRPr="00DF2E9C">
              <w:rPr>
                <w:sz w:val="22"/>
              </w:rPr>
              <w:t>mitocondrial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421" w14:textId="3F71C100" w:rsidR="003F282B" w:rsidRPr="00DF2E9C" w:rsidRDefault="003F282B" w:rsidP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91F9" w14:textId="06F2F103" w:rsidR="003F282B" w:rsidRPr="00DF2E9C" w:rsidRDefault="003F282B" w:rsidP="00FF593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C8D5" w14:textId="05310405" w:rsidR="003F282B" w:rsidRPr="00DF2E9C" w:rsidRDefault="003F282B" w:rsidP="003F282B">
            <w:pPr>
              <w:spacing w:after="0" w:line="259" w:lineRule="auto"/>
              <w:ind w:left="0" w:right="136" w:firstLine="0"/>
              <w:rPr>
                <w:sz w:val="22"/>
              </w:rPr>
            </w:pPr>
            <w:r w:rsidRPr="00DF2E9C">
              <w:rPr>
                <w:sz w:val="22"/>
              </w:rPr>
              <w:t xml:space="preserve">1 probă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893E" w14:textId="7572D779" w:rsidR="003F282B" w:rsidRPr="00DF2E9C" w:rsidRDefault="003F282B" w:rsidP="00885FB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5434</w:t>
            </w:r>
          </w:p>
        </w:tc>
      </w:tr>
      <w:tr w:rsidR="003F282B" w14:paraId="7FA190DE" w14:textId="77777777" w:rsidTr="00FF5931">
        <w:trPr>
          <w:trHeight w:val="6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7A31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A02" w14:textId="77777777" w:rsidR="003F282B" w:rsidRPr="00DF2E9C" w:rsidRDefault="003F282B" w:rsidP="003F282B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141" w14:textId="742B4A2B" w:rsidR="003F282B" w:rsidRPr="00DF2E9C" w:rsidRDefault="003F282B" w:rsidP="003F282B">
            <w:pPr>
              <w:spacing w:after="0" w:line="259" w:lineRule="auto"/>
              <w:ind w:left="0" w:right="0" w:firstLine="0"/>
              <w:rPr>
                <w:b/>
                <w:sz w:val="22"/>
              </w:rPr>
            </w:pPr>
            <w:r w:rsidRPr="00DF2E9C">
              <w:rPr>
                <w:b/>
                <w:sz w:val="22"/>
              </w:rPr>
              <w:t>5.</w:t>
            </w:r>
            <w:r w:rsidRPr="00DF2E9C">
              <w:rPr>
                <w:rFonts w:eastAsia="Arial"/>
                <w:b/>
                <w:sz w:val="22"/>
              </w:rPr>
              <w:t xml:space="preserve"> </w:t>
            </w:r>
            <w:r w:rsidRPr="00DF2E9C">
              <w:rPr>
                <w:sz w:val="22"/>
              </w:rPr>
              <w:t xml:space="preserve">Examinarea comparativă a unor </w:t>
            </w:r>
            <w:proofErr w:type="spellStart"/>
            <w:r w:rsidRPr="00DF2E9C">
              <w:rPr>
                <w:sz w:val="22"/>
              </w:rPr>
              <w:t>profile</w:t>
            </w:r>
            <w:proofErr w:type="spellEnd"/>
            <w:r w:rsidRPr="00DF2E9C">
              <w:rPr>
                <w:sz w:val="22"/>
              </w:rPr>
              <w:t xml:space="preserve"> genetice </w:t>
            </w:r>
            <w:proofErr w:type="spellStart"/>
            <w:r w:rsidRPr="00DF2E9C">
              <w:rPr>
                <w:sz w:val="22"/>
              </w:rPr>
              <w:t>obţinute</w:t>
            </w:r>
            <w:proofErr w:type="spellEnd"/>
            <w:r w:rsidRPr="00DF2E9C">
              <w:rPr>
                <w:sz w:val="22"/>
              </w:rPr>
              <w:t xml:space="preserve"> în alte laboratoare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2559" w14:textId="0A05F1AC" w:rsidR="003F282B" w:rsidRPr="00DF2E9C" w:rsidRDefault="003F282B" w:rsidP="003F282B">
            <w:pPr>
              <w:spacing w:after="0" w:line="259" w:lineRule="auto"/>
              <w:ind w:left="0" w:right="35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8F30" w14:textId="3114BE35" w:rsidR="003F282B" w:rsidRPr="00DF2E9C" w:rsidRDefault="003F282B" w:rsidP="00FF593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286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5B1" w14:textId="222913E3" w:rsidR="003F282B" w:rsidRPr="00DF2E9C" w:rsidRDefault="003F282B" w:rsidP="003F282B">
            <w:pPr>
              <w:spacing w:after="0" w:line="259" w:lineRule="auto"/>
              <w:ind w:left="0" w:right="136" w:firstLine="0"/>
              <w:rPr>
                <w:sz w:val="22"/>
              </w:rPr>
            </w:pPr>
            <w:r w:rsidRPr="00DF2E9C">
              <w:rPr>
                <w:sz w:val="22"/>
              </w:rPr>
              <w:t xml:space="preserve">1 profil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EAA" w14:textId="51C13DD5" w:rsidR="003F282B" w:rsidRPr="00DF2E9C" w:rsidRDefault="003F282B" w:rsidP="00885FB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F2E9C">
              <w:rPr>
                <w:sz w:val="22"/>
              </w:rPr>
              <w:t>572”</w:t>
            </w:r>
          </w:p>
        </w:tc>
      </w:tr>
    </w:tbl>
    <w:p w14:paraId="17582703" w14:textId="561FCAB7" w:rsidR="00836FB2" w:rsidRDefault="00836FB2">
      <w:pPr>
        <w:spacing w:after="0" w:line="259" w:lineRule="auto"/>
        <w:ind w:left="0" w:right="0" w:firstLine="0"/>
        <w:jc w:val="left"/>
      </w:pPr>
    </w:p>
    <w:p w14:paraId="6ED8C5D0" w14:textId="14CCE407" w:rsidR="00836FB2" w:rsidRPr="00DB7D92" w:rsidRDefault="00000000" w:rsidP="00DF2E9C">
      <w:pPr>
        <w:spacing w:after="28" w:line="259" w:lineRule="auto"/>
        <w:ind w:left="0" w:right="0" w:firstLine="0"/>
        <w:jc w:val="left"/>
        <w:rPr>
          <w:szCs w:val="28"/>
        </w:rPr>
      </w:pPr>
      <w:r>
        <w:rPr>
          <w:sz w:val="27"/>
        </w:rPr>
        <w:t xml:space="preserve"> </w:t>
      </w:r>
      <w:r w:rsidRPr="00DB7D92">
        <w:rPr>
          <w:szCs w:val="28"/>
        </w:rPr>
        <w:t>2.</w:t>
      </w:r>
      <w:r w:rsidRPr="00DB7D92">
        <w:rPr>
          <w:rFonts w:ascii="Arial" w:eastAsia="Arial" w:hAnsi="Arial" w:cs="Arial"/>
          <w:szCs w:val="28"/>
        </w:rPr>
        <w:t xml:space="preserve"> </w:t>
      </w:r>
      <w:r w:rsidRPr="00DB7D92">
        <w:rPr>
          <w:szCs w:val="28"/>
        </w:rPr>
        <w:t xml:space="preserve">Prezenta hotărâre intră în vigoare la data publicării în Monitorul Oficial al Republicii Moldova. </w:t>
      </w:r>
    </w:p>
    <w:p w14:paraId="15A5D818" w14:textId="2F18717B" w:rsidR="00836FB2" w:rsidRPr="00DB7D92" w:rsidRDefault="00000000" w:rsidP="00DF2E9C">
      <w:pPr>
        <w:spacing w:after="0" w:line="259" w:lineRule="auto"/>
        <w:ind w:left="0" w:right="0" w:firstLine="0"/>
        <w:jc w:val="left"/>
        <w:rPr>
          <w:szCs w:val="28"/>
        </w:rPr>
      </w:pPr>
      <w:r w:rsidRPr="00DB7D92">
        <w:rPr>
          <w:szCs w:val="28"/>
        </w:rPr>
        <w:t xml:space="preserve"> </w:t>
      </w:r>
    </w:p>
    <w:p w14:paraId="165FC4B9" w14:textId="5625793B" w:rsidR="00836FB2" w:rsidRPr="00DB7D92" w:rsidRDefault="00000000">
      <w:pPr>
        <w:spacing w:after="0" w:line="259" w:lineRule="auto"/>
        <w:ind w:left="561" w:right="0" w:hanging="10"/>
        <w:jc w:val="left"/>
        <w:rPr>
          <w:szCs w:val="28"/>
        </w:rPr>
      </w:pPr>
      <w:r w:rsidRPr="00DB7D92">
        <w:rPr>
          <w:b/>
          <w:szCs w:val="28"/>
        </w:rPr>
        <w:t>PRIM-MINISTRU                                                              D</w:t>
      </w:r>
      <w:r w:rsidR="0031340E">
        <w:rPr>
          <w:b/>
          <w:szCs w:val="28"/>
        </w:rPr>
        <w:t>ORIN</w:t>
      </w:r>
      <w:r w:rsidRPr="00DB7D92">
        <w:rPr>
          <w:b/>
          <w:szCs w:val="28"/>
        </w:rPr>
        <w:t xml:space="preserve"> RECEAN </w:t>
      </w:r>
    </w:p>
    <w:p w14:paraId="730AA2EE" w14:textId="77777777" w:rsidR="00836FB2" w:rsidRPr="00DB7D92" w:rsidRDefault="00000000">
      <w:pPr>
        <w:spacing w:after="24" w:line="259" w:lineRule="auto"/>
        <w:ind w:left="566" w:right="0" w:firstLine="0"/>
        <w:jc w:val="left"/>
        <w:rPr>
          <w:szCs w:val="28"/>
        </w:rPr>
      </w:pPr>
      <w:r w:rsidRPr="00DB7D92">
        <w:rPr>
          <w:b/>
          <w:szCs w:val="28"/>
        </w:rPr>
        <w:t xml:space="preserve"> </w:t>
      </w:r>
    </w:p>
    <w:p w14:paraId="7A19675D" w14:textId="77777777" w:rsidR="00836FB2" w:rsidRPr="00DB7D92" w:rsidRDefault="00000000">
      <w:pPr>
        <w:spacing w:after="13" w:line="248" w:lineRule="auto"/>
        <w:ind w:left="566" w:right="0" w:firstLine="0"/>
        <w:rPr>
          <w:szCs w:val="28"/>
        </w:rPr>
      </w:pPr>
      <w:r w:rsidRPr="00DB7D92">
        <w:rPr>
          <w:szCs w:val="28"/>
        </w:rPr>
        <w:t xml:space="preserve">Contrasemnează: </w:t>
      </w:r>
    </w:p>
    <w:p w14:paraId="3B9F51FF" w14:textId="77777777" w:rsidR="00836FB2" w:rsidRPr="00DB7D92" w:rsidRDefault="00000000">
      <w:pPr>
        <w:spacing w:after="0" w:line="259" w:lineRule="auto"/>
        <w:ind w:left="566" w:right="0" w:firstLine="0"/>
        <w:jc w:val="left"/>
        <w:rPr>
          <w:szCs w:val="28"/>
        </w:rPr>
      </w:pPr>
      <w:r w:rsidRPr="00DB7D92">
        <w:rPr>
          <w:b/>
          <w:i/>
          <w:szCs w:val="28"/>
        </w:rPr>
        <w:t xml:space="preserve"> </w:t>
      </w:r>
    </w:p>
    <w:p w14:paraId="6A197D2C" w14:textId="283DAAFD" w:rsidR="00836FB2" w:rsidRPr="0031340E" w:rsidRDefault="00000000">
      <w:pPr>
        <w:spacing w:after="0" w:line="259" w:lineRule="auto"/>
        <w:ind w:left="561" w:right="0" w:hanging="10"/>
        <w:jc w:val="left"/>
        <w:rPr>
          <w:bCs/>
          <w:szCs w:val="28"/>
        </w:rPr>
      </w:pPr>
      <w:r w:rsidRPr="0031340E">
        <w:rPr>
          <w:bCs/>
          <w:szCs w:val="28"/>
        </w:rPr>
        <w:t xml:space="preserve">Ministrul </w:t>
      </w:r>
      <w:r w:rsidR="0031340E" w:rsidRPr="0031340E">
        <w:rPr>
          <w:bCs/>
          <w:szCs w:val="28"/>
        </w:rPr>
        <w:t>a</w:t>
      </w:r>
      <w:r w:rsidRPr="0031340E">
        <w:rPr>
          <w:bCs/>
          <w:szCs w:val="28"/>
        </w:rPr>
        <w:t xml:space="preserve">facerilor </w:t>
      </w:r>
      <w:r w:rsidR="0031340E" w:rsidRPr="0031340E">
        <w:rPr>
          <w:bCs/>
          <w:szCs w:val="28"/>
        </w:rPr>
        <w:t>i</w:t>
      </w:r>
      <w:r w:rsidRPr="0031340E">
        <w:rPr>
          <w:bCs/>
          <w:szCs w:val="28"/>
        </w:rPr>
        <w:t xml:space="preserve">nterne                                                   Adrian </w:t>
      </w:r>
      <w:proofErr w:type="spellStart"/>
      <w:r w:rsidRPr="0031340E">
        <w:rPr>
          <w:bCs/>
          <w:szCs w:val="28"/>
        </w:rPr>
        <w:t>E</w:t>
      </w:r>
      <w:r w:rsidR="0031340E" w:rsidRPr="0031340E">
        <w:rPr>
          <w:bCs/>
          <w:szCs w:val="28"/>
        </w:rPr>
        <w:t>fros</w:t>
      </w:r>
      <w:proofErr w:type="spellEnd"/>
      <w:r w:rsidRPr="0031340E">
        <w:rPr>
          <w:bCs/>
          <w:szCs w:val="28"/>
        </w:rPr>
        <w:t xml:space="preserve"> </w:t>
      </w:r>
    </w:p>
    <w:p w14:paraId="6910BE3F" w14:textId="42F8C1AE" w:rsidR="00836FB2" w:rsidRDefault="00000000" w:rsidP="00B32D8B">
      <w:pPr>
        <w:spacing w:after="7224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08039BF5" w14:textId="77777777" w:rsidR="00191F99" w:rsidRPr="00710FCB" w:rsidRDefault="00191F99" w:rsidP="00191F99">
      <w:pPr>
        <w:jc w:val="center"/>
        <w:rPr>
          <w:b/>
          <w:bCs/>
          <w:iCs/>
          <w:szCs w:val="28"/>
          <w:lang w:val="ro-MD"/>
        </w:rPr>
      </w:pPr>
      <w:r w:rsidRPr="00710FCB">
        <w:rPr>
          <w:b/>
          <w:bCs/>
          <w:iCs/>
          <w:szCs w:val="28"/>
          <w:lang w:val="ro-MD"/>
        </w:rPr>
        <w:lastRenderedPageBreak/>
        <w:t>NOTĂ INFORMATIVĂ</w:t>
      </w:r>
    </w:p>
    <w:p w14:paraId="0D82CB8A" w14:textId="77777777" w:rsidR="00191F99" w:rsidRPr="00710FCB" w:rsidRDefault="00191F99" w:rsidP="00191F99">
      <w:pPr>
        <w:jc w:val="center"/>
        <w:rPr>
          <w:b/>
          <w:bCs/>
          <w:iCs/>
          <w:szCs w:val="28"/>
          <w:lang w:val="ro-MD"/>
        </w:rPr>
      </w:pPr>
      <w:r w:rsidRPr="00710FCB">
        <w:rPr>
          <w:b/>
          <w:bCs/>
          <w:iCs/>
          <w:szCs w:val="28"/>
          <w:lang w:val="ro-MD"/>
        </w:rPr>
        <w:t xml:space="preserve">la proiectul hotărârii Guvernului </w:t>
      </w:r>
      <w:bookmarkStart w:id="0" w:name="_Hlk169512579"/>
      <w:r w:rsidRPr="00710FCB">
        <w:rPr>
          <w:b/>
          <w:bCs/>
          <w:iCs/>
          <w:szCs w:val="28"/>
          <w:lang w:val="ro-MD"/>
        </w:rPr>
        <w:t xml:space="preserve">pentru modificarea </w:t>
      </w:r>
      <w:bookmarkStart w:id="1" w:name="_Hlk141793589"/>
      <w:r w:rsidRPr="00710FCB">
        <w:rPr>
          <w:b/>
          <w:bCs/>
          <w:iCs/>
          <w:szCs w:val="28"/>
          <w:lang w:val="ro-MD"/>
        </w:rPr>
        <w:t>Hotărâr</w:t>
      </w:r>
      <w:r>
        <w:rPr>
          <w:b/>
          <w:bCs/>
          <w:iCs/>
          <w:szCs w:val="28"/>
          <w:lang w:val="ro-MD"/>
        </w:rPr>
        <w:t>ii</w:t>
      </w:r>
      <w:r w:rsidRPr="00710FCB">
        <w:rPr>
          <w:b/>
          <w:bCs/>
          <w:iCs/>
          <w:szCs w:val="28"/>
          <w:lang w:val="ro-MD"/>
        </w:rPr>
        <w:t xml:space="preserve"> Guvernului </w:t>
      </w:r>
      <w:r>
        <w:rPr>
          <w:b/>
          <w:bCs/>
          <w:iCs/>
          <w:szCs w:val="28"/>
          <w:lang w:val="ro-MD"/>
        </w:rPr>
        <w:t>n</w:t>
      </w:r>
      <w:r w:rsidRPr="00710FCB">
        <w:rPr>
          <w:b/>
          <w:bCs/>
          <w:iCs/>
          <w:szCs w:val="28"/>
          <w:lang w:val="ro-MD"/>
        </w:rPr>
        <w:t>r.</w:t>
      </w:r>
      <w:r>
        <w:rPr>
          <w:b/>
          <w:bCs/>
          <w:iCs/>
          <w:szCs w:val="28"/>
          <w:lang w:val="ro-MD"/>
        </w:rPr>
        <w:t xml:space="preserve"> 194/2017 pentru aprobarea tarifelor la serviciile de expertiză judiciară și extrajudiciară </w:t>
      </w:r>
      <w:bookmarkEnd w:id="0"/>
      <w:bookmarkEnd w:id="1"/>
    </w:p>
    <w:p w14:paraId="6DC7362F" w14:textId="77777777" w:rsidR="00191F99" w:rsidRPr="00710FCB" w:rsidRDefault="00191F99" w:rsidP="00191F99">
      <w:pPr>
        <w:jc w:val="center"/>
        <w:rPr>
          <w:b/>
          <w:bCs/>
          <w:iCs/>
          <w:sz w:val="16"/>
          <w:szCs w:val="16"/>
          <w:lang w:val="ro-MD"/>
        </w:rPr>
      </w:pPr>
    </w:p>
    <w:tbl>
      <w:tblPr>
        <w:tblW w:w="963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91F99" w:rsidRPr="00E12627" w14:paraId="79DB7404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76AD1A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ro-MD"/>
              </w:rPr>
            </w:pPr>
            <w:r w:rsidRPr="00710FCB">
              <w:rPr>
                <w:b/>
                <w:szCs w:val="28"/>
                <w:lang w:val="ro-MD"/>
              </w:rPr>
              <w:t>1.</w:t>
            </w:r>
            <w:r w:rsidRPr="00710FCB">
              <w:rPr>
                <w:b/>
                <w:spacing w:val="-9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Denumirea</w:t>
            </w:r>
            <w:r w:rsidRPr="00710FCB">
              <w:rPr>
                <w:b/>
                <w:spacing w:val="-3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autorului</w:t>
            </w:r>
            <w:r w:rsidRPr="00710FCB">
              <w:rPr>
                <w:b/>
                <w:spacing w:val="-5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și,</w:t>
            </w:r>
            <w:r w:rsidRPr="00710FCB">
              <w:rPr>
                <w:b/>
                <w:spacing w:val="-6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după</w:t>
            </w:r>
            <w:r w:rsidRPr="00710FCB">
              <w:rPr>
                <w:b/>
                <w:spacing w:val="-3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caz,</w:t>
            </w:r>
            <w:r w:rsidRPr="00710FCB">
              <w:rPr>
                <w:b/>
                <w:spacing w:val="-5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a</w:t>
            </w:r>
            <w:r w:rsidRPr="00710FCB">
              <w:rPr>
                <w:b/>
                <w:spacing w:val="-4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participanților</w:t>
            </w:r>
            <w:r w:rsidRPr="00710FCB">
              <w:rPr>
                <w:b/>
                <w:spacing w:val="-7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la</w:t>
            </w:r>
            <w:r w:rsidRPr="00710FCB">
              <w:rPr>
                <w:b/>
                <w:spacing w:val="-3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elaborarea</w:t>
            </w:r>
            <w:r w:rsidRPr="00710FCB">
              <w:rPr>
                <w:b/>
                <w:spacing w:val="-3"/>
                <w:szCs w:val="28"/>
                <w:lang w:val="ro-MD"/>
              </w:rPr>
              <w:t xml:space="preserve"> </w:t>
            </w:r>
            <w:r w:rsidRPr="00710FCB">
              <w:rPr>
                <w:b/>
                <w:spacing w:val="-2"/>
                <w:szCs w:val="28"/>
                <w:lang w:val="ro-MD"/>
              </w:rPr>
              <w:t>proiectului</w:t>
            </w:r>
          </w:p>
        </w:tc>
      </w:tr>
      <w:tr w:rsidR="00191F99" w:rsidRPr="00E12627" w14:paraId="7A595AB3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FEB8C8" w14:textId="77777777" w:rsidR="00191F99" w:rsidRPr="002E71B4" w:rsidRDefault="00191F99" w:rsidP="00CB6B78">
            <w:pPr>
              <w:spacing w:line="276" w:lineRule="auto"/>
              <w:rPr>
                <w:iCs/>
                <w:szCs w:val="28"/>
                <w:lang w:val="ro-MD"/>
              </w:rPr>
            </w:pPr>
            <w:r w:rsidRPr="002E71B4">
              <w:rPr>
                <w:iCs/>
                <w:szCs w:val="28"/>
                <w:lang w:val="ro-MD"/>
              </w:rPr>
              <w:t>Proiectul hotărârii Guvernului pentru modificarea Hotărârii Guvernului nr.</w:t>
            </w:r>
            <w:r>
              <w:rPr>
                <w:iCs/>
                <w:szCs w:val="28"/>
                <w:lang w:val="ro-MD"/>
              </w:rPr>
              <w:t xml:space="preserve"> </w:t>
            </w:r>
            <w:r w:rsidRPr="002E71B4">
              <w:rPr>
                <w:iCs/>
                <w:szCs w:val="28"/>
                <w:lang w:val="ro-MD"/>
              </w:rPr>
              <w:t>194/2017 pentru aprobarea tarifelor la serviciile de expertiză judiciară și extrajudiciară</w:t>
            </w:r>
            <w:r>
              <w:rPr>
                <w:iCs/>
                <w:szCs w:val="28"/>
                <w:lang w:val="ro-MD"/>
              </w:rPr>
              <w:t xml:space="preserve"> a fost elaborat de Ministerul Afacerilor Interne.</w:t>
            </w:r>
            <w:r w:rsidRPr="002E71B4">
              <w:rPr>
                <w:iCs/>
                <w:szCs w:val="28"/>
                <w:lang w:val="ro-MD"/>
              </w:rPr>
              <w:t xml:space="preserve"> </w:t>
            </w:r>
          </w:p>
          <w:p w14:paraId="3103D043" w14:textId="77777777" w:rsidR="00191F99" w:rsidRPr="003C41D3" w:rsidRDefault="00191F99" w:rsidP="00CB6B78">
            <w:pPr>
              <w:spacing w:line="276" w:lineRule="auto"/>
              <w:ind w:firstLine="596"/>
              <w:rPr>
                <w:sz w:val="8"/>
                <w:szCs w:val="8"/>
                <w:lang w:val="ro-MD"/>
              </w:rPr>
            </w:pPr>
          </w:p>
        </w:tc>
      </w:tr>
      <w:tr w:rsidR="00191F99" w:rsidRPr="00710FCB" w14:paraId="2545AB4D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F9865A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  <w:lang w:val="ro-MD"/>
              </w:rPr>
            </w:pPr>
            <w:r w:rsidRPr="00710FCB">
              <w:rPr>
                <w:b/>
                <w:szCs w:val="28"/>
                <w:lang w:val="ro-MD"/>
              </w:rPr>
              <w:t xml:space="preserve">2. Condițiile ce au impus elaborarea proiectului de act normativ și finalitățile </w:t>
            </w:r>
          </w:p>
          <w:p w14:paraId="0FA41852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  <w:lang w:val="ro-MD"/>
              </w:rPr>
            </w:pPr>
            <w:r w:rsidRPr="00710FCB">
              <w:rPr>
                <w:b/>
                <w:szCs w:val="28"/>
                <w:lang w:val="ro-MD"/>
              </w:rPr>
              <w:t>urmărite</w:t>
            </w:r>
          </w:p>
        </w:tc>
      </w:tr>
      <w:tr w:rsidR="00191F99" w:rsidRPr="00E12627" w14:paraId="3002B1A7" w14:textId="77777777" w:rsidTr="00CB6B78">
        <w:trPr>
          <w:trHeight w:val="274"/>
        </w:trPr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C97492" w14:textId="77777777" w:rsidR="00191F99" w:rsidRPr="00FA2348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FA2348">
              <w:rPr>
                <w:szCs w:val="28"/>
              </w:rPr>
              <w:t xml:space="preserve">La 14 aprilie 2016 Parlamentul Republicii Moldova a adoptat Legea </w:t>
            </w:r>
            <w:bookmarkStart w:id="2" w:name="_Hlk167711587"/>
            <w:r w:rsidRPr="00FA2348">
              <w:rPr>
                <w:szCs w:val="28"/>
              </w:rPr>
              <w:t>nr. 68/2016 cu privire la expertiza judiciară și statutul expertului judiciar</w:t>
            </w:r>
            <w:bookmarkEnd w:id="2"/>
            <w:r w:rsidRPr="00FA2348">
              <w:rPr>
                <w:szCs w:val="28"/>
              </w:rPr>
              <w:t xml:space="preserve">. Potrivit art. 75 alin. (1), expertiza judiciară se efectuează cu condiția că solicitantul achită în prealabil costurile acesteia, iar alin. (2) – costurile expertizelor judiciare și extrajudiciare, efectuate de către instituțiile publice de expertiză judiciară, se stabilesc de Guvern. </w:t>
            </w:r>
          </w:p>
          <w:p w14:paraId="578A0FCE" w14:textId="77777777" w:rsidR="00191F99" w:rsidRPr="00FA2348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FA2348">
              <w:rPr>
                <w:szCs w:val="28"/>
              </w:rPr>
              <w:t>Pentru realizarea acestor prevederi, la 24 martie 2017 Guvernul Republicii Moldova a aprobat Hotărârea Guvernului nr. 194 prin care au fost reglementate tarifele pentru serviciile de expertiză judiciară și extrajudiciară.</w:t>
            </w:r>
          </w:p>
          <w:p w14:paraId="668D3AF5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>Conform pct.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2 din Regulamentul cu privire la organizarea și funcționarea Centrului </w:t>
            </w:r>
            <w:proofErr w:type="spellStart"/>
            <w:r w:rsidRPr="00BB159E">
              <w:rPr>
                <w:szCs w:val="28"/>
              </w:rPr>
              <w:t>tehnico</w:t>
            </w:r>
            <w:proofErr w:type="spellEnd"/>
            <w:r w:rsidRPr="00BB159E">
              <w:rPr>
                <w:szCs w:val="28"/>
              </w:rPr>
              <w:t>-criminalistic și expe</w:t>
            </w:r>
            <w:r>
              <w:rPr>
                <w:szCs w:val="28"/>
              </w:rPr>
              <w:t>r</w:t>
            </w:r>
            <w:r w:rsidRPr="00BB159E">
              <w:rPr>
                <w:szCs w:val="28"/>
              </w:rPr>
              <w:t>tize judiciare, aprobat prin Ordinul ministrului afacerilor interne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15/2024, Centrul </w:t>
            </w:r>
            <w:proofErr w:type="spellStart"/>
            <w:r w:rsidRPr="00BB159E">
              <w:rPr>
                <w:szCs w:val="28"/>
              </w:rPr>
              <w:t>tehnico</w:t>
            </w:r>
            <w:proofErr w:type="spellEnd"/>
            <w:r w:rsidRPr="00BB159E">
              <w:rPr>
                <w:szCs w:val="28"/>
              </w:rPr>
              <w:t xml:space="preserve">-criminalistic și expertize judiciare (în continuare - Centrul) reprezintă o subdiviziune specializată a Poliției din subordinea Inspectoratului General al Poliției cu statut de direcție generală, cu atribuții de efectuare a expertizelor judiciare/extrajudiciare și a constatărilor </w:t>
            </w:r>
            <w:proofErr w:type="spellStart"/>
            <w:r w:rsidRPr="00BB159E">
              <w:rPr>
                <w:szCs w:val="28"/>
              </w:rPr>
              <w:t>tehn</w:t>
            </w:r>
            <w:r>
              <w:rPr>
                <w:szCs w:val="28"/>
              </w:rPr>
              <w:t>i</w:t>
            </w:r>
            <w:r w:rsidRPr="00BB159E">
              <w:rPr>
                <w:szCs w:val="28"/>
              </w:rPr>
              <w:t>co</w:t>
            </w:r>
            <w:proofErr w:type="spellEnd"/>
            <w:r w:rsidRPr="00BB159E">
              <w:rPr>
                <w:szCs w:val="28"/>
              </w:rPr>
              <w:t>-științifice, care activează în baza Legii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320/2012 cu privire la activitatea Poliției și statutul polițistului și Legii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68/2016 cu privire la expertiza judiciară și statutul expertului judiciar. </w:t>
            </w:r>
          </w:p>
          <w:p w14:paraId="531BC323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 xml:space="preserve">Este de menționat că în cadrul Centrului s-a creat și dotat conform standardelor naționale și internaționale </w:t>
            </w:r>
            <w:bookmarkStart w:id="3" w:name="_Hlk169513252"/>
            <w:r w:rsidRPr="00BB159E">
              <w:rPr>
                <w:szCs w:val="28"/>
              </w:rPr>
              <w:t xml:space="preserve">laboratorul de expertiză </w:t>
            </w:r>
            <w:proofErr w:type="spellStart"/>
            <w:r w:rsidRPr="00BB159E">
              <w:rPr>
                <w:szCs w:val="28"/>
              </w:rPr>
              <w:t>genetico</w:t>
            </w:r>
            <w:proofErr w:type="spellEnd"/>
            <w:r w:rsidRPr="00BB159E">
              <w:rPr>
                <w:szCs w:val="28"/>
              </w:rPr>
              <w:t>-judiciară ADN</w:t>
            </w:r>
            <w:bookmarkEnd w:id="3"/>
            <w:r w:rsidRPr="00BB159E">
              <w:rPr>
                <w:szCs w:val="28"/>
              </w:rPr>
              <w:t xml:space="preserve">. </w:t>
            </w:r>
          </w:p>
          <w:p w14:paraId="6B19F266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>De asemenea, în perioada 2023-2024 au fost organizate vizite de studiu în domeniul efectuării expertizei genetice pentru angajații Centrului, în Lituania, în vederea asigurării pregătirii profesionale a acestora, în cadrul proiectului EU4REFORMS – DNA, finanțat de Uniunea Europe</w:t>
            </w:r>
            <w:r>
              <w:rPr>
                <w:szCs w:val="28"/>
              </w:rPr>
              <w:t>a</w:t>
            </w:r>
            <w:r w:rsidRPr="00BB159E">
              <w:rPr>
                <w:szCs w:val="28"/>
              </w:rPr>
              <w:t xml:space="preserve">nă, bugetul căruia este de 1 </w:t>
            </w:r>
            <w:proofErr w:type="spellStart"/>
            <w:r w:rsidRPr="00BB159E">
              <w:rPr>
                <w:szCs w:val="28"/>
              </w:rPr>
              <w:t>mln</w:t>
            </w:r>
            <w:proofErr w:type="spellEnd"/>
            <w:r w:rsidRPr="00BB159E">
              <w:rPr>
                <w:szCs w:val="28"/>
              </w:rPr>
              <w:t xml:space="preserve"> EUR, ce are o durată de 24 de luni (01.11.2023 - 31.10.2025). </w:t>
            </w:r>
          </w:p>
          <w:p w14:paraId="5D752758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>Subsecvent, la 27.10.2023 a fost aprobată Hotărârea Guvernului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821/2023 pentru aprobarea Conceptului Sistemului informațional „Registrul de stat al datelor genetice” </w:t>
            </w:r>
            <w:proofErr w:type="spellStart"/>
            <w:r w:rsidRPr="00BB159E">
              <w:rPr>
                <w:szCs w:val="28"/>
              </w:rPr>
              <w:t>şi</w:t>
            </w:r>
            <w:proofErr w:type="spellEnd"/>
            <w:r w:rsidRPr="00BB159E">
              <w:rPr>
                <w:szCs w:val="28"/>
              </w:rPr>
              <w:t xml:space="preserve"> a Regulamentului privind modalitatea de ținere a Registrului de stat al datelor genetice. Potrivit pct.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3 din Hotărârea Guvernului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821/2023, Ministerul Afacerilor Interne are calitatea de posesor al Sistemului informațional „Registrul de </w:t>
            </w:r>
            <w:r w:rsidRPr="00BB159E">
              <w:rPr>
                <w:szCs w:val="28"/>
              </w:rPr>
              <w:lastRenderedPageBreak/>
              <w:t xml:space="preserve">stat al datelor genetice”, care asigură condițiile juridice, financiare și organizatorice pentru crearea, administrarea, mentenanța </w:t>
            </w:r>
            <w:proofErr w:type="spellStart"/>
            <w:r w:rsidRPr="00BB159E">
              <w:rPr>
                <w:szCs w:val="28"/>
              </w:rPr>
              <w:t>şi</w:t>
            </w:r>
            <w:proofErr w:type="spellEnd"/>
            <w:r w:rsidRPr="00BB159E">
              <w:rPr>
                <w:szCs w:val="28"/>
              </w:rPr>
              <w:t xml:space="preserve"> dezvoltarea Sistemului informațional </w:t>
            </w:r>
            <w:proofErr w:type="spellStart"/>
            <w:r w:rsidRPr="00BB159E">
              <w:rPr>
                <w:szCs w:val="28"/>
              </w:rPr>
              <w:t>menţionat</w:t>
            </w:r>
            <w:proofErr w:type="spellEnd"/>
            <w:r w:rsidRPr="00BB159E">
              <w:rPr>
                <w:szCs w:val="28"/>
              </w:rPr>
              <w:t>, iar potrivit pct.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19 </w:t>
            </w:r>
            <w:proofErr w:type="spellStart"/>
            <w:r w:rsidRPr="00BB159E">
              <w:rPr>
                <w:szCs w:val="28"/>
              </w:rPr>
              <w:t>subpct</w:t>
            </w:r>
            <w:proofErr w:type="spellEnd"/>
            <w:r w:rsidRPr="00BB159E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 xml:space="preserve">1) din Conceptul Sistemului informațional „Registrul de stat al datelor genetice”, aprobat prin Hotărârea Guvernului nr.821/2023, Centrul are calitatea de Registrator al Sistemului nominalizat. </w:t>
            </w:r>
          </w:p>
          <w:p w14:paraId="72733135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 xml:space="preserve">În lumina celor expuse, pentru </w:t>
            </w:r>
            <w:bookmarkStart w:id="4" w:name="_Hlk167711628"/>
            <w:r w:rsidRPr="00BB159E">
              <w:rPr>
                <w:szCs w:val="28"/>
              </w:rPr>
              <w:t xml:space="preserve">asigurarea funcționalității laboratorului de expertiză </w:t>
            </w:r>
            <w:proofErr w:type="spellStart"/>
            <w:r w:rsidRPr="00BB159E">
              <w:rPr>
                <w:szCs w:val="28"/>
              </w:rPr>
              <w:t>genetico</w:t>
            </w:r>
            <w:proofErr w:type="spellEnd"/>
            <w:r w:rsidRPr="00BB159E">
              <w:rPr>
                <w:szCs w:val="28"/>
              </w:rPr>
              <w:t xml:space="preserve">-judiciară (ADN) din cadrul Centrului </w:t>
            </w:r>
            <w:bookmarkEnd w:id="4"/>
            <w:r w:rsidRPr="00BB159E">
              <w:rPr>
                <w:szCs w:val="28"/>
              </w:rPr>
              <w:t>se consideră judicios modificarea Hotărârii Guvernului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194/2017 privind aprobarea tarifelor la serviciile de expertiză judiciară și extrajudiciară</w:t>
            </w:r>
            <w:r>
              <w:rPr>
                <w:szCs w:val="28"/>
              </w:rPr>
              <w:t xml:space="preserve">, prin completarea acesteia cu reglementări privind </w:t>
            </w:r>
            <w:bookmarkStart w:id="5" w:name="_Hlk169512638"/>
            <w:r>
              <w:rPr>
                <w:szCs w:val="28"/>
              </w:rPr>
              <w:t xml:space="preserve">tariful pentru servicii de expertiză genetică ce poate fi încasat de către Centrul </w:t>
            </w:r>
            <w:proofErr w:type="spellStart"/>
            <w:r>
              <w:rPr>
                <w:szCs w:val="28"/>
              </w:rPr>
              <w:t>tehnico</w:t>
            </w:r>
            <w:proofErr w:type="spellEnd"/>
            <w:r>
              <w:rPr>
                <w:szCs w:val="28"/>
              </w:rPr>
              <w:t>-criminalistic și expertize judiciare din cadrul Inspectoratului General al Poliției.</w:t>
            </w:r>
          </w:p>
          <w:bookmarkEnd w:id="5"/>
          <w:p w14:paraId="4833C114" w14:textId="77777777" w:rsidR="00191F99" w:rsidRPr="00BB159E" w:rsidRDefault="00191F99" w:rsidP="00CB6B78">
            <w:pPr>
              <w:spacing w:line="276" w:lineRule="auto"/>
              <w:ind w:firstLine="596"/>
              <w:rPr>
                <w:szCs w:val="28"/>
              </w:rPr>
            </w:pPr>
            <w:r w:rsidRPr="00BB159E">
              <w:rPr>
                <w:szCs w:val="28"/>
              </w:rPr>
              <w:t>Completarea Hotărârii Guvernului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194/2017 este imperativă din considerentul că pentru efectuarea expertizei genetice în conformitate cu prevederile art.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75 alin.(2) din Legea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68/2016, urmează încasarea unui tarif, care este stabilit de Guvern. Tariful ce urmează a fi încasat pentru efectuarea expertizei genetice, potrivit proiectului, este similar cuantumului tarifului încasat de către Ministerul Sănătății pentru asemenea expertize, prevăzut în anexa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2 la Hotărârea Guvernului nr.</w:t>
            </w:r>
            <w:r>
              <w:rPr>
                <w:szCs w:val="28"/>
              </w:rPr>
              <w:t xml:space="preserve"> </w:t>
            </w:r>
            <w:r w:rsidRPr="00BB159E">
              <w:rPr>
                <w:szCs w:val="28"/>
              </w:rPr>
              <w:t>194/2017.</w:t>
            </w:r>
          </w:p>
          <w:p w14:paraId="0482FBCE" w14:textId="77777777" w:rsidR="00191F99" w:rsidRPr="00BB159E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</w:rPr>
            </w:pPr>
          </w:p>
        </w:tc>
      </w:tr>
      <w:tr w:rsidR="00191F99" w:rsidRPr="00E12627" w14:paraId="53E9F189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6626C3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ro-MD"/>
              </w:rPr>
            </w:pPr>
            <w:r w:rsidRPr="00710FCB">
              <w:rPr>
                <w:b/>
                <w:szCs w:val="28"/>
                <w:lang w:val="ro-MD"/>
              </w:rPr>
              <w:lastRenderedPageBreak/>
              <w:t>3.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Descrierea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gradului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de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compatibilitate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pentru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proiectele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care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au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ca</w:t>
            </w:r>
            <w:r w:rsidRPr="00710FCB">
              <w:rPr>
                <w:b/>
                <w:spacing w:val="40"/>
                <w:szCs w:val="28"/>
                <w:lang w:val="ro-MD"/>
              </w:rPr>
              <w:t xml:space="preserve"> </w:t>
            </w:r>
            <w:r w:rsidRPr="00710FCB">
              <w:rPr>
                <w:b/>
                <w:szCs w:val="28"/>
                <w:lang w:val="ro-MD"/>
              </w:rPr>
              <w:t>scop armonizarea legislației naționale cu legislația Uniunii Europene</w:t>
            </w:r>
          </w:p>
        </w:tc>
      </w:tr>
      <w:tr w:rsidR="00191F99" w:rsidRPr="00E12627" w14:paraId="6EC30C9E" w14:textId="77777777" w:rsidTr="00CB6B78">
        <w:trPr>
          <w:trHeight w:val="715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407C9" w14:textId="77777777" w:rsidR="00191F99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pacing w:val="-2"/>
                <w:szCs w:val="28"/>
                <w:lang w:val="ro-MD"/>
              </w:rPr>
            </w:pPr>
            <w:r w:rsidRPr="005E041D">
              <w:rPr>
                <w:szCs w:val="28"/>
                <w:lang w:val="ro-MD"/>
              </w:rPr>
              <w:t>Prezentul</w:t>
            </w:r>
            <w:r w:rsidRPr="005E041D">
              <w:rPr>
                <w:spacing w:val="-19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proiect</w:t>
            </w:r>
            <w:r w:rsidRPr="005E041D">
              <w:rPr>
                <w:spacing w:val="-19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nu</w:t>
            </w:r>
            <w:r w:rsidRPr="005E041D">
              <w:rPr>
                <w:spacing w:val="-19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are</w:t>
            </w:r>
            <w:r w:rsidRPr="005E041D">
              <w:rPr>
                <w:spacing w:val="-18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ca</w:t>
            </w:r>
            <w:r w:rsidRPr="005E041D">
              <w:rPr>
                <w:spacing w:val="-20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scop</w:t>
            </w:r>
            <w:r w:rsidRPr="005E041D">
              <w:rPr>
                <w:spacing w:val="-17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armonizarea</w:t>
            </w:r>
            <w:r w:rsidRPr="005E041D">
              <w:rPr>
                <w:spacing w:val="-18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legislației</w:t>
            </w:r>
            <w:r w:rsidRPr="005E041D">
              <w:rPr>
                <w:spacing w:val="-19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naționale</w:t>
            </w:r>
            <w:r w:rsidRPr="005E041D">
              <w:rPr>
                <w:spacing w:val="-17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cu</w:t>
            </w:r>
            <w:r w:rsidRPr="005E041D">
              <w:rPr>
                <w:spacing w:val="-19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>legislația</w:t>
            </w:r>
            <w:r w:rsidRPr="005E041D">
              <w:rPr>
                <w:spacing w:val="-18"/>
                <w:szCs w:val="28"/>
                <w:lang w:val="ro-MD"/>
              </w:rPr>
              <w:t xml:space="preserve"> </w:t>
            </w:r>
            <w:r w:rsidRPr="005E041D">
              <w:rPr>
                <w:szCs w:val="28"/>
                <w:lang w:val="ro-MD"/>
              </w:rPr>
              <w:t xml:space="preserve">Uniunii </w:t>
            </w:r>
            <w:r w:rsidRPr="005E041D">
              <w:rPr>
                <w:spacing w:val="-2"/>
                <w:szCs w:val="28"/>
                <w:lang w:val="ro-MD"/>
              </w:rPr>
              <w:t>Europene.</w:t>
            </w:r>
          </w:p>
          <w:p w14:paraId="570B7CE4" w14:textId="77777777" w:rsidR="00191F99" w:rsidRPr="00303047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 w:val="12"/>
                <w:szCs w:val="12"/>
                <w:lang w:val="ro-MD"/>
              </w:rPr>
            </w:pPr>
          </w:p>
        </w:tc>
      </w:tr>
      <w:tr w:rsidR="00191F99" w:rsidRPr="00E12627" w14:paraId="54058C0A" w14:textId="77777777" w:rsidTr="00CB6B78">
        <w:trPr>
          <w:trHeight w:val="32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C808C7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iCs/>
                <w:szCs w:val="28"/>
                <w:lang w:val="ro-MD"/>
              </w:rPr>
            </w:pPr>
            <w:r w:rsidRPr="00710FCB">
              <w:rPr>
                <w:b/>
                <w:lang w:val="ro-MD"/>
              </w:rPr>
              <w:t>4.</w:t>
            </w:r>
            <w:r w:rsidRPr="00710FCB">
              <w:rPr>
                <w:b/>
                <w:spacing w:val="-5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Principalele</w:t>
            </w:r>
            <w:r w:rsidRPr="00710FCB">
              <w:rPr>
                <w:b/>
                <w:spacing w:val="-4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prevederi</w:t>
            </w:r>
            <w:r w:rsidRPr="00710FCB">
              <w:rPr>
                <w:b/>
                <w:spacing w:val="-6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ale</w:t>
            </w:r>
            <w:r w:rsidRPr="00710FCB">
              <w:rPr>
                <w:b/>
                <w:spacing w:val="-3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proiectului</w:t>
            </w:r>
            <w:r w:rsidRPr="00710FCB">
              <w:rPr>
                <w:b/>
                <w:spacing w:val="3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și</w:t>
            </w:r>
            <w:r w:rsidRPr="00710FCB">
              <w:rPr>
                <w:b/>
                <w:spacing w:val="-3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evidențierea</w:t>
            </w:r>
            <w:r w:rsidRPr="00710FCB">
              <w:rPr>
                <w:b/>
                <w:spacing w:val="-1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elementelor</w:t>
            </w:r>
            <w:r w:rsidRPr="00710FCB">
              <w:rPr>
                <w:b/>
                <w:spacing w:val="-3"/>
                <w:lang w:val="ro-MD"/>
              </w:rPr>
              <w:t xml:space="preserve"> </w:t>
            </w:r>
            <w:r w:rsidRPr="00710FCB">
              <w:rPr>
                <w:b/>
                <w:lang w:val="ro-MD"/>
              </w:rPr>
              <w:t>noi</w:t>
            </w:r>
          </w:p>
        </w:tc>
      </w:tr>
      <w:tr w:rsidR="00191F99" w:rsidRPr="00E12627" w14:paraId="0CEF5F2A" w14:textId="77777777" w:rsidTr="00CB6B78">
        <w:trPr>
          <w:trHeight w:val="715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DA3BFD" w14:textId="77777777" w:rsidR="00191F99" w:rsidRPr="00261148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color w:val="FF0000"/>
                <w:szCs w:val="28"/>
                <w:lang w:val="ro-MD"/>
              </w:rPr>
            </w:pPr>
            <w:r w:rsidRPr="005E041D">
              <w:rPr>
                <w:szCs w:val="28"/>
                <w:lang w:val="ro-MD"/>
              </w:rPr>
              <w:t xml:space="preserve">Proiectul vizează </w:t>
            </w:r>
            <w:r>
              <w:rPr>
                <w:szCs w:val="28"/>
                <w:lang w:val="ro-MD"/>
              </w:rPr>
              <w:t xml:space="preserve">modificarea </w:t>
            </w:r>
            <w:r w:rsidRPr="00710FCB">
              <w:rPr>
                <w:szCs w:val="28"/>
                <w:lang w:val="ro-MD"/>
              </w:rPr>
              <w:t>Hotărâr</w:t>
            </w:r>
            <w:r>
              <w:rPr>
                <w:szCs w:val="28"/>
                <w:lang w:val="ro-MD"/>
              </w:rPr>
              <w:t>ii</w:t>
            </w:r>
            <w:r w:rsidRPr="00710FCB">
              <w:rPr>
                <w:szCs w:val="28"/>
                <w:lang w:val="ro-MD"/>
              </w:rPr>
              <w:t xml:space="preserve"> Guvernului nr.</w:t>
            </w:r>
            <w:r>
              <w:rPr>
                <w:szCs w:val="28"/>
                <w:lang w:val="ro-MD"/>
              </w:rPr>
              <w:t xml:space="preserve"> 194/2017 pentru aprobarea tarifelor la serviciile de expertiză judiciară și extrajudiciară, și anume completarea Hotărârii Guvernului cu o anexă nouă, anexa nr. 1</w:t>
            </w:r>
            <w:r w:rsidRPr="006136DA">
              <w:rPr>
                <w:szCs w:val="28"/>
                <w:vertAlign w:val="superscript"/>
                <w:lang w:val="ro-MD"/>
              </w:rPr>
              <w:t>1</w:t>
            </w:r>
            <w:r>
              <w:rPr>
                <w:szCs w:val="28"/>
                <w:lang w:val="ro-MD"/>
              </w:rPr>
              <w:t xml:space="preserve">, care va stabili tarifele la serviciile de expertiză genetică prestate de </w:t>
            </w:r>
            <w:bookmarkStart w:id="6" w:name="_Hlk169512928"/>
            <w:r>
              <w:rPr>
                <w:szCs w:val="28"/>
                <w:lang w:val="ro-MD"/>
              </w:rPr>
              <w:t xml:space="preserve">Centrul </w:t>
            </w:r>
            <w:proofErr w:type="spellStart"/>
            <w:r>
              <w:rPr>
                <w:szCs w:val="28"/>
                <w:lang w:val="ro-MD"/>
              </w:rPr>
              <w:t>tehnico</w:t>
            </w:r>
            <w:proofErr w:type="spellEnd"/>
            <w:r>
              <w:rPr>
                <w:szCs w:val="28"/>
                <w:lang w:val="ro-MD"/>
              </w:rPr>
              <w:t>-criminalistic și expertize judiciare din cadrul Inspectoratului General al Poliției al Ministerului Afacerilor Interne</w:t>
            </w:r>
            <w:bookmarkEnd w:id="6"/>
            <w:r>
              <w:rPr>
                <w:szCs w:val="28"/>
                <w:lang w:val="ro-MD"/>
              </w:rPr>
              <w:t xml:space="preserve">. </w:t>
            </w:r>
          </w:p>
          <w:p w14:paraId="163C4961" w14:textId="77777777" w:rsidR="00191F99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 xml:space="preserve">De alt fel, în lipsa reglementărilor acestui tarif, instituția care efectuează expertiza judiciară este în imposibilitate de a </w:t>
            </w:r>
            <w:bookmarkStart w:id="7" w:name="_Hlk169512811"/>
            <w:r>
              <w:rPr>
                <w:szCs w:val="28"/>
                <w:lang w:val="ro-MD"/>
              </w:rPr>
              <w:t xml:space="preserve">restitui cheltuielile la bugetul de stat, pentru serviciul prestat, care potrivit legislației procesual-penale pot fi trecute la cheltuieli judiciare. </w:t>
            </w:r>
          </w:p>
          <w:bookmarkEnd w:id="7"/>
          <w:p w14:paraId="21D7DA71" w14:textId="77777777" w:rsidR="00191F99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 xml:space="preserve">Astfel, tarifele propuse au fost determinate potrivit tarifului aprobat în anexa nr. 2 la Hotărârea Guvernului nr. 194/2017, care se încasează în prezent de către Ministerul Sănătății pentru efectuarea aceluiași tip de expertiză.  </w:t>
            </w:r>
            <w:r>
              <w:rPr>
                <w:szCs w:val="28"/>
                <w:vertAlign w:val="superscript"/>
                <w:lang w:val="ro-MD"/>
              </w:rPr>
              <w:t xml:space="preserve"> </w:t>
            </w:r>
          </w:p>
          <w:p w14:paraId="70E3F079" w14:textId="77777777" w:rsidR="00191F99" w:rsidRDefault="00191F99" w:rsidP="00CB6B78">
            <w:pPr>
              <w:spacing w:line="276" w:lineRule="auto"/>
              <w:ind w:firstLine="604"/>
              <w:rPr>
                <w:szCs w:val="28"/>
                <w:lang w:val="ro-MD"/>
              </w:rPr>
            </w:pPr>
            <w:r w:rsidRPr="00FA2348">
              <w:rPr>
                <w:bCs/>
                <w:szCs w:val="28"/>
                <w:lang w:val="ro-MD"/>
              </w:rPr>
              <w:t>Adițional,</w:t>
            </w:r>
            <w:r>
              <w:rPr>
                <w:b/>
                <w:szCs w:val="28"/>
                <w:lang w:val="ro-MD"/>
              </w:rPr>
              <w:t xml:space="preserve"> </w:t>
            </w:r>
            <w:r>
              <w:rPr>
                <w:szCs w:val="28"/>
                <w:lang w:val="ro-MD"/>
              </w:rPr>
              <w:t>p</w:t>
            </w:r>
            <w:r w:rsidRPr="009550E6">
              <w:rPr>
                <w:szCs w:val="28"/>
                <w:lang w:val="ro-MD"/>
              </w:rPr>
              <w:t xml:space="preserve">roiectul va intra în vigoare la data publicării în Monitorul Oficial al Republicii Moldova dat fiind faptul că </w:t>
            </w:r>
            <w:r>
              <w:rPr>
                <w:szCs w:val="28"/>
                <w:lang w:val="ro-MD"/>
              </w:rPr>
              <w:t xml:space="preserve">se impune primordial </w:t>
            </w:r>
            <w:r w:rsidRPr="009550E6">
              <w:rPr>
                <w:szCs w:val="28"/>
                <w:lang w:val="ro-MD"/>
              </w:rPr>
              <w:t>neces</w:t>
            </w:r>
            <w:r>
              <w:rPr>
                <w:szCs w:val="28"/>
                <w:lang w:val="ro-MD"/>
              </w:rPr>
              <w:t>itatea</w:t>
            </w:r>
            <w:r w:rsidRPr="009550E6">
              <w:rPr>
                <w:szCs w:val="28"/>
                <w:lang w:val="ro-MD"/>
              </w:rPr>
              <w:t xml:space="preserve"> stabilir</w:t>
            </w:r>
            <w:r>
              <w:rPr>
                <w:szCs w:val="28"/>
                <w:lang w:val="ro-MD"/>
              </w:rPr>
              <w:t>ii</w:t>
            </w:r>
            <w:r w:rsidRPr="009550E6">
              <w:rPr>
                <w:szCs w:val="28"/>
                <w:lang w:val="ro-MD"/>
              </w:rPr>
              <w:t xml:space="preserve"> </w:t>
            </w:r>
            <w:r>
              <w:rPr>
                <w:szCs w:val="28"/>
                <w:lang w:val="ro-MD"/>
              </w:rPr>
              <w:t xml:space="preserve">tarifelor pentru </w:t>
            </w:r>
            <w:r w:rsidRPr="00F643EB">
              <w:rPr>
                <w:szCs w:val="28"/>
                <w:lang w:val="ro-MD"/>
              </w:rPr>
              <w:t>serviciile de expertiză judiciară</w:t>
            </w:r>
            <w:r>
              <w:rPr>
                <w:szCs w:val="28"/>
                <w:lang w:val="ro-MD"/>
              </w:rPr>
              <w:t xml:space="preserve"> genetică, pentru a oferi posibilitatea ordonatorilor de a dispune expertiza genetică, iar </w:t>
            </w:r>
            <w:r w:rsidRPr="00F643EB">
              <w:rPr>
                <w:szCs w:val="28"/>
                <w:lang w:val="ro-MD"/>
              </w:rPr>
              <w:t>Centrul</w:t>
            </w:r>
            <w:r>
              <w:rPr>
                <w:szCs w:val="28"/>
                <w:lang w:val="ro-MD"/>
              </w:rPr>
              <w:t>ui</w:t>
            </w:r>
            <w:r w:rsidRPr="00F643EB">
              <w:rPr>
                <w:szCs w:val="28"/>
                <w:lang w:val="ro-MD"/>
              </w:rPr>
              <w:t xml:space="preserve"> </w:t>
            </w:r>
            <w:proofErr w:type="spellStart"/>
            <w:r w:rsidRPr="00F643EB">
              <w:rPr>
                <w:szCs w:val="28"/>
                <w:lang w:val="ro-MD"/>
              </w:rPr>
              <w:t>tehnico</w:t>
            </w:r>
            <w:proofErr w:type="spellEnd"/>
            <w:r w:rsidRPr="00F643EB">
              <w:rPr>
                <w:szCs w:val="28"/>
                <w:lang w:val="ro-MD"/>
              </w:rPr>
              <w:t xml:space="preserve">-criminalistic </w:t>
            </w:r>
            <w:r>
              <w:rPr>
                <w:szCs w:val="28"/>
                <w:lang w:val="ro-MD"/>
              </w:rPr>
              <w:t xml:space="preserve">și </w:t>
            </w:r>
            <w:r>
              <w:rPr>
                <w:szCs w:val="28"/>
                <w:lang w:val="ro-MD"/>
              </w:rPr>
              <w:lastRenderedPageBreak/>
              <w:t xml:space="preserve">expertize judiciare </w:t>
            </w:r>
            <w:r w:rsidRPr="00F643EB">
              <w:rPr>
                <w:szCs w:val="28"/>
                <w:lang w:val="ro-MD"/>
              </w:rPr>
              <w:t xml:space="preserve">din cadrul Inspectoratului General al Poliției </w:t>
            </w:r>
            <w:r>
              <w:rPr>
                <w:szCs w:val="28"/>
                <w:lang w:val="ro-MD"/>
              </w:rPr>
              <w:t>de a efectua acest gen de expertiză.</w:t>
            </w:r>
          </w:p>
          <w:p w14:paraId="738D4079" w14:textId="77777777" w:rsidR="00191F99" w:rsidRPr="00AB7692" w:rsidRDefault="00191F99" w:rsidP="00CB6B78">
            <w:pPr>
              <w:spacing w:line="276" w:lineRule="auto"/>
              <w:rPr>
                <w:sz w:val="8"/>
                <w:szCs w:val="8"/>
                <w:lang w:val="ro-MD"/>
              </w:rPr>
            </w:pPr>
          </w:p>
        </w:tc>
      </w:tr>
      <w:tr w:rsidR="00191F99" w:rsidRPr="00710FCB" w14:paraId="07DA3850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2295D0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o-MD"/>
              </w:rPr>
            </w:pPr>
            <w:r w:rsidRPr="00710FCB">
              <w:rPr>
                <w:b/>
                <w:lang w:val="ro-MD"/>
              </w:rPr>
              <w:lastRenderedPageBreak/>
              <w:t xml:space="preserve">5. Fundamentarea </w:t>
            </w:r>
            <w:proofErr w:type="spellStart"/>
            <w:r w:rsidRPr="00710FCB">
              <w:rPr>
                <w:b/>
                <w:lang w:val="ro-MD"/>
              </w:rPr>
              <w:t>economico</w:t>
            </w:r>
            <w:proofErr w:type="spellEnd"/>
            <w:r w:rsidRPr="00710FCB">
              <w:rPr>
                <w:b/>
                <w:lang w:val="ro-MD"/>
              </w:rPr>
              <w:t>-financiară</w:t>
            </w:r>
          </w:p>
        </w:tc>
      </w:tr>
      <w:tr w:rsidR="00191F99" w:rsidRPr="00E12627" w14:paraId="7A945412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F102E" w14:textId="77777777" w:rsidR="00191F99" w:rsidRPr="00637D03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iCs/>
                <w:szCs w:val="28"/>
                <w:lang w:val="ro-MD"/>
              </w:rPr>
            </w:pPr>
            <w:r w:rsidRPr="00637D03">
              <w:rPr>
                <w:iCs/>
                <w:szCs w:val="28"/>
                <w:lang w:val="ro-MD"/>
              </w:rPr>
              <w:t>Realizarea prevederilor prezentei hotărâri se va efectua din contul și în limitele</w:t>
            </w:r>
          </w:p>
          <w:p w14:paraId="2C0C9A9D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iCs/>
                <w:szCs w:val="28"/>
                <w:lang w:val="ro-MD"/>
              </w:rPr>
            </w:pPr>
            <w:r w:rsidRPr="00637D03">
              <w:rPr>
                <w:iCs/>
                <w:szCs w:val="28"/>
                <w:lang w:val="ro-MD"/>
              </w:rPr>
              <w:t>mijloacelor financiare aprobate anual în bugetul Ministerului Afacerilor Interne, precum</w:t>
            </w:r>
            <w:r>
              <w:rPr>
                <w:iCs/>
                <w:szCs w:val="28"/>
                <w:lang w:val="ro-MD"/>
              </w:rPr>
              <w:t xml:space="preserve"> </w:t>
            </w:r>
            <w:r w:rsidRPr="00637D03">
              <w:rPr>
                <w:iCs/>
                <w:szCs w:val="28"/>
                <w:lang w:val="ro-MD"/>
              </w:rPr>
              <w:t>și din alte surse prevăzute de legislație</w:t>
            </w:r>
          </w:p>
        </w:tc>
      </w:tr>
      <w:tr w:rsidR="00191F99" w:rsidRPr="00E12627" w14:paraId="2EFF9D27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6A2AFB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191F99" w:rsidRPr="00E12627" w14:paraId="735E6141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3C9CF7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 w:rsidRPr="00710FCB">
              <w:rPr>
                <w:szCs w:val="28"/>
                <w:lang w:val="ro-MD"/>
              </w:rPr>
              <w:t>Proiectul se încadrează în cadrul normativ existent, iar aprobarea acestuia nu va genera ca o consecință necesitatea amendării altor acte normative.</w:t>
            </w:r>
          </w:p>
        </w:tc>
      </w:tr>
      <w:tr w:rsidR="00191F99" w:rsidRPr="00E12627" w14:paraId="7492D154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C5FD4B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7. Avizarea și consultarea publică a proiectului</w:t>
            </w:r>
          </w:p>
        </w:tc>
      </w:tr>
      <w:tr w:rsidR="00191F99" w:rsidRPr="00E12627" w14:paraId="0541AD40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756E5D" w14:textId="77777777" w:rsidR="00191F99" w:rsidRPr="00FA2348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</w:rPr>
            </w:pPr>
            <w:proofErr w:type="spellStart"/>
            <w:r w:rsidRPr="00FA2348">
              <w:rPr>
                <w:szCs w:val="28"/>
                <w:lang w:val="en-US"/>
              </w:rPr>
              <w:t>În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vederea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respectării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prevederilor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Legii</w:t>
            </w:r>
            <w:proofErr w:type="spellEnd"/>
            <w:r w:rsidRPr="00FA2348">
              <w:rPr>
                <w:szCs w:val="28"/>
                <w:lang w:val="en-US"/>
              </w:rPr>
              <w:t xml:space="preserve"> nr. 100/2017 cu </w:t>
            </w:r>
            <w:proofErr w:type="spellStart"/>
            <w:r w:rsidRPr="00FA2348">
              <w:rPr>
                <w:szCs w:val="28"/>
                <w:lang w:val="en-US"/>
              </w:rPr>
              <w:t>privire</w:t>
            </w:r>
            <w:proofErr w:type="spellEnd"/>
            <w:r w:rsidRPr="00FA2348">
              <w:rPr>
                <w:szCs w:val="28"/>
                <w:lang w:val="en-US"/>
              </w:rPr>
              <w:t xml:space="preserve"> la </w:t>
            </w:r>
            <w:proofErr w:type="spellStart"/>
            <w:r w:rsidRPr="00FA2348">
              <w:rPr>
                <w:szCs w:val="28"/>
                <w:lang w:val="en-US"/>
              </w:rPr>
              <w:t>actele</w:t>
            </w:r>
            <w:proofErr w:type="spellEnd"/>
            <w:r w:rsidRPr="00FA2348">
              <w:rPr>
                <w:szCs w:val="28"/>
                <w:lang w:val="en-US"/>
              </w:rPr>
              <w:t xml:space="preserve"> normative </w:t>
            </w:r>
            <w:proofErr w:type="spellStart"/>
            <w:r w:rsidRPr="00FA2348">
              <w:rPr>
                <w:szCs w:val="28"/>
                <w:lang w:val="en-US"/>
              </w:rPr>
              <w:t>și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Legii</w:t>
            </w:r>
            <w:proofErr w:type="spellEnd"/>
            <w:r w:rsidRPr="00FA2348">
              <w:rPr>
                <w:szCs w:val="28"/>
                <w:lang w:val="en-US"/>
              </w:rPr>
              <w:t xml:space="preserve"> nr. 239/2008 </w:t>
            </w:r>
            <w:proofErr w:type="spellStart"/>
            <w:r w:rsidRPr="00FA2348">
              <w:rPr>
                <w:szCs w:val="28"/>
                <w:lang w:val="en-US"/>
              </w:rPr>
              <w:t>privind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transparența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în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procesul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decizional</w:t>
            </w:r>
            <w:proofErr w:type="spellEnd"/>
            <w:r w:rsidRPr="00FA2348">
              <w:rPr>
                <w:szCs w:val="28"/>
                <w:lang w:val="en-US"/>
              </w:rPr>
              <w:t xml:space="preserve">, </w:t>
            </w:r>
            <w:proofErr w:type="spellStart"/>
            <w:r w:rsidRPr="00FA2348">
              <w:rPr>
                <w:szCs w:val="28"/>
                <w:lang w:val="en-US"/>
              </w:rPr>
              <w:t>Ministerul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Afacerilor</w:t>
            </w:r>
            <w:proofErr w:type="spellEnd"/>
            <w:r w:rsidRPr="00FA2348">
              <w:rPr>
                <w:szCs w:val="28"/>
                <w:lang w:val="en-US"/>
              </w:rPr>
              <w:t xml:space="preserve"> Interne a </w:t>
            </w:r>
            <w:proofErr w:type="spellStart"/>
            <w:r w:rsidRPr="00FA2348">
              <w:rPr>
                <w:szCs w:val="28"/>
                <w:lang w:val="en-US"/>
              </w:rPr>
              <w:t>publicat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anunțul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privind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inițierea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elaborării</w:t>
            </w:r>
            <w:proofErr w:type="spellEnd"/>
            <w:r w:rsidRPr="00FA2348">
              <w:rPr>
                <w:szCs w:val="28"/>
                <w:lang w:val="en-US"/>
              </w:rPr>
              <w:t xml:space="preserve"> </w:t>
            </w:r>
            <w:proofErr w:type="spellStart"/>
            <w:r w:rsidRPr="00FA2348">
              <w:rPr>
                <w:szCs w:val="28"/>
                <w:lang w:val="en-US"/>
              </w:rPr>
              <w:t>proiectului</w:t>
            </w:r>
            <w:proofErr w:type="spellEnd"/>
            <w:r w:rsidRPr="00FA2348">
              <w:rPr>
                <w:szCs w:val="28"/>
                <w:lang w:val="en-US"/>
              </w:rPr>
              <w:t xml:space="preserve"> de </w:t>
            </w:r>
            <w:proofErr w:type="spellStart"/>
            <w:r w:rsidRPr="00FA2348">
              <w:rPr>
                <w:szCs w:val="28"/>
                <w:lang w:val="en-US"/>
              </w:rPr>
              <w:t>hotărâre</w:t>
            </w:r>
            <w:proofErr w:type="spellEnd"/>
            <w:r>
              <w:rPr>
                <w:lang w:val="en-US"/>
              </w:rPr>
              <w:t xml:space="preserve"> </w:t>
            </w:r>
            <w:r w:rsidRPr="00FA2348">
              <w:rPr>
                <w:szCs w:val="28"/>
                <w:lang w:val="en-US"/>
              </w:rPr>
              <w:t xml:space="preserve">pe </w:t>
            </w:r>
            <w:proofErr w:type="spellStart"/>
            <w:r w:rsidRPr="00FA2348">
              <w:rPr>
                <w:szCs w:val="28"/>
                <w:lang w:val="en-US"/>
              </w:rPr>
              <w:t>pagina</w:t>
            </w:r>
            <w:proofErr w:type="spellEnd"/>
            <w:r w:rsidRPr="00FA2348">
              <w:rPr>
                <w:szCs w:val="28"/>
                <w:lang w:val="en-US"/>
              </w:rPr>
              <w:t xml:space="preserve"> web: </w:t>
            </w:r>
            <w:hyperlink r:id="rId5" w:history="1">
              <w:r w:rsidRPr="001E4270">
                <w:rPr>
                  <w:rStyle w:val="Hyperlink"/>
                  <w:szCs w:val="28"/>
                  <w:lang w:val="en-US"/>
                </w:rPr>
                <w:t>www.particip.gov.md</w:t>
              </w:r>
            </w:hyperlink>
            <w:r>
              <w:rPr>
                <w:szCs w:val="28"/>
                <w:lang w:val="en-US"/>
              </w:rPr>
              <w:t xml:space="preserve"> </w:t>
            </w:r>
            <w:r w:rsidRPr="00FA2348">
              <w:rPr>
                <w:szCs w:val="28"/>
                <w:lang w:val="en-US"/>
              </w:rPr>
              <w:t xml:space="preserve"> </w:t>
            </w:r>
            <w:hyperlink r:id="rId6" w:history="1">
              <w:r w:rsidRPr="001E4270">
                <w:rPr>
                  <w:rStyle w:val="Hyperlink"/>
                  <w:szCs w:val="28"/>
                  <w:lang w:val="en-US"/>
                </w:rPr>
                <w:t>https://particip.gov.md/ro/document/stages/proiectul-de-hotarare-a-guvernului-pentru-modificarea-hotararii-guvernului-nr-1942017-pentru-aprobarea-tarifelor-la-serviciile-de-expertiza-judiciara-si-extrajudiciara/12591</w:t>
              </w:r>
            </w:hyperlink>
            <w:r>
              <w:rPr>
                <w:szCs w:val="28"/>
                <w:lang w:val="en-US"/>
              </w:rPr>
              <w:t xml:space="preserve"> </w:t>
            </w:r>
          </w:p>
          <w:p w14:paraId="1717C087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 w:rsidRPr="00710FCB">
              <w:rPr>
                <w:szCs w:val="28"/>
                <w:lang w:val="ro-MD"/>
              </w:rPr>
              <w:t xml:space="preserve">Pentru asigurarea transparenței în procesul decizional, proiectul urmează a fi plasat pentru consultări publice pe portalul </w:t>
            </w:r>
            <w:hyperlink r:id="rId7" w:history="1">
              <w:r w:rsidRPr="00710FCB">
                <w:rPr>
                  <w:rStyle w:val="Hyperlink"/>
                  <w:szCs w:val="28"/>
                  <w:lang w:val="ro-MD"/>
                </w:rPr>
                <w:t>www.particip.gov.md</w:t>
              </w:r>
            </w:hyperlink>
            <w:r w:rsidRPr="00710FCB">
              <w:rPr>
                <w:szCs w:val="28"/>
                <w:lang w:val="ro-MD"/>
              </w:rPr>
              <w:t xml:space="preserve"> și pe pagina web oficială  a Ministerului Afacerilor Interne </w:t>
            </w:r>
            <w:hyperlink r:id="rId8" w:history="1">
              <w:r w:rsidRPr="00710FCB">
                <w:rPr>
                  <w:rStyle w:val="Hyperlink"/>
                  <w:szCs w:val="28"/>
                  <w:lang w:val="ro-MD"/>
                </w:rPr>
                <w:t>www.mai.gov.md</w:t>
              </w:r>
            </w:hyperlink>
            <w:r w:rsidRPr="00710FCB">
              <w:rPr>
                <w:szCs w:val="28"/>
                <w:lang w:val="ro-MD"/>
              </w:rPr>
              <w:t>, la directoriul ,,Transparența”, secțiunea ,,Consultări publice”.</w:t>
            </w:r>
          </w:p>
        </w:tc>
      </w:tr>
      <w:tr w:rsidR="00191F99" w:rsidRPr="00710FCB" w14:paraId="6FCCBC28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A01830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8. Constatările expertizei anticorupție</w:t>
            </w:r>
          </w:p>
        </w:tc>
      </w:tr>
      <w:tr w:rsidR="00191F99" w:rsidRPr="00E12627" w14:paraId="729CFF14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5B38C1" w14:textId="77777777" w:rsidR="00191F99" w:rsidRPr="00FA2348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 w:rsidRPr="00710FCB">
              <w:rPr>
                <w:szCs w:val="28"/>
                <w:lang w:val="ro-MD"/>
              </w:rPr>
              <w:t>Se va completa după efectuarea expertizei anticorupție.</w:t>
            </w:r>
          </w:p>
        </w:tc>
      </w:tr>
      <w:tr w:rsidR="00191F99" w:rsidRPr="00710FCB" w14:paraId="7607CAA5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2A099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9. Constatările expertizei de compatibilitate</w:t>
            </w:r>
          </w:p>
        </w:tc>
      </w:tr>
      <w:tr w:rsidR="00191F99" w:rsidRPr="00E12627" w14:paraId="33D926CF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F61D92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lang w:val="ro-MD"/>
              </w:rPr>
            </w:pPr>
            <w:r w:rsidRPr="00710FCB">
              <w:rPr>
                <w:lang w:val="ro-MD"/>
              </w:rPr>
              <w:t>Proiectul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nu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necesită</w:t>
            </w:r>
            <w:r w:rsidRPr="00710FCB">
              <w:rPr>
                <w:spacing w:val="-7"/>
                <w:lang w:val="ro-MD"/>
              </w:rPr>
              <w:t xml:space="preserve"> </w:t>
            </w:r>
            <w:r w:rsidRPr="00710FCB">
              <w:rPr>
                <w:lang w:val="ro-MD"/>
              </w:rPr>
              <w:t>o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expertiză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de</w:t>
            </w:r>
            <w:r w:rsidRPr="00710FCB">
              <w:rPr>
                <w:spacing w:val="-4"/>
                <w:lang w:val="ro-MD"/>
              </w:rPr>
              <w:t xml:space="preserve"> </w:t>
            </w:r>
            <w:r w:rsidRPr="00710FCB">
              <w:rPr>
                <w:lang w:val="ro-MD"/>
              </w:rPr>
              <w:t>compatibilitate.</w:t>
            </w:r>
          </w:p>
        </w:tc>
      </w:tr>
      <w:tr w:rsidR="00191F99" w:rsidRPr="00710FCB" w14:paraId="59AE77F5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B29297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10. Constatările expertizei juridice</w:t>
            </w:r>
          </w:p>
        </w:tc>
      </w:tr>
      <w:tr w:rsidR="00191F99" w:rsidRPr="00E12627" w14:paraId="57DDD538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CC853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szCs w:val="28"/>
                <w:lang w:val="ro-MD"/>
              </w:rPr>
            </w:pPr>
            <w:r w:rsidRPr="00710FCB">
              <w:rPr>
                <w:szCs w:val="28"/>
                <w:lang w:val="ro-MD"/>
              </w:rPr>
              <w:t>Se va completa după efectuarea expertizei juridice.</w:t>
            </w:r>
          </w:p>
        </w:tc>
      </w:tr>
      <w:tr w:rsidR="00191F99" w:rsidRPr="00710FCB" w14:paraId="47A33D4A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49A09B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8"/>
                <w:lang w:val="ro-MD"/>
              </w:rPr>
            </w:pPr>
            <w:r w:rsidRPr="00710FCB">
              <w:rPr>
                <w:b/>
                <w:bCs/>
                <w:iCs/>
                <w:szCs w:val="28"/>
                <w:lang w:val="ro-MD"/>
              </w:rPr>
              <w:t>11. Constatările altor expertize</w:t>
            </w:r>
          </w:p>
        </w:tc>
      </w:tr>
      <w:tr w:rsidR="00191F99" w:rsidRPr="00E12627" w14:paraId="011192FA" w14:textId="77777777" w:rsidTr="00CB6B78">
        <w:trPr>
          <w:trHeight w:val="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7317C6" w14:textId="77777777" w:rsidR="00191F99" w:rsidRPr="00777500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lang w:val="ro-MD"/>
              </w:rPr>
            </w:pPr>
            <w:r w:rsidRPr="00710FCB">
              <w:rPr>
                <w:lang w:val="ro-MD"/>
              </w:rPr>
              <w:t>Proiectul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nu</w:t>
            </w:r>
            <w:r w:rsidRPr="00710FCB">
              <w:rPr>
                <w:spacing w:val="-2"/>
                <w:lang w:val="ro-MD"/>
              </w:rPr>
              <w:t xml:space="preserve"> </w:t>
            </w:r>
            <w:r w:rsidRPr="00710FCB">
              <w:rPr>
                <w:lang w:val="ro-MD"/>
              </w:rPr>
              <w:t>necesită</w:t>
            </w:r>
            <w:r w:rsidRPr="00710FCB">
              <w:rPr>
                <w:spacing w:val="-6"/>
                <w:lang w:val="ro-MD"/>
              </w:rPr>
              <w:t xml:space="preserve"> </w:t>
            </w:r>
            <w:r w:rsidRPr="00710FCB">
              <w:rPr>
                <w:lang w:val="ro-MD"/>
              </w:rPr>
              <w:t>efectuarea</w:t>
            </w:r>
            <w:r w:rsidRPr="00710FCB">
              <w:rPr>
                <w:spacing w:val="-4"/>
                <w:lang w:val="ro-MD"/>
              </w:rPr>
              <w:t xml:space="preserve"> </w:t>
            </w:r>
            <w:r w:rsidRPr="00710FCB">
              <w:rPr>
                <w:lang w:val="ro-MD"/>
              </w:rPr>
              <w:t>altor</w:t>
            </w:r>
            <w:r w:rsidRPr="00710FCB">
              <w:rPr>
                <w:spacing w:val="-3"/>
                <w:lang w:val="ro-MD"/>
              </w:rPr>
              <w:t xml:space="preserve"> </w:t>
            </w:r>
            <w:r w:rsidRPr="00710FCB">
              <w:rPr>
                <w:lang w:val="ro-MD"/>
              </w:rPr>
              <w:t>expertize.</w:t>
            </w:r>
          </w:p>
          <w:p w14:paraId="4663E33E" w14:textId="77777777" w:rsidR="00191F99" w:rsidRPr="00710FCB" w:rsidRDefault="00191F99" w:rsidP="00CB6B78">
            <w:pPr>
              <w:autoSpaceDE w:val="0"/>
              <w:autoSpaceDN w:val="0"/>
              <w:adjustRightInd w:val="0"/>
              <w:spacing w:line="276" w:lineRule="auto"/>
              <w:ind w:firstLine="604"/>
              <w:rPr>
                <w:b/>
                <w:bCs/>
                <w:iCs/>
                <w:sz w:val="4"/>
                <w:szCs w:val="4"/>
                <w:lang w:val="ro-MD"/>
              </w:rPr>
            </w:pPr>
          </w:p>
        </w:tc>
      </w:tr>
    </w:tbl>
    <w:p w14:paraId="1A401EF2" w14:textId="77777777" w:rsidR="00191F99" w:rsidRDefault="00191F99" w:rsidP="00191F99">
      <w:pPr>
        <w:rPr>
          <w:b/>
          <w:szCs w:val="28"/>
          <w:lang w:val="ro-MD"/>
        </w:rPr>
      </w:pPr>
    </w:p>
    <w:p w14:paraId="28EFDE24" w14:textId="77777777" w:rsidR="00191F99" w:rsidRPr="00710FCB" w:rsidRDefault="00191F99" w:rsidP="00191F99">
      <w:pPr>
        <w:rPr>
          <w:b/>
          <w:szCs w:val="28"/>
          <w:lang w:val="ro-MD"/>
        </w:rPr>
      </w:pPr>
    </w:p>
    <w:p w14:paraId="1529E136" w14:textId="77777777" w:rsidR="00191F99" w:rsidRPr="00710FCB" w:rsidRDefault="00191F99" w:rsidP="00191F99">
      <w:pPr>
        <w:ind w:firstLine="567"/>
        <w:rPr>
          <w:b/>
          <w:szCs w:val="28"/>
          <w:lang w:val="ro-MD"/>
        </w:rPr>
      </w:pPr>
      <w:r>
        <w:rPr>
          <w:b/>
          <w:szCs w:val="28"/>
          <w:lang w:val="ro-MD"/>
        </w:rPr>
        <w:t>Secretar de stat                                                               Andrei CECOLTAN</w:t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  <w:r w:rsidRPr="00710FCB">
        <w:rPr>
          <w:b/>
          <w:szCs w:val="28"/>
          <w:lang w:val="ro-MD"/>
        </w:rPr>
        <w:tab/>
      </w:r>
    </w:p>
    <w:sectPr w:rsidR="00191F99" w:rsidRPr="00710FCB">
      <w:pgSz w:w="11906" w:h="16838"/>
      <w:pgMar w:top="578" w:right="845" w:bottom="124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B2"/>
    <w:rsid w:val="00043987"/>
    <w:rsid w:val="00191F99"/>
    <w:rsid w:val="0031340E"/>
    <w:rsid w:val="003F282B"/>
    <w:rsid w:val="004318A7"/>
    <w:rsid w:val="005107AB"/>
    <w:rsid w:val="007E645E"/>
    <w:rsid w:val="00836FB2"/>
    <w:rsid w:val="00857F1E"/>
    <w:rsid w:val="00885FB8"/>
    <w:rsid w:val="00B32D8B"/>
    <w:rsid w:val="00B760A9"/>
    <w:rsid w:val="00C7010D"/>
    <w:rsid w:val="00D85E53"/>
    <w:rsid w:val="00DB7D92"/>
    <w:rsid w:val="00DF2E9C"/>
    <w:rsid w:val="00E13E0F"/>
    <w:rsid w:val="00E64C9A"/>
    <w:rsid w:val="00FC1B35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B8BF"/>
  <w15:docId w15:val="{897C777A-B61C-4184-8E0B-99C583F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7" w:right="16" w:firstLine="56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0" w:right="3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191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rticip.gov.md/ro/document/stages/proiectul-de-hotarare-a-guvernului-pentru-modificarea-hotararii-guvernului-nr-1942017-pentru-aprobarea-tarifelor-la-serviciile-de-expertiza-judiciara-si-extrajudiciara/12591" TargetMode="External"/><Relationship Id="rId5" Type="http://schemas.openxmlformats.org/officeDocument/2006/relationships/hyperlink" Target="http://www.particip.gov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9E6F-9283-4344-AC62-B18E6966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1680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Postica</dc:creator>
  <cp:keywords/>
  <cp:lastModifiedBy>Aurica Postica</cp:lastModifiedBy>
  <cp:revision>12</cp:revision>
  <dcterms:created xsi:type="dcterms:W3CDTF">2024-05-27T10:25:00Z</dcterms:created>
  <dcterms:modified xsi:type="dcterms:W3CDTF">2024-06-25T05:17:00Z</dcterms:modified>
</cp:coreProperties>
</file>