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both"/>
        <w:rPr>
          <w:rFonts w:ascii="Times New Roman" w:hAnsi="Times New Roman" w:cs="Times New Roman"/>
          <w:b/>
          <w:bCs/>
          <w:sz w:val="36"/>
          <w:szCs w:val="36"/>
          <w:lang w:val="zh-CN"/>
        </w:rPr>
      </w:pPr>
      <w:bookmarkStart w:id="111" w:name="_GoBack"/>
      <w:bookmarkEnd w:id="111"/>
      <w:r>
        <w:rPr>
          <w:rFonts w:ascii="Times New Roman" w:hAnsi="Times New Roman" w:cs="Times New Roman"/>
          <w:b/>
          <w:bCs/>
          <w:sz w:val="36"/>
          <w:szCs w:val="36"/>
          <w:lang w:val="zh-CN"/>
        </w:rPr>
        <w:t>PROIECT:</w:t>
      </w:r>
    </w:p>
    <w:p>
      <w:pPr>
        <w:spacing w:after="0"/>
        <w:ind w:left="720"/>
        <w:jc w:val="right"/>
        <w:rPr>
          <w:rFonts w:ascii="Times" w:hAnsi="Times" w:eastAsia="Calibri" w:cs="Times New Roman"/>
          <w:b/>
          <w:sz w:val="24"/>
          <w:szCs w:val="24"/>
          <w:lang w:val="zh-CN"/>
        </w:rPr>
      </w:pPr>
      <w:r>
        <w:rPr>
          <w:rFonts w:ascii="Times" w:hAnsi="Times" w:eastAsia="Calibri" w:cs="Times New Roman"/>
          <w:b/>
          <w:sz w:val="24"/>
          <w:szCs w:val="24"/>
          <w:lang w:val="zh-CN"/>
        </w:rPr>
        <w:t xml:space="preserve">Anexa nr. 1 la Decizia Consiliului </w:t>
      </w:r>
    </w:p>
    <w:p>
      <w:pPr>
        <w:spacing w:after="0"/>
        <w:ind w:left="720"/>
        <w:jc w:val="right"/>
        <w:rPr>
          <w:rFonts w:ascii="Times" w:hAnsi="Times" w:eastAsia="Calibri" w:cs="Times New Roman"/>
          <w:b/>
          <w:sz w:val="24"/>
          <w:szCs w:val="24"/>
          <w:lang w:val="zh-CN"/>
        </w:rPr>
      </w:pPr>
      <w:r>
        <w:rPr>
          <w:rFonts w:ascii="Times" w:hAnsi="Times" w:eastAsia="Calibri" w:cs="Times New Roman"/>
          <w:b/>
          <w:sz w:val="24"/>
          <w:szCs w:val="24"/>
          <w:lang w:val="zh-CN"/>
        </w:rPr>
        <w:t>municipal Chișinău nr._________</w:t>
      </w:r>
    </w:p>
    <w:p>
      <w:pPr>
        <w:spacing w:after="0"/>
        <w:ind w:left="720"/>
        <w:jc w:val="right"/>
        <w:rPr>
          <w:rFonts w:ascii="Times" w:hAnsi="Times" w:eastAsia="Calibri" w:cs="Times New Roman"/>
          <w:b/>
          <w:sz w:val="24"/>
          <w:szCs w:val="24"/>
          <w:lang w:val="zh-CN"/>
        </w:rPr>
      </w:pPr>
      <w:r>
        <w:rPr>
          <w:rFonts w:ascii="Times" w:hAnsi="Times" w:eastAsia="Calibri" w:cs="Times New Roman"/>
          <w:b/>
          <w:sz w:val="24"/>
          <w:szCs w:val="24"/>
          <w:lang w:val="zh-CN"/>
        </w:rPr>
        <w:t>din _____________________2024</w:t>
      </w:r>
    </w:p>
    <w:p>
      <w:pPr>
        <w:spacing w:after="0"/>
        <w:rPr>
          <w:rFonts w:ascii="Times" w:hAnsi="Times" w:eastAsia="Times New Roman" w:cs="Times New Roman"/>
          <w:b/>
          <w:bCs/>
          <w:sz w:val="24"/>
          <w:szCs w:val="24"/>
          <w:lang w:val="zh-CN" w:eastAsia="ru-RU"/>
        </w:rPr>
      </w:pPr>
      <w:bookmarkStart w:id="0" w:name="_Hlk162510974"/>
    </w:p>
    <w:p>
      <w:pPr>
        <w:spacing w:after="0"/>
        <w:jc w:val="center"/>
        <w:rPr>
          <w:rFonts w:ascii="Times" w:hAnsi="Times" w:eastAsia="Times New Roman" w:cs="Times New Roman"/>
          <w:b/>
          <w:bCs/>
          <w:sz w:val="24"/>
          <w:szCs w:val="24"/>
          <w:lang w:val="zh-CN" w:eastAsia="ru-RU"/>
        </w:rPr>
      </w:pPr>
      <w:r>
        <w:rPr>
          <w:rFonts w:ascii="Times" w:hAnsi="Times" w:eastAsia="Times New Roman" w:cs="Times New Roman"/>
          <w:b/>
          <w:bCs/>
          <w:sz w:val="24"/>
          <w:szCs w:val="24"/>
          <w:lang w:val="zh-CN" w:eastAsia="ru-RU"/>
        </w:rPr>
        <w:t>REGULAMENTUL</w:t>
      </w:r>
    </w:p>
    <w:p>
      <w:pPr>
        <w:spacing w:after="0"/>
        <w:jc w:val="center"/>
        <w:rPr>
          <w:rFonts w:ascii="Times" w:hAnsi="Times" w:eastAsia="Calibri" w:cs="Times New Roman"/>
          <w:sz w:val="24"/>
          <w:szCs w:val="24"/>
          <w:lang w:val="zh-CN"/>
        </w:rPr>
      </w:pPr>
      <w:r>
        <w:rPr>
          <w:rFonts w:ascii="Times" w:hAnsi="Times" w:eastAsia="Times New Roman" w:cs="Times New Roman"/>
          <w:b/>
          <w:bCs/>
          <w:sz w:val="24"/>
          <w:szCs w:val="24"/>
          <w:lang w:val="zh-CN" w:eastAsia="ru-RU"/>
        </w:rPr>
        <w:t>CU PRIVIRE LA ORGANIZAREA ȘI FUNCȚIONAREA PARCĂRILOR ȘI PARCAJELOR DIN MUNICIPIUL CHIȘINĂU</w:t>
      </w:r>
    </w:p>
    <w:p>
      <w:pPr>
        <w:spacing w:after="0" w:line="240" w:lineRule="auto"/>
        <w:jc w:val="center"/>
        <w:rPr>
          <w:rFonts w:ascii="Times New Roman" w:hAnsi="Times New Roman" w:eastAsia="Calibri" w:cs="Times New Roman"/>
          <w:b/>
          <w:sz w:val="24"/>
          <w:szCs w:val="24"/>
          <w:lang w:val="zh-CN"/>
        </w:rPr>
      </w:pPr>
    </w:p>
    <w:p>
      <w:pPr>
        <w:spacing w:after="0" w:line="240" w:lineRule="auto"/>
        <w:jc w:val="center"/>
        <w:rPr>
          <w:rFonts w:ascii="Times New Roman" w:hAnsi="Times New Roman" w:eastAsia="Calibri" w:cs="Times New Roman"/>
          <w:b/>
          <w:sz w:val="24"/>
          <w:szCs w:val="24"/>
          <w:lang w:val="zh-CN"/>
        </w:rPr>
      </w:pPr>
    </w:p>
    <w:bookmarkEnd w:id="0"/>
    <w:p>
      <w:pPr>
        <w:spacing w:after="0" w:line="240" w:lineRule="auto"/>
        <w:jc w:val="center"/>
        <w:rPr>
          <w:rFonts w:ascii="Times New Roman" w:hAnsi="Times New Roman" w:eastAsia="Calibri" w:cs="Times New Roman"/>
          <w:b/>
          <w:sz w:val="24"/>
          <w:szCs w:val="24"/>
          <w:lang w:val="zh-CN"/>
        </w:rPr>
      </w:pPr>
    </w:p>
    <w:sdt>
      <w:sdtPr>
        <w:rPr>
          <w:rFonts w:ascii="Times New Roman" w:hAnsi="Times New Roman" w:cs="Times New Roman" w:eastAsiaTheme="minorHAnsi"/>
          <w:color w:val="auto"/>
          <w:sz w:val="22"/>
          <w:szCs w:val="22"/>
          <w:lang w:val="zh-CN" w:eastAsia="en-US"/>
        </w:rPr>
        <w:id w:val="-1677184525"/>
        <w:docPartObj>
          <w:docPartGallery w:val="Table of Contents"/>
          <w:docPartUnique/>
        </w:docPartObj>
      </w:sdtPr>
      <w:sdtEndPr>
        <w:rPr>
          <w:rFonts w:asciiTheme="minorHAnsi" w:hAnsiTheme="minorHAnsi" w:eastAsiaTheme="minorHAnsi" w:cstheme="minorBidi"/>
          <w:b/>
          <w:bCs/>
          <w:color w:val="auto"/>
          <w:sz w:val="22"/>
          <w:szCs w:val="22"/>
          <w:lang w:val="zh-CN" w:eastAsia="en-US"/>
        </w:rPr>
      </w:sdtEndPr>
      <w:sdtContent>
        <w:p>
          <w:pPr>
            <w:pStyle w:val="32"/>
            <w:jc w:val="center"/>
            <w:rPr>
              <w:rFonts w:ascii="Times New Roman" w:hAnsi="Times New Roman" w:cs="Times New Roman"/>
              <w:color w:val="auto"/>
              <w:sz w:val="22"/>
              <w:szCs w:val="22"/>
              <w:lang w:val="zh-CN"/>
            </w:rPr>
          </w:pPr>
          <w:r>
            <w:rPr>
              <w:rFonts w:ascii="Times New Roman" w:hAnsi="Times New Roman" w:cs="Times New Roman"/>
              <w:b/>
              <w:bCs/>
              <w:color w:val="auto"/>
              <w:sz w:val="22"/>
              <w:szCs w:val="22"/>
              <w:lang w:val="zh-CN"/>
            </w:rPr>
            <w:t>CUPRINS:</w:t>
          </w:r>
        </w:p>
        <w:p>
          <w:pPr>
            <w:pStyle w:val="17"/>
            <w:rPr>
              <w:rFonts w:ascii="Times New Roman" w:hAnsi="Times New Roman"/>
              <w:b w:val="0"/>
              <w:bCs w:val="0"/>
              <w:lang w:val="zh-CN"/>
            </w:rPr>
          </w:pPr>
          <w:r>
            <w:rPr>
              <w:rFonts w:ascii="Times New Roman" w:hAnsi="Times New Roman"/>
              <w:b w:val="0"/>
              <w:bCs w:val="0"/>
              <w:lang w:val="zh-CN"/>
            </w:rPr>
            <w:fldChar w:fldCharType="begin"/>
          </w:r>
          <w:r>
            <w:rPr>
              <w:rFonts w:ascii="Times New Roman" w:hAnsi="Times New Roman"/>
              <w:b w:val="0"/>
              <w:bCs w:val="0"/>
              <w:lang w:val="zh-CN"/>
            </w:rPr>
            <w:instrText xml:space="preserve"> TOC \o "1-3" \h \z \u </w:instrText>
          </w:r>
          <w:r>
            <w:rPr>
              <w:rFonts w:ascii="Times New Roman" w:hAnsi="Times New Roman"/>
              <w:b w:val="0"/>
              <w:bCs w:val="0"/>
              <w:lang w:val="zh-CN"/>
            </w:rPr>
            <w:fldChar w:fldCharType="separate"/>
          </w:r>
          <w:r>
            <w:fldChar w:fldCharType="begin"/>
          </w:r>
          <w:r>
            <w:instrText xml:space="preserve"> HYPERLINK \l "_Toc164640861" </w:instrText>
          </w:r>
          <w:r>
            <w:fldChar w:fldCharType="separate"/>
          </w:r>
          <w:r>
            <w:rPr>
              <w:rStyle w:val="14"/>
              <w:rFonts w:ascii="Times New Roman" w:hAnsi="Times New Roman" w:eastAsia="Calibri"/>
              <w:color w:val="auto"/>
              <w:lang w:val="zh-CN"/>
            </w:rPr>
            <w:t>CAPITOLUL I. Dispoziții generale</w:t>
          </w:r>
          <w:r>
            <w:rPr>
              <w:rFonts w:ascii="Times New Roman" w:hAnsi="Times New Roman"/>
              <w:b w:val="0"/>
              <w:bCs w:val="0"/>
              <w:lang w:val="zh-CN"/>
            </w:rPr>
            <w:tab/>
          </w:r>
          <w:r>
            <w:rPr>
              <w:rFonts w:ascii="Times New Roman" w:hAnsi="Times New Roman"/>
              <w:b w:val="0"/>
              <w:bCs w:val="0"/>
              <w:lang w:val="zh-CN"/>
            </w:rPr>
            <w:fldChar w:fldCharType="begin"/>
          </w:r>
          <w:r>
            <w:rPr>
              <w:rFonts w:ascii="Times New Roman" w:hAnsi="Times New Roman"/>
              <w:b w:val="0"/>
              <w:bCs w:val="0"/>
              <w:lang w:val="zh-CN"/>
            </w:rPr>
            <w:instrText xml:space="preserve"> PAGEREF _Toc164640861 \h </w:instrText>
          </w:r>
          <w:r>
            <w:rPr>
              <w:rFonts w:ascii="Times New Roman" w:hAnsi="Times New Roman"/>
              <w:b w:val="0"/>
              <w:bCs w:val="0"/>
              <w:lang w:val="zh-CN"/>
            </w:rPr>
            <w:fldChar w:fldCharType="separate"/>
          </w:r>
          <w:r>
            <w:rPr>
              <w:rFonts w:ascii="Times New Roman" w:hAnsi="Times New Roman"/>
              <w:b w:val="0"/>
              <w:bCs w:val="0"/>
              <w:lang w:val="zh-CN"/>
            </w:rPr>
            <w:t>5</w:t>
          </w:r>
          <w:r>
            <w:rPr>
              <w:rFonts w:ascii="Times New Roman" w:hAnsi="Times New Roman"/>
              <w:b w:val="0"/>
              <w:bCs w:val="0"/>
              <w:lang w:val="zh-CN"/>
            </w:rPr>
            <w:fldChar w:fldCharType="end"/>
          </w:r>
          <w:r>
            <w:rPr>
              <w:rFonts w:ascii="Times New Roman" w:hAnsi="Times New Roman"/>
              <w:b w:val="0"/>
              <w:bCs w:val="0"/>
              <w:lang w:val="zh-CN"/>
            </w:rPr>
            <w:fldChar w:fldCharType="end"/>
          </w:r>
        </w:p>
        <w:p>
          <w:pPr>
            <w:pStyle w:val="18"/>
            <w:rPr>
              <w:rFonts w:eastAsiaTheme="minorEastAsia"/>
              <w:b w:val="0"/>
              <w:bCs w:val="0"/>
              <w:color w:val="auto"/>
              <w:lang w:val="zh-CN"/>
            </w:rPr>
          </w:pPr>
          <w:r>
            <w:fldChar w:fldCharType="begin"/>
          </w:r>
          <w:r>
            <w:instrText xml:space="preserve"> HYPERLINK \l "_Toc164640862" </w:instrText>
          </w:r>
          <w:r>
            <w:fldChar w:fldCharType="separate"/>
          </w:r>
          <w:r>
            <w:rPr>
              <w:rStyle w:val="14"/>
              <w:rFonts w:eastAsia="Calibri"/>
              <w:color w:val="auto"/>
              <w:lang w:val="zh-CN"/>
            </w:rPr>
            <w:t xml:space="preserve"> Secțuinea 1. Scopul, obiectivele și domeniul de aplicare</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_Toc164640862 \h </w:instrText>
          </w:r>
          <w:r>
            <w:rPr>
              <w:b w:val="0"/>
              <w:bCs w:val="0"/>
              <w:color w:val="auto"/>
              <w:lang w:val="zh-CN"/>
            </w:rPr>
            <w:fldChar w:fldCharType="separate"/>
          </w:r>
          <w:r>
            <w:rPr>
              <w:b w:val="0"/>
              <w:bCs w:val="0"/>
              <w:color w:val="auto"/>
              <w:lang w:val="zh-CN"/>
            </w:rPr>
            <w:t>5</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"_Toc164640863" </w:instrText>
          </w:r>
          <w:r>
            <w:fldChar w:fldCharType="separate"/>
          </w:r>
          <w:r>
            <w:rPr>
              <w:rStyle w:val="14"/>
              <w:rFonts w:eastAsia="Calibri"/>
              <w:color w:val="auto"/>
              <w:lang w:val="zh-CN"/>
            </w:rPr>
            <w:t xml:space="preserve"> Secțuinea 2. Noțiuni și termeni</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_Toc164640863 \h </w:instrText>
          </w:r>
          <w:r>
            <w:rPr>
              <w:b w:val="0"/>
              <w:bCs w:val="0"/>
              <w:color w:val="auto"/>
              <w:lang w:val="zh-CN"/>
            </w:rPr>
            <w:fldChar w:fldCharType="separate"/>
          </w:r>
          <w:r>
            <w:rPr>
              <w:b w:val="0"/>
              <w:bCs w:val="0"/>
              <w:color w:val="auto"/>
              <w:lang w:val="zh-CN"/>
            </w:rPr>
            <w:t>5</w:t>
          </w:r>
          <w:r>
            <w:rPr>
              <w:b w:val="0"/>
              <w:bCs w:val="0"/>
              <w:color w:val="auto"/>
              <w:lang w:val="zh-CN"/>
            </w:rPr>
            <w:fldChar w:fldCharType="end"/>
          </w:r>
          <w:r>
            <w:rPr>
              <w:b w:val="0"/>
              <w:bCs w:val="0"/>
              <w:color w:val="auto"/>
              <w:lang w:val="zh-CN"/>
            </w:rPr>
            <w:fldChar w:fldCharType="end"/>
          </w:r>
        </w:p>
        <w:p>
          <w:pPr>
            <w:pStyle w:val="17"/>
            <w:rPr>
              <w:rFonts w:ascii="Times New Roman" w:hAnsi="Times New Roman"/>
              <w:b w:val="0"/>
              <w:bCs w:val="0"/>
              <w:lang w:val="zh-CN"/>
            </w:rPr>
          </w:pPr>
          <w:r>
            <w:fldChar w:fldCharType="begin"/>
          </w:r>
          <w:r>
            <w:instrText xml:space="preserve"> HYPERLINK \l "_Toc164640864" </w:instrText>
          </w:r>
          <w:r>
            <w:fldChar w:fldCharType="separate"/>
          </w:r>
          <w:r>
            <w:rPr>
              <w:rStyle w:val="14"/>
              <w:rFonts w:ascii="Times New Roman" w:hAnsi="Times New Roman" w:eastAsia="Calibri"/>
              <w:color w:val="auto"/>
              <w:lang w:val="zh-CN"/>
            </w:rPr>
            <w:t>CAPITOLUL II. Clasificarea, Zonele de parcare, Registrul public al parcărilor și parcajelor și Sistemul electronic de management al parcărilor și parcajelor</w:t>
          </w:r>
          <w:r>
            <w:rPr>
              <w:rFonts w:ascii="Times New Roman" w:hAnsi="Times New Roman"/>
              <w:b w:val="0"/>
              <w:bCs w:val="0"/>
              <w:lang w:val="zh-CN"/>
            </w:rPr>
            <w:tab/>
          </w:r>
          <w:r>
            <w:rPr>
              <w:rFonts w:ascii="Times New Roman" w:hAnsi="Times New Roman"/>
              <w:b w:val="0"/>
              <w:bCs w:val="0"/>
              <w:lang w:val="zh-CN"/>
            </w:rPr>
            <w:fldChar w:fldCharType="begin"/>
          </w:r>
          <w:r>
            <w:rPr>
              <w:rFonts w:ascii="Times New Roman" w:hAnsi="Times New Roman"/>
              <w:b w:val="0"/>
              <w:bCs w:val="0"/>
              <w:lang w:val="zh-CN"/>
            </w:rPr>
            <w:instrText xml:space="preserve"> PAGEREF _Toc164640864 \h </w:instrText>
          </w:r>
          <w:r>
            <w:rPr>
              <w:rFonts w:ascii="Times New Roman" w:hAnsi="Times New Roman"/>
              <w:b w:val="0"/>
              <w:bCs w:val="0"/>
              <w:lang w:val="zh-CN"/>
            </w:rPr>
            <w:fldChar w:fldCharType="separate"/>
          </w:r>
          <w:r>
            <w:rPr>
              <w:rFonts w:ascii="Times New Roman" w:hAnsi="Times New Roman"/>
              <w:b w:val="0"/>
              <w:bCs w:val="0"/>
              <w:lang w:val="zh-CN"/>
            </w:rPr>
            <w:t>7</w:t>
          </w:r>
          <w:r>
            <w:rPr>
              <w:rFonts w:ascii="Times New Roman" w:hAnsi="Times New Roman"/>
              <w:b w:val="0"/>
              <w:bCs w:val="0"/>
              <w:lang w:val="zh-CN"/>
            </w:rPr>
            <w:fldChar w:fldCharType="end"/>
          </w:r>
          <w:r>
            <w:rPr>
              <w:rFonts w:ascii="Times New Roman" w:hAnsi="Times New Roman"/>
              <w:b w:val="0"/>
              <w:bCs w:val="0"/>
              <w:lang w:val="zh-CN"/>
            </w:rPr>
            <w:fldChar w:fldCharType="end"/>
          </w:r>
        </w:p>
        <w:p>
          <w:pPr>
            <w:pStyle w:val="18"/>
            <w:rPr>
              <w:rFonts w:eastAsiaTheme="minorEastAsia"/>
              <w:b w:val="0"/>
              <w:bCs w:val="0"/>
              <w:color w:val="auto"/>
              <w:lang w:val="zh-CN"/>
            </w:rPr>
          </w:pPr>
          <w:r>
            <w:fldChar w:fldCharType="begin"/>
          </w:r>
          <w:r>
            <w:instrText xml:space="preserve"> HYPERLINK \l "_Toc164640865" </w:instrText>
          </w:r>
          <w:r>
            <w:fldChar w:fldCharType="separate"/>
          </w:r>
          <w:r>
            <w:rPr>
              <w:rStyle w:val="14"/>
              <w:rFonts w:eastAsia="Calibri"/>
              <w:color w:val="auto"/>
              <w:lang w:val="zh-CN"/>
            </w:rPr>
            <w:t xml:space="preserve"> Secțuinea 3. Clasificarea parcărilor și parcajelor</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_Toc164640865 \h </w:instrText>
          </w:r>
          <w:r>
            <w:rPr>
              <w:b w:val="0"/>
              <w:bCs w:val="0"/>
              <w:color w:val="auto"/>
              <w:lang w:val="zh-CN"/>
            </w:rPr>
            <w:fldChar w:fldCharType="separate"/>
          </w:r>
          <w:r>
            <w:rPr>
              <w:b w:val="0"/>
              <w:bCs w:val="0"/>
              <w:color w:val="auto"/>
              <w:lang w:val="zh-CN"/>
            </w:rPr>
            <w:t>7</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"_Toc164640866" </w:instrText>
          </w:r>
          <w:r>
            <w:fldChar w:fldCharType="separate"/>
          </w:r>
          <w:r>
            <w:rPr>
              <w:rStyle w:val="14"/>
              <w:rFonts w:eastAsia="Calibri"/>
              <w:color w:val="auto"/>
              <w:lang w:val="zh-CN"/>
            </w:rPr>
            <w:t xml:space="preserve"> Secțuinea 4. Zonele de parcare</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_Toc164640866 \h </w:instrText>
          </w:r>
          <w:r>
            <w:rPr>
              <w:b w:val="0"/>
              <w:bCs w:val="0"/>
              <w:color w:val="auto"/>
              <w:lang w:val="zh-CN"/>
            </w:rPr>
            <w:fldChar w:fldCharType="separate"/>
          </w:r>
          <w:r>
            <w:rPr>
              <w:b w:val="0"/>
              <w:bCs w:val="0"/>
              <w:color w:val="auto"/>
              <w:lang w:val="zh-CN"/>
            </w:rPr>
            <w:t>7</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"_Toc164640867" </w:instrText>
          </w:r>
          <w:r>
            <w:fldChar w:fldCharType="separate"/>
          </w:r>
          <w:r>
            <w:rPr>
              <w:rStyle w:val="14"/>
              <w:rFonts w:eastAsia="Calibri"/>
              <w:color w:val="auto"/>
              <w:lang w:val="zh-CN"/>
            </w:rPr>
            <w:t xml:space="preserve"> Secțuinea 5. Registrul public al parcărilor și parcajelor din municipiul Chișinău</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_Toc164640867 \h </w:instrText>
          </w:r>
          <w:r>
            <w:rPr>
              <w:b w:val="0"/>
              <w:bCs w:val="0"/>
              <w:color w:val="auto"/>
              <w:lang w:val="zh-CN"/>
            </w:rPr>
            <w:fldChar w:fldCharType="separate"/>
          </w:r>
          <w:r>
            <w:rPr>
              <w:b w:val="0"/>
              <w:bCs w:val="0"/>
              <w:color w:val="auto"/>
              <w:lang w:val="zh-CN"/>
            </w:rPr>
            <w:t>8</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"_Toc164640868" </w:instrText>
          </w:r>
          <w:r>
            <w:fldChar w:fldCharType="separate"/>
          </w:r>
          <w:r>
            <w:rPr>
              <w:rStyle w:val="14"/>
              <w:rFonts w:eastAsia="Calibri"/>
              <w:color w:val="auto"/>
              <w:lang w:val="zh-CN"/>
            </w:rPr>
            <w:t xml:space="preserve"> Secțuinea 6. Sistemul electronic de management al parcărilor și parcajelor</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_Toc164640868 \h </w:instrText>
          </w:r>
          <w:r>
            <w:rPr>
              <w:b w:val="0"/>
              <w:bCs w:val="0"/>
              <w:color w:val="auto"/>
              <w:lang w:val="zh-CN"/>
            </w:rPr>
            <w:fldChar w:fldCharType="separate"/>
          </w:r>
          <w:r>
            <w:rPr>
              <w:b w:val="0"/>
              <w:bCs w:val="0"/>
              <w:color w:val="auto"/>
              <w:lang w:val="zh-CN"/>
            </w:rPr>
            <w:t>8</w:t>
          </w:r>
          <w:r>
            <w:rPr>
              <w:b w:val="0"/>
              <w:bCs w:val="0"/>
              <w:color w:val="auto"/>
              <w:lang w:val="zh-CN"/>
            </w:rPr>
            <w:fldChar w:fldCharType="end"/>
          </w:r>
          <w:r>
            <w:rPr>
              <w:b w:val="0"/>
              <w:bCs w:val="0"/>
              <w:color w:val="auto"/>
              <w:lang w:val="zh-CN"/>
            </w:rPr>
            <w:fldChar w:fldCharType="end"/>
          </w:r>
        </w:p>
        <w:p>
          <w:pPr>
            <w:pStyle w:val="17"/>
            <w:rPr>
              <w:rFonts w:ascii="Times New Roman" w:hAnsi="Times New Roman"/>
              <w:b w:val="0"/>
              <w:bCs w:val="0"/>
              <w:lang w:val="zh-CN"/>
            </w:rPr>
          </w:pPr>
          <w:r>
            <w:fldChar w:fldCharType="begin"/>
          </w:r>
          <w:r>
            <w:instrText xml:space="preserve"> HYPERLINK \l "_Toc164640869" </w:instrText>
          </w:r>
          <w:r>
            <w:fldChar w:fldCharType="separate"/>
          </w:r>
          <w:r>
            <w:rPr>
              <w:rStyle w:val="14"/>
              <w:rFonts w:ascii="Times New Roman" w:hAnsi="Times New Roman" w:eastAsia="Calibri"/>
              <w:color w:val="auto"/>
              <w:lang w:val="zh-CN"/>
            </w:rPr>
            <w:t>CAPITOLUL III. Condiții și reguli generale aplicabile parcărilor și parcajelor publice</w:t>
          </w:r>
          <w:r>
            <w:rPr>
              <w:rFonts w:ascii="Times New Roman" w:hAnsi="Times New Roman"/>
              <w:b w:val="0"/>
              <w:bCs w:val="0"/>
              <w:lang w:val="zh-CN"/>
            </w:rPr>
            <w:tab/>
          </w:r>
          <w:r>
            <w:rPr>
              <w:rFonts w:ascii="Times New Roman" w:hAnsi="Times New Roman"/>
              <w:b w:val="0"/>
              <w:bCs w:val="0"/>
              <w:lang w:val="zh-CN"/>
            </w:rPr>
            <w:fldChar w:fldCharType="begin"/>
          </w:r>
          <w:r>
            <w:rPr>
              <w:rFonts w:ascii="Times New Roman" w:hAnsi="Times New Roman"/>
              <w:b w:val="0"/>
              <w:bCs w:val="0"/>
              <w:lang w:val="zh-CN"/>
            </w:rPr>
            <w:instrText xml:space="preserve"> PAGEREF _Toc164640869 \h </w:instrText>
          </w:r>
          <w:r>
            <w:rPr>
              <w:rFonts w:ascii="Times New Roman" w:hAnsi="Times New Roman"/>
              <w:b w:val="0"/>
              <w:bCs w:val="0"/>
              <w:lang w:val="zh-CN"/>
            </w:rPr>
            <w:fldChar w:fldCharType="separate"/>
          </w:r>
          <w:r>
            <w:rPr>
              <w:rFonts w:ascii="Times New Roman" w:hAnsi="Times New Roman"/>
              <w:b w:val="0"/>
              <w:bCs w:val="0"/>
              <w:lang w:val="zh-CN"/>
            </w:rPr>
            <w:t>9</w:t>
          </w:r>
          <w:r>
            <w:rPr>
              <w:rFonts w:ascii="Times New Roman" w:hAnsi="Times New Roman"/>
              <w:b w:val="0"/>
              <w:bCs w:val="0"/>
              <w:lang w:val="zh-CN"/>
            </w:rPr>
            <w:fldChar w:fldCharType="end"/>
          </w:r>
          <w:r>
            <w:rPr>
              <w:rFonts w:ascii="Times New Roman" w:hAnsi="Times New Roman"/>
              <w:b w:val="0"/>
              <w:bCs w:val="0"/>
              <w:lang w:val="zh-CN"/>
            </w:rPr>
            <w:fldChar w:fldCharType="end"/>
          </w:r>
        </w:p>
        <w:p>
          <w:pPr>
            <w:pStyle w:val="18"/>
            <w:rPr>
              <w:rFonts w:eastAsiaTheme="minorEastAsia"/>
              <w:b w:val="0"/>
              <w:bCs w:val="0"/>
              <w:color w:val="auto"/>
              <w:lang w:val="zh-CN"/>
            </w:rPr>
          </w:pPr>
          <w:r>
            <w:fldChar w:fldCharType="begin"/>
          </w:r>
          <w:r>
            <w:instrText xml:space="preserve"> HYPERLINK \l "_Toc164640870" </w:instrText>
          </w:r>
          <w:r>
            <w:fldChar w:fldCharType="separate"/>
          </w:r>
          <w:r>
            <w:rPr>
              <w:rStyle w:val="14"/>
              <w:rFonts w:eastAsia="Calibri"/>
              <w:color w:val="auto"/>
              <w:lang w:val="zh-CN"/>
            </w:rPr>
            <w:t xml:space="preserve"> Secțuinea 7. Locațiile posibile de amenajare a parcărilor și parcajelor publice</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_Toc164640870 \h </w:instrText>
          </w:r>
          <w:r>
            <w:rPr>
              <w:b w:val="0"/>
              <w:bCs w:val="0"/>
              <w:color w:val="auto"/>
              <w:lang w:val="zh-CN"/>
            </w:rPr>
            <w:fldChar w:fldCharType="separate"/>
          </w:r>
          <w:r>
            <w:rPr>
              <w:b w:val="0"/>
              <w:bCs w:val="0"/>
              <w:color w:val="auto"/>
              <w:lang w:val="zh-CN"/>
            </w:rPr>
            <w:t>9</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"_Toc164640871" </w:instrText>
          </w:r>
          <w:r>
            <w:fldChar w:fldCharType="separate"/>
          </w:r>
          <w:r>
            <w:rPr>
              <w:rStyle w:val="14"/>
              <w:rFonts w:eastAsia="Calibri"/>
              <w:color w:val="auto"/>
              <w:lang w:val="zh-CN"/>
            </w:rPr>
            <w:t xml:space="preserve"> Secțuinea 8. Indicatoare și marcaje rutiere</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_Toc164640871 \h </w:instrText>
          </w:r>
          <w:r>
            <w:rPr>
              <w:b w:val="0"/>
              <w:bCs w:val="0"/>
              <w:color w:val="auto"/>
              <w:lang w:val="zh-CN"/>
            </w:rPr>
            <w:fldChar w:fldCharType="separate"/>
          </w:r>
          <w:r>
            <w:rPr>
              <w:b w:val="0"/>
              <w:bCs w:val="0"/>
              <w:color w:val="auto"/>
              <w:lang w:val="zh-CN"/>
            </w:rPr>
            <w:t>9</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"_Toc164640872" </w:instrText>
          </w:r>
          <w:r>
            <w:fldChar w:fldCharType="separate"/>
          </w:r>
          <w:r>
            <w:rPr>
              <w:rStyle w:val="14"/>
              <w:rFonts w:eastAsia="Calibri"/>
              <w:color w:val="auto"/>
              <w:lang w:val="zh-CN"/>
            </w:rPr>
            <w:t xml:space="preserve"> Secțuinea 9. Acces și restricții</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_Toc164640872 \h </w:instrText>
          </w:r>
          <w:r>
            <w:rPr>
              <w:b w:val="0"/>
              <w:bCs w:val="0"/>
              <w:color w:val="auto"/>
              <w:lang w:val="zh-CN"/>
            </w:rPr>
            <w:fldChar w:fldCharType="separate"/>
          </w:r>
          <w:r>
            <w:rPr>
              <w:b w:val="0"/>
              <w:bCs w:val="0"/>
              <w:color w:val="auto"/>
              <w:lang w:val="zh-CN"/>
            </w:rPr>
            <w:t>9</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"_Toc164640873" </w:instrText>
          </w:r>
          <w:r>
            <w:fldChar w:fldCharType="separate"/>
          </w:r>
          <w:r>
            <w:rPr>
              <w:rStyle w:val="14"/>
              <w:rFonts w:eastAsia="Calibri"/>
              <w:color w:val="auto"/>
              <w:lang w:val="zh-CN"/>
            </w:rPr>
            <w:t xml:space="preserve"> Secțuinea 10. Atribuțiile, drepturile, obligațiile și responsabilitățile administratorului în procesul de administrare, exploatare a parcărilor și parcajelor publice</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_Toc164640873 \h </w:instrText>
          </w:r>
          <w:r>
            <w:rPr>
              <w:b w:val="0"/>
              <w:bCs w:val="0"/>
              <w:color w:val="auto"/>
              <w:lang w:val="zh-CN"/>
            </w:rPr>
            <w:fldChar w:fldCharType="separate"/>
          </w:r>
          <w:r>
            <w:rPr>
              <w:b w:val="0"/>
              <w:bCs w:val="0"/>
              <w:color w:val="auto"/>
              <w:lang w:val="zh-CN"/>
            </w:rPr>
            <w:t>10</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"_Toc164640874" </w:instrText>
          </w:r>
          <w:r>
            <w:fldChar w:fldCharType="separate"/>
          </w:r>
          <w:r>
            <w:rPr>
              <w:rStyle w:val="14"/>
              <w:color w:val="auto"/>
              <w:lang w:val="zh-CN"/>
            </w:rPr>
            <w:t xml:space="preserve"> Secțuinea 11.</w:t>
          </w:r>
          <w:r>
            <w:rPr>
              <w:rStyle w:val="14"/>
              <w:rFonts w:eastAsia="Calibri"/>
              <w:color w:val="auto"/>
              <w:lang w:val="zh-CN"/>
            </w:rPr>
            <w:t xml:space="preserve"> Drepturile</w:t>
          </w:r>
          <w:r>
            <w:rPr>
              <w:rStyle w:val="14"/>
              <w:color w:val="auto"/>
              <w:lang w:val="zh-CN"/>
            </w:rPr>
            <w:t xml:space="preserve">, obligațiile și responsabilitățile utilizatorilor parcărilor și </w:t>
          </w:r>
          <w:r>
            <w:rPr>
              <w:rStyle w:val="14"/>
              <w:rFonts w:eastAsia="Calibri"/>
              <w:color w:val="auto"/>
              <w:lang w:val="zh-CN"/>
            </w:rPr>
            <w:t>parcajelor</w:t>
          </w:r>
          <w:r>
            <w:rPr>
              <w:rStyle w:val="14"/>
              <w:color w:val="auto"/>
              <w:lang w:val="zh-CN"/>
            </w:rPr>
            <w:t xml:space="preserve"> publice</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_Toc164640874 \h </w:instrText>
          </w:r>
          <w:r>
            <w:rPr>
              <w:b w:val="0"/>
              <w:bCs w:val="0"/>
              <w:color w:val="auto"/>
              <w:lang w:val="zh-CN"/>
            </w:rPr>
            <w:fldChar w:fldCharType="separate"/>
          </w:r>
          <w:r>
            <w:rPr>
              <w:b w:val="0"/>
              <w:bCs w:val="0"/>
              <w:color w:val="auto"/>
              <w:lang w:val="zh-CN"/>
            </w:rPr>
            <w:t>11</w:t>
          </w:r>
          <w:r>
            <w:rPr>
              <w:b w:val="0"/>
              <w:bCs w:val="0"/>
              <w:color w:val="auto"/>
              <w:lang w:val="zh-CN"/>
            </w:rPr>
            <w:fldChar w:fldCharType="end"/>
          </w:r>
          <w:r>
            <w:rPr>
              <w:b w:val="0"/>
              <w:bCs w:val="0"/>
              <w:color w:val="auto"/>
              <w:lang w:val="zh-CN"/>
            </w:rPr>
            <w:fldChar w:fldCharType="end"/>
          </w:r>
        </w:p>
        <w:p>
          <w:pPr>
            <w:pStyle w:val="17"/>
            <w:rPr>
              <w:rFonts w:ascii="Times New Roman" w:hAnsi="Times New Roman"/>
              <w:b w:val="0"/>
              <w:bCs w:val="0"/>
              <w:lang w:val="zh-CN"/>
            </w:rPr>
          </w:pPr>
          <w:r>
            <w:fldChar w:fldCharType="begin"/>
          </w:r>
          <w:r>
            <w:instrText xml:space="preserve"> HYPERLINK \l "_Toc164640875" </w:instrText>
          </w:r>
          <w:r>
            <w:fldChar w:fldCharType="separate"/>
          </w:r>
          <w:r>
            <w:rPr>
              <w:rStyle w:val="14"/>
              <w:rFonts w:ascii="Times New Roman" w:hAnsi="Times New Roman" w:eastAsia="Calibri"/>
              <w:color w:val="auto"/>
              <w:lang w:val="zh-CN"/>
            </w:rPr>
            <w:t>CAPITOLUL IV. Dispoziții speciale privind organizarea, amenajarea, exploatarea și funcționarea parcărilor și parcajelor</w:t>
          </w:r>
          <w:r>
            <w:rPr>
              <w:rFonts w:ascii="Times New Roman" w:hAnsi="Times New Roman"/>
              <w:b w:val="0"/>
              <w:bCs w:val="0"/>
              <w:lang w:val="zh-CN"/>
            </w:rPr>
            <w:tab/>
          </w:r>
          <w:r>
            <w:rPr>
              <w:rFonts w:ascii="Times New Roman" w:hAnsi="Times New Roman"/>
              <w:b w:val="0"/>
              <w:bCs w:val="0"/>
              <w:lang w:val="zh-CN"/>
            </w:rPr>
            <w:fldChar w:fldCharType="begin"/>
          </w:r>
          <w:r>
            <w:rPr>
              <w:rFonts w:ascii="Times New Roman" w:hAnsi="Times New Roman"/>
              <w:b w:val="0"/>
              <w:bCs w:val="0"/>
              <w:lang w:val="zh-CN"/>
            </w:rPr>
            <w:instrText xml:space="preserve"> PAGEREF _Toc164640875 \h </w:instrText>
          </w:r>
          <w:r>
            <w:rPr>
              <w:rFonts w:ascii="Times New Roman" w:hAnsi="Times New Roman"/>
              <w:b w:val="0"/>
              <w:bCs w:val="0"/>
              <w:lang w:val="zh-CN"/>
            </w:rPr>
            <w:fldChar w:fldCharType="separate"/>
          </w:r>
          <w:r>
            <w:rPr>
              <w:rFonts w:ascii="Times New Roman" w:hAnsi="Times New Roman"/>
              <w:b w:val="0"/>
              <w:bCs w:val="0"/>
              <w:lang w:val="zh-CN"/>
            </w:rPr>
            <w:t>13</w:t>
          </w:r>
          <w:r>
            <w:rPr>
              <w:rFonts w:ascii="Times New Roman" w:hAnsi="Times New Roman"/>
              <w:b w:val="0"/>
              <w:bCs w:val="0"/>
              <w:lang w:val="zh-CN"/>
            </w:rPr>
            <w:fldChar w:fldCharType="end"/>
          </w:r>
          <w:r>
            <w:rPr>
              <w:rFonts w:ascii="Times New Roman" w:hAnsi="Times New Roman"/>
              <w:b w:val="0"/>
              <w:bCs w:val="0"/>
              <w:lang w:val="zh-CN"/>
            </w:rPr>
            <w:fldChar w:fldCharType="end"/>
          </w:r>
        </w:p>
        <w:p>
          <w:pPr>
            <w:pStyle w:val="18"/>
            <w:rPr>
              <w:rFonts w:eastAsiaTheme="minorEastAsia"/>
              <w:b w:val="0"/>
              <w:bCs w:val="0"/>
              <w:color w:val="auto"/>
              <w:lang w:val="zh-CN"/>
            </w:rPr>
          </w:pPr>
          <w:r>
            <w:fldChar w:fldCharType="begin"/>
          </w:r>
          <w:r>
            <w:instrText xml:space="preserve"> HYPERLINK \l "_Toc164640876" </w:instrText>
          </w:r>
          <w:r>
            <w:fldChar w:fldCharType="separate"/>
          </w:r>
          <w:r>
            <w:rPr>
              <w:rStyle w:val="14"/>
              <w:rFonts w:eastAsiaTheme="minorHAnsi"/>
              <w:color w:val="auto"/>
              <w:lang w:val="zh-CN"/>
            </w:rPr>
            <w:t xml:space="preserve"> Secțuinea 12.</w:t>
          </w:r>
          <w:r>
            <w:rPr>
              <w:rStyle w:val="14"/>
              <w:rFonts w:eastAsia="Calibri"/>
              <w:color w:val="auto"/>
              <w:lang w:val="zh-CN"/>
            </w:rPr>
            <w:t xml:space="preserve"> Parcările publice cu plată</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_Toc164640876 \h </w:instrText>
          </w:r>
          <w:r>
            <w:rPr>
              <w:b w:val="0"/>
              <w:bCs w:val="0"/>
              <w:color w:val="auto"/>
              <w:lang w:val="zh-CN"/>
            </w:rPr>
            <w:fldChar w:fldCharType="separate"/>
          </w:r>
          <w:r>
            <w:rPr>
              <w:b w:val="0"/>
              <w:bCs w:val="0"/>
              <w:color w:val="auto"/>
              <w:lang w:val="zh-CN"/>
            </w:rPr>
            <w:t>13</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"_Toc164640877" </w:instrText>
          </w:r>
          <w:r>
            <w:fldChar w:fldCharType="separate"/>
          </w:r>
          <w:r>
            <w:rPr>
              <w:rStyle w:val="14"/>
              <w:rFonts w:eastAsia="Calibri"/>
              <w:color w:val="auto"/>
              <w:lang w:val="zh-CN"/>
            </w:rPr>
            <w:t xml:space="preserve"> Secțuinea 13. Parcările publice fără plată</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_Toc164640877 \h </w:instrText>
          </w:r>
          <w:r>
            <w:rPr>
              <w:b w:val="0"/>
              <w:bCs w:val="0"/>
              <w:color w:val="auto"/>
              <w:lang w:val="zh-CN"/>
            </w:rPr>
            <w:fldChar w:fldCharType="separate"/>
          </w:r>
          <w:r>
            <w:rPr>
              <w:color w:val="auto"/>
              <w:lang w:val="zh-CN"/>
            </w:rPr>
            <w:t>Ошибка! Закладка не определена.</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"_Toc164640878" </w:instrText>
          </w:r>
          <w:r>
            <w:fldChar w:fldCharType="separate"/>
          </w:r>
          <w:r>
            <w:rPr>
              <w:rStyle w:val="14"/>
              <w:rFonts w:eastAsiaTheme="minorHAnsi"/>
              <w:color w:val="auto"/>
              <w:lang w:val="zh-CN"/>
            </w:rPr>
            <w:t xml:space="preserve"> Secțuinea 14.</w:t>
          </w:r>
          <w:r>
            <w:rPr>
              <w:rStyle w:val="14"/>
              <w:rFonts w:eastAsia="Calibri"/>
              <w:color w:val="auto"/>
              <w:lang w:val="zh-CN"/>
            </w:rPr>
            <w:t xml:space="preserve"> Parcările de tip </w:t>
          </w:r>
          <w:r>
            <w:rPr>
              <w:rStyle w:val="14"/>
              <w:rFonts w:eastAsia="Calibri"/>
              <w:iCs/>
              <w:color w:val="auto"/>
              <w:lang w:val="zh-CN"/>
            </w:rPr>
            <w:t>PARK&amp;RIDE</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_Toc164640878 \h </w:instrText>
          </w:r>
          <w:r>
            <w:rPr>
              <w:b w:val="0"/>
              <w:bCs w:val="0"/>
              <w:color w:val="auto"/>
              <w:lang w:val="zh-CN"/>
            </w:rPr>
            <w:fldChar w:fldCharType="separate"/>
          </w:r>
          <w:r>
            <w:rPr>
              <w:b w:val="0"/>
              <w:bCs w:val="0"/>
              <w:color w:val="auto"/>
              <w:lang w:val="zh-CN"/>
            </w:rPr>
            <w:t>14</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"_Toc164640879" </w:instrText>
          </w:r>
          <w:r>
            <w:fldChar w:fldCharType="separate"/>
          </w:r>
          <w:r>
            <w:rPr>
              <w:rStyle w:val="14"/>
              <w:rFonts w:eastAsiaTheme="minorHAnsi"/>
              <w:color w:val="auto"/>
              <w:lang w:val="zh-CN"/>
            </w:rPr>
            <w:t xml:space="preserve"> Secțuinea 15.</w:t>
          </w:r>
          <w:r>
            <w:rPr>
              <w:rStyle w:val="14"/>
              <w:rFonts w:eastAsia="Calibri"/>
              <w:color w:val="auto"/>
              <w:lang w:val="zh-CN"/>
            </w:rPr>
            <w:t xml:space="preserve"> Parcajele publice cu plată</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_Toc164640879 \h </w:instrText>
          </w:r>
          <w:r>
            <w:rPr>
              <w:b w:val="0"/>
              <w:bCs w:val="0"/>
              <w:color w:val="auto"/>
              <w:lang w:val="zh-CN"/>
            </w:rPr>
            <w:fldChar w:fldCharType="separate"/>
          </w:r>
          <w:r>
            <w:rPr>
              <w:b w:val="0"/>
              <w:bCs w:val="0"/>
              <w:color w:val="auto"/>
              <w:lang w:val="zh-CN"/>
            </w:rPr>
            <w:t>15</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"_Toc164640880" </w:instrText>
          </w:r>
          <w:r>
            <w:fldChar w:fldCharType="separate"/>
          </w:r>
          <w:r>
            <w:rPr>
              <w:rStyle w:val="14"/>
              <w:rFonts w:eastAsia="Calibri"/>
              <w:color w:val="auto"/>
              <w:lang w:val="zh-CN"/>
            </w:rPr>
            <w:t xml:space="preserve"> Secțuinea 16. Parcajele rezervate</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_Toc164640880 \h </w:instrText>
          </w:r>
          <w:r>
            <w:rPr>
              <w:b w:val="0"/>
              <w:bCs w:val="0"/>
              <w:color w:val="auto"/>
              <w:lang w:val="zh-CN"/>
            </w:rPr>
            <w:fldChar w:fldCharType="separate"/>
          </w:r>
          <w:r>
            <w:rPr>
              <w:b w:val="0"/>
              <w:bCs w:val="0"/>
              <w:color w:val="auto"/>
              <w:lang w:val="zh-CN"/>
            </w:rPr>
            <w:t>16</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"_Toc164640881" </w:instrText>
          </w:r>
          <w:r>
            <w:fldChar w:fldCharType="separate"/>
          </w:r>
          <w:r>
            <w:rPr>
              <w:rStyle w:val="14"/>
              <w:color w:val="auto"/>
              <w:lang w:val="zh-CN"/>
            </w:rPr>
            <w:t xml:space="preserve"> Secțuinea 17.</w:t>
          </w:r>
          <w:r>
            <w:rPr>
              <w:rStyle w:val="14"/>
              <w:rFonts w:eastAsia="Calibri"/>
              <w:color w:val="auto"/>
              <w:lang w:val="zh-CN"/>
            </w:rPr>
            <w:t xml:space="preserve"> Parcările și parcajele private cu plată.</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_Toc164640881 \h </w:instrText>
          </w:r>
          <w:r>
            <w:rPr>
              <w:b w:val="0"/>
              <w:bCs w:val="0"/>
              <w:color w:val="auto"/>
              <w:lang w:val="zh-CN"/>
            </w:rPr>
            <w:fldChar w:fldCharType="separate"/>
          </w:r>
          <w:r>
            <w:rPr>
              <w:b w:val="0"/>
              <w:bCs w:val="0"/>
              <w:color w:val="auto"/>
              <w:lang w:val="zh-CN"/>
            </w:rPr>
            <w:t>18</w:t>
          </w:r>
          <w:r>
            <w:rPr>
              <w:b w:val="0"/>
              <w:bCs w:val="0"/>
              <w:color w:val="auto"/>
              <w:lang w:val="zh-CN"/>
            </w:rPr>
            <w:fldChar w:fldCharType="end"/>
          </w:r>
          <w:r>
            <w:rPr>
              <w:b w:val="0"/>
              <w:bCs w:val="0"/>
              <w:color w:val="auto"/>
              <w:lang w:val="zh-CN"/>
            </w:rPr>
            <w:fldChar w:fldCharType="end"/>
          </w:r>
        </w:p>
        <w:p>
          <w:pPr>
            <w:pStyle w:val="17"/>
            <w:rPr>
              <w:rFonts w:ascii="Times New Roman" w:hAnsi="Times New Roman"/>
              <w:b w:val="0"/>
              <w:bCs w:val="0"/>
              <w:lang w:val="zh-CN"/>
            </w:rPr>
          </w:pPr>
          <w:r>
            <w:fldChar w:fldCharType="begin"/>
          </w:r>
          <w:r>
            <w:instrText xml:space="preserve"> HYPERLINK \l "_Toc164640887" </w:instrText>
          </w:r>
          <w:r>
            <w:fldChar w:fldCharType="separate"/>
          </w:r>
          <w:r>
            <w:rPr>
              <w:rStyle w:val="14"/>
              <w:rFonts w:ascii="Times New Roman" w:hAnsi="Times New Roman" w:eastAsia="Calibri"/>
              <w:color w:val="auto"/>
              <w:lang w:val="zh-CN"/>
            </w:rPr>
            <w:t>CAPITOLUL V. Taxe, tarife și modalitățile de plată, abonamente și fonduri</w:t>
          </w:r>
          <w:r>
            <w:rPr>
              <w:rFonts w:ascii="Times New Roman" w:hAnsi="Times New Roman"/>
              <w:b w:val="0"/>
              <w:bCs w:val="0"/>
              <w:lang w:val="zh-CN"/>
            </w:rPr>
            <w:tab/>
          </w:r>
          <w:r>
            <w:rPr>
              <w:rFonts w:ascii="Times New Roman" w:hAnsi="Times New Roman"/>
              <w:b w:val="0"/>
              <w:bCs w:val="0"/>
              <w:lang w:val="zh-CN"/>
            </w:rPr>
            <w:fldChar w:fldCharType="begin"/>
          </w:r>
          <w:r>
            <w:rPr>
              <w:rFonts w:ascii="Times New Roman" w:hAnsi="Times New Roman"/>
              <w:b w:val="0"/>
              <w:bCs w:val="0"/>
              <w:lang w:val="zh-CN"/>
            </w:rPr>
            <w:instrText xml:space="preserve"> PAGEREF _Toc164640887 \h </w:instrText>
          </w:r>
          <w:r>
            <w:rPr>
              <w:rFonts w:ascii="Times New Roman" w:hAnsi="Times New Roman"/>
              <w:b w:val="0"/>
              <w:bCs w:val="0"/>
              <w:lang w:val="zh-CN"/>
            </w:rPr>
            <w:fldChar w:fldCharType="separate"/>
          </w:r>
          <w:r>
            <w:rPr>
              <w:rFonts w:ascii="Times New Roman" w:hAnsi="Times New Roman"/>
              <w:b w:val="0"/>
              <w:bCs w:val="0"/>
              <w:lang w:val="zh-CN"/>
            </w:rPr>
            <w:t>20</w:t>
          </w:r>
          <w:r>
            <w:rPr>
              <w:rFonts w:ascii="Times New Roman" w:hAnsi="Times New Roman"/>
              <w:b w:val="0"/>
              <w:bCs w:val="0"/>
              <w:lang w:val="zh-CN"/>
            </w:rPr>
            <w:fldChar w:fldCharType="end"/>
          </w:r>
          <w:r>
            <w:rPr>
              <w:rFonts w:ascii="Times New Roman" w:hAnsi="Times New Roman"/>
              <w:b w:val="0"/>
              <w:bCs w:val="0"/>
              <w:lang w:val="zh-CN"/>
            </w:rPr>
            <w:fldChar w:fldCharType="end"/>
          </w:r>
          <w:r>
            <w:rPr>
              <w:rFonts w:ascii="Times New Roman" w:hAnsi="Times New Roman"/>
              <w:b w:val="0"/>
              <w:bCs w:val="0"/>
              <w:lang w:val="zh-CN"/>
            </w:rPr>
            <w:t>8</w:t>
          </w:r>
        </w:p>
        <w:p>
          <w:pPr>
            <w:pStyle w:val="18"/>
            <w:rPr>
              <w:rFonts w:eastAsiaTheme="minorEastAsia"/>
              <w:b w:val="0"/>
              <w:bCs w:val="0"/>
              <w:color w:val="auto"/>
              <w:lang w:val="zh-CN"/>
            </w:rPr>
          </w:pPr>
          <w:r>
            <w:fldChar w:fldCharType="begin"/>
          </w:r>
          <w:r>
            <w:instrText xml:space="preserve"> HYPERLINK \l "_Toc164640888" </w:instrText>
          </w:r>
          <w:r>
            <w:fldChar w:fldCharType="separate"/>
          </w:r>
          <w:r>
            <w:rPr>
              <w:rStyle w:val="14"/>
              <w:color w:val="auto"/>
              <w:lang w:val="zh-CN"/>
            </w:rPr>
            <w:t xml:space="preserve"> Secțuinea 18. Taxele </w:t>
          </w:r>
          <w:r>
            <w:rPr>
              <w:rStyle w:val="14"/>
              <w:rFonts w:eastAsia="Calibri"/>
              <w:color w:val="auto"/>
              <w:lang w:val="zh-CN"/>
            </w:rPr>
            <w:t>aplicabile</w:t>
          </w:r>
          <w:r>
            <w:rPr>
              <w:rStyle w:val="14"/>
              <w:color w:val="auto"/>
              <w:lang w:val="zh-CN"/>
            </w:rPr>
            <w:t xml:space="preserve"> pentru parcare și pentru parcaj</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_Toc164640888 \h </w:instrText>
          </w:r>
          <w:r>
            <w:rPr>
              <w:b w:val="0"/>
              <w:bCs w:val="0"/>
              <w:color w:val="auto"/>
              <w:lang w:val="zh-CN"/>
            </w:rPr>
            <w:fldChar w:fldCharType="separate"/>
          </w:r>
          <w:r>
            <w:rPr>
              <w:b w:val="0"/>
              <w:bCs w:val="0"/>
              <w:color w:val="auto"/>
              <w:lang w:val="zh-CN"/>
            </w:rPr>
            <w:t>20</w:t>
          </w:r>
          <w:r>
            <w:rPr>
              <w:b w:val="0"/>
              <w:bCs w:val="0"/>
              <w:color w:val="auto"/>
              <w:lang w:val="zh-CN"/>
            </w:rPr>
            <w:fldChar w:fldCharType="end"/>
          </w:r>
          <w:r>
            <w:rPr>
              <w:b w:val="0"/>
              <w:bCs w:val="0"/>
              <w:color w:val="auto"/>
              <w:lang w:val="zh-CN"/>
            </w:rPr>
            <w:fldChar w:fldCharType="end"/>
          </w:r>
          <w:r>
            <w:rPr>
              <w:b w:val="0"/>
              <w:bCs w:val="0"/>
              <w:color w:val="auto"/>
              <w:lang w:val="zh-CN"/>
            </w:rPr>
            <w:t>8</w:t>
          </w:r>
        </w:p>
        <w:p>
          <w:pPr>
            <w:pStyle w:val="18"/>
            <w:rPr>
              <w:rFonts w:eastAsiaTheme="minorEastAsia"/>
              <w:b w:val="0"/>
              <w:bCs w:val="0"/>
              <w:color w:val="auto"/>
              <w:lang w:val="zh-CN"/>
            </w:rPr>
          </w:pPr>
          <w:r>
            <w:fldChar w:fldCharType="begin"/>
          </w:r>
          <w:r>
            <w:instrText xml:space="preserve"> HYPERLINK \l "_Toc164640889" </w:instrText>
          </w:r>
          <w:r>
            <w:fldChar w:fldCharType="separate"/>
          </w:r>
          <w:r>
            <w:rPr>
              <w:rStyle w:val="14"/>
              <w:rFonts w:eastAsia="Calibri"/>
              <w:color w:val="auto"/>
              <w:lang w:val="zh-CN"/>
            </w:rPr>
            <w:t xml:space="preserve"> Secțuinea 19. Tarifele și modalitățile de plată</w:t>
          </w:r>
          <w:r>
            <w:rPr>
              <w:rStyle w:val="14"/>
              <w:color w:val="auto"/>
              <w:lang w:val="zh-CN"/>
            </w:rPr>
            <w:t>.</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_Toc164640889 \h </w:instrText>
          </w:r>
          <w:r>
            <w:rPr>
              <w:b w:val="0"/>
              <w:bCs w:val="0"/>
              <w:color w:val="auto"/>
              <w:lang w:val="zh-CN"/>
            </w:rPr>
            <w:fldChar w:fldCharType="separate"/>
          </w:r>
          <w:r>
            <w:rPr>
              <w:b w:val="0"/>
              <w:bCs w:val="0"/>
              <w:color w:val="auto"/>
              <w:lang w:val="zh-CN"/>
            </w:rPr>
            <w:t>20</w:t>
          </w:r>
          <w:r>
            <w:rPr>
              <w:b w:val="0"/>
              <w:bCs w:val="0"/>
              <w:color w:val="auto"/>
              <w:lang w:val="zh-CN"/>
            </w:rPr>
            <w:fldChar w:fldCharType="end"/>
          </w:r>
          <w:r>
            <w:rPr>
              <w:b w:val="0"/>
              <w:bCs w:val="0"/>
              <w:color w:val="auto"/>
              <w:lang w:val="zh-CN"/>
            </w:rPr>
            <w:fldChar w:fldCharType="end"/>
          </w:r>
          <w:r>
            <w:rPr>
              <w:b w:val="0"/>
              <w:bCs w:val="0"/>
              <w:color w:val="auto"/>
              <w:lang w:val="zh-CN"/>
            </w:rPr>
            <w:t>9</w:t>
          </w:r>
        </w:p>
        <w:p>
          <w:pPr>
            <w:pStyle w:val="18"/>
            <w:rPr>
              <w:rFonts w:eastAsiaTheme="minorEastAsia"/>
              <w:b w:val="0"/>
              <w:bCs w:val="0"/>
              <w:color w:val="auto"/>
              <w:lang w:val="zh-CN"/>
            </w:rPr>
          </w:pPr>
          <w:r>
            <w:fldChar w:fldCharType="begin"/>
          </w:r>
          <w:r>
            <w:instrText xml:space="preserve"> HYPERLINK \l "_Toc164640890" </w:instrText>
          </w:r>
          <w:r>
            <w:fldChar w:fldCharType="separate"/>
          </w:r>
          <w:r>
            <w:rPr>
              <w:rStyle w:val="14"/>
              <w:rFonts w:eastAsia="Calibri"/>
              <w:color w:val="auto"/>
              <w:lang w:val="zh-CN"/>
            </w:rPr>
            <w:t xml:space="preserve"> Secțuinea 20. Abonamente</w:t>
          </w:r>
          <w:r>
            <w:rPr>
              <w:b w:val="0"/>
              <w:bCs w:val="0"/>
              <w:color w:val="auto"/>
              <w:lang w:val="zh-CN"/>
            </w:rPr>
            <w:tab/>
          </w:r>
          <w:r>
            <w:rPr>
              <w:b w:val="0"/>
              <w:bCs w:val="0"/>
              <w:color w:val="auto"/>
              <w:lang w:val="zh-CN"/>
            </w:rPr>
            <w:t>20</w:t>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"_Toc164640891" </w:instrText>
          </w:r>
          <w:r>
            <w:fldChar w:fldCharType="separate"/>
          </w:r>
          <w:r>
            <w:rPr>
              <w:rStyle w:val="14"/>
              <w:color w:val="auto"/>
              <w:lang w:val="zh-CN"/>
            </w:rPr>
            <w:t xml:space="preserve"> Secțuinea 21.</w:t>
          </w:r>
          <w:r>
            <w:rPr>
              <w:rStyle w:val="14"/>
              <w:rFonts w:eastAsia="Calibri"/>
              <w:color w:val="auto"/>
              <w:lang w:val="zh-CN"/>
            </w:rPr>
            <w:t xml:space="preserve"> Fondurile</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_Toc164640891 \h </w:instrText>
          </w:r>
          <w:r>
            <w:rPr>
              <w:b w:val="0"/>
              <w:bCs w:val="0"/>
              <w:color w:val="auto"/>
              <w:lang w:val="zh-CN"/>
            </w:rPr>
            <w:fldChar w:fldCharType="separate"/>
          </w:r>
          <w:r>
            <w:rPr>
              <w:b w:val="0"/>
              <w:bCs w:val="0"/>
              <w:color w:val="auto"/>
              <w:lang w:val="zh-CN"/>
            </w:rPr>
            <w:t>22</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"_Toc164640892" </w:instrText>
          </w:r>
          <w:r>
            <w:fldChar w:fldCharType="separate"/>
          </w:r>
          <w:r>
            <w:rPr>
              <w:rStyle w:val="14"/>
              <w:rFonts w:eastAsia="Calibri"/>
              <w:color w:val="auto"/>
              <w:lang w:val="zh-CN"/>
            </w:rPr>
            <w:t xml:space="preserve"> Secțuinea 22. Controlul și sancționarea</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_Toc164640892 \h </w:instrText>
          </w:r>
          <w:r>
            <w:rPr>
              <w:b w:val="0"/>
              <w:bCs w:val="0"/>
              <w:color w:val="auto"/>
              <w:lang w:val="zh-CN"/>
            </w:rPr>
            <w:fldChar w:fldCharType="separate"/>
          </w:r>
          <w:r>
            <w:rPr>
              <w:b w:val="0"/>
              <w:bCs w:val="0"/>
              <w:color w:val="auto"/>
              <w:lang w:val="zh-CN"/>
            </w:rPr>
            <w:t>23</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"_Toc164640893" </w:instrText>
          </w:r>
          <w:r>
            <w:fldChar w:fldCharType="separate"/>
          </w:r>
          <w:r>
            <w:rPr>
              <w:rStyle w:val="14"/>
              <w:color w:val="auto"/>
              <w:lang w:val="zh-CN"/>
            </w:rPr>
            <w:t xml:space="preserve"> Secțuinea 23.</w:t>
          </w:r>
          <w:r>
            <w:rPr>
              <w:rStyle w:val="14"/>
              <w:rFonts w:eastAsia="Calibri"/>
              <w:color w:val="auto"/>
              <w:lang w:val="zh-CN"/>
            </w:rPr>
            <w:t xml:space="preserve"> Dispoziții</w:t>
          </w:r>
          <w:r>
            <w:rPr>
              <w:rStyle w:val="14"/>
              <w:color w:val="auto"/>
              <w:lang w:val="zh-CN"/>
            </w:rPr>
            <w:t xml:space="preserve"> finale și tranzitorii</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_Toc164640893 \h </w:instrText>
          </w:r>
          <w:r>
            <w:rPr>
              <w:b w:val="0"/>
              <w:bCs w:val="0"/>
              <w:color w:val="auto"/>
              <w:lang w:val="zh-CN"/>
            </w:rPr>
            <w:fldChar w:fldCharType="separate"/>
          </w:r>
          <w:r>
            <w:rPr>
              <w:b w:val="0"/>
              <w:bCs w:val="0"/>
              <w:color w:val="auto"/>
              <w:lang w:val="zh-CN"/>
            </w:rPr>
            <w:t>24</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"_Toc164640894" </w:instrText>
          </w:r>
          <w:r>
            <w:fldChar w:fldCharType="separate"/>
          </w:r>
          <w:r>
            <w:rPr>
              <w:rStyle w:val="14"/>
              <w:rFonts w:eastAsia="Calibri"/>
              <w:color w:val="auto"/>
              <w:lang w:val="zh-CN"/>
            </w:rPr>
            <w:t>Anexa nr. 1</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_Toc164640894 \h </w:instrText>
          </w:r>
          <w:r>
            <w:rPr>
              <w:b w:val="0"/>
              <w:bCs w:val="0"/>
              <w:color w:val="auto"/>
              <w:lang w:val="zh-CN"/>
            </w:rPr>
            <w:fldChar w:fldCharType="separate"/>
          </w:r>
          <w:r>
            <w:rPr>
              <w:b w:val="0"/>
              <w:bCs w:val="0"/>
              <w:color w:val="auto"/>
              <w:lang w:val="zh-CN"/>
            </w:rPr>
            <w:t>20</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"_Toc164640895" </w:instrText>
          </w:r>
          <w:r>
            <w:fldChar w:fldCharType="separate"/>
          </w:r>
          <w:r>
            <w:rPr>
              <w:rStyle w:val="14"/>
              <w:rFonts w:eastAsia="Calibri"/>
              <w:color w:val="auto"/>
              <w:lang w:val="zh-CN"/>
            </w:rPr>
            <w:t>Anexa nr. 2</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_Toc164640895 \h </w:instrText>
          </w:r>
          <w:r>
            <w:rPr>
              <w:b w:val="0"/>
              <w:bCs w:val="0"/>
              <w:color w:val="auto"/>
              <w:lang w:val="zh-CN"/>
            </w:rPr>
            <w:fldChar w:fldCharType="separate"/>
          </w:r>
          <w:r>
            <w:rPr>
              <w:b w:val="0"/>
              <w:bCs w:val="0"/>
              <w:color w:val="auto"/>
              <w:lang w:val="zh-CN"/>
            </w:rPr>
            <w:t>26</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"_Toc164640896" </w:instrText>
          </w:r>
          <w:r>
            <w:fldChar w:fldCharType="separate"/>
          </w:r>
          <w:r>
            <w:rPr>
              <w:rStyle w:val="14"/>
              <w:rFonts w:eastAsia="Calibri"/>
              <w:color w:val="auto"/>
              <w:lang w:val="zh-CN"/>
            </w:rPr>
            <w:t>Anexa nr. 3</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_Toc164640896 \h </w:instrText>
          </w:r>
          <w:r>
            <w:rPr>
              <w:b w:val="0"/>
              <w:bCs w:val="0"/>
              <w:color w:val="auto"/>
              <w:lang w:val="zh-CN"/>
            </w:rPr>
            <w:fldChar w:fldCharType="separate"/>
          </w:r>
          <w:r>
            <w:rPr>
              <w:b w:val="0"/>
              <w:bCs w:val="0"/>
              <w:color w:val="auto"/>
              <w:lang w:val="zh-CN"/>
            </w:rPr>
            <w:t>27</w:t>
          </w:r>
          <w:r>
            <w:rPr>
              <w:b w:val="0"/>
              <w:bCs w:val="0"/>
              <w:color w:val="auto"/>
              <w:lang w:val="zh-CN"/>
            </w:rPr>
            <w:fldChar w:fldCharType="end"/>
          </w:r>
          <w:r>
            <w:rPr>
              <w:b w:val="0"/>
              <w:bCs w:val="0"/>
              <w:color w:val="auto"/>
              <w:lang w:val="zh-CN"/>
            </w:rPr>
            <w:fldChar w:fldCharType="end"/>
          </w:r>
        </w:p>
        <w:p>
          <w:pPr>
            <w:pStyle w:val="18"/>
            <w:rPr>
              <w:rFonts w:eastAsiaTheme="minorEastAsia"/>
              <w:b w:val="0"/>
              <w:bCs w:val="0"/>
              <w:color w:val="auto"/>
              <w:lang w:val="zh-CN"/>
            </w:rPr>
          </w:pPr>
          <w:r>
            <w:fldChar w:fldCharType="begin"/>
          </w:r>
          <w:r>
            <w:instrText xml:space="preserve"> HYPERLINK \l "_Toc164640899" </w:instrText>
          </w:r>
          <w:r>
            <w:fldChar w:fldCharType="separate"/>
          </w:r>
          <w:r>
            <w:rPr>
              <w:rStyle w:val="14"/>
              <w:rFonts w:eastAsia="Calibri"/>
              <w:color w:val="auto"/>
              <w:lang w:val="zh-CN"/>
            </w:rPr>
            <w:t>Anexa nr. 4</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_Toc164640899 \h </w:instrText>
          </w:r>
          <w:r>
            <w:rPr>
              <w:b w:val="0"/>
              <w:bCs w:val="0"/>
              <w:color w:val="auto"/>
              <w:lang w:val="zh-CN"/>
            </w:rPr>
            <w:fldChar w:fldCharType="separate"/>
          </w:r>
          <w:r>
            <w:rPr>
              <w:b w:val="0"/>
              <w:bCs w:val="0"/>
              <w:color w:val="auto"/>
              <w:lang w:val="zh-CN"/>
            </w:rPr>
            <w:t>28</w:t>
          </w:r>
          <w:r>
            <w:rPr>
              <w:b w:val="0"/>
              <w:bCs w:val="0"/>
              <w:color w:val="auto"/>
              <w:lang w:val="zh-CN"/>
            </w:rPr>
            <w:fldChar w:fldCharType="end"/>
          </w:r>
          <w:r>
            <w:rPr>
              <w:b w:val="0"/>
              <w:bCs w:val="0"/>
              <w:color w:val="auto"/>
              <w:lang w:val="zh-CN"/>
            </w:rPr>
            <w:fldChar w:fldCharType="end"/>
          </w:r>
          <w:r>
            <w:rPr>
              <w:b w:val="0"/>
              <w:bCs w:val="0"/>
              <w:color w:val="auto"/>
              <w:lang w:val="zh-CN"/>
            </w:rPr>
            <w:t>26</w:t>
          </w:r>
        </w:p>
        <w:p>
          <w:pPr>
            <w:pStyle w:val="18"/>
            <w:rPr>
              <w:rFonts w:eastAsiaTheme="minorEastAsia"/>
              <w:b w:val="0"/>
              <w:bCs w:val="0"/>
              <w:color w:val="auto"/>
              <w:lang w:val="zh-CN"/>
            </w:rPr>
          </w:pPr>
          <w:r>
            <w:fldChar w:fldCharType="begin"/>
          </w:r>
          <w:r>
            <w:instrText xml:space="preserve"> HYPERLINK \l "_Toc164640900" </w:instrText>
          </w:r>
          <w:r>
            <w:fldChar w:fldCharType="separate"/>
          </w:r>
          <w:r>
            <w:rPr>
              <w:rStyle w:val="14"/>
              <w:rFonts w:eastAsia="Calibri"/>
              <w:color w:val="auto"/>
              <w:lang w:val="zh-CN"/>
            </w:rPr>
            <w:t>Anexa nr. 5</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_Toc164640900 \h </w:instrText>
          </w:r>
          <w:r>
            <w:rPr>
              <w:b w:val="0"/>
              <w:bCs w:val="0"/>
              <w:color w:val="auto"/>
              <w:lang w:val="zh-CN"/>
            </w:rPr>
            <w:fldChar w:fldCharType="separate"/>
          </w:r>
          <w:r>
            <w:rPr>
              <w:b w:val="0"/>
              <w:bCs w:val="0"/>
              <w:color w:val="auto"/>
              <w:lang w:val="zh-CN"/>
            </w:rPr>
            <w:t>29</w:t>
          </w:r>
          <w:r>
            <w:rPr>
              <w:b w:val="0"/>
              <w:bCs w:val="0"/>
              <w:color w:val="auto"/>
              <w:lang w:val="zh-CN"/>
            </w:rPr>
            <w:fldChar w:fldCharType="end"/>
          </w:r>
          <w:r>
            <w:rPr>
              <w:b w:val="0"/>
              <w:bCs w:val="0"/>
              <w:color w:val="auto"/>
              <w:lang w:val="zh-CN"/>
            </w:rPr>
            <w:fldChar w:fldCharType="end"/>
          </w:r>
          <w:r>
            <w:rPr>
              <w:b w:val="0"/>
              <w:bCs w:val="0"/>
              <w:color w:val="auto"/>
              <w:lang w:val="zh-CN"/>
            </w:rPr>
            <w:t>7</w:t>
          </w:r>
        </w:p>
        <w:p>
          <w:pPr>
            <w:pStyle w:val="18"/>
            <w:rPr>
              <w:rFonts w:eastAsiaTheme="minorEastAsia"/>
              <w:b w:val="0"/>
              <w:bCs w:val="0"/>
              <w:color w:val="auto"/>
              <w:lang w:val="zh-CN"/>
            </w:rPr>
          </w:pPr>
          <w:r>
            <w:fldChar w:fldCharType="begin"/>
          </w:r>
          <w:r>
            <w:instrText xml:space="preserve"> HYPERLINK \l "_Toc164640901" </w:instrText>
          </w:r>
          <w:r>
            <w:fldChar w:fldCharType="separate"/>
          </w:r>
          <w:r>
            <w:rPr>
              <w:rStyle w:val="14"/>
              <w:rFonts w:eastAsia="Calibri"/>
              <w:color w:val="auto"/>
              <w:lang w:val="zh-CN"/>
            </w:rPr>
            <w:t>Anexa nr.6</w:t>
          </w:r>
          <w:r>
            <w:rPr>
              <w:b w:val="0"/>
              <w:bCs w:val="0"/>
              <w:color w:val="auto"/>
              <w:lang w:val="zh-CN"/>
            </w:rPr>
            <w:tab/>
          </w:r>
          <w:r>
            <w:rPr>
              <w:b w:val="0"/>
              <w:bCs w:val="0"/>
              <w:color w:val="auto"/>
              <w:lang w:val="zh-CN"/>
            </w:rPr>
            <w:fldChar w:fldCharType="begin"/>
          </w:r>
          <w:r>
            <w:rPr>
              <w:b w:val="0"/>
              <w:bCs w:val="0"/>
              <w:color w:val="auto"/>
              <w:lang w:val="zh-CN"/>
            </w:rPr>
            <w:instrText xml:space="preserve"> PAGEREF _Toc164640901 \h </w:instrText>
          </w:r>
          <w:r>
            <w:rPr>
              <w:b w:val="0"/>
              <w:bCs w:val="0"/>
              <w:color w:val="auto"/>
              <w:lang w:val="zh-CN"/>
            </w:rPr>
            <w:fldChar w:fldCharType="separate"/>
          </w:r>
          <w:r>
            <w:rPr>
              <w:b w:val="0"/>
              <w:bCs w:val="0"/>
              <w:color w:val="auto"/>
              <w:lang w:val="zh-CN"/>
            </w:rPr>
            <w:t>30</w:t>
          </w:r>
          <w:r>
            <w:rPr>
              <w:b w:val="0"/>
              <w:bCs w:val="0"/>
              <w:color w:val="auto"/>
              <w:lang w:val="zh-CN"/>
            </w:rPr>
            <w:fldChar w:fldCharType="end"/>
          </w:r>
          <w:r>
            <w:rPr>
              <w:b w:val="0"/>
              <w:bCs w:val="0"/>
              <w:color w:val="auto"/>
              <w:lang w:val="zh-CN"/>
            </w:rPr>
            <w:fldChar w:fldCharType="end"/>
          </w:r>
          <w:r>
            <w:rPr>
              <w:b w:val="0"/>
              <w:bCs w:val="0"/>
              <w:color w:val="auto"/>
              <w:lang w:val="zh-CN"/>
            </w:rPr>
            <w:t>28</w:t>
          </w:r>
        </w:p>
        <w:p>
          <w:pPr>
            <w:rPr>
              <w:lang w:val="zh-CN"/>
            </w:rPr>
          </w:pPr>
          <w:r>
            <w:rPr>
              <w:rFonts w:ascii="Times New Roman" w:hAnsi="Times New Roman" w:cs="Times New Roman"/>
              <w:lang w:val="zh-CN"/>
            </w:rPr>
            <w:fldChar w:fldCharType="end"/>
          </w:r>
        </w:p>
      </w:sdtContent>
    </w:sdt>
    <w:p>
      <w:pPr>
        <w:spacing w:after="0" w:line="240" w:lineRule="auto"/>
        <w:jc w:val="center"/>
        <w:rPr>
          <w:rFonts w:ascii="Times New Roman" w:hAnsi="Times New Roman" w:eastAsia="Calibri" w:cs="Times New Roman"/>
          <w:b/>
          <w:sz w:val="24"/>
          <w:szCs w:val="24"/>
          <w:lang w:val="zh-CN"/>
        </w:rPr>
      </w:pPr>
    </w:p>
    <w:p>
      <w:pPr>
        <w:pStyle w:val="2"/>
        <w:spacing w:before="0" w:line="240" w:lineRule="auto"/>
        <w:jc w:val="center"/>
        <w:rPr>
          <w:rFonts w:ascii="Times New Roman" w:hAnsi="Times New Roman" w:eastAsia="Calibri" w:cs="Times New Roman"/>
          <w:b/>
          <w:bCs/>
          <w:color w:val="auto"/>
          <w:sz w:val="24"/>
          <w:szCs w:val="24"/>
          <w:lang w:val="zh-CN"/>
        </w:rPr>
      </w:pPr>
      <w:bookmarkStart w:id="1" w:name="_Toc164640861"/>
      <w:bookmarkStart w:id="2" w:name="_Toc164638745"/>
      <w:r>
        <w:rPr>
          <w:rFonts w:ascii="Times New Roman" w:hAnsi="Times New Roman" w:eastAsia="Calibri" w:cs="Times New Roman"/>
          <w:b/>
          <w:color w:val="auto"/>
          <w:sz w:val="24"/>
          <w:szCs w:val="24"/>
          <w:lang w:val="zh-CN"/>
        </w:rPr>
        <w:t xml:space="preserve">CAPITOLUL I. </w:t>
      </w:r>
      <w:r>
        <w:rPr>
          <w:rFonts w:ascii="Times New Roman" w:hAnsi="Times New Roman" w:eastAsia="Calibri" w:cs="Times New Roman"/>
          <w:b/>
          <w:bCs/>
          <w:color w:val="auto"/>
          <w:sz w:val="24"/>
          <w:szCs w:val="24"/>
          <w:lang w:val="zh-CN"/>
        </w:rPr>
        <w:t>Dispoziții generale</w:t>
      </w:r>
      <w:bookmarkEnd w:id="1"/>
      <w:bookmarkEnd w:id="2"/>
    </w:p>
    <w:p>
      <w:pPr>
        <w:spacing w:after="0" w:line="240" w:lineRule="auto"/>
        <w:jc w:val="center"/>
        <w:rPr>
          <w:rFonts w:ascii="Times New Roman" w:hAnsi="Times New Roman" w:eastAsia="Calibri" w:cs="Times New Roman"/>
          <w:b/>
          <w:sz w:val="24"/>
          <w:szCs w:val="24"/>
          <w:lang w:val="zh-CN"/>
        </w:rPr>
      </w:pPr>
    </w:p>
    <w:p>
      <w:pPr>
        <w:pStyle w:val="3"/>
        <w:spacing w:before="0" w:line="240" w:lineRule="auto"/>
        <w:rPr>
          <w:rFonts w:ascii="Times New Roman" w:hAnsi="Times New Roman" w:eastAsia="Calibri" w:cs="Times New Roman"/>
          <w:b/>
          <w:bCs/>
          <w:color w:val="auto"/>
          <w:sz w:val="24"/>
          <w:szCs w:val="24"/>
          <w:lang w:val="zh-CN"/>
        </w:rPr>
      </w:pPr>
      <w:bookmarkStart w:id="3" w:name="_Toc164640862"/>
      <w:r>
        <w:rPr>
          <w:rFonts w:ascii="Times New Roman" w:hAnsi="Times New Roman" w:eastAsia="Calibri" w:cs="Times New Roman"/>
          <w:b/>
          <w:bCs/>
          <w:color w:val="auto"/>
          <w:sz w:val="24"/>
          <w:szCs w:val="24"/>
          <w:lang w:val="zh-CN"/>
        </w:rPr>
        <w:t xml:space="preserve">                          Secțiunea 1. Scopul, obiectivele și domeniul de aplicare</w:t>
      </w:r>
      <w:bookmarkEnd w:id="3"/>
    </w:p>
    <w:p>
      <w:pPr>
        <w:tabs>
          <w:tab w:val="left" w:pos="851"/>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w:t>
      </w:r>
      <w:r>
        <w:rPr>
          <w:rFonts w:ascii="Times New Roman" w:hAnsi="Times New Roman" w:eastAsia="Calibri" w:cs="Times New Roman"/>
          <w:bCs/>
          <w:sz w:val="24"/>
          <w:szCs w:val="24"/>
          <w:lang w:val="zh-CN"/>
        </w:rPr>
        <w:t>1.</w:t>
      </w:r>
      <w:r>
        <w:rPr>
          <w:rFonts w:ascii="Times New Roman" w:hAnsi="Times New Roman" w:eastAsia="Calibri" w:cs="Times New Roman"/>
          <w:b/>
          <w:sz w:val="24"/>
          <w:szCs w:val="24"/>
          <w:lang w:val="zh-CN"/>
        </w:rPr>
        <w:t xml:space="preserve"> </w:t>
      </w:r>
      <w:r>
        <w:rPr>
          <w:rFonts w:ascii="Times New Roman" w:hAnsi="Times New Roman" w:eastAsia="Calibri" w:cs="Times New Roman"/>
          <w:sz w:val="24"/>
          <w:szCs w:val="24"/>
          <w:lang w:val="zh-CN"/>
        </w:rPr>
        <w:t>Prezentul Regulament este elaborat în temeiul Hotărârii Guvernului Republicii Moldova nr. 672/1998 „Cu privire la parcările auto cu plată pe teritoriul Republicii Moldova”, Hotărârii Guvernului Republicii Moldova nr. 357/2009 „Cu privire la aprobarea Regulamentului circulației rutiere” și altor acte normative cu incidență în domeniu, în scopul implementării și dezvoltării strategiei și sistemului de parcări publice în municipiul Chișinău, descongestionării drumurilor publice din zona centrală și a drumurilor publice cu trafic intens, inclusiv prin încurajarea locuitorilor municipiului Chișinău la utilizarea mijloacelor de transport public, și descurajarea folosirii autoturismelor personale în zonele respective.</w:t>
      </w:r>
    </w:p>
    <w:p>
      <w:pPr>
        <w:pStyle w:val="24"/>
        <w:jc w:val="both"/>
        <w:rPr>
          <w:rFonts w:ascii="Times New Roman" w:hAnsi="Times New Roman" w:cs="Times New Roman"/>
          <w:sz w:val="24"/>
          <w:szCs w:val="24"/>
          <w:lang w:val="zh-CN"/>
        </w:rPr>
      </w:pPr>
      <w:r>
        <w:rPr>
          <w:rFonts w:ascii="Times New Roman" w:hAnsi="Times New Roman" w:cs="Times New Roman"/>
          <w:b/>
          <w:sz w:val="24"/>
          <w:szCs w:val="24"/>
          <w:lang w:val="zh-CN"/>
        </w:rPr>
        <w:t xml:space="preserve">    </w:t>
      </w:r>
      <w:r>
        <w:rPr>
          <w:rFonts w:ascii="Times New Roman" w:hAnsi="Times New Roman" w:cs="Times New Roman"/>
          <w:bCs/>
          <w:sz w:val="24"/>
          <w:szCs w:val="24"/>
          <w:lang w:val="zh-CN"/>
        </w:rPr>
        <w:t xml:space="preserve">2. </w:t>
      </w:r>
      <w:r>
        <w:rPr>
          <w:rFonts w:ascii="Times New Roman" w:hAnsi="Times New Roman" w:cs="Times New Roman"/>
          <w:sz w:val="24"/>
          <w:szCs w:val="24"/>
          <w:lang w:val="zh-CN"/>
        </w:rPr>
        <w:t>Dispozițiile prezentului Regulament au ca obiectiv asigurarea circulației în siguranță pe drumurile publice, asigurarea parcării regulamentare și ordonate a autovehiculelor în condiții de siguranță, facilitarea accesului la obiectivele de interes public și protejarea pietonilor prin asigurarea unor condiții corespunzătoare de circulație.</w:t>
      </w:r>
    </w:p>
    <w:p>
      <w:pPr>
        <w:tabs>
          <w:tab w:val="left" w:pos="851"/>
          <w:tab w:val="left" w:pos="1276"/>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w:t>
      </w:r>
      <w:r>
        <w:rPr>
          <w:rFonts w:ascii="Times New Roman" w:hAnsi="Times New Roman" w:eastAsia="Calibri" w:cs="Times New Roman"/>
          <w:bCs/>
          <w:sz w:val="24"/>
          <w:szCs w:val="24"/>
          <w:lang w:val="zh-CN"/>
        </w:rPr>
        <w:t>3.</w:t>
      </w:r>
      <w:r>
        <w:rPr>
          <w:rFonts w:ascii="Times New Roman" w:hAnsi="Times New Roman" w:eastAsia="Calibri" w:cs="Times New Roman"/>
          <w:sz w:val="24"/>
          <w:szCs w:val="24"/>
          <w:lang w:val="zh-CN"/>
        </w:rPr>
        <w:t xml:space="preserve"> Prezentul Regulament stabilește cadrul juridic unitar privind atribuțiile autorităților publice locale ale municipiului Chișinău cu privire la administrarea parcărilor și parcajelor publice, drepturile și obligațiile ce revin utilizatorilor parcărilor și parcajelor publice, raporturile dintre administratorul parcărilor și parcajelor publice, și utilizatorii acestora.</w:t>
      </w:r>
    </w:p>
    <w:p>
      <w:pPr>
        <w:tabs>
          <w:tab w:val="left" w:pos="851"/>
          <w:tab w:val="left" w:pos="1276"/>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w:t>
      </w:r>
      <w:r>
        <w:rPr>
          <w:rFonts w:ascii="Times New Roman" w:hAnsi="Times New Roman" w:eastAsia="Calibri" w:cs="Times New Roman"/>
          <w:bCs/>
          <w:sz w:val="24"/>
          <w:szCs w:val="24"/>
          <w:lang w:val="zh-CN"/>
        </w:rPr>
        <w:t>4.</w:t>
      </w:r>
      <w:r>
        <w:rPr>
          <w:rFonts w:ascii="Times New Roman" w:hAnsi="Times New Roman" w:eastAsia="Calibri" w:cs="Times New Roman"/>
          <w:sz w:val="24"/>
          <w:szCs w:val="24"/>
          <w:lang w:val="zh-CN"/>
        </w:rPr>
        <w:t xml:space="preserve"> Dispozițiile prezentului Regulament se aplică tuturor tipurilor de parcări și parcaje din mun. Chișinău, indiferent de forma de proprietate și modul de administrare a acestora, în măsura și limitele stabilite de prezentul Regulament, cu excepția celor amenajate pe terenuri sau în spații private, și care sunt destinate utilizării proprii, fără scop comercial. </w:t>
      </w:r>
    </w:p>
    <w:p>
      <w:pPr>
        <w:tabs>
          <w:tab w:val="left" w:pos="709"/>
          <w:tab w:val="left" w:pos="1134"/>
          <w:tab w:val="left" w:pos="1276"/>
        </w:tabs>
        <w:spacing w:after="0" w:line="240" w:lineRule="auto"/>
        <w:ind w:firstLine="426"/>
        <w:jc w:val="both"/>
        <w:rPr>
          <w:rFonts w:ascii="Times New Roman" w:hAnsi="Times New Roman" w:eastAsia="Calibri" w:cs="Times New Roman"/>
          <w:sz w:val="24"/>
          <w:szCs w:val="24"/>
          <w:lang w:val="zh-CN"/>
        </w:rPr>
      </w:pPr>
      <w:bookmarkStart w:id="4" w:name="_Toc122416226"/>
    </w:p>
    <w:bookmarkEnd w:id="4"/>
    <w:p>
      <w:pPr>
        <w:pStyle w:val="3"/>
        <w:spacing w:before="0" w:line="240" w:lineRule="auto"/>
        <w:ind w:left="426"/>
        <w:jc w:val="center"/>
        <w:rPr>
          <w:rFonts w:ascii="Times New Roman" w:hAnsi="Times New Roman" w:eastAsia="Calibri" w:cs="Times New Roman"/>
          <w:b/>
          <w:bCs/>
          <w:color w:val="auto"/>
          <w:sz w:val="24"/>
          <w:szCs w:val="24"/>
          <w:lang w:val="zh-CN"/>
        </w:rPr>
      </w:pPr>
      <w:bookmarkStart w:id="5" w:name="_Toc164640863"/>
      <w:r>
        <w:rPr>
          <w:rFonts w:ascii="Times New Roman" w:hAnsi="Times New Roman" w:eastAsia="Calibri" w:cs="Times New Roman"/>
          <w:b/>
          <w:color w:val="auto"/>
          <w:sz w:val="24"/>
          <w:szCs w:val="24"/>
          <w:lang w:val="zh-CN"/>
        </w:rPr>
        <w:t>Secțiunea</w:t>
      </w:r>
      <w:r>
        <w:rPr>
          <w:rFonts w:ascii="Times New Roman" w:hAnsi="Times New Roman" w:eastAsia="Calibri" w:cs="Times New Roman"/>
          <w:b/>
          <w:bCs/>
          <w:color w:val="auto"/>
          <w:sz w:val="24"/>
          <w:szCs w:val="24"/>
          <w:lang w:val="zh-CN"/>
        </w:rPr>
        <w:t xml:space="preserve"> 2. Noțiuni și termeni</w:t>
      </w:r>
      <w:bookmarkEnd w:id="5"/>
    </w:p>
    <w:p>
      <w:pPr>
        <w:spacing w:after="0" w:line="240" w:lineRule="auto"/>
        <w:jc w:val="both"/>
        <w:rPr>
          <w:rFonts w:ascii="Times New Roman" w:hAnsi="Times New Roman" w:eastAsia="Calibri" w:cs="Times New Roman"/>
          <w:sz w:val="24"/>
          <w:szCs w:val="24"/>
          <w:lang w:val="zh-CN"/>
        </w:rPr>
      </w:pPr>
    </w:p>
    <w:p>
      <w:pPr>
        <w:pStyle w:val="23"/>
        <w:spacing w:after="0" w:line="240" w:lineRule="auto"/>
        <w:ind w:left="0" w:firstLine="426"/>
        <w:contextualSpacing w:val="0"/>
        <w:jc w:val="both"/>
        <w:rPr>
          <w:rFonts w:ascii="Times New Roman" w:hAnsi="Times New Roman" w:eastAsia="Calibri" w:cs="Times New Roman"/>
          <w:b/>
          <w:i/>
          <w:sz w:val="24"/>
          <w:szCs w:val="24"/>
          <w:lang w:val="zh-CN"/>
        </w:rPr>
      </w:pPr>
      <w:r>
        <w:rPr>
          <w:rFonts w:ascii="Times New Roman" w:hAnsi="Times New Roman" w:eastAsia="Calibri" w:cs="Times New Roman"/>
          <w:sz w:val="24"/>
          <w:szCs w:val="24"/>
          <w:lang w:val="zh-CN"/>
        </w:rPr>
        <w:t>În sensul prezentului Regulament următoarele noțiuni și termeni semnifică:</w:t>
      </w:r>
    </w:p>
    <w:p>
      <w:pPr>
        <w:pStyle w:val="23"/>
        <w:spacing w:after="0" w:line="240" w:lineRule="auto"/>
        <w:ind w:left="0" w:firstLine="426"/>
        <w:contextualSpacing w:val="0"/>
        <w:jc w:val="both"/>
        <w:rPr>
          <w:rFonts w:ascii="Times New Roman" w:hAnsi="Times New Roman" w:eastAsia="Calibri" w:cs="Times New Roman"/>
          <w:b/>
          <w:i/>
          <w:sz w:val="24"/>
          <w:szCs w:val="24"/>
          <w:lang w:val="zh-CN"/>
        </w:rPr>
      </w:pPr>
    </w:p>
    <w:p>
      <w:pPr>
        <w:pStyle w:val="23"/>
        <w:spacing w:after="0" w:line="240" w:lineRule="auto"/>
        <w:ind w:left="0" w:firstLine="426"/>
        <w:contextualSpacing w:val="0"/>
        <w:jc w:val="both"/>
        <w:rPr>
          <w:rFonts w:ascii="Times New Roman" w:hAnsi="Times New Roman" w:eastAsia="Calibri" w:cs="Times New Roman"/>
          <w:sz w:val="24"/>
          <w:szCs w:val="24"/>
          <w:lang w:val="zh-CN"/>
        </w:rPr>
      </w:pPr>
      <w:bookmarkStart w:id="6" w:name="_Hlk167174601"/>
      <w:r>
        <w:rPr>
          <w:rFonts w:ascii="Times New Roman" w:hAnsi="Times New Roman" w:eastAsia="Calibri" w:cs="Times New Roman"/>
          <w:b/>
          <w:i/>
          <w:sz w:val="24"/>
          <w:szCs w:val="24"/>
          <w:lang w:val="zh-CN"/>
        </w:rPr>
        <w:t>abonament</w:t>
      </w:r>
      <w:r>
        <w:rPr>
          <w:rFonts w:ascii="Times New Roman" w:hAnsi="Times New Roman" w:eastAsia="Calibri" w:cs="Times New Roman"/>
          <w:b/>
          <w:sz w:val="24"/>
          <w:szCs w:val="24"/>
          <w:lang w:val="zh-CN"/>
        </w:rPr>
        <w:t xml:space="preserve"> </w:t>
      </w:r>
      <w:r>
        <w:rPr>
          <w:rFonts w:ascii="Times New Roman" w:hAnsi="Times New Roman" w:eastAsia="Calibri" w:cs="Times New Roman"/>
          <w:sz w:val="24"/>
          <w:szCs w:val="24"/>
          <w:lang w:val="zh-CN"/>
        </w:rPr>
        <w:t>– acord prin care, în schimbul achitării tarifului,  utilizatorul obține dreptul de a utiliza anumit locuri de parcare sau parcaje, pe o anumită perioadă;</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bCs/>
          <w:i/>
          <w:iCs/>
          <w:sz w:val="24"/>
          <w:szCs w:val="24"/>
          <w:lang w:val="zh-CN"/>
        </w:rPr>
        <w:t>administrator</w:t>
      </w:r>
      <w:r>
        <w:rPr>
          <w:rFonts w:ascii="Times New Roman" w:hAnsi="Times New Roman" w:eastAsia="Calibri" w:cs="Times New Roman"/>
          <w:sz w:val="24"/>
          <w:szCs w:val="24"/>
          <w:lang w:val="zh-CN"/>
        </w:rPr>
        <w:t xml:space="preserve"> – autoritatea competenta în domeniul gestionarii parcărilor și parcajelor publice în orașul Chișinău, sau altă autoritate împuternicită în acest sens, care administrează și exploatează parcările publice și parcajele;</w:t>
      </w:r>
    </w:p>
    <w:p>
      <w:pPr>
        <w:pStyle w:val="23"/>
        <w:spacing w:after="0" w:line="240" w:lineRule="auto"/>
        <w:ind w:left="0" w:firstLine="426"/>
        <w:contextualSpacing w:val="0"/>
        <w:jc w:val="both"/>
        <w:rPr>
          <w:rFonts w:ascii="Times New Roman" w:hAnsi="Times New Roman" w:eastAsia="Calibri" w:cs="Times New Roman"/>
          <w:sz w:val="24"/>
          <w:szCs w:val="24"/>
          <w:lang w:val="zh-CN"/>
        </w:rPr>
      </w:pPr>
      <w:bookmarkStart w:id="7" w:name="_Hlk162433077"/>
      <w:bookmarkStart w:id="8" w:name="_Hlk163563811"/>
      <w:r>
        <w:rPr>
          <w:rFonts w:ascii="Times New Roman" w:hAnsi="Times New Roman" w:eastAsia="Calibri" w:cs="Times New Roman"/>
          <w:b/>
          <w:i/>
          <w:sz w:val="24"/>
          <w:szCs w:val="24"/>
          <w:lang w:val="zh-CN"/>
        </w:rPr>
        <w:t>autoritatea competentă în domeniul gestionării parcărilor</w:t>
      </w:r>
      <w:r>
        <w:rPr>
          <w:rFonts w:ascii="Times New Roman" w:hAnsi="Times New Roman" w:eastAsia="Calibri" w:cs="Times New Roman"/>
          <w:sz w:val="24"/>
          <w:szCs w:val="24"/>
          <w:lang w:val="zh-CN"/>
        </w:rPr>
        <w:t xml:space="preserve"> </w:t>
      </w:r>
      <w:bookmarkEnd w:id="7"/>
      <w:r>
        <w:rPr>
          <w:rFonts w:ascii="Times New Roman" w:hAnsi="Times New Roman" w:eastAsia="Calibri" w:cs="Times New Roman"/>
          <w:b/>
          <w:i/>
          <w:sz w:val="24"/>
          <w:szCs w:val="24"/>
          <w:lang w:val="zh-CN"/>
        </w:rPr>
        <w:t>și parcajelor</w:t>
      </w:r>
      <w:r>
        <w:rPr>
          <w:rFonts w:ascii="Times New Roman" w:hAnsi="Times New Roman" w:eastAsia="Calibri" w:cs="Times New Roman"/>
          <w:sz w:val="24"/>
          <w:szCs w:val="24"/>
          <w:lang w:val="zh-CN"/>
        </w:rPr>
        <w:t xml:space="preserve"> </w:t>
      </w:r>
      <w:bookmarkEnd w:id="8"/>
      <w:r>
        <w:rPr>
          <w:rFonts w:ascii="Times New Roman" w:hAnsi="Times New Roman" w:eastAsia="Calibri" w:cs="Times New Roman"/>
          <w:sz w:val="24"/>
          <w:szCs w:val="24"/>
          <w:lang w:val="zh-CN"/>
        </w:rPr>
        <w:t>– Direcția Generală Mobilitate Urbană în calitate de subdiviziune structurală în subordinea Consiliului municipal Chișinău, care organizează, gestionează și supraveghează respectarea regimului de exploatare și utilizare a parcărilor și parcajelor (în continuare - Autoritatea);</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autoritate a administrației publice al municipiului Chișinău</w:t>
      </w:r>
      <w:r>
        <w:rPr>
          <w:rFonts w:ascii="Times New Roman" w:hAnsi="Times New Roman" w:eastAsia="Calibri" w:cs="Times New Roman"/>
          <w:sz w:val="24"/>
          <w:szCs w:val="24"/>
          <w:lang w:val="zh-CN"/>
        </w:rPr>
        <w:t xml:space="preserve"> – Consiliul municipal Chișinău (în continuare CMC), ca autoritate reprezentativă și deliberativă a populației municipiului Chișinău și Primarul General al municipiului Chișinău ca autoritate reprezentativă și executivă;</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autoturism</w:t>
      </w:r>
      <w:r>
        <w:rPr>
          <w:rFonts w:ascii="Times New Roman" w:hAnsi="Times New Roman" w:eastAsia="Calibri" w:cs="Times New Roman"/>
          <w:sz w:val="24"/>
          <w:szCs w:val="24"/>
          <w:lang w:val="zh-CN"/>
        </w:rPr>
        <w:t xml:space="preserve"> – autovehicul  cu cel puțin 4 roți, a cărui masă maximă autorizată nu depășește: 3500 kg, lungime – 5 m; lățime - 2,5 m., iar numărul locurilor pentru pasageri nu depășește 8 persoane, inclusiv cu cel al șoferului;</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autovehicul</w:t>
      </w:r>
      <w:r>
        <w:rPr>
          <w:rFonts w:ascii="Times New Roman" w:hAnsi="Times New Roman" w:eastAsia="Calibri" w:cs="Times New Roman"/>
          <w:sz w:val="24"/>
          <w:szCs w:val="24"/>
          <w:lang w:val="zh-CN"/>
        </w:rPr>
        <w:t xml:space="preserve"> – vehicul autopropulsat sau electric, destinat transportului de persoane sau de bunuri ori efectuării de lucrări, cu excepția ciclomotorului și a vehiculelor pe șine;</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autovehicul oprit</w:t>
      </w:r>
      <w:r>
        <w:rPr>
          <w:rFonts w:ascii="Times New Roman" w:hAnsi="Times New Roman" w:eastAsia="Calibri" w:cs="Times New Roman"/>
          <w:b/>
          <w:sz w:val="24"/>
          <w:szCs w:val="24"/>
          <w:lang w:val="zh-CN"/>
        </w:rPr>
        <w:t xml:space="preserve"> </w:t>
      </w:r>
      <w:r>
        <w:rPr>
          <w:rFonts w:ascii="Times New Roman" w:hAnsi="Times New Roman" w:eastAsia="Calibri" w:cs="Times New Roman"/>
          <w:sz w:val="24"/>
          <w:szCs w:val="24"/>
          <w:lang w:val="zh-CN"/>
        </w:rPr>
        <w:t xml:space="preserve">– autovehicul imobilizat voluntar, atât cât este necesar pentru a îmbarca sau a debarca persoane ori a încărca sau a descărca bunuri, pe o durată de cel mult 15 minute, conducătorul autovehiculului rămânând în autovehicul sau în apropierea acestuia pentru a putea la nevoie să-l deplaseze; </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bCs/>
          <w:i/>
          <w:iCs/>
          <w:sz w:val="24"/>
          <w:szCs w:val="24"/>
          <w:lang w:val="zh-CN"/>
        </w:rPr>
        <w:t>autovehicul staționat</w:t>
      </w:r>
      <w:r>
        <w:rPr>
          <w:rFonts w:ascii="Times New Roman" w:hAnsi="Times New Roman" w:eastAsia="Calibri" w:cs="Times New Roman"/>
          <w:b/>
          <w:sz w:val="24"/>
          <w:szCs w:val="24"/>
          <w:lang w:val="zh-CN"/>
        </w:rPr>
        <w:t xml:space="preserve"> </w:t>
      </w:r>
      <w:r>
        <w:rPr>
          <w:rFonts w:ascii="Times New Roman" w:hAnsi="Times New Roman" w:eastAsia="Calibri" w:cs="Times New Roman"/>
          <w:sz w:val="24"/>
          <w:szCs w:val="24"/>
          <w:lang w:val="zh-CN"/>
        </w:rPr>
        <w:t>– autovehicul imobilizat voluntar pe drumul public, pe o durată ce depășește 5 minute, pentru un alt motiv decât acela de a îmbarca sau a debarca persoane, de a încărca sau a descărca bunuri;</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bCs/>
          <w:i/>
          <w:iCs/>
          <w:sz w:val="24"/>
          <w:szCs w:val="24"/>
          <w:lang w:val="zh-CN"/>
        </w:rPr>
        <w:t>autovehicul parcat</w:t>
      </w:r>
      <w:r>
        <w:rPr>
          <w:rFonts w:ascii="Times New Roman" w:hAnsi="Times New Roman" w:eastAsia="Calibri" w:cs="Times New Roman"/>
          <w:sz w:val="24"/>
          <w:szCs w:val="24"/>
          <w:lang w:val="zh-CN"/>
        </w:rPr>
        <w:t xml:space="preserve"> – autovehicul garat în parcări și parcaje publice și private, amenajate și semnalizate corespunzător;</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bloc</w:t>
      </w:r>
      <w:r>
        <w:rPr>
          <w:rFonts w:ascii="Times New Roman" w:hAnsi="Times New Roman" w:eastAsia="Calibri" w:cs="Times New Roman"/>
          <w:b/>
          <w:bCs/>
          <w:i/>
          <w:sz w:val="24"/>
          <w:szCs w:val="24"/>
          <w:lang w:val="zh-CN"/>
        </w:rPr>
        <w:t xml:space="preserve"> de parcaje</w:t>
      </w:r>
      <w:r>
        <w:rPr>
          <w:rFonts w:ascii="Times New Roman" w:hAnsi="Times New Roman" w:eastAsia="Calibri" w:cs="Times New Roman"/>
          <w:sz w:val="24"/>
          <w:szCs w:val="24"/>
          <w:lang w:val="zh-CN"/>
        </w:rPr>
        <w:t xml:space="preserve"> – reprezintă totalitatea parcajelor amenajate în condițiile prezentului regulament, amplasate pe partea dreaptă sau stingă în sensul de deplasare pe o porțiune de drum sau segment de stradă situat între două intersecții, fără a lua in calcul accesele în curți;</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bCs/>
          <w:i/>
          <w:iCs/>
          <w:sz w:val="24"/>
          <w:szCs w:val="24"/>
          <w:lang w:val="zh-CN"/>
        </w:rPr>
        <w:t xml:space="preserve">codul de identificare – </w:t>
      </w:r>
      <w:r>
        <w:rPr>
          <w:rFonts w:ascii="Times New Roman" w:hAnsi="Times New Roman" w:eastAsia="Calibri" w:cs="Times New Roman"/>
          <w:sz w:val="24"/>
          <w:szCs w:val="24"/>
          <w:lang w:val="zh-CN"/>
        </w:rPr>
        <w:t xml:space="preserve">estre o combinație  unică de simboluri care este atribuită unui loc de parcare în cadrul parcărilor publice sau unui parcaj, care asigură identificarea acestora. </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exploatarea parcărilor</w:t>
      </w:r>
      <w:r>
        <w:rPr>
          <w:rFonts w:ascii="Times New Roman" w:hAnsi="Times New Roman" w:eastAsia="Calibri" w:cs="Times New Roman"/>
          <w:b/>
          <w:sz w:val="24"/>
          <w:szCs w:val="24"/>
          <w:lang w:val="zh-CN"/>
        </w:rPr>
        <w:t xml:space="preserve"> </w:t>
      </w:r>
      <w:r>
        <w:rPr>
          <w:rFonts w:ascii="Times New Roman" w:hAnsi="Times New Roman" w:eastAsia="Calibri" w:cs="Times New Roman"/>
          <w:b/>
          <w:i/>
          <w:sz w:val="24"/>
          <w:szCs w:val="24"/>
          <w:lang w:val="zh-CN"/>
        </w:rPr>
        <w:t>și parcajelor publice</w:t>
      </w:r>
      <w:r>
        <w:rPr>
          <w:rFonts w:ascii="Times New Roman" w:hAnsi="Times New Roman" w:eastAsia="Calibri" w:cs="Times New Roman"/>
          <w:sz w:val="24"/>
          <w:szCs w:val="24"/>
          <w:lang w:val="zh-CN"/>
        </w:rPr>
        <w:t xml:space="preserve"> – reprezintă totalitatea activităților de mentenanță și deservire a parcărilor și parcajelor publice, desfășurate  în scopul punerii acestora la dispoziția utilizatorilor în vederea parcării sau staționării autovehiculelor și de a încasa tarifele stabilite, în condițiile prezentului Regulament;</w:t>
      </w:r>
    </w:p>
    <w:p>
      <w:pPr>
        <w:pStyle w:val="23"/>
        <w:spacing w:after="0" w:line="240" w:lineRule="auto"/>
        <w:ind w:left="0" w:firstLine="426"/>
        <w:contextualSpacing w:val="0"/>
        <w:jc w:val="both"/>
        <w:rPr>
          <w:rFonts w:ascii="Times New Roman" w:hAnsi="Times New Roman" w:eastAsia="Calibri" w:cs="Times New Roman"/>
          <w:kern w:val="1"/>
          <w:sz w:val="24"/>
          <w:szCs w:val="24"/>
          <w:lang w:val="zh-CN" w:eastAsia="ar-SA"/>
        </w:rPr>
      </w:pPr>
      <w:r>
        <w:rPr>
          <w:rFonts w:ascii="Times New Roman" w:hAnsi="Times New Roman" w:eastAsia="Calibri" w:cs="Times New Roman"/>
          <w:b/>
          <w:i/>
          <w:sz w:val="24"/>
          <w:szCs w:val="24"/>
          <w:lang w:val="zh-CN"/>
        </w:rPr>
        <w:t>instituție publică</w:t>
      </w:r>
      <w:r>
        <w:rPr>
          <w:rFonts w:ascii="Times New Roman" w:hAnsi="Times New Roman" w:eastAsia="Calibri" w:cs="Times New Roman"/>
          <w:sz w:val="24"/>
          <w:szCs w:val="24"/>
          <w:lang w:val="zh-CN"/>
        </w:rPr>
        <w:t xml:space="preserve"> – </w:t>
      </w:r>
      <w:r>
        <w:rPr>
          <w:rFonts w:ascii="Times New Roman" w:hAnsi="Times New Roman" w:cs="Times New Roman"/>
          <w:sz w:val="24"/>
          <w:szCs w:val="24"/>
          <w:shd w:val="clear" w:color="auto" w:fill="FFFFFF"/>
          <w:lang w:val="zh-CN"/>
        </w:rPr>
        <w:t>este persoană juridică de drept public care se constituie în baza legii sau unui act emis de autoritatea publică și care este finanțată, integral sau parțial, de la bugetul acesteia din urmă</w:t>
      </w:r>
      <w:r>
        <w:rPr>
          <w:rFonts w:ascii="Times New Roman" w:hAnsi="Times New Roman" w:eastAsia="Calibri" w:cs="Times New Roman"/>
          <w:kern w:val="1"/>
          <w:sz w:val="24"/>
          <w:szCs w:val="24"/>
          <w:lang w:val="zh-CN" w:eastAsia="ar-SA"/>
        </w:rPr>
        <w:t>;</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organizarea parcărilor și parcajelor publice</w:t>
      </w:r>
      <w:r>
        <w:rPr>
          <w:rFonts w:ascii="Times New Roman" w:hAnsi="Times New Roman" w:eastAsia="Calibri" w:cs="Times New Roman"/>
          <w:sz w:val="24"/>
          <w:szCs w:val="24"/>
          <w:lang w:val="zh-CN"/>
        </w:rPr>
        <w:t xml:space="preserve"> </w:t>
      </w:r>
      <w:r>
        <w:rPr>
          <w:rFonts w:ascii="Times New Roman" w:hAnsi="Times New Roman" w:eastAsia="Calibri" w:cs="Times New Roman"/>
          <w:b/>
          <w:i/>
          <w:sz w:val="24"/>
          <w:szCs w:val="24"/>
          <w:lang w:val="zh-CN"/>
        </w:rPr>
        <w:t xml:space="preserve">cu plată </w:t>
      </w:r>
      <w:r>
        <w:rPr>
          <w:rFonts w:ascii="Times New Roman" w:hAnsi="Times New Roman" w:eastAsia="Calibri" w:cs="Times New Roman"/>
          <w:sz w:val="24"/>
          <w:szCs w:val="24"/>
          <w:lang w:val="zh-CN"/>
        </w:rPr>
        <w:t xml:space="preserve">– totalitatea activităților realizate cu scopul amenajării locurilor de parcare și parcajelor, astfel încât să fie posibil de a fi puse la dispoziția utilizatorilor, contra unui tarif de parcare/parcaj; </w:t>
      </w:r>
    </w:p>
    <w:p>
      <w:pPr>
        <w:pStyle w:val="23"/>
        <w:spacing w:after="0" w:line="240" w:lineRule="auto"/>
        <w:ind w:left="0" w:firstLine="426"/>
        <w:contextualSpacing w:val="0"/>
        <w:jc w:val="both"/>
        <w:rPr>
          <w:rFonts w:ascii="Georgia" w:hAnsi="Georgia" w:eastAsia="Calibri" w:cs="Times New Roman"/>
          <w:i/>
          <w:iCs/>
          <w:sz w:val="24"/>
          <w:szCs w:val="24"/>
          <w:lang w:val="zh-CN"/>
        </w:rPr>
      </w:pPr>
      <w:r>
        <w:rPr>
          <w:rFonts w:ascii="Times New Roman" w:hAnsi="Times New Roman" w:eastAsia="Calibri" w:cs="Times New Roman"/>
          <w:b/>
          <w:i/>
          <w:sz w:val="24"/>
          <w:szCs w:val="24"/>
          <w:lang w:val="zh-CN"/>
        </w:rPr>
        <w:t>parcaj</w:t>
      </w:r>
      <w:r>
        <w:rPr>
          <w:rFonts w:ascii="Times New Roman" w:hAnsi="Times New Roman" w:cs="Times New Roman"/>
          <w:b/>
          <w:bCs/>
          <w:i/>
          <w:sz w:val="24"/>
          <w:szCs w:val="24"/>
          <w:shd w:val="clear" w:color="auto" w:fill="FFFFFF"/>
          <w:lang w:val="zh-CN"/>
        </w:rPr>
        <w:t xml:space="preserve"> public cu plată</w:t>
      </w:r>
      <w:r>
        <w:rPr>
          <w:rFonts w:ascii="Times New Roman" w:hAnsi="Times New Roman" w:cs="Times New Roman"/>
          <w:sz w:val="24"/>
          <w:szCs w:val="24"/>
          <w:shd w:val="clear" w:color="auto" w:fill="FFFFFF"/>
          <w:lang w:val="zh-CN"/>
        </w:rPr>
        <w:t xml:space="preserve"> – </w:t>
      </w:r>
      <w:r>
        <w:rPr>
          <w:rFonts w:ascii="Georgia" w:hAnsi="Georgia"/>
          <w:shd w:val="clear" w:color="auto" w:fill="FFFFFF"/>
          <w:lang w:val="zh-CN"/>
        </w:rPr>
        <w:t>reprezintă un loc special amenajat</w:t>
      </w:r>
      <w:r>
        <w:rPr>
          <w:rFonts w:ascii="Times New Roman" w:hAnsi="Times New Roman" w:eastAsia="Calibri" w:cs="Times New Roman"/>
          <w:sz w:val="24"/>
          <w:szCs w:val="24"/>
          <w:lang w:val="zh-CN"/>
        </w:rPr>
        <w:t xml:space="preserve"> în condițiile prezentului Regulament, pe domeniul public/privat al municipiului Chișinău, în zona drumului public, delimitat și semnalizat prin marcaje și indicatoare rutiere, destinat pentru staționarea unui autovehicul, pentru folosirea căruia utilizatorii achită un tarif, aprobat de către Consiliul municipal Chișinău</w:t>
      </w:r>
      <w:r>
        <w:rPr>
          <w:rFonts w:ascii="Georgia" w:hAnsi="Georgia"/>
          <w:shd w:val="clear" w:color="auto" w:fill="FFFFFF"/>
          <w:lang w:val="zh-CN"/>
        </w:rPr>
        <w:t>;</w:t>
      </w:r>
      <w:r>
        <w:rPr>
          <w:rFonts w:ascii="Times New Roman" w:hAnsi="Times New Roman" w:eastAsia="Calibri" w:cs="Times New Roman"/>
          <w:sz w:val="24"/>
          <w:szCs w:val="24"/>
          <w:lang w:val="zh-CN"/>
        </w:rPr>
        <w:t xml:space="preserve"> </w:t>
      </w:r>
    </w:p>
    <w:p>
      <w:pPr>
        <w:pStyle w:val="23"/>
        <w:spacing w:after="0" w:line="240" w:lineRule="auto"/>
        <w:ind w:left="0" w:firstLine="426"/>
        <w:contextualSpacing w:val="0"/>
        <w:jc w:val="both"/>
        <w:rPr>
          <w:rFonts w:ascii="Times New Roman" w:hAnsi="Times New Roman" w:eastAsia="Calibri" w:cs="Times New Roman"/>
          <w:sz w:val="24"/>
          <w:szCs w:val="24"/>
          <w:lang w:val="zh-CN"/>
        </w:rPr>
      </w:pPr>
      <w:bookmarkStart w:id="9" w:name="_Hlk161741451"/>
      <w:r>
        <w:rPr>
          <w:rFonts w:ascii="Times New Roman" w:hAnsi="Times New Roman" w:eastAsia="Calibri" w:cs="Times New Roman"/>
          <w:b/>
          <w:i/>
          <w:sz w:val="24"/>
          <w:szCs w:val="24"/>
          <w:lang w:val="zh-CN"/>
        </w:rPr>
        <w:t>parcaj rezervat</w:t>
      </w:r>
      <w:bookmarkEnd w:id="9"/>
      <w:r>
        <w:rPr>
          <w:rFonts w:ascii="Times New Roman" w:hAnsi="Times New Roman" w:eastAsia="Calibri" w:cs="Times New Roman"/>
          <w:b/>
          <w:i/>
          <w:sz w:val="24"/>
          <w:szCs w:val="24"/>
          <w:lang w:val="zh-CN"/>
        </w:rPr>
        <w:t xml:space="preserve"> –</w:t>
      </w:r>
      <w:r>
        <w:rPr>
          <w:rFonts w:ascii="Times New Roman" w:hAnsi="Times New Roman" w:eastAsia="Calibri" w:cs="Times New Roman"/>
          <w:sz w:val="24"/>
          <w:szCs w:val="24"/>
          <w:lang w:val="zh-CN"/>
        </w:rPr>
        <w:t xml:space="preserve"> este un parcaj  amenajat și autorizat în conformitate cu prevederile prezentului regulament și actelor normative în vigoare,  </w:t>
      </w:r>
      <w:r>
        <w:rPr>
          <w:lang w:val="zh-CN"/>
        </w:rPr>
        <w:t xml:space="preserve"> </w:t>
      </w:r>
      <w:r>
        <w:rPr>
          <w:rFonts w:ascii="Times New Roman" w:hAnsi="Times New Roman" w:eastAsia="Calibri" w:cs="Times New Roman"/>
          <w:sz w:val="24"/>
          <w:szCs w:val="24"/>
          <w:lang w:val="zh-CN"/>
        </w:rPr>
        <w:t>destinat utilizării  de către instituțiile publice și persoanele juridice la cererea acestora, aferent imobilelor în care acestea își au sediul, semnalizat și marcat corespunzător, pentru care se percepe taxa pentru parcaj, și/sau tariful pentru parcaj după caz;</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parcare</w:t>
      </w:r>
      <w:r>
        <w:rPr>
          <w:rFonts w:ascii="Times New Roman" w:hAnsi="Times New Roman" w:eastAsia="Calibri" w:cs="Times New Roman"/>
          <w:sz w:val="24"/>
          <w:szCs w:val="24"/>
          <w:lang w:val="zh-CN"/>
        </w:rPr>
        <w:t xml:space="preserve"> – reprezintă un </w:t>
      </w:r>
      <w:r>
        <w:rPr>
          <w:rFonts w:ascii="Times New Roman" w:hAnsi="Times New Roman" w:cs="Times New Roman"/>
          <w:sz w:val="24"/>
          <w:szCs w:val="24"/>
          <w:lang w:val="zh-CN"/>
        </w:rPr>
        <w:t xml:space="preserve">teritoriu special sau o construcție specială, amenajat și </w:t>
      </w:r>
      <w:r>
        <w:rPr>
          <w:rFonts w:ascii="Times New Roman" w:hAnsi="Times New Roman" w:eastAsia="Calibri" w:cs="Times New Roman"/>
          <w:sz w:val="24"/>
          <w:szCs w:val="24"/>
          <w:lang w:val="zh-CN"/>
        </w:rPr>
        <w:t>semnalizat prin indicatoare rutiere și care este delimitat prin elemente de infrastructură de partea carosabilă a drumului sau de restul domeniului public și privat, destinat</w:t>
      </w:r>
      <w:r>
        <w:rPr>
          <w:rFonts w:ascii="Times New Roman" w:hAnsi="Times New Roman" w:cs="Times New Roman"/>
          <w:sz w:val="24"/>
          <w:szCs w:val="24"/>
          <w:lang w:val="zh-CN"/>
        </w:rPr>
        <w:t xml:space="preserve"> pentru gararea și păstrarea autovehiculelor, precum și prestarea serviciilor aferente contra plată utilizatorilor;</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parcare</w:t>
      </w:r>
      <w:r>
        <w:rPr>
          <w:rFonts w:ascii="Times New Roman" w:hAnsi="Times New Roman" w:eastAsia="Calibri" w:cs="Times New Roman"/>
          <w:b/>
          <w:bCs/>
          <w:i/>
          <w:iCs/>
          <w:sz w:val="24"/>
          <w:szCs w:val="24"/>
          <w:lang w:val="zh-CN"/>
        </w:rPr>
        <w:t xml:space="preserve"> privată cu plată </w:t>
      </w:r>
      <w:r>
        <w:rPr>
          <w:rFonts w:ascii="Times New Roman" w:hAnsi="Times New Roman" w:eastAsia="Calibri" w:cs="Times New Roman"/>
          <w:sz w:val="24"/>
          <w:szCs w:val="24"/>
          <w:lang w:val="zh-CN"/>
        </w:rPr>
        <w:t>- parcare amenajată în condițiile prezentului Regulament, pe un teren sau într-un spațiu proprietate privată, sau asupra căruia există un drept de folosință acordat prin contract sau prin decizia Consiliul municipal Chișinău, pentru folosirea căreia utilizatorii achită plata pentru parcare, stabilită de administratorul acesteia;</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parcare publică cu plată</w:t>
      </w:r>
      <w:r>
        <w:rPr>
          <w:rFonts w:ascii="Times New Roman" w:hAnsi="Times New Roman" w:eastAsia="Calibri" w:cs="Times New Roman"/>
          <w:sz w:val="24"/>
          <w:szCs w:val="24"/>
          <w:lang w:val="zh-CN"/>
        </w:rPr>
        <w:t xml:space="preserve"> – parcare amenajată în condițiile prezentului regulament, pe terenul ce aparține domeniului public/privat al municipiului Chișinău,  pentru folosirea căreia utilizatorii achită un tarif de parcare, aprobat de către Consiliul municipal Chișinău;</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parcare publică de tip PARK&amp;RIDE</w:t>
      </w:r>
      <w:r>
        <w:rPr>
          <w:rFonts w:ascii="Times New Roman" w:hAnsi="Times New Roman" w:eastAsia="Calibri" w:cs="Times New Roman"/>
          <w:i/>
          <w:sz w:val="24"/>
          <w:szCs w:val="24"/>
          <w:lang w:val="zh-CN"/>
        </w:rPr>
        <w:t xml:space="preserve"> </w:t>
      </w:r>
      <w:r>
        <w:rPr>
          <w:rFonts w:ascii="Times New Roman" w:hAnsi="Times New Roman" w:eastAsia="Calibri" w:cs="Times New Roman"/>
          <w:sz w:val="24"/>
          <w:szCs w:val="24"/>
          <w:lang w:val="zh-CN"/>
        </w:rPr>
        <w:t>–  parcare situată pe terenul ce aparține domeniului public/privat al municipiului Chișinău, în imediată vecinătate cu stația transportului public, destinată staționării autovehiculelor pe o anumită perioadă de timp, care activează în regim special în condițiile prezentului Regulament, pentru folosirea căreia utilizatorii achită un tarif de parcare, aprobat de către Consiliul municipal Chișinău;</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parcomat</w:t>
      </w:r>
      <w:r>
        <w:rPr>
          <w:rFonts w:ascii="Times New Roman" w:hAnsi="Times New Roman" w:eastAsia="Calibri" w:cs="Times New Roman"/>
          <w:i/>
          <w:iCs/>
          <w:sz w:val="24"/>
          <w:szCs w:val="24"/>
          <w:lang w:val="zh-CN"/>
        </w:rPr>
        <w:t xml:space="preserve"> – </w:t>
      </w:r>
      <w:r>
        <w:rPr>
          <w:rFonts w:ascii="Times New Roman" w:hAnsi="Times New Roman" w:eastAsia="Calibri" w:cs="Times New Roman"/>
          <w:sz w:val="24"/>
          <w:szCs w:val="24"/>
          <w:lang w:val="zh-CN"/>
        </w:rPr>
        <w:t>este un dispozitiv, integrat în sistemul electronic de management al parcărilor și parcajelor, care este amplasat în adiacentul blocurilor de parcaje cu plată și asigură emiterea tichetului de parcaj și încasarea plăților;</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 xml:space="preserve">registrul public al parcărilor și parcajelor </w:t>
      </w:r>
      <w:r>
        <w:rPr>
          <w:rFonts w:ascii="Times New Roman" w:hAnsi="Times New Roman" w:eastAsia="Calibri" w:cs="Times New Roman"/>
          <w:sz w:val="24"/>
          <w:szCs w:val="24"/>
          <w:lang w:val="zh-CN"/>
        </w:rPr>
        <w:t>–  reprezintă un înscris oficial, aflat în gestiunea autorității competente în domeniul gestionării parcărilor și parcajelor, care include totalitatea parcărilor și parcajelor din municipiului Chișinău, și informațiile de interes public aferente acestora;</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bCs/>
          <w:i/>
          <w:iCs/>
          <w:sz w:val="24"/>
          <w:szCs w:val="24"/>
          <w:lang w:val="zh-CN"/>
        </w:rPr>
        <w:t>sediu</w:t>
      </w:r>
      <w:r>
        <w:rPr>
          <w:rFonts w:ascii="Times New Roman" w:hAnsi="Times New Roman" w:eastAsia="Calibri" w:cs="Times New Roman"/>
          <w:i/>
          <w:sz w:val="24"/>
          <w:szCs w:val="24"/>
          <w:lang w:val="zh-CN"/>
        </w:rPr>
        <w:t xml:space="preserve"> – </w:t>
      </w:r>
      <w:r>
        <w:rPr>
          <w:rFonts w:ascii="Times New Roman" w:hAnsi="Times New Roman" w:eastAsia="Calibri" w:cs="Times New Roman"/>
          <w:sz w:val="24"/>
          <w:szCs w:val="24"/>
          <w:lang w:val="zh-CN"/>
        </w:rPr>
        <w:t>locul unde persoana juridică își desfășoară activitatea, conform actelor confirmative.</w:t>
      </w:r>
    </w:p>
    <w:p>
      <w:pPr>
        <w:pStyle w:val="23"/>
        <w:spacing w:after="0" w:line="240" w:lineRule="auto"/>
        <w:ind w:left="0" w:firstLine="426"/>
        <w:contextualSpacing w:val="0"/>
        <w:jc w:val="both"/>
        <w:rPr>
          <w:rFonts w:ascii="Times New Roman" w:hAnsi="Times New Roman" w:eastAsia="Calibri" w:cs="Times New Roman"/>
          <w:i/>
          <w:iCs/>
          <w:sz w:val="24"/>
          <w:szCs w:val="24"/>
          <w:lang w:val="zh-CN"/>
        </w:rPr>
      </w:pPr>
      <w:bookmarkStart w:id="10" w:name="_Hlk164263835"/>
      <w:r>
        <w:rPr>
          <w:rFonts w:ascii="Times New Roman" w:hAnsi="Times New Roman" w:eastAsia="Calibri" w:cs="Times New Roman"/>
          <w:b/>
          <w:i/>
          <w:sz w:val="24"/>
          <w:szCs w:val="24"/>
          <w:lang w:val="zh-CN"/>
        </w:rPr>
        <w:t>sistem</w:t>
      </w:r>
      <w:r>
        <w:rPr>
          <w:rFonts w:ascii="Times New Roman" w:hAnsi="Times New Roman" w:eastAsia="Calibri" w:cs="Times New Roman"/>
          <w:b/>
          <w:bCs/>
          <w:i/>
          <w:iCs/>
          <w:sz w:val="24"/>
          <w:szCs w:val="24"/>
          <w:lang w:val="zh-CN"/>
        </w:rPr>
        <w:t xml:space="preserve"> de control și evidența a accesului </w:t>
      </w:r>
      <w:bookmarkEnd w:id="10"/>
      <w:r>
        <w:rPr>
          <w:rFonts w:ascii="Times New Roman" w:hAnsi="Times New Roman" w:eastAsia="Calibri" w:cs="Times New Roman"/>
          <w:sz w:val="24"/>
          <w:szCs w:val="24"/>
          <w:lang w:val="zh-CN"/>
        </w:rPr>
        <w:t>– este un ansamblu de dispozitive automatizate, integrat în sistemul electronic de management al parcărilor și parcajelor, instalat la intrările și ieșirile din parcări, care asigură evidența și controlul intrărilor/ieșirilor a autovehiculelor, timpului de staționare/parcare,  emiterea tichetului de parcare și încasarea plăților</w:t>
      </w:r>
      <w:r>
        <w:rPr>
          <w:rFonts w:ascii="Times New Roman" w:hAnsi="Times New Roman" w:eastAsia="Calibri" w:cs="Times New Roman"/>
          <w:i/>
          <w:iCs/>
          <w:sz w:val="24"/>
          <w:szCs w:val="24"/>
          <w:lang w:val="zh-CN"/>
        </w:rPr>
        <w:t xml:space="preserve">. </w:t>
      </w:r>
    </w:p>
    <w:p>
      <w:pPr>
        <w:pStyle w:val="23"/>
        <w:spacing w:after="0" w:line="240" w:lineRule="auto"/>
        <w:ind w:left="0" w:firstLine="426"/>
        <w:contextualSpacing w:val="0"/>
        <w:jc w:val="both"/>
        <w:rPr>
          <w:rFonts w:ascii="Times New Roman" w:hAnsi="Times New Roman" w:eastAsia="Calibri" w:cs="Times New Roman"/>
          <w:sz w:val="24"/>
          <w:szCs w:val="24"/>
          <w:lang w:val="zh-CN"/>
        </w:rPr>
      </w:pPr>
      <w:bookmarkStart w:id="11" w:name="_Hlk171429658"/>
      <w:r>
        <w:rPr>
          <w:rFonts w:ascii="Times New Roman" w:hAnsi="Times New Roman" w:eastAsia="Calibri" w:cs="Times New Roman"/>
          <w:b/>
          <w:i/>
          <w:sz w:val="24"/>
          <w:szCs w:val="24"/>
          <w:lang w:val="zh-CN"/>
        </w:rPr>
        <w:t>sistemul electronic de management al parcărilor și parcajelor</w:t>
      </w:r>
      <w:r>
        <w:rPr>
          <w:rFonts w:ascii="Times New Roman" w:hAnsi="Times New Roman" w:eastAsia="Calibri" w:cs="Times New Roman"/>
          <w:sz w:val="24"/>
          <w:szCs w:val="24"/>
          <w:lang w:val="zh-CN"/>
        </w:rPr>
        <w:t xml:space="preserve"> </w:t>
      </w:r>
      <w:bookmarkEnd w:id="11"/>
      <w:r>
        <w:rPr>
          <w:rFonts w:ascii="Times New Roman" w:hAnsi="Times New Roman" w:eastAsia="Calibri" w:cs="Times New Roman"/>
          <w:sz w:val="24"/>
          <w:szCs w:val="24"/>
          <w:lang w:val="zh-CN"/>
        </w:rPr>
        <w:t>– este un ansamblu al sistemelor informaționale, gestionat de către administrator, ce asigură evidența, monitorizarea procesului de exploatare a parcărilor și parcajelor, încasarea plăților, asigurarea accesibilității și informării utilizatorilor;</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 xml:space="preserve">tarif </w:t>
      </w:r>
      <w:r>
        <w:rPr>
          <w:rFonts w:ascii="Times New Roman" w:hAnsi="Times New Roman" w:eastAsia="Calibri" w:cs="Times New Roman"/>
          <w:sz w:val="24"/>
          <w:szCs w:val="24"/>
          <w:lang w:val="zh-CN"/>
        </w:rPr>
        <w:t>– reprezintă plata pentru utilizarea, unui loc anumit de parcare sau a unui parcaj într-o unitate de timp;</w:t>
      </w:r>
    </w:p>
    <w:p>
      <w:pPr>
        <w:pStyle w:val="23"/>
        <w:spacing w:after="0" w:line="240" w:lineRule="auto"/>
        <w:ind w:left="0" w:firstLine="426"/>
        <w:contextualSpacing w:val="0"/>
        <w:jc w:val="both"/>
        <w:rPr>
          <w:rFonts w:ascii="Times New Roman" w:hAnsi="Times New Roman" w:cs="Times New Roman"/>
          <w:sz w:val="24"/>
          <w:szCs w:val="24"/>
          <w:lang w:val="zh-CN"/>
        </w:rPr>
      </w:pPr>
      <w:r>
        <w:rPr>
          <w:rFonts w:ascii="Times New Roman" w:hAnsi="Times New Roman" w:eastAsia="Calibri" w:cs="Times New Roman"/>
          <w:b/>
          <w:i/>
          <w:sz w:val="24"/>
          <w:szCs w:val="24"/>
          <w:lang w:val="zh-CN"/>
        </w:rPr>
        <w:t>tichet de parcaj</w:t>
      </w:r>
      <w:r>
        <w:rPr>
          <w:rFonts w:ascii="Times New Roman" w:hAnsi="Times New Roman" w:eastAsia="Calibri" w:cs="Times New Roman"/>
          <w:sz w:val="24"/>
          <w:szCs w:val="24"/>
          <w:lang w:val="zh-CN"/>
        </w:rPr>
        <w:t xml:space="preserve"> –</w:t>
      </w:r>
      <w:r>
        <w:rPr>
          <w:rFonts w:ascii="Times New Roman" w:hAnsi="Times New Roman" w:cs="Times New Roman"/>
          <w:sz w:val="24"/>
          <w:szCs w:val="24"/>
          <w:lang w:val="zh-CN"/>
        </w:rPr>
        <w:t xml:space="preserve"> document ce atestă plata tarifului pe o perioadă determinată, care oferă Utilizatorului dreptul să staționeze autoturismul într-un anumit parcaj,  pentru perioada solicitată;</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tichet</w:t>
      </w:r>
      <w:r>
        <w:rPr>
          <w:rFonts w:ascii="Times New Roman" w:hAnsi="Times New Roman" w:cs="Times New Roman"/>
          <w:b/>
          <w:bCs/>
          <w:i/>
          <w:iCs/>
          <w:sz w:val="24"/>
          <w:szCs w:val="24"/>
          <w:lang w:val="zh-CN"/>
        </w:rPr>
        <w:t xml:space="preserve"> de parcare </w:t>
      </w:r>
      <w:r>
        <w:rPr>
          <w:rFonts w:ascii="Times New Roman" w:hAnsi="Times New Roman" w:cs="Times New Roman"/>
          <w:sz w:val="24"/>
          <w:szCs w:val="24"/>
          <w:lang w:val="zh-CN"/>
        </w:rPr>
        <w:t>– document emis de utilaj special de evidență control al accesului, ce atestă accesarea de către utilizator a parcării publice cu plată, care fixează începutul perioadei de parcare și determină achitarea tarifului la ieșirea din parcare;</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utilizarea</w:t>
      </w:r>
      <w:r>
        <w:rPr>
          <w:rFonts w:ascii="Times New Roman" w:hAnsi="Times New Roman" w:eastAsia="Calibri" w:cs="Times New Roman"/>
          <w:b/>
          <w:bCs/>
          <w:i/>
          <w:iCs/>
          <w:sz w:val="24"/>
          <w:szCs w:val="24"/>
          <w:lang w:val="zh-CN"/>
        </w:rPr>
        <w:t xml:space="preserve"> Parcărilor și parcajelor publice cu plată</w:t>
      </w:r>
      <w:r>
        <w:rPr>
          <w:rFonts w:ascii="Times New Roman" w:hAnsi="Times New Roman" w:eastAsia="Calibri" w:cs="Times New Roman"/>
          <w:sz w:val="24"/>
          <w:szCs w:val="24"/>
          <w:lang w:val="zh-CN"/>
        </w:rPr>
        <w:t xml:space="preserve"> – totalitatea acțiunilor întreprinse de utilizator în vederea accesării parcărilor și parcajelor publice cu plată în condițiile prezentului Regulament.</w:t>
      </w:r>
    </w:p>
    <w:p>
      <w:pPr>
        <w:pStyle w:val="23"/>
        <w:spacing w:after="0" w:line="240" w:lineRule="auto"/>
        <w:ind w:left="0" w:firstLine="426"/>
        <w:contextualSpacing w:val="0"/>
        <w:jc w:val="both"/>
        <w:rPr>
          <w:rFonts w:ascii="Times New Roman" w:hAnsi="Times New Roman" w:eastAsia="Calibri" w:cs="Times New Roman"/>
          <w:sz w:val="24"/>
          <w:szCs w:val="24"/>
          <w:lang w:val="zh-CN"/>
        </w:rPr>
      </w:pPr>
      <w:r>
        <w:rPr>
          <w:rFonts w:ascii="Times New Roman" w:hAnsi="Times New Roman" w:eastAsia="Calibri" w:cs="Times New Roman"/>
          <w:b/>
          <w:i/>
          <w:sz w:val="24"/>
          <w:szCs w:val="24"/>
          <w:lang w:val="zh-CN"/>
        </w:rPr>
        <w:t>utilizator</w:t>
      </w:r>
      <w:r>
        <w:rPr>
          <w:rFonts w:ascii="Times New Roman" w:hAnsi="Times New Roman" w:eastAsia="Calibri" w:cs="Times New Roman"/>
          <w:i/>
          <w:sz w:val="24"/>
          <w:szCs w:val="24"/>
          <w:lang w:val="zh-CN"/>
        </w:rPr>
        <w:t xml:space="preserve"> </w:t>
      </w:r>
      <w:r>
        <w:rPr>
          <w:rFonts w:ascii="Times New Roman" w:hAnsi="Times New Roman" w:eastAsia="Calibri" w:cs="Times New Roman"/>
          <w:sz w:val="24"/>
          <w:szCs w:val="24"/>
          <w:lang w:val="zh-CN"/>
        </w:rPr>
        <w:t xml:space="preserve"> – persoană fizică sau juridică care accesează și utilizează parcajul public cu plată sau locul în parcarea publică cu plată, în condițiile prezentului Regulament; </w:t>
      </w:r>
    </w:p>
    <w:bookmarkEnd w:id="6"/>
    <w:p>
      <w:pPr>
        <w:pStyle w:val="23"/>
        <w:spacing w:after="0" w:line="240" w:lineRule="auto"/>
        <w:ind w:left="1134"/>
        <w:jc w:val="both"/>
        <w:rPr>
          <w:rFonts w:ascii="Times New Roman" w:hAnsi="Times New Roman" w:cs="Times New Roman"/>
          <w:bCs/>
          <w:sz w:val="24"/>
          <w:szCs w:val="24"/>
          <w:lang w:val="zh-CN"/>
        </w:rPr>
      </w:pPr>
    </w:p>
    <w:p>
      <w:pPr>
        <w:pStyle w:val="2"/>
        <w:spacing w:before="0" w:line="240" w:lineRule="auto"/>
        <w:jc w:val="center"/>
        <w:rPr>
          <w:rFonts w:ascii="Times New Roman" w:hAnsi="Times New Roman" w:eastAsia="Calibri" w:cs="Times New Roman"/>
          <w:b/>
          <w:bCs/>
          <w:color w:val="auto"/>
          <w:sz w:val="24"/>
          <w:szCs w:val="24"/>
          <w:lang w:val="zh-CN"/>
        </w:rPr>
      </w:pPr>
      <w:bookmarkStart w:id="12" w:name="_Toc164638746"/>
      <w:bookmarkStart w:id="13" w:name="_Hlk166051489"/>
      <w:bookmarkStart w:id="14" w:name="_Toc164640864"/>
      <w:r>
        <w:rPr>
          <w:rFonts w:ascii="Times New Roman" w:hAnsi="Times New Roman" w:eastAsia="Calibri" w:cs="Times New Roman"/>
          <w:b/>
          <w:bCs/>
          <w:color w:val="auto"/>
          <w:sz w:val="24"/>
          <w:szCs w:val="24"/>
          <w:lang w:val="zh-CN"/>
        </w:rPr>
        <w:t>CAPITOLUL II.</w:t>
      </w:r>
      <w:bookmarkEnd w:id="12"/>
      <w:r>
        <w:rPr>
          <w:rFonts w:ascii="Times New Roman" w:hAnsi="Times New Roman" w:eastAsia="Calibri" w:cs="Times New Roman"/>
          <w:b/>
          <w:bCs/>
          <w:color w:val="auto"/>
          <w:sz w:val="24"/>
          <w:szCs w:val="24"/>
          <w:lang w:val="zh-CN"/>
        </w:rPr>
        <w:t xml:space="preserve"> </w:t>
      </w:r>
      <w:bookmarkEnd w:id="13"/>
      <w:bookmarkStart w:id="15" w:name="_Toc164638747"/>
      <w:r>
        <w:rPr>
          <w:rFonts w:ascii="Times New Roman" w:hAnsi="Times New Roman" w:eastAsia="Calibri" w:cs="Times New Roman"/>
          <w:b/>
          <w:bCs/>
          <w:color w:val="auto"/>
          <w:sz w:val="24"/>
          <w:szCs w:val="24"/>
          <w:lang w:val="zh-CN"/>
        </w:rPr>
        <w:t>Clasificarea, zonele de parcare, Registrul public al parcărilor și parcajelor și Sistemul electronic de management al parcărilor și parcajelor</w:t>
      </w:r>
      <w:bookmarkEnd w:id="14"/>
      <w:bookmarkEnd w:id="15"/>
    </w:p>
    <w:p>
      <w:pPr>
        <w:spacing w:after="0" w:line="240" w:lineRule="auto"/>
        <w:ind w:firstLine="426"/>
        <w:jc w:val="center"/>
        <w:rPr>
          <w:rFonts w:ascii="Times New Roman" w:hAnsi="Times New Roman" w:eastAsia="Calibri" w:cs="Times New Roman"/>
          <w:b/>
          <w:sz w:val="24"/>
          <w:szCs w:val="24"/>
          <w:lang w:val="zh-CN"/>
        </w:rPr>
      </w:pPr>
    </w:p>
    <w:p>
      <w:pPr>
        <w:pStyle w:val="3"/>
        <w:spacing w:before="0" w:line="240" w:lineRule="auto"/>
        <w:ind w:left="426"/>
        <w:jc w:val="center"/>
        <w:rPr>
          <w:rFonts w:ascii="Times New Roman" w:hAnsi="Times New Roman" w:eastAsia="Calibri" w:cs="Times New Roman"/>
          <w:b/>
          <w:bCs/>
          <w:color w:val="auto"/>
          <w:sz w:val="24"/>
          <w:szCs w:val="24"/>
          <w:lang w:val="zh-CN"/>
        </w:rPr>
      </w:pPr>
      <w:bookmarkStart w:id="16" w:name="_Hlk162274889"/>
      <w:bookmarkStart w:id="17" w:name="_Toc164640865"/>
      <w:r>
        <w:rPr>
          <w:rFonts w:ascii="Times New Roman" w:hAnsi="Times New Roman" w:eastAsia="Calibri" w:cs="Times New Roman"/>
          <w:b/>
          <w:bCs/>
          <w:color w:val="auto"/>
          <w:sz w:val="24"/>
          <w:szCs w:val="24"/>
          <w:lang w:val="zh-CN"/>
        </w:rPr>
        <w:t>Secțiunea 3. Clasificarea parcărilor</w:t>
      </w:r>
      <w:bookmarkEnd w:id="16"/>
      <w:r>
        <w:rPr>
          <w:rFonts w:ascii="Times New Roman" w:hAnsi="Times New Roman" w:eastAsia="Calibri" w:cs="Times New Roman"/>
          <w:b/>
          <w:bCs/>
          <w:color w:val="auto"/>
          <w:sz w:val="24"/>
          <w:szCs w:val="24"/>
          <w:lang w:val="zh-CN"/>
        </w:rPr>
        <w:t xml:space="preserve"> și parcajelor</w:t>
      </w:r>
      <w:bookmarkEnd w:id="17"/>
    </w:p>
    <w:p>
      <w:pPr>
        <w:spacing w:after="0" w:line="240" w:lineRule="auto"/>
        <w:jc w:val="both"/>
        <w:rPr>
          <w:rFonts w:ascii="Times New Roman" w:hAnsi="Times New Roman" w:eastAsia="Calibri" w:cs="Times New Roman"/>
          <w:bCs/>
          <w:iCs/>
          <w:sz w:val="24"/>
          <w:szCs w:val="24"/>
          <w:u w:val="single"/>
          <w:lang w:val="zh-CN"/>
        </w:rPr>
      </w:pPr>
      <w:r>
        <w:rPr>
          <w:rFonts w:ascii="Times New Roman" w:hAnsi="Times New Roman" w:eastAsia="Calibri" w:cs="Times New Roman"/>
          <w:b/>
          <w:bCs/>
          <w:iCs/>
          <w:sz w:val="24"/>
          <w:szCs w:val="24"/>
          <w:lang w:val="zh-CN"/>
        </w:rPr>
        <w:t xml:space="preserve">      </w:t>
      </w:r>
      <w:r>
        <w:rPr>
          <w:rFonts w:ascii="Times New Roman" w:hAnsi="Times New Roman" w:eastAsia="Calibri" w:cs="Times New Roman"/>
          <w:iCs/>
          <w:sz w:val="24"/>
          <w:szCs w:val="24"/>
          <w:lang w:val="zh-CN"/>
        </w:rPr>
        <w:t>5.</w:t>
      </w:r>
      <w:r>
        <w:rPr>
          <w:rFonts w:ascii="Times New Roman" w:hAnsi="Times New Roman" w:eastAsia="Calibri" w:cs="Times New Roman"/>
          <w:b/>
          <w:bCs/>
          <w:iCs/>
          <w:sz w:val="24"/>
          <w:szCs w:val="24"/>
          <w:lang w:val="zh-CN"/>
        </w:rPr>
        <w:t xml:space="preserve"> </w:t>
      </w:r>
      <w:r>
        <w:rPr>
          <w:rFonts w:ascii="Times New Roman" w:hAnsi="Times New Roman" w:eastAsia="Calibri" w:cs="Times New Roman"/>
          <w:bCs/>
          <w:iCs/>
          <w:sz w:val="24"/>
          <w:szCs w:val="24"/>
          <w:lang w:val="zh-CN"/>
        </w:rPr>
        <w:t xml:space="preserve">Parcările se clasifică în următoarele tipuri în dependență de: </w:t>
      </w:r>
      <w:bookmarkStart w:id="18" w:name="_Hlk162507161"/>
      <w:r>
        <w:rPr>
          <w:rFonts w:ascii="Times New Roman" w:hAnsi="Times New Roman" w:eastAsia="Calibri" w:cs="Times New Roman"/>
          <w:bCs/>
          <w:iCs/>
          <w:sz w:val="24"/>
          <w:szCs w:val="24"/>
          <w:lang w:val="zh-CN"/>
        </w:rPr>
        <w:t>modul de organizare, modul de funcționare, amplasare,</w:t>
      </w:r>
      <w:bookmarkEnd w:id="18"/>
      <w:r>
        <w:rPr>
          <w:rFonts w:ascii="Times New Roman" w:hAnsi="Times New Roman" w:eastAsia="Calibri" w:cs="Times New Roman"/>
          <w:bCs/>
          <w:iCs/>
          <w:sz w:val="24"/>
          <w:szCs w:val="24"/>
          <w:lang w:val="zh-CN"/>
        </w:rPr>
        <w:t xml:space="preserve"> dreptul de proprietate:</w:t>
      </w:r>
    </w:p>
    <w:p>
      <w:pPr>
        <w:pStyle w:val="23"/>
        <w:numPr>
          <w:ilvl w:val="1"/>
          <w:numId w:val="1"/>
        </w:numPr>
        <w:tabs>
          <w:tab w:val="left" w:pos="993"/>
        </w:tabs>
        <w:spacing w:after="0" w:line="240" w:lineRule="auto"/>
        <w:ind w:left="0"/>
        <w:jc w:val="both"/>
        <w:rPr>
          <w:rFonts w:ascii="Times New Roman" w:hAnsi="Times New Roman" w:cs="Times New Roman"/>
          <w:b/>
          <w:sz w:val="24"/>
          <w:szCs w:val="24"/>
          <w:lang w:val="zh-CN"/>
        </w:rPr>
      </w:pPr>
      <w:r>
        <w:rPr>
          <w:rFonts w:ascii="Times New Roman" w:hAnsi="Times New Roman" w:cs="Times New Roman"/>
          <w:b/>
          <w:sz w:val="24"/>
          <w:szCs w:val="24"/>
          <w:lang w:val="zh-CN"/>
        </w:rPr>
        <w:t>parcare publică cu plată;</w:t>
      </w:r>
    </w:p>
    <w:p>
      <w:pPr>
        <w:pStyle w:val="23"/>
        <w:numPr>
          <w:ilvl w:val="1"/>
          <w:numId w:val="1"/>
        </w:numPr>
        <w:tabs>
          <w:tab w:val="left" w:pos="993"/>
        </w:tabs>
        <w:spacing w:after="0" w:line="240" w:lineRule="auto"/>
        <w:ind w:left="0"/>
        <w:jc w:val="both"/>
        <w:rPr>
          <w:rFonts w:ascii="Times New Roman" w:hAnsi="Times New Roman" w:cs="Times New Roman"/>
          <w:b/>
          <w:sz w:val="24"/>
          <w:szCs w:val="24"/>
          <w:lang w:val="zh-CN"/>
        </w:rPr>
      </w:pPr>
      <w:bookmarkStart w:id="19" w:name="_Hlk162509492"/>
      <w:r>
        <w:rPr>
          <w:rFonts w:ascii="Times New Roman" w:hAnsi="Times New Roman" w:cs="Times New Roman"/>
          <w:b/>
          <w:sz w:val="24"/>
          <w:szCs w:val="24"/>
          <w:lang w:val="zh-CN"/>
        </w:rPr>
        <w:t>parcare publică de tip PARK&amp;RIDE;</w:t>
      </w:r>
    </w:p>
    <w:bookmarkEnd w:id="19"/>
    <w:p>
      <w:pPr>
        <w:pStyle w:val="23"/>
        <w:numPr>
          <w:ilvl w:val="1"/>
          <w:numId w:val="1"/>
        </w:numPr>
        <w:tabs>
          <w:tab w:val="left" w:pos="993"/>
        </w:tabs>
        <w:spacing w:after="0" w:line="240" w:lineRule="auto"/>
        <w:ind w:left="0"/>
        <w:jc w:val="both"/>
        <w:rPr>
          <w:rFonts w:ascii="Times New Roman" w:hAnsi="Times New Roman" w:cs="Times New Roman"/>
          <w:b/>
          <w:sz w:val="24"/>
          <w:szCs w:val="24"/>
          <w:lang w:val="zh-CN"/>
        </w:rPr>
      </w:pPr>
      <w:r>
        <w:rPr>
          <w:rFonts w:ascii="Times New Roman" w:hAnsi="Times New Roman" w:cs="Times New Roman"/>
          <w:b/>
          <w:sz w:val="24"/>
          <w:szCs w:val="24"/>
          <w:lang w:val="zh-CN"/>
        </w:rPr>
        <w:t>parcare privată cu plată;</w:t>
      </w:r>
    </w:p>
    <w:p>
      <w:pPr>
        <w:spacing w:after="0" w:line="240" w:lineRule="auto"/>
        <w:jc w:val="both"/>
        <w:rPr>
          <w:rFonts w:ascii="Times New Roman" w:hAnsi="Times New Roman" w:eastAsia="Calibri" w:cs="Times New Roman"/>
          <w:bCs/>
          <w:sz w:val="24"/>
          <w:szCs w:val="24"/>
          <w:lang w:val="zh-CN"/>
        </w:rPr>
      </w:pPr>
      <w:r>
        <w:rPr>
          <w:rFonts w:ascii="Times New Roman" w:hAnsi="Times New Roman" w:eastAsia="Calibri" w:cs="Times New Roman"/>
          <w:b/>
          <w:bCs/>
          <w:sz w:val="24"/>
          <w:szCs w:val="24"/>
          <w:lang w:val="zh-CN"/>
        </w:rPr>
        <w:t xml:space="preserve">      </w:t>
      </w:r>
      <w:r>
        <w:rPr>
          <w:rFonts w:ascii="Times New Roman" w:hAnsi="Times New Roman" w:eastAsia="Calibri" w:cs="Times New Roman"/>
          <w:sz w:val="24"/>
          <w:szCs w:val="24"/>
          <w:lang w:val="zh-CN"/>
        </w:rPr>
        <w:t>6.</w:t>
      </w:r>
      <w:r>
        <w:rPr>
          <w:rFonts w:ascii="Times New Roman" w:hAnsi="Times New Roman" w:eastAsia="Calibri" w:cs="Times New Roman"/>
          <w:bCs/>
          <w:sz w:val="24"/>
          <w:szCs w:val="24"/>
          <w:lang w:val="zh-CN"/>
        </w:rPr>
        <w:t xml:space="preserve"> Parcaje se clasifică în următoarele tipuri în dependență de: modul de organizare, modul de funcționare, amplasare, regimul de activitate:</w:t>
      </w:r>
    </w:p>
    <w:p>
      <w:pPr>
        <w:pStyle w:val="23"/>
        <w:numPr>
          <w:ilvl w:val="0"/>
          <w:numId w:val="2"/>
        </w:numPr>
        <w:tabs>
          <w:tab w:val="left" w:pos="993"/>
        </w:tabs>
        <w:spacing w:after="0" w:line="24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 xml:space="preserve">parcaj public cu plată; </w:t>
      </w:r>
    </w:p>
    <w:p>
      <w:pPr>
        <w:pStyle w:val="23"/>
        <w:numPr>
          <w:ilvl w:val="0"/>
          <w:numId w:val="2"/>
        </w:numPr>
        <w:tabs>
          <w:tab w:val="left" w:pos="993"/>
        </w:tabs>
        <w:spacing w:after="0" w:line="24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parcaj rezervat;</w:t>
      </w:r>
    </w:p>
    <w:p>
      <w:pPr>
        <w:pStyle w:val="3"/>
        <w:spacing w:before="0" w:line="240" w:lineRule="auto"/>
        <w:ind w:left="426"/>
        <w:rPr>
          <w:rFonts w:ascii="Times New Roman" w:hAnsi="Times New Roman" w:eastAsia="Calibri" w:cs="Times New Roman"/>
          <w:b/>
          <w:bCs/>
          <w:color w:val="auto"/>
          <w:sz w:val="24"/>
          <w:szCs w:val="24"/>
          <w:lang w:val="zh-CN"/>
        </w:rPr>
      </w:pPr>
      <w:bookmarkStart w:id="20" w:name="_Toc164640866"/>
    </w:p>
    <w:p>
      <w:pPr>
        <w:pStyle w:val="3"/>
        <w:spacing w:before="0" w:line="240" w:lineRule="auto"/>
        <w:jc w:val="center"/>
        <w:rPr>
          <w:rFonts w:ascii="Times New Roman" w:hAnsi="Times New Roman" w:eastAsia="Calibri" w:cs="Times New Roman"/>
          <w:b/>
          <w:bCs/>
          <w:color w:val="auto"/>
          <w:sz w:val="24"/>
          <w:szCs w:val="24"/>
          <w:lang w:val="zh-CN"/>
        </w:rPr>
      </w:pPr>
      <w:r>
        <w:rPr>
          <w:rFonts w:ascii="Times New Roman" w:hAnsi="Times New Roman" w:eastAsia="Calibri" w:cs="Times New Roman"/>
          <w:b/>
          <w:color w:val="auto"/>
          <w:sz w:val="24"/>
          <w:szCs w:val="24"/>
          <w:lang w:val="zh-CN"/>
        </w:rPr>
        <w:t>Secțiunea</w:t>
      </w:r>
      <w:r>
        <w:rPr>
          <w:rFonts w:ascii="Times New Roman" w:hAnsi="Times New Roman" w:eastAsia="Calibri" w:cs="Times New Roman"/>
          <w:b/>
          <w:bCs/>
          <w:color w:val="auto"/>
          <w:sz w:val="24"/>
          <w:szCs w:val="24"/>
          <w:lang w:val="zh-CN"/>
        </w:rPr>
        <w:t xml:space="preserve"> 4. Zonele de parcare</w:t>
      </w:r>
      <w:bookmarkEnd w:id="20"/>
    </w:p>
    <w:p>
      <w:pPr>
        <w:tabs>
          <w:tab w:val="left" w:pos="851"/>
          <w:tab w:val="left" w:pos="993"/>
        </w:tabs>
        <w:spacing w:after="0" w:line="240" w:lineRule="auto"/>
        <w:jc w:val="both"/>
        <w:rPr>
          <w:rFonts w:ascii="Times New Roman" w:hAnsi="Times New Roman" w:cs="Times New Roman"/>
          <w:sz w:val="24"/>
          <w:szCs w:val="24"/>
          <w:lang w:val="zh-CN"/>
        </w:rPr>
      </w:pPr>
      <w:r>
        <w:rPr>
          <w:rFonts w:ascii="Times New Roman" w:hAnsi="Times New Roman" w:cs="Times New Roman"/>
          <w:bCs/>
          <w:sz w:val="24"/>
          <w:szCs w:val="24"/>
          <w:lang w:val="zh-CN"/>
        </w:rPr>
        <w:t xml:space="preserve">     7.</w:t>
      </w:r>
      <w:r>
        <w:rPr>
          <w:rFonts w:ascii="Times New Roman" w:hAnsi="Times New Roman" w:cs="Times New Roman"/>
          <w:sz w:val="24"/>
          <w:szCs w:val="24"/>
          <w:lang w:val="zh-CN"/>
        </w:rPr>
        <w:t xml:space="preserve"> În municipiul Chișinău luând la bază principiul de degajare a fluxului de circulație a autovehiculelor din centrul orașului și încurajarea folosirii de către cetățeni a transportului public, se stabilesc </w:t>
      </w:r>
      <w:r>
        <w:rPr>
          <w:rFonts w:ascii="Times New Roman" w:hAnsi="Times New Roman" w:cs="Times New Roman"/>
          <w:b/>
          <w:bCs/>
          <w:sz w:val="24"/>
          <w:szCs w:val="24"/>
          <w:lang w:val="zh-CN"/>
        </w:rPr>
        <w:t>3 Zone</w:t>
      </w:r>
      <w:r>
        <w:rPr>
          <w:rFonts w:ascii="Times New Roman" w:hAnsi="Times New Roman" w:cs="Times New Roman"/>
          <w:sz w:val="24"/>
          <w:szCs w:val="24"/>
          <w:lang w:val="zh-CN"/>
        </w:rPr>
        <w:t xml:space="preserve"> de parcare publică cu plată și a parcajelor, conform gradului de ocupare a parcărilor publice cu plată pentru zone respective, cu tarife diferențiate, descrescătoare de la centru spre periferii, corespunzător clasificării acestora prevăzute în p. 3 al prezentului Regulament.</w:t>
      </w:r>
    </w:p>
    <w:p>
      <w:pPr>
        <w:tabs>
          <w:tab w:val="left" w:pos="993"/>
        </w:tabs>
        <w:spacing w:after="0" w:line="240" w:lineRule="auto"/>
        <w:jc w:val="both"/>
        <w:rPr>
          <w:rFonts w:ascii="Times New Roman" w:hAnsi="Times New Roman" w:cs="Times New Roman"/>
          <w:sz w:val="24"/>
          <w:szCs w:val="24"/>
          <w:lang w:val="zh-CN"/>
        </w:rPr>
      </w:pPr>
      <w:r>
        <w:rPr>
          <w:rFonts w:ascii="Times New Roman" w:hAnsi="Times New Roman" w:cs="Times New Roman"/>
          <w:b/>
          <w:sz w:val="24"/>
          <w:szCs w:val="24"/>
          <w:lang w:val="zh-CN"/>
        </w:rPr>
        <w:t xml:space="preserve">    </w:t>
      </w:r>
      <w:r>
        <w:rPr>
          <w:rFonts w:ascii="Times New Roman" w:hAnsi="Times New Roman" w:cs="Times New Roman"/>
          <w:bCs/>
          <w:sz w:val="24"/>
          <w:szCs w:val="24"/>
          <w:lang w:val="zh-CN"/>
        </w:rPr>
        <w:t>8.</w:t>
      </w:r>
      <w:r>
        <w:rPr>
          <w:rFonts w:ascii="Times New Roman" w:hAnsi="Times New Roman" w:cs="Times New Roman"/>
          <w:sz w:val="24"/>
          <w:szCs w:val="24"/>
          <w:lang w:val="zh-CN"/>
        </w:rPr>
        <w:t xml:space="preserve"> Hotarele zonelor de parcare, sunt stabilite în anexa nr. 1 a  prezentului Regulament, și pot fi modificate pe parcurs, la necesitate și în funcție de evoluția cererilor și ofertelor a locurilor de parcare și parcajelor.</w:t>
      </w:r>
    </w:p>
    <w:p>
      <w:pPr>
        <w:tabs>
          <w:tab w:val="left" w:pos="1134"/>
        </w:tabs>
        <w:spacing w:after="0" w:line="240" w:lineRule="auto"/>
        <w:ind w:firstLine="567"/>
        <w:jc w:val="center"/>
        <w:rPr>
          <w:rFonts w:ascii="Times New Roman" w:hAnsi="Times New Roman" w:eastAsia="Calibri" w:cs="Times New Roman"/>
          <w:b/>
          <w:sz w:val="24"/>
          <w:szCs w:val="24"/>
          <w:lang w:val="zh-CN"/>
        </w:rPr>
      </w:pPr>
    </w:p>
    <w:p>
      <w:pPr>
        <w:pStyle w:val="3"/>
        <w:spacing w:before="0" w:line="240" w:lineRule="auto"/>
        <w:jc w:val="center"/>
        <w:rPr>
          <w:rFonts w:ascii="Times New Roman" w:hAnsi="Times New Roman" w:eastAsia="Calibri" w:cs="Times New Roman"/>
          <w:b/>
          <w:bCs/>
          <w:color w:val="auto"/>
          <w:sz w:val="24"/>
          <w:szCs w:val="24"/>
          <w:lang w:val="zh-CN"/>
        </w:rPr>
      </w:pPr>
      <w:bookmarkStart w:id="21" w:name="_Toc164640867"/>
      <w:r>
        <w:rPr>
          <w:rFonts w:ascii="Times New Roman" w:hAnsi="Times New Roman" w:eastAsia="Calibri" w:cs="Times New Roman"/>
          <w:b/>
          <w:color w:val="auto"/>
          <w:sz w:val="24"/>
          <w:szCs w:val="24"/>
          <w:lang w:val="zh-CN"/>
        </w:rPr>
        <w:t>Secțiunea</w:t>
      </w:r>
      <w:r>
        <w:rPr>
          <w:rFonts w:ascii="Times New Roman" w:hAnsi="Times New Roman" w:eastAsia="Calibri" w:cs="Times New Roman"/>
          <w:b/>
          <w:bCs/>
          <w:color w:val="auto"/>
          <w:sz w:val="24"/>
          <w:szCs w:val="24"/>
          <w:lang w:val="zh-CN"/>
        </w:rPr>
        <w:t xml:space="preserve"> 5. Registrul public al parcărilor și parcajelor din municipiul Chișinău</w:t>
      </w:r>
      <w:bookmarkEnd w:id="21"/>
    </w:p>
    <w:p>
      <w:pPr>
        <w:tabs>
          <w:tab w:val="left" w:pos="851"/>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b/>
          <w:sz w:val="24"/>
          <w:szCs w:val="24"/>
          <w:lang w:val="zh-CN"/>
        </w:rPr>
        <w:t xml:space="preserve">     </w:t>
      </w:r>
      <w:r>
        <w:rPr>
          <w:rFonts w:ascii="Times New Roman" w:hAnsi="Times New Roman" w:eastAsia="Calibri" w:cs="Times New Roman"/>
          <w:bCs/>
          <w:sz w:val="24"/>
          <w:szCs w:val="24"/>
          <w:lang w:val="zh-CN"/>
        </w:rPr>
        <w:t>9.</w:t>
      </w:r>
      <w:r>
        <w:rPr>
          <w:rFonts w:ascii="Times New Roman" w:hAnsi="Times New Roman" w:eastAsia="Calibri" w:cs="Times New Roman"/>
          <w:sz w:val="24"/>
          <w:szCs w:val="24"/>
          <w:lang w:val="zh-CN"/>
        </w:rPr>
        <w:t xml:space="preserve"> Registrul public al parcărilor și parcajelor din municipiul Chișinău este întocmit, actualizat și adus la cunoștința publicului larg de către Autoritate.</w:t>
      </w:r>
    </w:p>
    <w:p>
      <w:pPr>
        <w:tabs>
          <w:tab w:val="left" w:pos="851"/>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10. Registrul public al parcărilor și parcajelor este publicat pe site-ul Autorității, și disponibil pentru accesare în „Sistemul electronic de management al parcărilor și parcajelor”.</w:t>
      </w:r>
    </w:p>
    <w:p>
      <w:pPr>
        <w:tabs>
          <w:tab w:val="left" w:pos="851"/>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bCs/>
          <w:sz w:val="24"/>
          <w:szCs w:val="24"/>
          <w:lang w:val="zh-CN"/>
        </w:rPr>
        <w:t xml:space="preserve">     11. </w:t>
      </w:r>
      <w:r>
        <w:rPr>
          <w:rFonts w:ascii="Times New Roman" w:hAnsi="Times New Roman" w:eastAsia="Calibri" w:cs="Times New Roman"/>
          <w:sz w:val="24"/>
          <w:szCs w:val="24"/>
          <w:lang w:val="zh-CN"/>
        </w:rPr>
        <w:t>În registrul public al parcărilor și parcajelor se includ parcările publice cu plată, parcările de tip Park&amp;Ride, parcările private cu plată, parcajele publice cu plată, parcajele rezervate din or. Chișinău, amenajate și/sau autorizate în condițiile prezentului regulament.</w:t>
      </w:r>
    </w:p>
    <w:p>
      <w:pPr>
        <w:tabs>
          <w:tab w:val="left" w:pos="851"/>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b/>
          <w:sz w:val="24"/>
          <w:szCs w:val="24"/>
          <w:lang w:val="zh-CN"/>
        </w:rPr>
        <w:t xml:space="preserve">    </w:t>
      </w:r>
      <w:r>
        <w:rPr>
          <w:rFonts w:ascii="Times New Roman" w:hAnsi="Times New Roman" w:eastAsia="Calibri" w:cs="Times New Roman"/>
          <w:bCs/>
          <w:sz w:val="24"/>
          <w:szCs w:val="24"/>
          <w:lang w:val="zh-CN"/>
        </w:rPr>
        <w:t>12.</w:t>
      </w:r>
      <w:r>
        <w:rPr>
          <w:rFonts w:ascii="Times New Roman" w:hAnsi="Times New Roman" w:eastAsia="Calibri" w:cs="Times New Roman"/>
          <w:sz w:val="24"/>
          <w:szCs w:val="24"/>
          <w:lang w:val="zh-CN"/>
        </w:rPr>
        <w:t xml:space="preserve"> Registrul public al parcărilor și parcajelor conține următoarele informații de interes public, aferente parcărilor și parcajelor: zona de parcare, numărul și/sau codul de identificare a parcajului sau blocului de parcaje, adresa parcării și numărul locurilor de parcare amenajate, adresa sau segmentul străzii și numărul parcajelor amenajate, tipul parcării sau parcajului, programul de funcționare, datele de contact ale administratorului/gestionarului sau suport tehnic.</w:t>
      </w:r>
    </w:p>
    <w:p>
      <w:pPr>
        <w:tabs>
          <w:tab w:val="left" w:pos="851"/>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bCs/>
          <w:sz w:val="24"/>
          <w:szCs w:val="24"/>
          <w:lang w:val="zh-CN"/>
        </w:rPr>
        <w:t xml:space="preserve">   13. </w:t>
      </w:r>
      <w:r>
        <w:rPr>
          <w:rFonts w:ascii="Times New Roman" w:hAnsi="Times New Roman" w:eastAsia="Calibri" w:cs="Times New Roman"/>
          <w:sz w:val="24"/>
          <w:szCs w:val="24"/>
          <w:lang w:val="zh-CN"/>
        </w:rPr>
        <w:t>Înscrierile în Registrul public al parcărilor și parcajelor se autorizează prin Dispoziția Primarului General al municipiului Chișinău, la propunerea Autorității, pe măsura inventarierii, amenajării sau reamenajării parcărilor și parcajelor.</w:t>
      </w:r>
    </w:p>
    <w:p>
      <w:pPr>
        <w:tabs>
          <w:tab w:val="left" w:pos="851"/>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w:t>
      </w:r>
      <w:r>
        <w:rPr>
          <w:rFonts w:ascii="Times New Roman" w:hAnsi="Times New Roman" w:eastAsia="Calibri" w:cs="Times New Roman"/>
          <w:bCs/>
          <w:sz w:val="24"/>
          <w:szCs w:val="24"/>
          <w:lang w:val="zh-CN"/>
        </w:rPr>
        <w:t>14.</w:t>
      </w:r>
      <w:r>
        <w:rPr>
          <w:rFonts w:ascii="Times New Roman" w:hAnsi="Times New Roman" w:eastAsia="Calibri" w:cs="Times New Roman"/>
          <w:sz w:val="24"/>
          <w:szCs w:val="24"/>
          <w:lang w:val="zh-CN"/>
        </w:rPr>
        <w:t xml:space="preserve"> Înscrierile în Registrul public al parcărilor și parcajelor se efectuează, în termen de 5 zile lucrătoare de la data autorizării și produc efecte juridice în condițiile prezentului regulament din ziua următoare realizării înscrierilor respective în Registrul public al parcărilor și parcajelor.</w:t>
      </w:r>
    </w:p>
    <w:p>
      <w:pPr>
        <w:tabs>
          <w:tab w:val="left" w:pos="1134"/>
        </w:tabs>
        <w:spacing w:after="0" w:line="240" w:lineRule="auto"/>
        <w:ind w:firstLine="567"/>
        <w:jc w:val="both"/>
        <w:rPr>
          <w:rFonts w:ascii="Times New Roman" w:hAnsi="Times New Roman" w:cs="Times New Roman"/>
          <w:sz w:val="24"/>
          <w:szCs w:val="24"/>
          <w:lang w:val="zh-CN"/>
        </w:rPr>
      </w:pPr>
    </w:p>
    <w:p>
      <w:pPr>
        <w:pStyle w:val="3"/>
        <w:spacing w:before="0" w:line="240" w:lineRule="auto"/>
        <w:ind w:left="426"/>
        <w:jc w:val="center"/>
        <w:rPr>
          <w:rFonts w:ascii="Times New Roman" w:hAnsi="Times New Roman" w:eastAsia="Calibri" w:cs="Times New Roman"/>
          <w:b/>
          <w:bCs/>
          <w:color w:val="auto"/>
          <w:sz w:val="24"/>
          <w:szCs w:val="24"/>
          <w:lang w:val="zh-CN"/>
        </w:rPr>
      </w:pPr>
      <w:bookmarkStart w:id="22" w:name="_Hlk163633671"/>
      <w:bookmarkStart w:id="23" w:name="_Toc164640868"/>
      <w:r>
        <w:rPr>
          <w:rFonts w:ascii="Times New Roman" w:hAnsi="Times New Roman" w:eastAsia="Calibri" w:cs="Times New Roman"/>
          <w:b/>
          <w:color w:val="auto"/>
          <w:sz w:val="24"/>
          <w:szCs w:val="24"/>
          <w:lang w:val="zh-CN"/>
        </w:rPr>
        <w:t>Secțiunea</w:t>
      </w:r>
      <w:r>
        <w:rPr>
          <w:rFonts w:ascii="Times New Roman" w:hAnsi="Times New Roman" w:eastAsia="Calibri" w:cs="Times New Roman"/>
          <w:b/>
          <w:bCs/>
          <w:color w:val="auto"/>
          <w:sz w:val="24"/>
          <w:szCs w:val="24"/>
          <w:lang w:val="zh-CN"/>
        </w:rPr>
        <w:t xml:space="preserve"> 6. Sistemul </w:t>
      </w:r>
      <w:bookmarkStart w:id="24" w:name="_Hlk163634354"/>
      <w:r>
        <w:rPr>
          <w:rFonts w:ascii="Times New Roman" w:hAnsi="Times New Roman" w:eastAsia="Calibri" w:cs="Times New Roman"/>
          <w:b/>
          <w:bCs/>
          <w:color w:val="auto"/>
          <w:sz w:val="24"/>
          <w:szCs w:val="24"/>
          <w:lang w:val="zh-CN"/>
        </w:rPr>
        <w:t>electronic de management al parcărilor și parcajelo</w:t>
      </w:r>
      <w:bookmarkEnd w:id="22"/>
      <w:bookmarkEnd w:id="24"/>
      <w:r>
        <w:rPr>
          <w:rFonts w:ascii="Times New Roman" w:hAnsi="Times New Roman" w:eastAsia="Calibri" w:cs="Times New Roman"/>
          <w:b/>
          <w:bCs/>
          <w:color w:val="auto"/>
          <w:sz w:val="24"/>
          <w:szCs w:val="24"/>
          <w:lang w:val="zh-CN"/>
        </w:rPr>
        <w:t>r</w:t>
      </w:r>
      <w:bookmarkEnd w:id="23"/>
    </w:p>
    <w:p>
      <w:pPr>
        <w:tabs>
          <w:tab w:val="left" w:pos="1134"/>
          <w:tab w:val="left" w:pos="1418"/>
        </w:tabs>
        <w:spacing w:after="0" w:line="240" w:lineRule="auto"/>
        <w:ind w:firstLine="142"/>
        <w:jc w:val="both"/>
        <w:rPr>
          <w:rFonts w:ascii="Times New Roman" w:hAnsi="Times New Roman" w:eastAsia="Calibri" w:cs="Times New Roman"/>
          <w:sz w:val="24"/>
          <w:szCs w:val="24"/>
          <w:lang w:val="zh-CN"/>
        </w:rPr>
      </w:pPr>
      <w:r>
        <w:rPr>
          <w:rFonts w:ascii="Times New Roman" w:hAnsi="Times New Roman" w:cs="Times New Roman"/>
          <w:sz w:val="24"/>
          <w:szCs w:val="24"/>
          <w:lang w:val="zh-CN"/>
        </w:rPr>
        <w:t xml:space="preserve"> </w:t>
      </w:r>
      <w:r>
        <w:rPr>
          <w:rFonts w:ascii="Times New Roman" w:hAnsi="Times New Roman" w:cs="Times New Roman"/>
          <w:bCs/>
          <w:sz w:val="24"/>
          <w:szCs w:val="24"/>
          <w:lang w:val="zh-CN"/>
        </w:rPr>
        <w:t xml:space="preserve">15. </w:t>
      </w:r>
      <w:r>
        <w:rPr>
          <w:rFonts w:ascii="Times New Roman" w:hAnsi="Times New Roman" w:cs="Times New Roman"/>
          <w:sz w:val="24"/>
          <w:szCs w:val="24"/>
          <w:lang w:val="zh-CN"/>
        </w:rPr>
        <w:t>Sistemul electronic de management al parcărilor și parcajelor este compus din module informaționale separate și asociate în vederea evidențierii și monitorizării proceselor ce rezultă din exploatare</w:t>
      </w:r>
      <w:r>
        <w:rPr>
          <w:rFonts w:ascii="Times New Roman" w:hAnsi="Times New Roman" w:eastAsia="Calibri" w:cs="Times New Roman"/>
          <w:sz w:val="24"/>
          <w:szCs w:val="24"/>
          <w:lang w:val="zh-CN"/>
        </w:rPr>
        <w:t>a parcărilor și parcajelor, precum și încasarea plăților, deservirea și informarea utilizatorilor în vederea accesării parcărilor și parcajelor publice.</w:t>
      </w:r>
    </w:p>
    <w:p>
      <w:pPr>
        <w:tabs>
          <w:tab w:val="left" w:pos="1134"/>
          <w:tab w:val="left" w:pos="1418"/>
        </w:tabs>
        <w:spacing w:after="0" w:line="240" w:lineRule="auto"/>
        <w:ind w:firstLine="142"/>
        <w:jc w:val="both"/>
        <w:rPr>
          <w:rFonts w:ascii="Times New Roman" w:hAnsi="Times New Roman" w:cs="Times New Roman"/>
          <w:sz w:val="24"/>
          <w:szCs w:val="24"/>
          <w:lang w:val="zh-CN"/>
        </w:rPr>
      </w:pPr>
      <w:r>
        <w:rPr>
          <w:rFonts w:ascii="Times New Roman" w:hAnsi="Times New Roman" w:eastAsia="Calibri" w:cs="Times New Roman"/>
          <w:sz w:val="24"/>
          <w:szCs w:val="24"/>
          <w:lang w:val="zh-CN"/>
        </w:rPr>
        <w:t xml:space="preserve">16. </w:t>
      </w:r>
      <w:r>
        <w:rPr>
          <w:rFonts w:ascii="Times New Roman" w:hAnsi="Times New Roman" w:cs="Times New Roman"/>
          <w:sz w:val="24"/>
          <w:szCs w:val="24"/>
          <w:lang w:val="zh-CN"/>
        </w:rPr>
        <w:t>Sistemul electronic de management al parcărilor și parcajelor este elaborat, implementat și exploatat în strictă corespundere cu legislația în vigoare din RM (legislația pertinentă) și conform prevederilor prezentului Regulament.</w:t>
      </w:r>
    </w:p>
    <w:p>
      <w:pPr>
        <w:pStyle w:val="23"/>
        <w:numPr>
          <w:ilvl w:val="0"/>
          <w:numId w:val="3"/>
        </w:numPr>
        <w:tabs>
          <w:tab w:val="left" w:pos="567"/>
          <w:tab w:val="left" w:pos="1418"/>
        </w:tabs>
        <w:spacing w:after="0" w:line="240" w:lineRule="auto"/>
        <w:ind w:left="0" w:firstLine="142"/>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Autoritatea/Administratorul care are ca sarcină gestiunea prezentului sistem, este obligat să asigure avizele instituțiilor abilitate în vederea exploatării acesteia. </w:t>
      </w:r>
    </w:p>
    <w:p>
      <w:pPr>
        <w:pStyle w:val="23"/>
        <w:numPr>
          <w:ilvl w:val="0"/>
          <w:numId w:val="3"/>
        </w:numPr>
        <w:tabs>
          <w:tab w:val="left" w:pos="567"/>
          <w:tab w:val="left" w:pos="1418"/>
        </w:tabs>
        <w:spacing w:after="0" w:line="240" w:lineRule="auto"/>
        <w:ind w:left="0" w:firstLine="142"/>
        <w:jc w:val="both"/>
        <w:rPr>
          <w:rFonts w:ascii="Times New Roman" w:hAnsi="Times New Roman" w:cs="Times New Roman"/>
          <w:sz w:val="24"/>
          <w:szCs w:val="24"/>
          <w:lang w:val="zh-CN"/>
        </w:rPr>
      </w:pPr>
      <w:r>
        <w:rPr>
          <w:rFonts w:ascii="Times New Roman" w:hAnsi="Times New Roman" w:cs="Times New Roman"/>
          <w:sz w:val="24"/>
          <w:szCs w:val="24"/>
          <w:lang w:val="zh-CN"/>
        </w:rPr>
        <w:t>Exploatarea, mentenanța, modernizarea și reconfigurarea sistemului</w:t>
      </w:r>
      <w:r>
        <w:rPr>
          <w:lang w:val="zh-CN"/>
        </w:rPr>
        <w:t xml:space="preserve"> </w:t>
      </w:r>
      <w:r>
        <w:rPr>
          <w:rFonts w:ascii="Times New Roman" w:hAnsi="Times New Roman" w:cs="Times New Roman"/>
          <w:sz w:val="24"/>
          <w:szCs w:val="24"/>
          <w:lang w:val="zh-CN"/>
        </w:rPr>
        <w:t>în scop de îmbunătățire a serviciului, reieșind din evoluția exploatării, se va efectua la inițiativa Autorității/administratorului.</w:t>
      </w:r>
    </w:p>
    <w:p>
      <w:pPr>
        <w:tabs>
          <w:tab w:val="left" w:pos="1134"/>
          <w:tab w:val="left" w:pos="1418"/>
        </w:tabs>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   19. Sistemul electronic de management al parcărilor și parcajelor asigură interacțiunea cu instituții financiare în vederea încasării tarifelor, precum și cu alți operatori sau entități în vederea asigurării accesului, informării și transparenței procesului de utilizare a parcărilor și parcajelor.</w:t>
      </w:r>
    </w:p>
    <w:p>
      <w:pPr>
        <w:tabs>
          <w:tab w:val="left" w:pos="1134"/>
          <w:tab w:val="left" w:pos="1418"/>
        </w:tabs>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   20. Informațiile privind regulamentul și instrucțiunile de utilizare a sistemului vor fi publice prin intermediul site-ului Autorității/administratorului. </w:t>
      </w:r>
    </w:p>
    <w:p>
      <w:pPr>
        <w:tabs>
          <w:tab w:val="left" w:pos="1134"/>
          <w:tab w:val="left" w:pos="1418"/>
        </w:tabs>
        <w:spacing w:after="0" w:line="240" w:lineRule="auto"/>
        <w:ind w:firstLine="142"/>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21. Înregistrarea utilizatorilor în sistem se efectuează prin modalitățile stabilite de către Autoritate/administrator în condițiile prezentului regulament.  </w:t>
      </w:r>
    </w:p>
    <w:p>
      <w:pPr>
        <w:tabs>
          <w:tab w:val="left" w:pos="1134"/>
          <w:tab w:val="left" w:pos="1418"/>
        </w:tabs>
        <w:spacing w:after="0" w:line="240" w:lineRule="auto"/>
        <w:jc w:val="both"/>
        <w:rPr>
          <w:rFonts w:ascii="Times New Roman" w:hAnsi="Times New Roman" w:cs="Times New Roman"/>
          <w:sz w:val="24"/>
          <w:szCs w:val="24"/>
          <w:lang w:val="zh-CN"/>
        </w:rPr>
      </w:pPr>
    </w:p>
    <w:p>
      <w:pPr>
        <w:pStyle w:val="2"/>
        <w:tabs>
          <w:tab w:val="left" w:pos="1134"/>
        </w:tabs>
        <w:spacing w:before="0" w:line="240" w:lineRule="auto"/>
        <w:ind w:firstLine="567"/>
        <w:jc w:val="center"/>
        <w:rPr>
          <w:rFonts w:ascii="Times New Roman" w:hAnsi="Times New Roman" w:eastAsia="Calibri" w:cs="Times New Roman"/>
          <w:b/>
          <w:bCs/>
          <w:color w:val="auto"/>
          <w:sz w:val="24"/>
          <w:szCs w:val="24"/>
          <w:lang w:val="zh-CN"/>
        </w:rPr>
      </w:pPr>
      <w:bookmarkStart w:id="25" w:name="_Toc164638748"/>
      <w:bookmarkStart w:id="26" w:name="_Toc164640869"/>
      <w:bookmarkStart w:id="27" w:name="_Hlk167184088"/>
      <w:r>
        <w:rPr>
          <w:rFonts w:ascii="Times New Roman" w:hAnsi="Times New Roman" w:eastAsia="Calibri" w:cs="Times New Roman"/>
          <w:b/>
          <w:bCs/>
          <w:color w:val="auto"/>
          <w:sz w:val="24"/>
          <w:szCs w:val="24"/>
          <w:lang w:val="zh-CN"/>
        </w:rPr>
        <w:t>CAPITOLUL III.</w:t>
      </w:r>
      <w:bookmarkEnd w:id="25"/>
      <w:bookmarkStart w:id="28" w:name="_Toc164638749"/>
      <w:r>
        <w:rPr>
          <w:rFonts w:ascii="Times New Roman" w:hAnsi="Times New Roman" w:eastAsia="Calibri" w:cs="Times New Roman"/>
          <w:b/>
          <w:bCs/>
          <w:color w:val="auto"/>
          <w:sz w:val="24"/>
          <w:szCs w:val="24"/>
          <w:lang w:val="zh-CN"/>
        </w:rPr>
        <w:t xml:space="preserve"> Condiții și reguli generale aplicabile parcărilor și parcajelor publice</w:t>
      </w:r>
      <w:bookmarkEnd w:id="26"/>
      <w:bookmarkEnd w:id="28"/>
    </w:p>
    <w:bookmarkEnd w:id="27"/>
    <w:p>
      <w:pPr>
        <w:pStyle w:val="3"/>
        <w:spacing w:before="0" w:line="240" w:lineRule="auto"/>
        <w:ind w:left="709"/>
        <w:jc w:val="center"/>
        <w:rPr>
          <w:rFonts w:ascii="Times New Roman" w:hAnsi="Times New Roman" w:eastAsia="Calibri" w:cs="Times New Roman"/>
          <w:b/>
          <w:bCs/>
          <w:color w:val="auto"/>
          <w:sz w:val="24"/>
          <w:szCs w:val="24"/>
          <w:lang w:val="zh-CN"/>
        </w:rPr>
      </w:pPr>
      <w:bookmarkStart w:id="29" w:name="_Toc164640870"/>
      <w:r>
        <w:rPr>
          <w:rFonts w:ascii="Times New Roman" w:hAnsi="Times New Roman" w:eastAsia="Calibri" w:cs="Times New Roman"/>
          <w:b/>
          <w:bCs/>
          <w:color w:val="auto"/>
          <w:sz w:val="24"/>
          <w:szCs w:val="24"/>
          <w:lang w:val="zh-CN"/>
        </w:rPr>
        <w:t>Secțiunea 7. Locațiile de amenajare a parcărilor și parcajelor publice</w:t>
      </w:r>
      <w:bookmarkEnd w:id="29"/>
    </w:p>
    <w:p>
      <w:pPr>
        <w:tabs>
          <w:tab w:val="left" w:pos="567"/>
        </w:tabs>
        <w:spacing w:after="0" w:line="240" w:lineRule="auto"/>
        <w:ind w:firstLine="142"/>
        <w:jc w:val="both"/>
        <w:rPr>
          <w:rFonts w:ascii="Times New Roman" w:hAnsi="Times New Roman" w:cs="Times New Roman"/>
          <w:sz w:val="24"/>
          <w:szCs w:val="24"/>
          <w:lang w:val="zh-CN"/>
        </w:rPr>
      </w:pPr>
      <w:r>
        <w:rPr>
          <w:rFonts w:ascii="Times New Roman" w:hAnsi="Times New Roman" w:cs="Times New Roman"/>
          <w:sz w:val="24"/>
          <w:szCs w:val="24"/>
          <w:lang w:val="zh-CN"/>
        </w:rPr>
        <w:t>22.</w:t>
      </w:r>
      <w:r>
        <w:rPr>
          <w:rFonts w:ascii="Times New Roman" w:hAnsi="Times New Roman" w:cs="Times New Roman"/>
          <w:sz w:val="24"/>
          <w:szCs w:val="24"/>
          <w:lang w:val="zh-CN"/>
        </w:rPr>
        <w:tab/>
      </w:r>
      <w:r>
        <w:rPr>
          <w:rFonts w:ascii="Times New Roman" w:hAnsi="Times New Roman" w:cs="Times New Roman"/>
          <w:sz w:val="24"/>
          <w:szCs w:val="24"/>
          <w:lang w:val="zh-CN"/>
        </w:rPr>
        <w:t>Locațiile utilizate sau utilizabile pentru staționarea/parcarea autovehiculelor, existente până la intrarea în vigoare a prezentului regulament, constituie un fond potențial pentru organizarea și  amenajarea în condițiile prezentului regulament de către Autoritatea/administrator a parcărilor/parcajelor publice cu plată.</w:t>
      </w:r>
    </w:p>
    <w:p>
      <w:pPr>
        <w:tabs>
          <w:tab w:val="left" w:pos="567"/>
        </w:tabs>
        <w:spacing w:after="0" w:line="240" w:lineRule="auto"/>
        <w:ind w:firstLine="142"/>
        <w:jc w:val="both"/>
        <w:rPr>
          <w:rFonts w:ascii="Times New Roman" w:hAnsi="Times New Roman" w:cs="Times New Roman"/>
          <w:sz w:val="24"/>
          <w:szCs w:val="24"/>
          <w:lang w:val="zh-CN"/>
        </w:rPr>
      </w:pPr>
      <w:r>
        <w:rPr>
          <w:rFonts w:ascii="Times New Roman" w:hAnsi="Times New Roman" w:cs="Times New Roman"/>
          <w:sz w:val="24"/>
          <w:szCs w:val="24"/>
          <w:lang w:val="zh-CN"/>
        </w:rPr>
        <w:t>23. Locațiile pentru organizarea și amenajarea parcărilor/parcajelor publice sunt identificate de către Autoritate/administrator, în conformitate cu documentația de proiect elaborat în condițiile cadrului legal.</w:t>
      </w:r>
    </w:p>
    <w:p>
      <w:pPr>
        <w:tabs>
          <w:tab w:val="left" w:pos="567"/>
        </w:tabs>
        <w:spacing w:after="0" w:line="240" w:lineRule="auto"/>
        <w:ind w:firstLine="142"/>
        <w:jc w:val="both"/>
        <w:rPr>
          <w:rFonts w:ascii="Times New Roman" w:hAnsi="Times New Roman" w:cs="Times New Roman"/>
          <w:sz w:val="24"/>
          <w:szCs w:val="24"/>
          <w:lang w:val="zh-CN"/>
        </w:rPr>
      </w:pPr>
      <w:r>
        <w:rPr>
          <w:rFonts w:ascii="Times New Roman" w:hAnsi="Times New Roman" w:cs="Times New Roman"/>
          <w:sz w:val="24"/>
          <w:szCs w:val="24"/>
          <w:lang w:val="zh-CN"/>
        </w:rPr>
        <w:t>24. Parcările publice pot fi amenajate în locații accesibile  în conformitate cu normativele tehnice și cadrul legal.</w:t>
      </w:r>
    </w:p>
    <w:p>
      <w:pPr>
        <w:tabs>
          <w:tab w:val="left" w:pos="567"/>
        </w:tabs>
        <w:spacing w:after="0" w:line="240" w:lineRule="auto"/>
        <w:ind w:firstLine="142"/>
        <w:jc w:val="both"/>
        <w:rPr>
          <w:rFonts w:ascii="Times New Roman" w:hAnsi="Times New Roman" w:cs="Times New Roman"/>
          <w:sz w:val="24"/>
          <w:szCs w:val="24"/>
          <w:lang w:val="zh-CN"/>
        </w:rPr>
      </w:pPr>
      <w:r>
        <w:rPr>
          <w:rFonts w:ascii="Times New Roman" w:hAnsi="Times New Roman" w:cs="Times New Roman"/>
          <w:sz w:val="24"/>
          <w:szCs w:val="24"/>
          <w:lang w:val="zh-CN"/>
        </w:rPr>
        <w:t>25. Parcajele din zona drumurilor publice, vor fi stabilite pe partea dreaptă a carosabilului, autovehiculele urmând a fi amplasate cât mai aproape de marginea din dreapta a sensului de mers, paralel cu trotuarul sau cu axul drumului, într-un singur rând, dacă prin mijloacele de semnalizare nu este dispus altfel.</w:t>
      </w:r>
    </w:p>
    <w:p>
      <w:pPr>
        <w:pStyle w:val="23"/>
        <w:numPr>
          <w:ilvl w:val="0"/>
          <w:numId w:val="4"/>
        </w:numPr>
        <w:tabs>
          <w:tab w:val="left" w:pos="567"/>
          <w:tab w:val="left" w:pos="1418"/>
        </w:tabs>
        <w:spacing w:after="0" w:line="240" w:lineRule="auto"/>
        <w:ind w:left="0" w:firstLine="142"/>
        <w:jc w:val="both"/>
        <w:rPr>
          <w:rFonts w:ascii="Times New Roman" w:hAnsi="Times New Roman" w:cs="Times New Roman"/>
          <w:sz w:val="24"/>
          <w:szCs w:val="24"/>
          <w:lang w:val="zh-CN"/>
        </w:rPr>
      </w:pPr>
      <w:r>
        <w:rPr>
          <w:rFonts w:ascii="Times New Roman" w:hAnsi="Times New Roman" w:cs="Times New Roman"/>
          <w:sz w:val="24"/>
          <w:szCs w:val="24"/>
          <w:lang w:val="zh-CN"/>
        </w:rPr>
        <w:t>Parcarea autovehiculelor pe carosabilul drumurilor publice poate fi efectuată, doar în parcajele semnalizate prin indicatoarele de circulație sau marcajele rutiere respective.</w:t>
      </w:r>
    </w:p>
    <w:p>
      <w:pPr>
        <w:pStyle w:val="23"/>
        <w:numPr>
          <w:ilvl w:val="0"/>
          <w:numId w:val="4"/>
        </w:numPr>
        <w:tabs>
          <w:tab w:val="left" w:pos="567"/>
          <w:tab w:val="left" w:pos="1418"/>
        </w:tabs>
        <w:spacing w:after="0" w:line="240" w:lineRule="auto"/>
        <w:ind w:left="0" w:firstLine="142"/>
        <w:jc w:val="both"/>
        <w:rPr>
          <w:rFonts w:ascii="Times New Roman" w:hAnsi="Times New Roman" w:cs="Times New Roman"/>
          <w:sz w:val="24"/>
          <w:szCs w:val="24"/>
          <w:lang w:val="zh-CN"/>
        </w:rPr>
      </w:pPr>
      <w:r>
        <w:rPr>
          <w:rFonts w:ascii="Times New Roman" w:hAnsi="Times New Roman" w:eastAsia="Calibri" w:cs="Times New Roman"/>
          <w:sz w:val="24"/>
          <w:szCs w:val="24"/>
          <w:lang w:val="zh-CN"/>
        </w:rPr>
        <w:t xml:space="preserve">Pe drumurile cu sens unic, parcaje pot fi organizate și pe partea stingă, dacă amplasarea acestora corespunde normativelor tehnice și cadrului legal. </w:t>
      </w:r>
    </w:p>
    <w:p>
      <w:pPr>
        <w:pStyle w:val="23"/>
        <w:numPr>
          <w:ilvl w:val="0"/>
          <w:numId w:val="4"/>
        </w:numPr>
        <w:tabs>
          <w:tab w:val="left" w:pos="567"/>
          <w:tab w:val="left" w:pos="1418"/>
        </w:tabs>
        <w:spacing w:after="0" w:line="240" w:lineRule="auto"/>
        <w:ind w:left="0" w:firstLine="142"/>
        <w:jc w:val="both"/>
        <w:rPr>
          <w:rFonts w:ascii="Times New Roman" w:hAnsi="Times New Roman" w:cs="Times New Roman"/>
          <w:sz w:val="24"/>
          <w:szCs w:val="24"/>
          <w:lang w:val="zh-CN"/>
        </w:rPr>
      </w:pPr>
      <w:r>
        <w:rPr>
          <w:rFonts w:ascii="Times New Roman" w:hAnsi="Times New Roman" w:cs="Times New Roman"/>
          <w:bCs/>
          <w:sz w:val="24"/>
          <w:szCs w:val="24"/>
          <w:lang w:val="zh-CN"/>
        </w:rPr>
        <w:t>Blocul de</w:t>
      </w:r>
      <w:r>
        <w:rPr>
          <w:rFonts w:ascii="Times New Roman" w:hAnsi="Times New Roman" w:cs="Times New Roman"/>
          <w:b/>
          <w:sz w:val="24"/>
          <w:szCs w:val="24"/>
          <w:lang w:val="zh-CN"/>
        </w:rPr>
        <w:t xml:space="preserve"> </w:t>
      </w:r>
      <w:r>
        <w:rPr>
          <w:rFonts w:ascii="Times New Roman" w:hAnsi="Times New Roman" w:cs="Times New Roman"/>
          <w:sz w:val="24"/>
          <w:szCs w:val="24"/>
          <w:lang w:val="zh-CN"/>
        </w:rPr>
        <w:t>parcaje</w:t>
      </w:r>
      <w:r>
        <w:rPr>
          <w:rFonts w:ascii="Times New Roman" w:hAnsi="Times New Roman" w:eastAsia="Calibri" w:cs="Times New Roman"/>
          <w:sz w:val="24"/>
          <w:szCs w:val="24"/>
          <w:lang w:val="zh-CN"/>
        </w:rPr>
        <w:t xml:space="preserve"> se organizează și amenajează de la începutul străzii până la sfârșitul acesteia sau până la prima intersecție, în locurile în care aceasta este posibil conform actelor normative.</w:t>
      </w:r>
    </w:p>
    <w:p>
      <w:pPr>
        <w:pStyle w:val="23"/>
        <w:tabs>
          <w:tab w:val="left" w:pos="567"/>
          <w:tab w:val="left" w:pos="1134"/>
        </w:tabs>
        <w:spacing w:after="0" w:line="240" w:lineRule="auto"/>
        <w:ind w:left="0" w:firstLine="142"/>
        <w:jc w:val="center"/>
        <w:rPr>
          <w:rFonts w:ascii="Times New Roman" w:hAnsi="Times New Roman" w:eastAsia="Calibri" w:cs="Times New Roman"/>
          <w:b/>
          <w:sz w:val="24"/>
          <w:szCs w:val="24"/>
          <w:lang w:val="zh-CN"/>
        </w:rPr>
      </w:pPr>
    </w:p>
    <w:p>
      <w:pPr>
        <w:pStyle w:val="3"/>
        <w:tabs>
          <w:tab w:val="left" w:pos="567"/>
        </w:tabs>
        <w:spacing w:before="0" w:line="240" w:lineRule="auto"/>
        <w:ind w:firstLine="142"/>
        <w:jc w:val="center"/>
        <w:rPr>
          <w:rFonts w:ascii="Times New Roman" w:hAnsi="Times New Roman" w:eastAsia="Calibri" w:cs="Times New Roman"/>
          <w:b/>
          <w:bCs/>
          <w:color w:val="auto"/>
          <w:sz w:val="24"/>
          <w:szCs w:val="24"/>
          <w:lang w:val="zh-CN"/>
        </w:rPr>
      </w:pPr>
      <w:bookmarkStart w:id="30" w:name="_Toc164640871"/>
      <w:r>
        <w:rPr>
          <w:rFonts w:ascii="Times New Roman" w:hAnsi="Times New Roman" w:eastAsia="Calibri" w:cs="Times New Roman"/>
          <w:b/>
          <w:bCs/>
          <w:color w:val="auto"/>
          <w:sz w:val="24"/>
          <w:szCs w:val="24"/>
          <w:lang w:val="zh-CN"/>
        </w:rPr>
        <w:t>Secțiunea 8. Indicatoare și marcaje rutiere</w:t>
      </w:r>
      <w:bookmarkEnd w:id="30"/>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În parcările și parcajele publice se aplică Regulamentul circulației rutiere, precum și indicatoarele și marcajele rutiere prevăzute de acesta.</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Utilizatorii parcărilor și parcajelor se conformează semnificației mijloacelor de semnalizare rutieră, regulilor prezentului Regulament, precum și prevederilor stabilite de legislația în vigoare a Republicii Moldova.</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Indicatoare rutiere de informare în asociere cu panourile adiționale ce conțin  inscripții sau simboluri care le completează semnificația (parcare cu plată, parcare cu locuri rezervate, etc.), se amplasează în zona parcării autovehiculului, la loc vizibil conform normelor de sistematizare a circulației rutiere.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Panourile informative ce conțin date privind: administratorul parcării, zona și tariful de parcare, orele de funcționare, modalități de plată, sancțiuni, interdicții de parcare pentru anumite mijloace auto și facilități dacă este cazul, se amplasează în zona parcării autovehiculului, la loc vizibil accesibil pentru utilizatori.</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Zona de acțiune a unui panou indicator de parcare, la care nu este precizată zona de acțiune, în cazul parcajelor, ia sfârșit la prima intersecție cu o altă stradă. </w:t>
      </w:r>
      <w:bookmarkStart w:id="31" w:name="_Toc122416244"/>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Marcajele servesc la organizarea circulației, avertizarea sau îndrumarea participanților la trafic. Acestea pot fi folosite singure sau împreună cu alte mijloace de semnalizare rutieră pe care le completează, le întăresc sau le precizează semnificația. </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Marcajele rutiere pentru delimitarea spațiilor de parcare se vor realiza astfel încât: </w:t>
      </w:r>
    </w:p>
    <w:p>
      <w:pPr>
        <w:pStyle w:val="23"/>
        <w:numPr>
          <w:ilvl w:val="1"/>
          <w:numId w:val="5"/>
        </w:numPr>
        <w:tabs>
          <w:tab w:val="left" w:pos="851"/>
        </w:tabs>
        <w:spacing w:after="0" w:line="240" w:lineRule="auto"/>
        <w:ind w:left="567" w:hanging="283"/>
        <w:jc w:val="both"/>
        <w:rPr>
          <w:rFonts w:ascii="Times New Roman" w:hAnsi="Times New Roman" w:cs="Times New Roman"/>
          <w:bCs/>
          <w:sz w:val="24"/>
          <w:szCs w:val="24"/>
          <w:lang w:val="zh-CN"/>
        </w:rPr>
      </w:pPr>
      <w:r>
        <w:rPr>
          <w:rFonts w:ascii="Times New Roman" w:hAnsi="Times New Roman" w:cs="Times New Roman"/>
          <w:bCs/>
          <w:sz w:val="24"/>
          <w:szCs w:val="24"/>
          <w:lang w:val="zh-CN"/>
        </w:rPr>
        <w:t>autovehiculele parcate să nu stânjenească sau să împiedice circulația normală a pietonilor pe trotuare și a celorlalte autovehicule (autovehicule, transport public, bicicliști, etc.) pe partea carosabila a drumului;</w:t>
      </w:r>
    </w:p>
    <w:p>
      <w:pPr>
        <w:pStyle w:val="23"/>
        <w:numPr>
          <w:ilvl w:val="1"/>
          <w:numId w:val="5"/>
        </w:numPr>
        <w:tabs>
          <w:tab w:val="left" w:pos="851"/>
        </w:tabs>
        <w:spacing w:after="0" w:line="240" w:lineRule="auto"/>
        <w:ind w:left="567" w:hanging="283"/>
        <w:jc w:val="both"/>
        <w:rPr>
          <w:rFonts w:ascii="Times New Roman" w:hAnsi="Times New Roman" w:cs="Times New Roman"/>
          <w:bCs/>
          <w:sz w:val="24"/>
          <w:szCs w:val="24"/>
          <w:lang w:val="zh-CN"/>
        </w:rPr>
      </w:pPr>
      <w:r>
        <w:rPr>
          <w:rFonts w:ascii="Times New Roman" w:hAnsi="Times New Roman" w:cs="Times New Roman"/>
          <w:bCs/>
          <w:sz w:val="24"/>
          <w:szCs w:val="24"/>
          <w:lang w:val="zh-CN"/>
        </w:rPr>
        <w:t>distanțele laterale și față-spate dintre autovehiculele parcate să permită intrarea și ieșirea cu ușurință din locurile de parcare și parcaje, precum și deschiderea completă a ușilor pentru accesul persoanelor în deplină siguranță în și din acestea.</w:t>
      </w:r>
    </w:p>
    <w:p>
      <w:pPr>
        <w:tabs>
          <w:tab w:val="left" w:pos="851"/>
          <w:tab w:val="left" w:pos="1134"/>
        </w:tabs>
        <w:spacing w:after="0" w:line="240" w:lineRule="auto"/>
        <w:ind w:firstLine="567"/>
        <w:contextualSpacing/>
        <w:jc w:val="both"/>
        <w:rPr>
          <w:rFonts w:ascii="Times New Roman" w:hAnsi="Times New Roman" w:eastAsia="Calibri" w:cs="Times New Roman"/>
          <w:sz w:val="24"/>
          <w:szCs w:val="24"/>
          <w:lang w:val="zh-CN"/>
        </w:rPr>
      </w:pPr>
    </w:p>
    <w:p>
      <w:pPr>
        <w:pStyle w:val="3"/>
        <w:spacing w:before="0" w:line="240" w:lineRule="auto"/>
        <w:ind w:left="709"/>
        <w:jc w:val="center"/>
        <w:rPr>
          <w:rFonts w:ascii="Times New Roman" w:hAnsi="Times New Roman" w:eastAsia="Calibri" w:cs="Times New Roman"/>
          <w:b/>
          <w:bCs/>
          <w:color w:val="auto"/>
          <w:sz w:val="24"/>
          <w:szCs w:val="24"/>
          <w:lang w:val="zh-CN"/>
        </w:rPr>
      </w:pPr>
      <w:bookmarkStart w:id="32" w:name="_Toc164640872"/>
      <w:r>
        <w:rPr>
          <w:rFonts w:ascii="Times New Roman" w:hAnsi="Times New Roman" w:eastAsia="Calibri" w:cs="Times New Roman"/>
          <w:b/>
          <w:bCs/>
          <w:color w:val="auto"/>
          <w:sz w:val="24"/>
          <w:szCs w:val="24"/>
          <w:lang w:val="zh-CN"/>
        </w:rPr>
        <w:t>Secțiunea 9. Acces și restricții</w:t>
      </w:r>
      <w:bookmarkEnd w:id="32"/>
    </w:p>
    <w:bookmarkEnd w:id="31"/>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Sistemele de control și evidența a accesului, parcomatele se amplasează în zonele stabilite de Autoritate/administrator în condițiile prezentului regulament și prevederile cadrului normativ în vigoare.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Utilizarea parcărilor și parcajelor publice cu plată se efectuează în baza dovezii de plată a tarifului de parcare. Documentul emis pe suport de hârtie (tichet de parcare sau de parcaj, , abonament, etc.) eliberat de parcomatele, utilaje speciale din dotarea parcărilor, de instituții bancare, de operatori autorizați de perceperea plăților tip Cash-in, care atestă achitarea tarifului de parcare/parcaj sau actul ce confirmă dreptul de utilizare a parcării/parcaj, obligatoriu se afișează pe bordul autovehiculului la loc vizibil cu fața în sus astfel încât să permită controlul validității.</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Solicitare de emitere a tichetului de parcare/parcaj precum și parcarea/staționarea autovehiculului în parcare/parcaj public cu plată, reprezintă acceptul utilizatorului și asumarea obligației de  respectare a condițiilor prezentului Regulament și achitarea tarifului.</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În parcările și parcaje publice cu plată se permite accesul doar autoturismelor, în limitele locurilor libere-disponibile. Autovehiculele, altele decât autoturismele, (inclusiv rulotele, utilajele agricole, autovehiculele industriale, camioanele, autoutilitarele,  auto-rulotele, remorcile sau semiremorcile, motocicletele, ciclomotoarelor), pot accesa doar parcările publice destinate și amenajate în acest scop.</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În interiorul zonei de parcare, în dependență de tipul autovehiculului parcarea este permisă numai în locurile de parcare special destinate acestui tip, semnalizate cu indicatoare de parcare și/sau marcaje rutiere corespunzătoare. </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La oprirea/staționarea/parcarea autovehiculului în parcările și parcajele publice, se vor respecta marcajele corespunzătoare, fără a le călca sau depăși, astfel ca toți utilizatorii parcărilor și parcajelor să le poată folosi nestânjenit și în siguranță.</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În cazul pierderii tichetului de parcare/parcaj, utilizatorul are dreptul la emiterea duplicatului acestuia contra plată conform tarifelor aprobate, fără a fi exonerat de plata datorată pentru timpul în care a utilizat locul de parcare/parcaj cu plată.</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Locurile de parcare/parcajele destinate persoanelor cu dizabilități, vor putea fi utilizate doar de către utilizatori deținători al acestui statut și/sau persoanele care îi însoțesc, în baza permiselor/abonamentelor eliberate de către Autoritate/administrator în acest scop, conform procedurilor stabilite în cadrul prezentului Regulament. Persoanele cu dizabilități și/sau persoanele care îi însoțesc au dreptul de a parca gratuit pe locurile special amenajate marcate corespunzător. </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Este interzisă oprirea/staționarea/parcarea în locurile neamenajate corespunzător, în locurile de acces, în locurile nemarcate de la începutul și sfârșitul străzilor în apropierea intersecțiilor la mai puțin de 15 m de acestea.</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Suprafața locului de parcare sau a parcajului pentru un autoturism se calculează conform normativelor</w:t>
      </w:r>
      <w:r>
        <w:rPr>
          <w:rFonts w:ascii="Times New Roman" w:hAnsi="Times New Roman" w:cs="Times New Roman"/>
          <w:sz w:val="24"/>
          <w:szCs w:val="24"/>
          <w:lang w:val="zh-CN"/>
        </w:rPr>
        <w:t xml:space="preserve"> tehnice.</w:t>
      </w:r>
    </w:p>
    <w:p>
      <w:pPr>
        <w:tabs>
          <w:tab w:val="left" w:pos="1134"/>
        </w:tabs>
        <w:spacing w:after="0" w:line="240" w:lineRule="auto"/>
        <w:ind w:firstLine="567"/>
        <w:contextualSpacing/>
        <w:jc w:val="both"/>
        <w:rPr>
          <w:rFonts w:ascii="Times New Roman" w:hAnsi="Times New Roman" w:eastAsia="Calibri" w:cs="Times New Roman"/>
          <w:sz w:val="24"/>
          <w:szCs w:val="24"/>
          <w:lang w:val="zh-CN"/>
        </w:rPr>
      </w:pPr>
    </w:p>
    <w:p>
      <w:pPr>
        <w:pStyle w:val="2"/>
        <w:tabs>
          <w:tab w:val="left" w:pos="567"/>
        </w:tabs>
        <w:spacing w:before="0" w:line="240" w:lineRule="auto"/>
        <w:ind w:firstLine="284"/>
        <w:jc w:val="center"/>
        <w:rPr>
          <w:rFonts w:ascii="Times New Roman" w:hAnsi="Times New Roman" w:eastAsia="Calibri" w:cs="Times New Roman"/>
          <w:b/>
          <w:bCs/>
          <w:color w:val="auto"/>
          <w:sz w:val="24"/>
          <w:szCs w:val="24"/>
          <w:lang w:val="zh-CN"/>
        </w:rPr>
      </w:pPr>
      <w:r>
        <w:rPr>
          <w:rFonts w:ascii="Times New Roman" w:hAnsi="Times New Roman" w:eastAsia="Calibri" w:cs="Times New Roman"/>
          <w:b/>
          <w:bCs/>
          <w:color w:val="auto"/>
          <w:sz w:val="24"/>
          <w:szCs w:val="24"/>
          <w:lang w:val="zh-CN"/>
        </w:rPr>
        <w:t>CAPITOLUL IV. Atribuțiile,</w:t>
      </w:r>
      <w:r>
        <w:rPr>
          <w:color w:val="auto"/>
          <w:lang w:val="zh-CN"/>
        </w:rPr>
        <w:t xml:space="preserve"> </w:t>
      </w:r>
      <w:r>
        <w:rPr>
          <w:rFonts w:ascii="Times New Roman" w:hAnsi="Times New Roman" w:eastAsia="Calibri" w:cs="Times New Roman"/>
          <w:b/>
          <w:bCs/>
          <w:color w:val="auto"/>
          <w:sz w:val="24"/>
          <w:szCs w:val="24"/>
          <w:lang w:val="zh-CN"/>
        </w:rPr>
        <w:t>drepturile, obligațiile Autorității/administratorului și utilizatorului.</w:t>
      </w:r>
    </w:p>
    <w:p>
      <w:pPr>
        <w:tabs>
          <w:tab w:val="left" w:pos="1134"/>
        </w:tabs>
        <w:spacing w:after="0" w:line="240" w:lineRule="auto"/>
        <w:ind w:firstLine="567"/>
        <w:contextualSpacing/>
        <w:jc w:val="both"/>
        <w:rPr>
          <w:rFonts w:ascii="Times New Roman" w:hAnsi="Times New Roman" w:eastAsia="Calibri" w:cs="Times New Roman"/>
          <w:sz w:val="24"/>
          <w:szCs w:val="24"/>
          <w:lang w:val="zh-CN"/>
        </w:rPr>
      </w:pPr>
    </w:p>
    <w:p>
      <w:pPr>
        <w:pStyle w:val="3"/>
        <w:spacing w:before="0" w:line="240" w:lineRule="auto"/>
        <w:ind w:left="709"/>
        <w:jc w:val="center"/>
        <w:rPr>
          <w:rFonts w:ascii="Times New Roman" w:hAnsi="Times New Roman" w:eastAsia="Calibri" w:cs="Times New Roman"/>
          <w:b/>
          <w:bCs/>
          <w:color w:val="auto"/>
          <w:sz w:val="24"/>
          <w:szCs w:val="24"/>
          <w:lang w:val="zh-CN"/>
        </w:rPr>
      </w:pPr>
      <w:bookmarkStart w:id="33" w:name="_Toc164640873"/>
      <w:r>
        <w:rPr>
          <w:rFonts w:ascii="Times New Roman" w:hAnsi="Times New Roman" w:eastAsia="Calibri" w:cs="Times New Roman"/>
          <w:b/>
          <w:bCs/>
          <w:color w:val="auto"/>
          <w:sz w:val="24"/>
          <w:szCs w:val="24"/>
          <w:lang w:val="zh-CN"/>
        </w:rPr>
        <w:t xml:space="preserve">Secțiunea 10. </w:t>
      </w:r>
      <w:bookmarkStart w:id="34" w:name="_Hlk167185166"/>
      <w:r>
        <w:rPr>
          <w:rFonts w:ascii="Times New Roman" w:hAnsi="Times New Roman" w:eastAsia="Calibri" w:cs="Times New Roman"/>
          <w:b/>
          <w:bCs/>
          <w:color w:val="auto"/>
          <w:sz w:val="24"/>
          <w:szCs w:val="24"/>
          <w:lang w:val="zh-CN"/>
        </w:rPr>
        <w:t xml:space="preserve">Drepturile și atribuțiile, obligațiile și responsabilitățile </w:t>
      </w:r>
      <w:bookmarkEnd w:id="34"/>
      <w:r>
        <w:rPr>
          <w:rFonts w:ascii="Times New Roman" w:hAnsi="Times New Roman" w:eastAsia="Calibri" w:cs="Times New Roman"/>
          <w:b/>
          <w:bCs/>
          <w:color w:val="auto"/>
          <w:sz w:val="24"/>
          <w:szCs w:val="24"/>
          <w:lang w:val="zh-CN"/>
        </w:rPr>
        <w:t>Autorității/administratorului în procesul de administrare, exploatare a parcărilor și parcajelor publice</w:t>
      </w:r>
      <w:bookmarkEnd w:id="33"/>
      <w:r>
        <w:rPr>
          <w:rFonts w:ascii="Times New Roman" w:hAnsi="Times New Roman" w:eastAsia="Calibri" w:cs="Times New Roman"/>
          <w:b/>
          <w:bCs/>
          <w:color w:val="auto"/>
          <w:sz w:val="24"/>
          <w:szCs w:val="24"/>
          <w:lang w:val="zh-CN"/>
        </w:rPr>
        <w:t xml:space="preserve"> </w:t>
      </w:r>
    </w:p>
    <w:p>
      <w:pPr>
        <w:rPr>
          <w:lang w:val="zh-CN"/>
        </w:rPr>
      </w:pP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Drepturile și atribuțiile Autorității/administratorului:</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stabilirea strategiilor de dezvoltare și funcționare a sistemului de management al parcărilor și parcajelor;</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luarea inițiativelor pentru adoptarea deciziilor și emiterea actelor necesare cu privire la managementul parcărilor și parcajelor;</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colaborarea cu alte autorități publice și private în vederea optimizării sistemului de management al parcărilor și parcajelor;</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încasarea tarifelor pentru utilizarea parcărilor și parcajelor;</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înaintarea propunerilor de ajustare periodică a taxelor și  tarifelor;</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verificarea conformității documentelor depuse de utilizator, solicitanți, etc.; </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anularea abonamentelor pentru locurile de parcare și parcaje, dacă constată încălcarea de către utilizator a prevederilor prevăzute în prezentul Regulament,  sau dacă constată că nu mai sunt îndeplinite condițiile pentru eliberarea acestora;</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realizarea și reconfigurarea ori de câte ori este cazul a marcajelor rutiere, iluminatului căilor de acces către parcări și parcajele publice;</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eastAsia="Calibri" w:cs="Times New Roman"/>
          <w:sz w:val="24"/>
          <w:szCs w:val="24"/>
          <w:lang w:val="zh-CN"/>
        </w:rPr>
        <w:t>supravegherea modului de utilizare și achitare a tarifelor pentru parcare și parcaje;</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eastAsia="Calibri" w:cs="Times New Roman"/>
          <w:sz w:val="24"/>
          <w:szCs w:val="24"/>
          <w:lang w:val="zh-CN"/>
        </w:rPr>
        <w:t>examinarea modului de ocupare a terenului, aparținând domeniului public și privat al municipiului Chișinău, în locurile aflate în zona parcărilor și parcajelor publice sau alăturată acesteia;</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eastAsia="Calibri" w:cs="Times New Roman"/>
          <w:sz w:val="24"/>
          <w:szCs w:val="24"/>
          <w:lang w:val="zh-CN"/>
        </w:rPr>
        <w:t>monitorizarea respectării normelor de utilizare a parcărilor și parcajelor cu aplicarea măsurilor de constrângere pentru abaterile prevăzute de prezentul Regulament;</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eastAsia="Calibri" w:cs="Times New Roman"/>
          <w:sz w:val="24"/>
          <w:szCs w:val="24"/>
          <w:lang w:val="zh-CN"/>
        </w:rPr>
        <w:t>să aplice sancțiuni administrative, contravenționale, civile și alte masuri de constrângere în condițiile prezentului regulament și actele normative în vigoare, pentru încălcările admise de către utilizator;</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eastAsia="Calibri" w:cs="Times New Roman"/>
          <w:sz w:val="24"/>
          <w:szCs w:val="24"/>
          <w:lang w:val="zh-CN"/>
        </w:rPr>
        <w:t>restricționare temporară a accesului în parcarea publică și/sau parcaj, inclusiv pentru deținătorii de abonamente, pe o anumită perioadă, în cazul inexistenței locurilor libere disponibile, sau în alte situații excepționale;</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eastAsia="Calibri" w:cs="Times New Roman"/>
          <w:sz w:val="24"/>
          <w:szCs w:val="24"/>
          <w:lang w:val="zh-CN"/>
        </w:rPr>
        <w:t xml:space="preserve">solicitarea  eliberării locului de parcare, indicându-se motivul și perioada de timp în cazul situațiilor excepționale fără recuperarea sumelor achitate în avans pentru perioada respectivă; </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alte atribuții stabilite prin reglementări legale;</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eastAsia="Calibri" w:cs="Times New Roman"/>
          <w:sz w:val="24"/>
          <w:szCs w:val="24"/>
          <w:lang w:val="zh-CN"/>
        </w:rPr>
        <w:t>administratorul nu are atribuții de pază a autovehiculelor parcate în  parcările și parcajele publice;</w:t>
      </w:r>
    </w:p>
    <w:p>
      <w:pPr>
        <w:pStyle w:val="23"/>
        <w:numPr>
          <w:ilvl w:val="2"/>
          <w:numId w:val="6"/>
        </w:numPr>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notificarea utilizatorilor cu privire la necesitatea achitării tarifului pentru perioada de staționare în parcaj sau expirării perioadei solicitate și determinate de către utilizator;</w:t>
      </w:r>
    </w:p>
    <w:p>
      <w:pPr>
        <w:pStyle w:val="23"/>
        <w:spacing w:after="0" w:line="240" w:lineRule="auto"/>
        <w:ind w:left="993"/>
        <w:jc w:val="both"/>
        <w:rPr>
          <w:rFonts w:ascii="Times New Roman" w:hAnsi="Times New Roman" w:cs="Times New Roman"/>
          <w:bCs/>
          <w:sz w:val="24"/>
          <w:szCs w:val="24"/>
          <w:lang w:val="zh-CN"/>
        </w:rPr>
      </w:pP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Obligațiile și responsabilitățile administratorului:</w:t>
      </w:r>
    </w:p>
    <w:p>
      <w:pPr>
        <w:pStyle w:val="23"/>
        <w:numPr>
          <w:ilvl w:val="1"/>
          <w:numId w:val="4"/>
        </w:numPr>
        <w:tabs>
          <w:tab w:val="left" w:pos="567"/>
          <w:tab w:val="left" w:pos="1134"/>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să pună la dispoziția autorităților abilitate, înregistrările video, în condițiile stabilite de cadrul normativ. </w:t>
      </w:r>
    </w:p>
    <w:p>
      <w:pPr>
        <w:pStyle w:val="23"/>
        <w:numPr>
          <w:ilvl w:val="1"/>
          <w:numId w:val="4"/>
        </w:numPr>
        <w:tabs>
          <w:tab w:val="left" w:pos="567"/>
          <w:tab w:val="left" w:pos="1134"/>
        </w:tabs>
        <w:spacing w:after="0" w:line="240" w:lineRule="auto"/>
        <w:jc w:val="both"/>
        <w:rPr>
          <w:rFonts w:ascii="Times New Roman" w:hAnsi="Times New Roman" w:eastAsia="Calibri" w:cs="Times New Roman"/>
          <w:sz w:val="24"/>
          <w:szCs w:val="24"/>
          <w:lang w:val="zh-CN"/>
        </w:rPr>
      </w:pPr>
      <w:r>
        <w:rPr>
          <w:rFonts w:ascii="Times New Roman" w:hAnsi="Times New Roman" w:cs="Times New Roman"/>
          <w:bCs/>
          <w:sz w:val="24"/>
          <w:szCs w:val="24"/>
          <w:lang w:val="zh-CN"/>
        </w:rPr>
        <w:t>soluționarea sesizărilor și reclamațiilor referitoare la activitățile derulate;</w:t>
      </w:r>
    </w:p>
    <w:p>
      <w:pPr>
        <w:pStyle w:val="23"/>
        <w:numPr>
          <w:ilvl w:val="1"/>
          <w:numId w:val="4"/>
        </w:numPr>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asigurarea condițiilor civilizate de parcare, prin  curățarea și iluminarea supravegherea  video a locurilor de parcare și parcajelor; </w:t>
      </w:r>
    </w:p>
    <w:p>
      <w:pPr>
        <w:pStyle w:val="23"/>
        <w:numPr>
          <w:ilvl w:val="1"/>
          <w:numId w:val="4"/>
        </w:numPr>
        <w:rPr>
          <w:rFonts w:ascii="Times New Roman" w:hAnsi="Times New Roman" w:eastAsia="Calibri" w:cs="Times New Roman"/>
          <w:sz w:val="24"/>
          <w:szCs w:val="24"/>
          <w:lang w:val="zh-CN"/>
        </w:rPr>
      </w:pPr>
      <w:r>
        <w:rPr>
          <w:rFonts w:ascii="Times New Roman" w:hAnsi="Times New Roman" w:cs="Times New Roman"/>
          <w:bCs/>
          <w:sz w:val="24"/>
          <w:szCs w:val="24"/>
          <w:lang w:val="zh-CN"/>
        </w:rPr>
        <w:t>asigurarea publicității și accesului liber la informațiile publice privind activitățile de administrare a parcărilor și parcajelor publice;</w:t>
      </w:r>
    </w:p>
    <w:p>
      <w:pPr>
        <w:pStyle w:val="23"/>
        <w:numPr>
          <w:ilvl w:val="1"/>
          <w:numId w:val="4"/>
        </w:numPr>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asigurarea semnalizării, întreținerii și reparației parții carosabile a parcărilor și parcajelor;</w:t>
      </w:r>
    </w:p>
    <w:p>
      <w:pPr>
        <w:pStyle w:val="23"/>
        <w:numPr>
          <w:ilvl w:val="1"/>
          <w:numId w:val="4"/>
        </w:numPr>
        <w:tabs>
          <w:tab w:val="left" w:pos="567"/>
          <w:tab w:val="left" w:pos="1134"/>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Autoritatea/administratorul nu garantează sub nici o formă utilizatorilor, rezervarea locului de parcare sau a parcajului.</w:t>
      </w:r>
    </w:p>
    <w:p>
      <w:pPr>
        <w:pStyle w:val="23"/>
        <w:numPr>
          <w:ilvl w:val="1"/>
          <w:numId w:val="4"/>
        </w:numPr>
        <w:tabs>
          <w:tab w:val="left" w:pos="567"/>
          <w:tab w:val="left" w:pos="1134"/>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Autoritatea/administratorul nu își asumă responsabilitatea civilă, contravențională sau penală pentru orice prejudiciu cauzat autovehiculelor, inclusiv ca urmare a blocării și/sau ridicării, transportării și depozitării lor, pentru bunurile lăsate în interiorul acestora sau pentru eventualele daune, sustrageri, incendii, precum și pentru orice fel de daune cauzate de utilizatorii parcărilor și parcajelor publice, ori de terțe persoane, autovehiculelor aflate în parcare sau parcaje</w:t>
      </w:r>
    </w:p>
    <w:p>
      <w:pPr>
        <w:pStyle w:val="23"/>
        <w:tabs>
          <w:tab w:val="left" w:pos="567"/>
          <w:tab w:val="left" w:pos="1134"/>
        </w:tabs>
        <w:spacing w:after="0" w:line="240" w:lineRule="auto"/>
        <w:ind w:left="142"/>
        <w:jc w:val="both"/>
        <w:rPr>
          <w:rFonts w:ascii="Times New Roman" w:hAnsi="Times New Roman" w:eastAsia="Calibri" w:cs="Times New Roman"/>
          <w:sz w:val="24"/>
          <w:szCs w:val="24"/>
          <w:lang w:val="zh-CN"/>
        </w:rPr>
      </w:pPr>
    </w:p>
    <w:p>
      <w:pPr>
        <w:pStyle w:val="3"/>
        <w:spacing w:before="0" w:line="240" w:lineRule="auto"/>
        <w:ind w:left="709"/>
        <w:jc w:val="center"/>
        <w:rPr>
          <w:rFonts w:ascii="Times New Roman" w:hAnsi="Times New Roman" w:eastAsia="Calibri" w:cs="Times New Roman"/>
          <w:b/>
          <w:bCs/>
          <w:color w:val="auto"/>
          <w:sz w:val="24"/>
          <w:szCs w:val="24"/>
          <w:lang w:val="zh-CN"/>
        </w:rPr>
      </w:pPr>
      <w:bookmarkStart w:id="35" w:name="_Toc164640874"/>
      <w:r>
        <w:rPr>
          <w:rFonts w:ascii="Times New Roman" w:hAnsi="Times New Roman" w:eastAsia="Calibri" w:cs="Times New Roman"/>
          <w:b/>
          <w:bCs/>
          <w:color w:val="auto"/>
          <w:sz w:val="24"/>
          <w:szCs w:val="24"/>
          <w:lang w:val="zh-CN"/>
        </w:rPr>
        <w:t>Secțiunea 11. Drepturile, obligațiile și responsabilitățile utilizatorilor parcărilor și parcajelor publice</w:t>
      </w:r>
      <w:bookmarkEnd w:id="35"/>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bCs/>
          <w:sz w:val="24"/>
          <w:szCs w:val="24"/>
          <w:lang w:val="zh-CN"/>
        </w:rPr>
      </w:pPr>
      <w:r>
        <w:rPr>
          <w:rFonts w:ascii="Times New Roman" w:hAnsi="Times New Roman" w:eastAsia="Calibri" w:cs="Times New Roman"/>
          <w:sz w:val="24"/>
          <w:szCs w:val="24"/>
          <w:lang w:val="zh-CN"/>
        </w:rPr>
        <w:t>Drepturile  utilizatorilor parcărilor și parcajelor publice cu plată:</w:t>
      </w:r>
      <w:r>
        <w:rPr>
          <w:rFonts w:ascii="Times New Roman" w:hAnsi="Times New Roman" w:eastAsia="Calibri" w:cs="Times New Roman"/>
          <w:bCs/>
          <w:sz w:val="24"/>
          <w:szCs w:val="24"/>
          <w:lang w:val="zh-CN"/>
        </w:rPr>
        <w:t xml:space="preserve"> </w:t>
      </w:r>
    </w:p>
    <w:p>
      <w:pPr>
        <w:pStyle w:val="23"/>
        <w:numPr>
          <w:ilvl w:val="0"/>
          <w:numId w:val="7"/>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să aibă acces neîngrădit la informațiile publice privind parcările/parcajele din municipiul Chișinău, modul de utilizare a acestora și de achitare a tarifelor;</w:t>
      </w:r>
    </w:p>
    <w:p>
      <w:pPr>
        <w:pStyle w:val="23"/>
        <w:numPr>
          <w:ilvl w:val="0"/>
          <w:numId w:val="7"/>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să beneficieze, fără discriminare de acces în parcarea publică/parcaj;</w:t>
      </w:r>
    </w:p>
    <w:p>
      <w:pPr>
        <w:pStyle w:val="23"/>
        <w:numPr>
          <w:ilvl w:val="0"/>
          <w:numId w:val="7"/>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să primească răspuns la sesizările adresate </w:t>
      </w:r>
      <w:r>
        <w:rPr>
          <w:rFonts w:ascii="Times New Roman" w:hAnsi="Times New Roman" w:eastAsia="Calibri" w:cs="Times New Roman"/>
          <w:sz w:val="24"/>
          <w:szCs w:val="24"/>
          <w:lang w:val="zh-CN"/>
        </w:rPr>
        <w:t>Autorității/</w:t>
      </w:r>
      <w:r>
        <w:rPr>
          <w:rFonts w:ascii="Times New Roman" w:hAnsi="Times New Roman" w:cs="Times New Roman"/>
          <w:bCs/>
          <w:sz w:val="24"/>
          <w:szCs w:val="24"/>
          <w:lang w:val="zh-CN"/>
        </w:rPr>
        <w:t>administratorului cu privire la neregulile depistate în procesul de exploatare și utilizare a parcărilor și parcajelor publice din municipiul Chișinău, în termenele și condițiile prevăzute de legislația în vigoare a Republicii Moldova.</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Obligațiile și responsabilitățile utilizatorilor parcărilor/parcajelor publice cu plată:</w:t>
      </w:r>
    </w:p>
    <w:p>
      <w:pPr>
        <w:pStyle w:val="23"/>
        <w:numPr>
          <w:ilvl w:val="0"/>
          <w:numId w:val="8"/>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să nu ocupe locul de parcare/parcaj cu plată, fără achitarea tarifului aferent;</w:t>
      </w:r>
    </w:p>
    <w:p>
      <w:pPr>
        <w:pStyle w:val="23"/>
        <w:numPr>
          <w:ilvl w:val="0"/>
          <w:numId w:val="8"/>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să achite tarifele stabilite pentru parcare/parcaj, iar în caz de încălcare a Regulamentului, să achite tarifele stabilite de blocare/deblocare a roților,  precum și amenzile contravenționale;</w:t>
      </w:r>
    </w:p>
    <w:p>
      <w:pPr>
        <w:pStyle w:val="23"/>
        <w:numPr>
          <w:ilvl w:val="0"/>
          <w:numId w:val="8"/>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să respecte regulile și instrucțiunile de utilizare a parcării/parcajului și semnalizarea rutieră;</w:t>
      </w:r>
    </w:p>
    <w:p>
      <w:pPr>
        <w:pStyle w:val="23"/>
        <w:numPr>
          <w:ilvl w:val="0"/>
          <w:numId w:val="8"/>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să respecte orarul instituit pentru toate tipurile de parcări/parcaje; </w:t>
      </w:r>
    </w:p>
    <w:p>
      <w:pPr>
        <w:pStyle w:val="23"/>
        <w:numPr>
          <w:ilvl w:val="0"/>
          <w:numId w:val="8"/>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să afișeze în interiorul autovehiculului, pe bord, sub parbriz, la loc vizibil, tichetul de parcare, tichetul de parcaj, sau abonamentul, astfel încât toate datele inscripționate să fie vizibile din exterior;</w:t>
      </w:r>
    </w:p>
    <w:p>
      <w:pPr>
        <w:pStyle w:val="23"/>
        <w:numPr>
          <w:ilvl w:val="0"/>
          <w:numId w:val="8"/>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să răspundă patrimonial, contravențional  sau penal în conformitate cu actele normative în vigoare, pentru prejudiciile produse dotărilor sau instalațiilor parcărilor și parcajelor, sau terțelor persoane ca urmare a manevrelor greșite sau nerespectării semnalizării rutiere sau a normelor de utilizare a locului de parcare sau parcajului; </w:t>
      </w:r>
    </w:p>
    <w:p>
      <w:pPr>
        <w:pStyle w:val="23"/>
        <w:numPr>
          <w:ilvl w:val="0"/>
          <w:numId w:val="8"/>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să asigure eliberarea necondiționată a locurilor de parcare/parcajelor în situația efectuării unor lucrări publice, intervenției pentru avarii sau evenimente avizate/aprobate de Primăria municipiului Chișinău; </w:t>
      </w:r>
    </w:p>
    <w:p>
      <w:pPr>
        <w:pStyle w:val="23"/>
        <w:numPr>
          <w:ilvl w:val="0"/>
          <w:numId w:val="8"/>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să prezinte persoanelor împuternicite cu efectuarea controlului la parcările publice cu plată, documentele referitoare la locul de parcare/parcaj și cu privire la achitarea tarifului corespunzător; </w:t>
      </w:r>
    </w:p>
    <w:p>
      <w:pPr>
        <w:pStyle w:val="23"/>
        <w:numPr>
          <w:ilvl w:val="0"/>
          <w:numId w:val="8"/>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să păstreze curățenia în parcare/parcaje și să arunce resturile în locurile special amenajate;</w:t>
      </w:r>
    </w:p>
    <w:p>
      <w:pPr>
        <w:pStyle w:val="23"/>
        <w:numPr>
          <w:ilvl w:val="0"/>
          <w:numId w:val="8"/>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să respecte destinația locurilor de parcare/parcajelor amenajate și atribuite pe tipuri de autovehicule, persoanelor cu dizabilități, autovehiculelor de serviciu aflate în misiune, locuri dotate cu stații de încărcare autoturismelor electrice (în caz dacă sunt organizate și delimitate în acest sens),în caz dacă utilizatorul nu face parte din categoriile enumerate;</w:t>
      </w:r>
    </w:p>
    <w:p>
      <w:pPr>
        <w:pStyle w:val="23"/>
        <w:numPr>
          <w:ilvl w:val="0"/>
          <w:numId w:val="8"/>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să respecte semnificația marcajelor și indicatoarelor rutiere existente în parcări/parcaje, astfel încât autovehiculele parcate să nu blocheze căile de acces și de rulare în cadrul acestora și spre acestea, să nu stânjenească sau să împiedice circulația normală a pietonilor pe trotuare și a celorlalte autovehicule (auto, transport public, bicicliști, etc.) pe partea carosabilă a drumului, să respecte distanțele laterale și față-spate dintre locurile de parcare vecine, să permită intrarea și ieșirea cu ușurință în/din locurile de parcare precum și deschiderea ușilor autovehiculelor pentru accesul persoanelor în deplină siguranță în/și din acestea;</w:t>
      </w:r>
    </w:p>
    <w:p>
      <w:pPr>
        <w:pStyle w:val="23"/>
        <w:numPr>
          <w:ilvl w:val="0"/>
          <w:numId w:val="8"/>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să respecte cerințele tehnicii securității, anti-incendiare, sanitare și de protecție a mediului ambiant;</w:t>
      </w:r>
    </w:p>
    <w:p>
      <w:pPr>
        <w:pStyle w:val="23"/>
        <w:numPr>
          <w:ilvl w:val="0"/>
          <w:numId w:val="8"/>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să cunoască și respecte prevederile prezentului Regulament precum și regulile individuale de utilizare și funcționare a parcării/parcajului, afișate pe panourile informative din dotarea acestora, pe site-ul Autorității/administratorului, sau aduse la cunoștință de către ”Sistemul electronic de management al parcărilor și parcajelor” în momentul înregistrării;</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În parcările și parcajele publice cu plată, utilizatorilor li se interzice:</w:t>
      </w:r>
    </w:p>
    <w:p>
      <w:pPr>
        <w:pStyle w:val="23"/>
        <w:numPr>
          <w:ilvl w:val="0"/>
          <w:numId w:val="9"/>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utilizarea parcării/parcajelor cu scopul de a obține venituri de la alți utilizatori, pentru activități periculoase, ilegale, imorale, sau pentru practicarea cerșetoriei;</w:t>
      </w:r>
    </w:p>
    <w:p>
      <w:pPr>
        <w:pStyle w:val="23"/>
        <w:numPr>
          <w:ilvl w:val="0"/>
          <w:numId w:val="9"/>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blocarea accesului altor utilizatori la locurile de parcare/parcaje; </w:t>
      </w:r>
    </w:p>
    <w:p>
      <w:pPr>
        <w:pStyle w:val="23"/>
        <w:numPr>
          <w:ilvl w:val="0"/>
          <w:numId w:val="9"/>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organizarea în parcare/parcaje reuniunile politice sau publice, greve, activități comerciale fără acordul scris al Autorității/administratorului;</w:t>
      </w:r>
    </w:p>
    <w:p>
      <w:pPr>
        <w:pStyle w:val="23"/>
        <w:numPr>
          <w:ilvl w:val="0"/>
          <w:numId w:val="9"/>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camparea în parcare/parcaje și organizarea picnicurilor, sporturilor sau altor activități în perimetrul acestora;</w:t>
      </w:r>
    </w:p>
    <w:p>
      <w:pPr>
        <w:pStyle w:val="23"/>
        <w:numPr>
          <w:ilvl w:val="0"/>
          <w:numId w:val="9"/>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afișarea sau distribuirea materialelor publicitare sau desfășurarea altor activități publicitare fără acordul scris al Autorității/administratorului;</w:t>
      </w:r>
    </w:p>
    <w:p>
      <w:pPr>
        <w:pStyle w:val="23"/>
        <w:numPr>
          <w:ilvl w:val="0"/>
          <w:numId w:val="9"/>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întreprinderea acțiunilor ce ar genera perturbarea ordinii publice, pagube sau inconveniente, atât parcării/parcajelor cât și utilizatorilor acestora, inclusiv efectuarea manevrelor ce pot fi periculoase pentru ceilalți participanți la trafic;</w:t>
      </w:r>
    </w:p>
    <w:p>
      <w:pPr>
        <w:pStyle w:val="23"/>
        <w:numPr>
          <w:ilvl w:val="0"/>
          <w:numId w:val="9"/>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lăsarea minorilor nesupravegheați în parcare/parcaje sau în autovehiculele parcate;</w:t>
      </w:r>
    </w:p>
    <w:p>
      <w:pPr>
        <w:pStyle w:val="23"/>
        <w:numPr>
          <w:ilvl w:val="0"/>
          <w:numId w:val="9"/>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utilizarea claxoanelor autovehiculelor și staționarea voluntară a autovehiculelor cu motorul aflat în funcțiune;</w:t>
      </w:r>
    </w:p>
    <w:p>
      <w:pPr>
        <w:pStyle w:val="23"/>
        <w:numPr>
          <w:ilvl w:val="0"/>
          <w:numId w:val="9"/>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alimentarea autovehiculelor cu combustibili, lubrifianți și alte consumabile, precum și deservirea tehnică, reparația, curățirea sau spălarea autovehiculelor, cu excepția cazurilor în care sunt locuri special amenajate în acest sens;</w:t>
      </w:r>
    </w:p>
    <w:p>
      <w:pPr>
        <w:pStyle w:val="23"/>
        <w:numPr>
          <w:ilvl w:val="0"/>
          <w:numId w:val="9"/>
        </w:numPr>
        <w:tabs>
          <w:tab w:val="left" w:pos="993"/>
        </w:tabs>
        <w:spacing w:after="0" w:line="240" w:lineRule="auto"/>
        <w:ind w:left="993" w:hanging="284"/>
        <w:jc w:val="both"/>
        <w:rPr>
          <w:rFonts w:ascii="Times New Roman" w:hAnsi="Times New Roman" w:cs="Times New Roman"/>
          <w:bCs/>
          <w:sz w:val="24"/>
          <w:szCs w:val="24"/>
          <w:lang w:val="zh-CN"/>
        </w:rPr>
      </w:pPr>
      <w:r>
        <w:rPr>
          <w:rFonts w:ascii="Times New Roman" w:hAnsi="Times New Roman" w:cs="Times New Roman"/>
          <w:bCs/>
          <w:sz w:val="24"/>
          <w:szCs w:val="24"/>
          <w:lang w:val="zh-CN"/>
        </w:rPr>
        <w:t>edificarea construcțiilor ori montarea dispozitivelor de blocare a accesului la locul de parcare și parcaj utilizat.</w:t>
      </w:r>
    </w:p>
    <w:p>
      <w:pPr>
        <w:tabs>
          <w:tab w:val="left" w:pos="1134"/>
        </w:tabs>
        <w:spacing w:after="0" w:line="240" w:lineRule="auto"/>
        <w:ind w:left="993" w:hanging="284"/>
        <w:jc w:val="center"/>
        <w:rPr>
          <w:rFonts w:ascii="Times New Roman" w:hAnsi="Times New Roman" w:eastAsia="Times New Roman" w:cs="Times New Roman"/>
          <w:b/>
          <w:sz w:val="24"/>
          <w:szCs w:val="24"/>
          <w:lang w:val="zh-CN"/>
        </w:rPr>
      </w:pPr>
      <w:bookmarkStart w:id="36" w:name="_Hlk164170983"/>
    </w:p>
    <w:p>
      <w:pPr>
        <w:pStyle w:val="2"/>
        <w:tabs>
          <w:tab w:val="left" w:pos="1134"/>
        </w:tabs>
        <w:spacing w:before="0" w:line="240" w:lineRule="auto"/>
        <w:ind w:firstLine="567"/>
        <w:jc w:val="center"/>
        <w:rPr>
          <w:rFonts w:ascii="Times New Roman" w:hAnsi="Times New Roman" w:eastAsia="Calibri" w:cs="Times New Roman"/>
          <w:b/>
          <w:bCs/>
          <w:color w:val="auto"/>
          <w:sz w:val="24"/>
          <w:szCs w:val="24"/>
          <w:lang w:val="zh-CN"/>
        </w:rPr>
      </w:pPr>
      <w:bookmarkStart w:id="37" w:name="_Toc164638750"/>
      <w:bookmarkStart w:id="38" w:name="_Toc164640875"/>
      <w:r>
        <w:rPr>
          <w:rFonts w:ascii="Times New Roman" w:hAnsi="Times New Roman" w:eastAsia="Calibri" w:cs="Times New Roman"/>
          <w:b/>
          <w:bCs/>
          <w:color w:val="auto"/>
          <w:sz w:val="24"/>
          <w:szCs w:val="24"/>
          <w:lang w:val="zh-CN"/>
        </w:rPr>
        <w:t>CAPITOLUL IV</w:t>
      </w:r>
      <w:bookmarkEnd w:id="37"/>
      <w:r>
        <w:rPr>
          <w:rFonts w:ascii="Times New Roman" w:hAnsi="Times New Roman" w:eastAsia="Calibri" w:cs="Times New Roman"/>
          <w:b/>
          <w:bCs/>
          <w:color w:val="auto"/>
          <w:sz w:val="24"/>
          <w:szCs w:val="24"/>
          <w:lang w:val="zh-CN"/>
        </w:rPr>
        <w:t xml:space="preserve">. </w:t>
      </w:r>
      <w:bookmarkStart w:id="39" w:name="_Toc164638751"/>
      <w:r>
        <w:rPr>
          <w:rFonts w:ascii="Times New Roman" w:hAnsi="Times New Roman" w:eastAsia="Calibri" w:cs="Times New Roman"/>
          <w:b/>
          <w:bCs/>
          <w:color w:val="auto"/>
          <w:sz w:val="24"/>
          <w:szCs w:val="24"/>
          <w:lang w:val="zh-CN"/>
        </w:rPr>
        <w:t>Dispoziții speciale privind organizarea, amenajarea,</w:t>
      </w:r>
      <w:bookmarkEnd w:id="39"/>
      <w:r>
        <w:rPr>
          <w:rFonts w:ascii="Times New Roman" w:hAnsi="Times New Roman" w:eastAsia="Calibri" w:cs="Times New Roman"/>
          <w:b/>
          <w:bCs/>
          <w:color w:val="auto"/>
          <w:sz w:val="24"/>
          <w:szCs w:val="24"/>
          <w:lang w:val="zh-CN"/>
        </w:rPr>
        <w:t xml:space="preserve"> </w:t>
      </w:r>
      <w:bookmarkStart w:id="40" w:name="_Toc164638752"/>
      <w:r>
        <w:rPr>
          <w:rFonts w:ascii="Times New Roman" w:hAnsi="Times New Roman" w:eastAsia="Calibri" w:cs="Times New Roman"/>
          <w:b/>
          <w:bCs/>
          <w:color w:val="auto"/>
          <w:sz w:val="24"/>
          <w:szCs w:val="24"/>
          <w:lang w:val="zh-CN"/>
        </w:rPr>
        <w:t>exploatarea și funcționarea parcărilor și parcajelor</w:t>
      </w:r>
      <w:bookmarkEnd w:id="38"/>
      <w:bookmarkEnd w:id="40"/>
    </w:p>
    <w:bookmarkEnd w:id="36"/>
    <w:p>
      <w:pPr>
        <w:pStyle w:val="23"/>
        <w:tabs>
          <w:tab w:val="left" w:pos="567"/>
          <w:tab w:val="left" w:pos="1134"/>
        </w:tabs>
        <w:spacing w:after="0" w:line="240" w:lineRule="auto"/>
        <w:ind w:left="142"/>
        <w:jc w:val="center"/>
        <w:rPr>
          <w:rFonts w:ascii="Times New Roman" w:hAnsi="Times New Roman" w:eastAsia="Calibri" w:cs="Times New Roman"/>
          <w:b/>
          <w:bCs/>
          <w:sz w:val="24"/>
          <w:szCs w:val="24"/>
          <w:lang w:val="zh-CN"/>
        </w:rPr>
      </w:pPr>
      <w:bookmarkStart w:id="41" w:name="_Toc164640876"/>
      <w:bookmarkStart w:id="42" w:name="_Hlk162538833"/>
    </w:p>
    <w:p>
      <w:pPr>
        <w:pStyle w:val="23"/>
        <w:tabs>
          <w:tab w:val="left" w:pos="567"/>
          <w:tab w:val="left" w:pos="1134"/>
        </w:tabs>
        <w:spacing w:after="0" w:line="240" w:lineRule="auto"/>
        <w:ind w:left="142"/>
        <w:jc w:val="center"/>
        <w:rPr>
          <w:rFonts w:ascii="Times New Roman" w:hAnsi="Times New Roman" w:eastAsia="Calibri" w:cs="Times New Roman"/>
          <w:b/>
          <w:bCs/>
          <w:sz w:val="24"/>
          <w:szCs w:val="24"/>
          <w:lang w:val="zh-CN"/>
        </w:rPr>
      </w:pPr>
      <w:r>
        <w:rPr>
          <w:rFonts w:ascii="Times New Roman" w:hAnsi="Times New Roman" w:eastAsia="Calibri" w:cs="Times New Roman"/>
          <w:b/>
          <w:bCs/>
          <w:sz w:val="24"/>
          <w:szCs w:val="24"/>
          <w:lang w:val="zh-CN"/>
        </w:rPr>
        <w:t>Secțiunea 12. Parcările publice cu plată</w:t>
      </w:r>
      <w:bookmarkEnd w:id="41"/>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bookmarkStart w:id="43" w:name="_Hlk162509329"/>
      <w:r>
        <w:rPr>
          <w:rFonts w:ascii="Times New Roman" w:hAnsi="Times New Roman" w:cs="Times New Roman"/>
          <w:bCs/>
          <w:sz w:val="24"/>
          <w:szCs w:val="24"/>
          <w:lang w:val="zh-CN"/>
        </w:rPr>
        <w:t xml:space="preserve">Parcările publice cu plată sunt organizate de către </w:t>
      </w:r>
      <w:bookmarkStart w:id="44" w:name="_Hlk162604134"/>
      <w:r>
        <w:rPr>
          <w:rFonts w:ascii="Times New Roman" w:hAnsi="Times New Roman" w:cs="Times New Roman"/>
          <w:bCs/>
          <w:sz w:val="24"/>
          <w:szCs w:val="24"/>
          <w:lang w:val="zh-CN"/>
        </w:rPr>
        <w:t>Autoritate/administrator,</w:t>
      </w:r>
      <w:bookmarkEnd w:id="44"/>
      <w:r>
        <w:rPr>
          <w:rFonts w:ascii="Times New Roman" w:hAnsi="Times New Roman" w:cs="Times New Roman"/>
          <w:bCs/>
          <w:sz w:val="24"/>
          <w:szCs w:val="24"/>
          <w:lang w:val="zh-CN"/>
        </w:rPr>
        <w:t xml:space="preserve"> în dependență de zonele de parcare, estimarea cererii și ofertei locurilor de parcare, analiza cost beneficiu, evaluarea opțiunilor de administrare, dezvoltarea și managementul sistemului de parcări publice și parcaje în municipiul Chișinău.</w:t>
      </w:r>
      <w:bookmarkEnd w:id="43"/>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Parcările publice cu plată, se autorizează prin Dispoziția Primarul General al municipiului Chișinău, prin care se dispune înscrierea acestora în Registrul public al parcărilor și parcajelor.</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Cerințe</w:t>
      </w:r>
      <w:r>
        <w:rPr>
          <w:rFonts w:ascii="Times New Roman" w:hAnsi="Times New Roman" w:eastAsia="Calibri" w:cs="Times New Roman"/>
          <w:sz w:val="24"/>
          <w:szCs w:val="24"/>
          <w:lang w:val="zh-CN"/>
        </w:rPr>
        <w:t xml:space="preserve"> minime</w:t>
      </w:r>
      <w:r>
        <w:rPr>
          <w:rFonts w:ascii="Times New Roman" w:hAnsi="Times New Roman" w:cs="Times New Roman"/>
          <w:bCs/>
          <w:sz w:val="24"/>
          <w:szCs w:val="24"/>
          <w:lang w:val="zh-CN"/>
        </w:rPr>
        <w:t xml:space="preserve"> pentru amenajarea și dotarea unei parcări publice cu plată sunt: </w:t>
      </w:r>
    </w:p>
    <w:p>
      <w:pPr>
        <w:pStyle w:val="23"/>
        <w:numPr>
          <w:ilvl w:val="0"/>
          <w:numId w:val="10"/>
        </w:numPr>
        <w:tabs>
          <w:tab w:val="left" w:pos="1418"/>
        </w:tabs>
        <w:spacing w:after="0" w:line="240" w:lineRule="auto"/>
        <w:ind w:left="1134"/>
        <w:jc w:val="both"/>
        <w:rPr>
          <w:rFonts w:ascii="Times New Roman" w:hAnsi="Times New Roman" w:cs="Times New Roman"/>
          <w:bCs/>
          <w:sz w:val="24"/>
          <w:szCs w:val="24"/>
          <w:lang w:val="zh-CN"/>
        </w:rPr>
      </w:pPr>
      <w:bookmarkStart w:id="45" w:name="_Hlk163807383"/>
      <w:r>
        <w:rPr>
          <w:rFonts w:ascii="Times New Roman" w:hAnsi="Times New Roman" w:cs="Times New Roman"/>
          <w:bCs/>
          <w:sz w:val="24"/>
          <w:szCs w:val="24"/>
          <w:lang w:val="zh-CN"/>
        </w:rPr>
        <w:t>Amenajarea cu pavaj dur, dale, asfalt, beton-ciment, agregate concasate</w:t>
      </w:r>
      <w:bookmarkEnd w:id="45"/>
      <w:r>
        <w:rPr>
          <w:rFonts w:ascii="Times New Roman" w:hAnsi="Times New Roman" w:cs="Times New Roman"/>
          <w:bCs/>
          <w:sz w:val="24"/>
          <w:szCs w:val="24"/>
          <w:lang w:val="zh-CN"/>
        </w:rPr>
        <w:t>;</w:t>
      </w:r>
    </w:p>
    <w:p>
      <w:pPr>
        <w:pStyle w:val="23"/>
        <w:numPr>
          <w:ilvl w:val="0"/>
          <w:numId w:val="10"/>
        </w:numPr>
        <w:tabs>
          <w:tab w:val="left" w:pos="1418"/>
        </w:tabs>
        <w:spacing w:after="0" w:line="240" w:lineRule="auto"/>
        <w:ind w:left="1134"/>
        <w:jc w:val="both"/>
        <w:rPr>
          <w:rFonts w:ascii="Times New Roman" w:hAnsi="Times New Roman" w:cs="Times New Roman"/>
          <w:bCs/>
          <w:sz w:val="24"/>
          <w:szCs w:val="24"/>
          <w:lang w:val="zh-CN"/>
        </w:rPr>
      </w:pPr>
      <w:r>
        <w:rPr>
          <w:rFonts w:ascii="Times New Roman" w:hAnsi="Times New Roman" w:cs="Times New Roman"/>
          <w:bCs/>
          <w:sz w:val="24"/>
          <w:szCs w:val="24"/>
          <w:lang w:val="zh-CN"/>
        </w:rPr>
        <w:t>Semnalizarea cu indicatoare și marcaje corespunzătoare;</w:t>
      </w:r>
    </w:p>
    <w:p>
      <w:pPr>
        <w:pStyle w:val="23"/>
        <w:numPr>
          <w:ilvl w:val="0"/>
          <w:numId w:val="10"/>
        </w:numPr>
        <w:tabs>
          <w:tab w:val="left" w:pos="1418"/>
        </w:tabs>
        <w:spacing w:after="0" w:line="240" w:lineRule="auto"/>
        <w:ind w:left="1134"/>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Îngrădirea sau </w:t>
      </w:r>
      <w:bookmarkStart w:id="46" w:name="_Hlk162518644"/>
      <w:r>
        <w:rPr>
          <w:rFonts w:ascii="Times New Roman" w:hAnsi="Times New Roman" w:cs="Times New Roman"/>
          <w:bCs/>
          <w:sz w:val="24"/>
          <w:szCs w:val="24"/>
          <w:lang w:val="zh-CN"/>
        </w:rPr>
        <w:t>delimitarea de restul domeniului public</w:t>
      </w:r>
      <w:bookmarkEnd w:id="46"/>
      <w:r>
        <w:rPr>
          <w:rFonts w:ascii="Times New Roman" w:hAnsi="Times New Roman" w:cs="Times New Roman"/>
          <w:bCs/>
          <w:sz w:val="24"/>
          <w:szCs w:val="24"/>
          <w:lang w:val="zh-CN"/>
        </w:rPr>
        <w:t>;</w:t>
      </w:r>
    </w:p>
    <w:p>
      <w:pPr>
        <w:pStyle w:val="23"/>
        <w:numPr>
          <w:ilvl w:val="0"/>
          <w:numId w:val="10"/>
        </w:numPr>
        <w:tabs>
          <w:tab w:val="left" w:pos="1418"/>
        </w:tabs>
        <w:spacing w:after="0" w:line="240" w:lineRule="auto"/>
        <w:ind w:left="1134"/>
        <w:jc w:val="both"/>
        <w:rPr>
          <w:rFonts w:ascii="Times New Roman" w:hAnsi="Times New Roman" w:cs="Times New Roman"/>
          <w:bCs/>
          <w:sz w:val="24"/>
          <w:szCs w:val="24"/>
          <w:lang w:val="zh-CN"/>
        </w:rPr>
      </w:pPr>
      <w:r>
        <w:rPr>
          <w:rFonts w:ascii="Times New Roman" w:hAnsi="Times New Roman" w:cs="Times New Roman"/>
          <w:bCs/>
          <w:sz w:val="24"/>
          <w:szCs w:val="24"/>
          <w:lang w:val="zh-CN"/>
        </w:rPr>
        <w:t>Dotarea cu sisteme de iluminare nocturnă;</w:t>
      </w:r>
    </w:p>
    <w:p>
      <w:pPr>
        <w:pStyle w:val="23"/>
        <w:numPr>
          <w:ilvl w:val="0"/>
          <w:numId w:val="10"/>
        </w:numPr>
        <w:tabs>
          <w:tab w:val="left" w:pos="1418"/>
        </w:tabs>
        <w:spacing w:after="0" w:line="240" w:lineRule="auto"/>
        <w:ind w:left="1134"/>
        <w:jc w:val="both"/>
        <w:rPr>
          <w:rFonts w:ascii="Times New Roman" w:hAnsi="Times New Roman" w:cs="Times New Roman"/>
          <w:bCs/>
          <w:sz w:val="24"/>
          <w:szCs w:val="24"/>
          <w:lang w:val="zh-CN"/>
        </w:rPr>
      </w:pPr>
      <w:r>
        <w:rPr>
          <w:rFonts w:ascii="Times New Roman" w:hAnsi="Times New Roman" w:cs="Times New Roman"/>
          <w:bCs/>
          <w:sz w:val="24"/>
          <w:szCs w:val="24"/>
          <w:lang w:val="zh-CN"/>
        </w:rPr>
        <w:t>Asigurarea cu căile de acces în dependență de numărul locurilor de parcare conform cerințelor prevăzute de actele normative în vigoare;</w:t>
      </w:r>
    </w:p>
    <w:p>
      <w:pPr>
        <w:pStyle w:val="23"/>
        <w:numPr>
          <w:ilvl w:val="0"/>
          <w:numId w:val="10"/>
        </w:numPr>
        <w:tabs>
          <w:tab w:val="left" w:pos="1418"/>
        </w:tabs>
        <w:spacing w:after="0" w:line="240" w:lineRule="auto"/>
        <w:ind w:left="1134"/>
        <w:jc w:val="both"/>
        <w:rPr>
          <w:rFonts w:ascii="Times New Roman" w:hAnsi="Times New Roman" w:cs="Times New Roman"/>
          <w:bCs/>
          <w:sz w:val="24"/>
          <w:szCs w:val="24"/>
          <w:lang w:val="zh-CN"/>
        </w:rPr>
      </w:pPr>
      <w:r>
        <w:rPr>
          <w:rFonts w:ascii="Times New Roman" w:hAnsi="Times New Roman" w:cs="Times New Roman"/>
          <w:bCs/>
          <w:sz w:val="24"/>
          <w:szCs w:val="24"/>
          <w:lang w:val="zh-CN"/>
        </w:rPr>
        <w:t>Dotarea cu sisteme anti incendiare conform cerințelor prevăzute de actele normative în vigoare;</w:t>
      </w:r>
    </w:p>
    <w:p>
      <w:pPr>
        <w:pStyle w:val="23"/>
        <w:numPr>
          <w:ilvl w:val="0"/>
          <w:numId w:val="10"/>
        </w:numPr>
        <w:tabs>
          <w:tab w:val="left" w:pos="1418"/>
        </w:tabs>
        <w:spacing w:after="0" w:line="240" w:lineRule="auto"/>
        <w:ind w:left="1134"/>
        <w:jc w:val="both"/>
        <w:rPr>
          <w:rFonts w:ascii="Times New Roman" w:hAnsi="Times New Roman" w:cs="Times New Roman"/>
          <w:bCs/>
          <w:sz w:val="24"/>
          <w:szCs w:val="24"/>
          <w:lang w:val="zh-CN"/>
        </w:rPr>
      </w:pPr>
      <w:r>
        <w:rPr>
          <w:rFonts w:ascii="Times New Roman" w:hAnsi="Times New Roman" w:cs="Times New Roman"/>
          <w:bCs/>
          <w:sz w:val="24"/>
          <w:szCs w:val="24"/>
          <w:lang w:val="zh-CN"/>
        </w:rPr>
        <w:t>Dotarea cu sistem de control și evidență a accesului și încasarea plăților și emiterea tichetului de parcare;</w:t>
      </w:r>
    </w:p>
    <w:p>
      <w:pPr>
        <w:pStyle w:val="23"/>
        <w:numPr>
          <w:ilvl w:val="0"/>
          <w:numId w:val="10"/>
        </w:numPr>
        <w:tabs>
          <w:tab w:val="left" w:pos="1418"/>
        </w:tabs>
        <w:spacing w:after="0" w:line="240" w:lineRule="auto"/>
        <w:ind w:left="1134"/>
        <w:jc w:val="both"/>
        <w:rPr>
          <w:rFonts w:ascii="Times New Roman" w:hAnsi="Times New Roman" w:cs="Times New Roman"/>
          <w:bCs/>
          <w:sz w:val="24"/>
          <w:szCs w:val="24"/>
          <w:lang w:val="zh-CN"/>
        </w:rPr>
      </w:pPr>
      <w:r>
        <w:rPr>
          <w:rFonts w:ascii="Times New Roman" w:hAnsi="Times New Roman" w:cs="Times New Roman"/>
          <w:bCs/>
          <w:sz w:val="24"/>
          <w:szCs w:val="24"/>
          <w:lang w:val="zh-CN"/>
        </w:rPr>
        <w:t>Dotarea cu sistem de supraveghere video;</w:t>
      </w:r>
    </w:p>
    <w:p>
      <w:pPr>
        <w:pStyle w:val="23"/>
        <w:numPr>
          <w:ilvl w:val="0"/>
          <w:numId w:val="10"/>
        </w:numPr>
        <w:tabs>
          <w:tab w:val="left" w:pos="1418"/>
        </w:tabs>
        <w:spacing w:after="0" w:line="240" w:lineRule="auto"/>
        <w:ind w:left="1134"/>
        <w:jc w:val="both"/>
        <w:rPr>
          <w:rFonts w:ascii="Times New Roman" w:hAnsi="Times New Roman" w:cs="Times New Roman"/>
          <w:bCs/>
          <w:sz w:val="24"/>
          <w:szCs w:val="24"/>
          <w:lang w:val="zh-CN"/>
        </w:rPr>
      </w:pPr>
      <w:r>
        <w:rPr>
          <w:rFonts w:ascii="Times New Roman" w:hAnsi="Times New Roman" w:cs="Times New Roman"/>
          <w:bCs/>
          <w:sz w:val="24"/>
          <w:szCs w:val="24"/>
          <w:lang w:val="zh-CN"/>
        </w:rPr>
        <w:t>Asigurarea condițiilor de salubrizare (coșuri de gunoi);</w:t>
      </w:r>
    </w:p>
    <w:p>
      <w:pPr>
        <w:pStyle w:val="23"/>
        <w:numPr>
          <w:ilvl w:val="0"/>
          <w:numId w:val="10"/>
        </w:numPr>
        <w:tabs>
          <w:tab w:val="left" w:pos="1418"/>
        </w:tabs>
        <w:spacing w:after="0" w:line="240" w:lineRule="auto"/>
        <w:ind w:left="1134"/>
        <w:jc w:val="both"/>
        <w:rPr>
          <w:rFonts w:ascii="Times New Roman" w:hAnsi="Times New Roman" w:cs="Times New Roman"/>
          <w:bCs/>
          <w:sz w:val="24"/>
          <w:szCs w:val="24"/>
          <w:lang w:val="zh-CN"/>
        </w:rPr>
      </w:pPr>
      <w:r>
        <w:rPr>
          <w:rFonts w:ascii="Times New Roman" w:hAnsi="Times New Roman" w:cs="Times New Roman"/>
          <w:bCs/>
          <w:sz w:val="24"/>
          <w:szCs w:val="24"/>
          <w:lang w:val="zh-CN"/>
        </w:rPr>
        <w:t>Dotarea cu panouri informative privind modul și regulile de utilizare a parcării;</w:t>
      </w:r>
    </w:p>
    <w:p>
      <w:pPr>
        <w:pStyle w:val="23"/>
        <w:numPr>
          <w:ilvl w:val="0"/>
          <w:numId w:val="10"/>
        </w:numPr>
        <w:tabs>
          <w:tab w:val="left" w:pos="1418"/>
        </w:tabs>
        <w:spacing w:after="0" w:line="240" w:lineRule="auto"/>
        <w:ind w:left="1134"/>
        <w:jc w:val="both"/>
        <w:rPr>
          <w:rFonts w:ascii="Times New Roman" w:hAnsi="Times New Roman" w:cs="Times New Roman"/>
          <w:bCs/>
          <w:sz w:val="24"/>
          <w:szCs w:val="24"/>
          <w:lang w:val="zh-CN"/>
        </w:rPr>
      </w:pPr>
      <w:r>
        <w:rPr>
          <w:rFonts w:ascii="Times New Roman" w:hAnsi="Times New Roman" w:cs="Times New Roman"/>
          <w:bCs/>
          <w:sz w:val="24"/>
          <w:szCs w:val="24"/>
          <w:lang w:val="zh-CN"/>
        </w:rPr>
        <w:t>Asigurarea locurilor de parcare pentru persoanele cu dizabilități conform cerințelor prevăzute de actele normative în vigoare;</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bookmarkStart w:id="47" w:name="_Hlk162509450"/>
      <w:r>
        <w:rPr>
          <w:rFonts w:ascii="Times New Roman" w:hAnsi="Times New Roman" w:cs="Times New Roman"/>
          <w:bCs/>
          <w:sz w:val="24"/>
          <w:szCs w:val="24"/>
          <w:lang w:val="zh-CN"/>
        </w:rPr>
        <w:t>Parcările publice cu plată sunt amenajate și exploatate de către Autoritate/administrator în conformitate cu actele normative în vigoare și prevederile prezentului Regulament.</w:t>
      </w:r>
      <w:bookmarkEnd w:id="47"/>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Parcările publice cu plată funcționează în regim non stop și cu respectarea principiului de egalitate și accesibilitate de utilizare de către toți  utilizatorii, în condițiile  prevăzute de prezentul Regulament.</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În parcările publice cu plată se admite parcarea autoturismelor, precum și a altor autovehicule, în măsura și limitele în care pentru ultimele, au fost prevăzute și amenajate locuri corespunzătoare, în dependență de zonele de parcare.</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Accesul în parcarea publică cu plată se admite doar prin accesarea sistemului de control și evidență cu emiterea sau eliberarea tichetului de parcare. Accesarea tichetului de parcare poate fi efectuată  prin intermediului ”Sistemului electronic de management al parcărilor și parcajelor” cu emiterea acestuia în momentul accederii autoturismului în parcarea publică cu plată, în limitele locurilor libere disponibile.</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Durata de staționare a autoturismului se calculează din momentul emiterii tichetului de parcare, până la achitarea și părăsirea parcării publice cu plată de către utilizatorul acesteia.</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Achitarea tarifului în parcarea  publică cu plată se efectuează de către utilizator la finele duratei de staționare a autoturismului cu cel mult 15 min până la părăsirea parcării, sau în prealabil prin una din metodele disponibile, prevăzute în pct. 158, al prezentului Regulament. </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Se admite accesarea parcării publice cu plată în baza abonamentelor eliberate utilizatorului în condițiile prezentului Regulament, pentru zona de parcare respectivă. Totodată abonamentul nu garantează rezervarea locului în parcarea respectivă dar acordă dreptul de parcare în limitele locurilor libere disponibile.</w:t>
      </w:r>
      <w:bookmarkEnd w:id="42"/>
    </w:p>
    <w:p>
      <w:pPr>
        <w:pStyle w:val="23"/>
        <w:tabs>
          <w:tab w:val="left" w:pos="567"/>
          <w:tab w:val="left" w:pos="1134"/>
        </w:tabs>
        <w:spacing w:after="0" w:line="240" w:lineRule="auto"/>
        <w:ind w:left="142"/>
        <w:jc w:val="both"/>
        <w:rPr>
          <w:rFonts w:ascii="Times New Roman" w:hAnsi="Times New Roman" w:cs="Times New Roman"/>
          <w:bCs/>
          <w:sz w:val="24"/>
          <w:szCs w:val="24"/>
          <w:lang w:val="zh-CN"/>
        </w:rPr>
      </w:pPr>
    </w:p>
    <w:p>
      <w:pPr>
        <w:pStyle w:val="23"/>
        <w:tabs>
          <w:tab w:val="left" w:pos="567"/>
          <w:tab w:val="left" w:pos="1134"/>
        </w:tabs>
        <w:spacing w:after="0" w:line="240" w:lineRule="auto"/>
        <w:ind w:left="142"/>
        <w:jc w:val="center"/>
        <w:rPr>
          <w:rFonts w:ascii="Times New Roman" w:hAnsi="Times New Roman" w:cs="Times New Roman"/>
          <w:b/>
          <w:sz w:val="24"/>
          <w:szCs w:val="24"/>
          <w:lang w:val="zh-CN"/>
        </w:rPr>
      </w:pPr>
      <w:bookmarkStart w:id="48" w:name="_Toc164640878"/>
      <w:r>
        <w:rPr>
          <w:rFonts w:ascii="Times New Roman" w:hAnsi="Times New Roman" w:cs="Times New Roman"/>
          <w:b/>
          <w:sz w:val="24"/>
          <w:szCs w:val="24"/>
          <w:lang w:val="zh-CN"/>
        </w:rPr>
        <w:t>Secțiunea 13. Parcările de tip PARK&amp;RIDE</w:t>
      </w:r>
      <w:bookmarkEnd w:id="48"/>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Parcările publice cu plată de tip PARK&amp;RIDE, sunt organizate de către Autoritate/administrator, în dependență de zonele de parcare, estimarea cererii și ofertei locurilor de parcare, analiza cost beneficiu, evaluarea opțiunilor de administrare, dezvoltarea și managementul sistemului de parcări publice și parcaje în municipiul Chișinău. De regulă parcarea publica de tip PARK&amp;RIDE, este concepută pentru a încuraja parcarea utilizatorilor care intră în oraș, să-și parcheze vehiculele la distanță de centrul orașului sau de atracții turistice, etc., și să-și finalizeze călătoria cu mijloacele de transport public.</w:t>
      </w:r>
    </w:p>
    <w:p>
      <w:pPr>
        <w:pStyle w:val="23"/>
        <w:numPr>
          <w:ilvl w:val="0"/>
          <w:numId w:val="4"/>
        </w:numPr>
        <w:tabs>
          <w:tab w:val="left" w:pos="142"/>
          <w:tab w:val="left" w:pos="567"/>
        </w:tabs>
        <w:spacing w:after="0" w:line="240" w:lineRule="auto"/>
        <w:ind w:left="0" w:firstLine="284"/>
        <w:jc w:val="both"/>
        <w:rPr>
          <w:rFonts w:ascii="Times New Roman" w:hAnsi="Times New Roman" w:cs="Times New Roman"/>
          <w:bCs/>
          <w:sz w:val="24"/>
          <w:szCs w:val="24"/>
          <w:lang w:val="zh-CN"/>
        </w:rPr>
      </w:pPr>
      <w:r>
        <w:rPr>
          <w:rFonts w:ascii="Times New Roman" w:hAnsi="Times New Roman" w:cs="Times New Roman"/>
          <w:bCs/>
          <w:sz w:val="24"/>
          <w:szCs w:val="24"/>
          <w:lang w:val="zh-CN"/>
        </w:rPr>
        <w:t>Parcările de tip PARK&amp;RIDE, se autorizează prin Dispoziția Primarul General al municipiului Chișinău, prin care se autorizează înscrierea acestora în Registrul public al parcărilor și parcajelor.</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Cerințe pentru amenajarea</w:t>
      </w:r>
      <w:r>
        <w:rPr>
          <w:rFonts w:ascii="Times New Roman" w:hAnsi="Times New Roman" w:eastAsia="Calibri" w:cs="Times New Roman"/>
          <w:sz w:val="24"/>
          <w:szCs w:val="24"/>
          <w:lang w:val="zh-CN"/>
        </w:rPr>
        <w:t xml:space="preserve"> și dotarea unei parcări publice de tip PARK&amp;RIDE sunt</w:t>
      </w:r>
      <w:r>
        <w:rPr>
          <w:rFonts w:ascii="Times New Roman" w:hAnsi="Times New Roman" w:cs="Times New Roman"/>
          <w:bCs/>
          <w:sz w:val="24"/>
          <w:szCs w:val="24"/>
          <w:lang w:val="zh-CN"/>
        </w:rPr>
        <w:t xml:space="preserve">: </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Amenajarea cu pavaj dur, dale, asfalt, beton-ciment, agregate concasate;</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Semnalizarea cu indicatoare și marcate corespunzător;</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Îngrădirea sau delimitarea de restul domeniului public (gard, borduri, bolarzi, zone de spații verzi, elemente unor altor construcții, etc.);</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Amplasarea în apropierea cu stația transportului public municipal;</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Iluminarea pe timp de noapte;</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Asigurarea cu căile de acces în dependență de numărul locurilor de parcare conform cerințelor prevăzute de actele normative în vigoare;</w:t>
      </w:r>
      <w:bookmarkStart w:id="49" w:name="_Hlk162600480"/>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Dotarea </w:t>
      </w:r>
      <w:bookmarkEnd w:id="49"/>
      <w:r>
        <w:rPr>
          <w:rFonts w:ascii="Times New Roman" w:hAnsi="Times New Roman" w:cs="Times New Roman"/>
          <w:bCs/>
          <w:sz w:val="24"/>
          <w:szCs w:val="24"/>
          <w:lang w:val="zh-CN"/>
        </w:rPr>
        <w:t>cu panouri anti incendiare conform cerințelor prevăzute de actele normative în vigoare;</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Dotarea cu sistem de control și evidență a accesului și încasarea plăților și emiterea tichetului de acces;</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Dotarea cu sistem de supraveghere video;</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Asigurarea condițiilor de salubrizare și surse de apă;</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Dotarea cu panouri informative privind modul și regulile de utilizare a parcării;</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Asigurarea cu locuri de parcare pentru persoanele cu dizabilități conform cerințelor cadrului normativ;</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Asigurarea a unui loc rezervat pentru autovehicule de serviciul aflate în misiune (pompieri, ambulanța, poliția, serviciul tehnic al administratorului), marcate corespunzător;</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 Dotarea sau acces către WC; </w:t>
      </w:r>
    </w:p>
    <w:p>
      <w:pPr>
        <w:pStyle w:val="23"/>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opțional:</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Alimentarea cu sursa electrică 220V; </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Delimitarea zonelor de parcare a autovehiculelor de diferite capacități.</w:t>
      </w:r>
    </w:p>
    <w:p>
      <w:pPr>
        <w:pStyle w:val="23"/>
        <w:numPr>
          <w:ilvl w:val="0"/>
          <w:numId w:val="11"/>
        </w:numPr>
        <w:tabs>
          <w:tab w:val="left" w:pos="851"/>
          <w:tab w:val="left" w:pos="993"/>
        </w:tabs>
        <w:spacing w:after="0" w:line="240" w:lineRule="auto"/>
        <w:ind w:left="1276"/>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 Dotarea cu stațiile de alimentare a autoturismelor electrice; (hibrid plug-in);</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Parcările publice de tip PARK&amp;RIDE, sunt amenajate și exploatate de către Autoritate/administrator, în conformitate cu actele normative în vigoare și prevederile prezentului Regulament.</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Parcările publice de tip PARK&amp;RIDE, funcționează în regim non stop și cu respectarea principiului de egalitate și accesibilitate de utilizare de către toți  utilizatorii, în condițiile  prevăzute de prezentul Regulament.</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În parcările de tip PARK&amp;RIDE, se admite parcarea autovehiculelor, în cazul în care sunt delimitate și amenajate locuri în acest sens;</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Accesul în parcarea </w:t>
      </w:r>
      <w:bookmarkStart w:id="50" w:name="_Hlk164263717"/>
      <w:r>
        <w:rPr>
          <w:rFonts w:ascii="Times New Roman" w:hAnsi="Times New Roman" w:cs="Times New Roman"/>
          <w:bCs/>
          <w:sz w:val="24"/>
          <w:szCs w:val="24"/>
          <w:lang w:val="zh-CN"/>
        </w:rPr>
        <w:t>de tip PARK&amp;RIDE</w:t>
      </w:r>
      <w:bookmarkEnd w:id="50"/>
      <w:r>
        <w:rPr>
          <w:rFonts w:ascii="Times New Roman" w:hAnsi="Times New Roman" w:cs="Times New Roman"/>
          <w:bCs/>
          <w:sz w:val="24"/>
          <w:szCs w:val="24"/>
          <w:lang w:val="zh-CN"/>
        </w:rPr>
        <w:t>, se admite doar prin accesarea sistemului de control și evidență cu eliberarea tichetului de parcare, inclusiv de către deținătorii de abonamente în limitele locurilor libere disponibile. Accesarea tichetului de parcare poate fi efectuată  prin intermediului Sistemului electronic de management al parcărilor și parcajelor, cu emiterea acestuia în momentul intrării autoturismului în parcarea de tip PARK&amp;RIDE, în limitele locurilor libere disponibile.</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Utilizatorul este obligat să afișeze tichetul de parcare, în interiorul autovehiculului, pe bord, sub parbriz, astfel încât toate datele inscripționate să fie vizibile din exterior.</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cs="Times New Roman"/>
          <w:bCs/>
          <w:sz w:val="24"/>
          <w:szCs w:val="24"/>
          <w:lang w:val="zh-CN"/>
        </w:rPr>
        <w:t>Durata de staționare a autovehiculului se calculează din momentul accesării tichetului de parcare, până la achitarea și părăsirea parcării publice cu plată de către utilizatorul acesteia;</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cs="Times New Roman"/>
          <w:bCs/>
          <w:sz w:val="24"/>
          <w:szCs w:val="24"/>
          <w:lang w:val="zh-CN"/>
        </w:rPr>
        <w:t>Achitarea tarifului pentru staționare a autovehiculelor în parcarea  de tip PARK&amp;RIDE se efectuează de către utilizator, la finele duratei de staționare a autovehiculelor, prin orice metod</w:t>
      </w:r>
      <w:r>
        <w:rPr>
          <w:rFonts w:ascii="Times New Roman" w:hAnsi="Times New Roman" w:eastAsia="Calibri" w:cs="Times New Roman"/>
          <w:sz w:val="24"/>
          <w:szCs w:val="24"/>
          <w:lang w:val="zh-CN"/>
        </w:rPr>
        <w:t>ă disponibilă prevăzută în pct. 125, al prezentului Regulament.</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Autoritatea este în drept de a elabora în comun cu întreprinderile municipale din domeniul transportului urban de pasageri și propune spre aprobare </w:t>
      </w:r>
      <w:r>
        <w:rPr>
          <w:rFonts w:ascii="Times New Roman" w:hAnsi="Times New Roman" w:cs="Times New Roman"/>
          <w:sz w:val="24"/>
          <w:szCs w:val="24"/>
          <w:lang w:val="zh-CN"/>
        </w:rPr>
        <w:t xml:space="preserve">Primarului General al municipiului Chișinău </w:t>
      </w:r>
      <w:r>
        <w:rPr>
          <w:rFonts w:ascii="Times New Roman" w:hAnsi="Times New Roman" w:eastAsia="Calibri" w:cs="Times New Roman"/>
          <w:sz w:val="24"/>
          <w:szCs w:val="24"/>
          <w:lang w:val="zh-CN"/>
        </w:rPr>
        <w:t>mecanisme de reduceri, facilitare sau încurajare la călătoriile cu transportul public pentru utilizatorii parcărilor de tip PARK&amp;RIDE.</w:t>
      </w:r>
    </w:p>
    <w:p>
      <w:pPr>
        <w:pStyle w:val="23"/>
        <w:tabs>
          <w:tab w:val="left" w:pos="851"/>
          <w:tab w:val="left" w:pos="1134"/>
        </w:tabs>
        <w:spacing w:after="0" w:line="240" w:lineRule="auto"/>
        <w:ind w:left="0" w:firstLine="567"/>
        <w:jc w:val="both"/>
        <w:rPr>
          <w:rFonts w:ascii="Bookman Old Style" w:hAnsi="Bookman Old Style" w:eastAsia="Calibri" w:cs="Times New Roman"/>
          <w:b/>
          <w:i/>
          <w:sz w:val="28"/>
          <w:szCs w:val="28"/>
          <w:lang w:val="zh-CN"/>
        </w:rPr>
      </w:pPr>
      <w:bookmarkStart w:id="51" w:name="_Toc75795754"/>
      <w:bookmarkStart w:id="52" w:name="_Toc122416259"/>
    </w:p>
    <w:bookmarkEnd w:id="51"/>
    <w:bookmarkEnd w:id="52"/>
    <w:p>
      <w:pPr>
        <w:pStyle w:val="3"/>
        <w:spacing w:before="0" w:line="240" w:lineRule="auto"/>
        <w:ind w:left="709"/>
        <w:jc w:val="center"/>
        <w:rPr>
          <w:rFonts w:ascii="Times New Roman" w:hAnsi="Times New Roman" w:eastAsia="Calibri" w:cs="Times New Roman"/>
          <w:b/>
          <w:bCs/>
          <w:color w:val="auto"/>
          <w:sz w:val="24"/>
          <w:szCs w:val="24"/>
          <w:lang w:val="zh-CN"/>
        </w:rPr>
      </w:pPr>
      <w:bookmarkStart w:id="53" w:name="_Toc164640879"/>
      <w:r>
        <w:rPr>
          <w:rFonts w:ascii="Times New Roman" w:hAnsi="Times New Roman" w:eastAsia="Calibri" w:cs="Times New Roman"/>
          <w:b/>
          <w:bCs/>
          <w:color w:val="auto"/>
          <w:sz w:val="24"/>
          <w:szCs w:val="24"/>
          <w:lang w:val="zh-CN"/>
        </w:rPr>
        <w:t>Secțiunea 15. Parcajele publice cu plată</w:t>
      </w:r>
      <w:bookmarkEnd w:id="53"/>
    </w:p>
    <w:p>
      <w:pPr>
        <w:pStyle w:val="23"/>
        <w:numPr>
          <w:ilvl w:val="0"/>
          <w:numId w:val="4"/>
        </w:numPr>
        <w:tabs>
          <w:tab w:val="left" w:pos="567"/>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Parcajele publice cu plată, sunt organizate de către Autoritate/administrator, în dependență de zonele de parcare, estimarea cererii și ofertei locurilor de parcaje, analiza cost beneficiu, evaluarea opțiunilor de administrare, dezvoltarea și managementul sistemului de parcări publice și parcaje în municipiul Chișinău.</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Parcajele publice cu plată, se autorizează prin Dispoziția Primarul General al municipiului Chișinău, prin care se autorizează înscrierea acestora în Registrul public al parcărilor și parcajelor.</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eastAsia="Calibri" w:cs="Times New Roman"/>
          <w:sz w:val="24"/>
          <w:szCs w:val="24"/>
          <w:lang w:val="zh-CN"/>
        </w:rPr>
        <w:t>Cerințe pentru</w:t>
      </w:r>
      <w:r>
        <w:rPr>
          <w:rFonts w:ascii="Times New Roman" w:hAnsi="Times New Roman" w:cs="Times New Roman"/>
          <w:bCs/>
          <w:sz w:val="24"/>
          <w:szCs w:val="24"/>
          <w:lang w:val="zh-CN"/>
        </w:rPr>
        <w:t xml:space="preserve"> amenajarea și dotarea parcajelor </w:t>
      </w:r>
      <w:bookmarkStart w:id="54" w:name="_Hlk162863407"/>
      <w:r>
        <w:rPr>
          <w:rFonts w:ascii="Times New Roman" w:hAnsi="Times New Roman" w:cs="Times New Roman"/>
          <w:bCs/>
          <w:sz w:val="24"/>
          <w:szCs w:val="24"/>
          <w:lang w:val="zh-CN"/>
        </w:rPr>
        <w:t xml:space="preserve">publice cu plată </w:t>
      </w:r>
      <w:bookmarkEnd w:id="54"/>
      <w:r>
        <w:rPr>
          <w:rFonts w:ascii="Times New Roman" w:hAnsi="Times New Roman" w:cs="Times New Roman"/>
          <w:bCs/>
          <w:sz w:val="24"/>
          <w:szCs w:val="24"/>
          <w:lang w:val="zh-CN"/>
        </w:rPr>
        <w:t xml:space="preserve">sunt: </w:t>
      </w:r>
    </w:p>
    <w:p>
      <w:pPr>
        <w:pStyle w:val="23"/>
        <w:numPr>
          <w:ilvl w:val="0"/>
          <w:numId w:val="12"/>
        </w:numPr>
        <w:tabs>
          <w:tab w:val="left" w:pos="993"/>
        </w:tabs>
        <w:spacing w:after="0" w:line="240" w:lineRule="auto"/>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Amenajarea cu pavaj dur, dale, asfalt, </w:t>
      </w:r>
      <w:bookmarkStart w:id="55" w:name="_Hlk164327744"/>
      <w:r>
        <w:rPr>
          <w:rFonts w:ascii="Times New Roman" w:hAnsi="Times New Roman" w:cs="Times New Roman"/>
          <w:bCs/>
          <w:sz w:val="24"/>
          <w:szCs w:val="24"/>
          <w:lang w:val="zh-CN"/>
        </w:rPr>
        <w:t>beton-ciment, agregate concasate;</w:t>
      </w:r>
      <w:bookmarkEnd w:id="55"/>
    </w:p>
    <w:p>
      <w:pPr>
        <w:pStyle w:val="23"/>
        <w:numPr>
          <w:ilvl w:val="0"/>
          <w:numId w:val="12"/>
        </w:numPr>
        <w:tabs>
          <w:tab w:val="left" w:pos="993"/>
        </w:tabs>
        <w:spacing w:after="0" w:line="240" w:lineRule="auto"/>
        <w:jc w:val="both"/>
        <w:rPr>
          <w:rFonts w:ascii="Times New Roman" w:hAnsi="Times New Roman" w:cs="Times New Roman"/>
          <w:bCs/>
          <w:sz w:val="24"/>
          <w:szCs w:val="24"/>
          <w:lang w:val="zh-CN"/>
        </w:rPr>
      </w:pPr>
      <w:r>
        <w:rPr>
          <w:rFonts w:ascii="Times New Roman" w:hAnsi="Times New Roman" w:cs="Times New Roman"/>
          <w:bCs/>
          <w:sz w:val="24"/>
          <w:szCs w:val="24"/>
          <w:lang w:val="zh-CN"/>
        </w:rPr>
        <w:t>Delimitarea de restul domeniului public și stradal (cu borduri, bolarzi, zone de spații verzi, etc);</w:t>
      </w:r>
    </w:p>
    <w:p>
      <w:pPr>
        <w:pStyle w:val="23"/>
        <w:numPr>
          <w:ilvl w:val="0"/>
          <w:numId w:val="12"/>
        </w:numPr>
        <w:tabs>
          <w:tab w:val="left" w:pos="993"/>
        </w:tabs>
        <w:spacing w:after="0" w:line="240" w:lineRule="auto"/>
        <w:jc w:val="both"/>
        <w:rPr>
          <w:rFonts w:ascii="Times New Roman" w:hAnsi="Times New Roman" w:cs="Times New Roman"/>
          <w:bCs/>
          <w:sz w:val="24"/>
          <w:szCs w:val="24"/>
          <w:lang w:val="zh-CN"/>
        </w:rPr>
      </w:pPr>
      <w:r>
        <w:rPr>
          <w:rFonts w:ascii="Times New Roman" w:hAnsi="Times New Roman" w:eastAsia="Calibri" w:cs="Times New Roman"/>
          <w:sz w:val="24"/>
          <w:szCs w:val="24"/>
          <w:lang w:val="zh-CN"/>
        </w:rPr>
        <w:t>Marcajul rutier;</w:t>
      </w:r>
    </w:p>
    <w:p>
      <w:pPr>
        <w:pStyle w:val="23"/>
        <w:numPr>
          <w:ilvl w:val="0"/>
          <w:numId w:val="12"/>
        </w:numPr>
        <w:tabs>
          <w:tab w:val="left" w:pos="993"/>
        </w:tabs>
        <w:spacing w:after="0" w:line="240" w:lineRule="auto"/>
        <w:jc w:val="both"/>
        <w:rPr>
          <w:rFonts w:ascii="Times New Roman" w:hAnsi="Times New Roman" w:cs="Times New Roman"/>
          <w:bCs/>
          <w:sz w:val="24"/>
          <w:szCs w:val="24"/>
          <w:lang w:val="zh-CN"/>
        </w:rPr>
      </w:pPr>
      <w:r>
        <w:rPr>
          <w:rFonts w:ascii="Times New Roman" w:hAnsi="Times New Roman" w:cs="Times New Roman"/>
          <w:bCs/>
          <w:sz w:val="24"/>
          <w:szCs w:val="24"/>
          <w:lang w:val="zh-CN"/>
        </w:rPr>
        <w:t>Semnalizarea cu indicatoare;</w:t>
      </w:r>
    </w:p>
    <w:p>
      <w:pPr>
        <w:pStyle w:val="23"/>
        <w:numPr>
          <w:ilvl w:val="0"/>
          <w:numId w:val="12"/>
        </w:numPr>
        <w:tabs>
          <w:tab w:val="left" w:pos="993"/>
        </w:tabs>
        <w:spacing w:after="0" w:line="240" w:lineRule="auto"/>
        <w:jc w:val="both"/>
        <w:rPr>
          <w:rFonts w:ascii="Times New Roman" w:hAnsi="Times New Roman" w:cs="Times New Roman"/>
          <w:bCs/>
          <w:sz w:val="24"/>
          <w:szCs w:val="24"/>
          <w:lang w:val="zh-CN"/>
        </w:rPr>
      </w:pPr>
      <w:r>
        <w:rPr>
          <w:rFonts w:ascii="Times New Roman" w:hAnsi="Times New Roman" w:cs="Times New Roman"/>
          <w:bCs/>
          <w:sz w:val="24"/>
          <w:szCs w:val="24"/>
          <w:lang w:val="zh-CN"/>
        </w:rPr>
        <w:t>Dotarea cu panoul informativ despre modul și orarul de funcționare a parcajului</w:t>
      </w:r>
      <w:bookmarkStart w:id="56" w:name="_Hlk162518411"/>
      <w:r>
        <w:rPr>
          <w:rFonts w:ascii="Times New Roman" w:hAnsi="Times New Roman" w:cs="Times New Roman"/>
          <w:bCs/>
          <w:sz w:val="24"/>
          <w:szCs w:val="24"/>
          <w:lang w:val="zh-CN"/>
        </w:rPr>
        <w:t>, situat într-un loc vizibil amplasat în raza de 150 metri;</w:t>
      </w:r>
      <w:bookmarkEnd w:id="56"/>
    </w:p>
    <w:p>
      <w:pPr>
        <w:pStyle w:val="23"/>
        <w:numPr>
          <w:ilvl w:val="0"/>
          <w:numId w:val="12"/>
        </w:numPr>
        <w:tabs>
          <w:tab w:val="left" w:pos="993"/>
        </w:tabs>
        <w:spacing w:after="0" w:line="240" w:lineRule="auto"/>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Dotarea cu utilaje speciale de încasarea plăților și emiterea tichetului de parcaj situat într-un loc vizibil amplasat în raza de 150 metri de la parcaj; </w:t>
      </w:r>
    </w:p>
    <w:p>
      <w:pPr>
        <w:pStyle w:val="23"/>
        <w:numPr>
          <w:ilvl w:val="0"/>
          <w:numId w:val="12"/>
        </w:numPr>
        <w:tabs>
          <w:tab w:val="left" w:pos="993"/>
        </w:tabs>
        <w:spacing w:after="0" w:line="240" w:lineRule="auto"/>
        <w:jc w:val="both"/>
        <w:rPr>
          <w:rFonts w:ascii="Times New Roman" w:hAnsi="Times New Roman" w:cs="Times New Roman"/>
          <w:bCs/>
          <w:sz w:val="24"/>
          <w:szCs w:val="24"/>
          <w:lang w:val="zh-CN"/>
        </w:rPr>
      </w:pPr>
      <w:r>
        <w:rPr>
          <w:rFonts w:ascii="Times New Roman" w:hAnsi="Times New Roman" w:cs="Times New Roman"/>
          <w:bCs/>
          <w:sz w:val="24"/>
          <w:szCs w:val="24"/>
          <w:lang w:val="zh-CN"/>
        </w:rPr>
        <w:t>Iluminarea pentru timp de noapte (după caz).</w:t>
      </w:r>
    </w:p>
    <w:p>
      <w:pPr>
        <w:pStyle w:val="23"/>
        <w:numPr>
          <w:ilvl w:val="0"/>
          <w:numId w:val="4"/>
        </w:numPr>
        <w:tabs>
          <w:tab w:val="left" w:pos="567"/>
        </w:tabs>
        <w:spacing w:after="0" w:line="240" w:lineRule="auto"/>
        <w:ind w:left="0" w:firstLine="142"/>
        <w:jc w:val="both"/>
        <w:rPr>
          <w:rFonts w:ascii="Times New Roman" w:hAnsi="Times New Roman" w:eastAsia="Calibri" w:cs="Times New Roman"/>
          <w:sz w:val="24"/>
          <w:szCs w:val="24"/>
          <w:lang w:val="zh-CN"/>
        </w:rPr>
      </w:pPr>
      <w:bookmarkStart w:id="57" w:name="_Hlk162865258"/>
      <w:r>
        <w:rPr>
          <w:rFonts w:ascii="Times New Roman" w:hAnsi="Times New Roman" w:eastAsia="Calibri" w:cs="Times New Roman"/>
          <w:sz w:val="24"/>
          <w:szCs w:val="24"/>
          <w:lang w:val="zh-CN"/>
        </w:rPr>
        <w:t>Parcajele  publice cu plată sunt amenajate și exploatate de către Autoritate/administrator în conformitate cu actele normative în vigoare și prevederile prezentului Regulament.</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Parcajele publice cu plată funcționează conform orarului stabilit și afișat pe panouri informative și/sau indicatoare adiționale, cu respectarea principiului de egalitate și accesibilitate de utilizare de către toți  utilizatorii în limitele locurilor libere disponibile și în condițiile  prevăzute de prezentul Regulament;</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În parcajele publice cu plată se admite parcarea doar autoturismelor.</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Accesul la parcaj public cu plată se admite doar prin accesarea și eliberarea  și afișarea tichetului de parcaj, emis pe suport de hârtie de parcomat sau electronic în termen de maxim 15 min din momentul staționării autoturismului în parcajul respectiv. Accesarea tichetului electronic de parcaj, poate fi efectuată  prin intermediului ”</w:t>
      </w:r>
      <w:bookmarkStart w:id="58" w:name="_Hlk164159953"/>
      <w:r>
        <w:rPr>
          <w:rFonts w:ascii="Times New Roman" w:hAnsi="Times New Roman" w:eastAsia="Calibri" w:cs="Times New Roman"/>
          <w:sz w:val="24"/>
          <w:szCs w:val="24"/>
          <w:lang w:val="zh-CN"/>
        </w:rPr>
        <w:t>Sistemului electronic de management al parcărilor și parcajelor</w:t>
      </w:r>
      <w:bookmarkEnd w:id="58"/>
      <w:r>
        <w:rPr>
          <w:rFonts w:ascii="Times New Roman" w:hAnsi="Times New Roman" w:eastAsia="Calibri" w:cs="Times New Roman"/>
          <w:sz w:val="24"/>
          <w:szCs w:val="24"/>
          <w:lang w:val="zh-CN"/>
        </w:rPr>
        <w:t xml:space="preserve">” cu emiterea acestuia în momentul accesării de către utilizator. </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Utilizatorul în cazul accesării tichetului de parcaj, este obligat să-l afișeze în interiorul autoturismului, pe bord, sub parbriz, astfel încât toate datele inscripționate să fie vizibile din exterior.</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Durata de staționare a autoturismului se calculează din momentul accesării tichetului de parcaj, până la expirarea termenului de parcare solicitat în procedura de accesare, cu posibilitatea prelungirii acesteia. </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Achitarea tarifului pentru staționare a autoturismului în parcajul public cu plată, se stabilește și se efectuează de către utilizator, la începutul duratei de staționare a autoturismului, prin orice metodă disponibilă descrisă pe panoul informativ aferent parcajului.</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În parcaje, staționarea/parcarea este permisă după achitarea tarifului corespunzător, și doar pentru perioada solicitată. În maxim 15 minute până la expirarea perioadei solicitate și achitate, poate fi realizată o nouă plată pentru o perioadă suplimentară.</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După expirarea duratei de staționare/parcare selectate și achitate, părăsirea parcajului se va realiza în maximum 5 minute.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Se admite accesarea parcajului public cu plată, în baza abonamentelor eliberate utilizatorului în condițiile prezentului Regulament, pentru zona respectivă. Totodată abonamentul nu garantează asigurarea locului în parcaj respectiv dar acordă dreptul de staționare/parcare în limita parcajelor libere – disponibile.</w:t>
      </w:r>
      <w:bookmarkEnd w:id="57"/>
    </w:p>
    <w:p>
      <w:pPr>
        <w:pStyle w:val="3"/>
        <w:spacing w:before="0" w:line="240" w:lineRule="auto"/>
        <w:ind w:left="426"/>
        <w:jc w:val="center"/>
        <w:rPr>
          <w:rFonts w:ascii="Times New Roman" w:hAnsi="Times New Roman" w:eastAsia="Calibri" w:cs="Times New Roman"/>
          <w:b/>
          <w:bCs/>
          <w:color w:val="auto"/>
          <w:sz w:val="24"/>
          <w:szCs w:val="24"/>
          <w:lang w:val="zh-CN"/>
        </w:rPr>
      </w:pPr>
      <w:bookmarkStart w:id="59" w:name="_Toc164640880"/>
    </w:p>
    <w:p>
      <w:pPr>
        <w:pStyle w:val="3"/>
        <w:spacing w:before="0" w:line="240" w:lineRule="auto"/>
        <w:ind w:left="426"/>
        <w:jc w:val="center"/>
        <w:rPr>
          <w:rFonts w:ascii="Times New Roman" w:hAnsi="Times New Roman" w:eastAsia="Calibri" w:cs="Times New Roman"/>
          <w:b/>
          <w:bCs/>
          <w:color w:val="auto"/>
          <w:sz w:val="24"/>
          <w:szCs w:val="24"/>
          <w:lang w:val="zh-CN"/>
        </w:rPr>
      </w:pPr>
      <w:r>
        <w:rPr>
          <w:rFonts w:ascii="Times New Roman" w:hAnsi="Times New Roman" w:eastAsia="Calibri" w:cs="Times New Roman"/>
          <w:b/>
          <w:bCs/>
          <w:color w:val="auto"/>
          <w:sz w:val="24"/>
          <w:szCs w:val="24"/>
          <w:lang w:val="zh-CN"/>
        </w:rPr>
        <w:t>Secțiunea 16. Parcaj rezervat</w:t>
      </w:r>
      <w:bookmarkEnd w:id="59"/>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Parcajele rezervate pot fi amenajate și exploatate de către Autoritate/administrator sau instituțiile publice și persoane juridice în scopul asigurării îndeplinirii atribuțiilor și obligațiunilor instituționale precum și/sau prestării serviciilor de interes public.</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Parcajele rezervate sunt autorizate la solicitare, prin Dispoziția Primarul General al municipiului Chișinău, prin care se dispune înscrierea acestora în Registrul public al parcărilor și parcajelor.</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În cazul amenajării parcajului rezervat de către solicitant, autorizarea lucrărilor se  execută conform cerințelor actelor normative și tehnice în vigoare.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Competența recepționării și examinării cererilor de autorizare a parcajelor rezervate revine Autorității.</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Pentru autorizarea parcajului (-lor) rezervat,  instituțiile publice urmează să prezinte următoarele acte:</w:t>
      </w:r>
    </w:p>
    <w:p>
      <w:pPr>
        <w:pStyle w:val="23"/>
        <w:numPr>
          <w:ilvl w:val="0"/>
          <w:numId w:val="13"/>
        </w:numPr>
        <w:tabs>
          <w:tab w:val="left" w:pos="851"/>
          <w:tab w:val="left" w:pos="993"/>
        </w:tabs>
        <w:spacing w:after="0" w:line="240" w:lineRule="auto"/>
        <w:ind w:left="1418" w:hanging="425"/>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Cererea privind eliberarea autorizației de funcționare a parcajului (-lor) rezervat, conform modelului stabilit în (anexa nr.2 la prezentul regulament) semnată de către conducătorul instituției sau persoana împuternicită;</w:t>
      </w:r>
    </w:p>
    <w:p>
      <w:pPr>
        <w:pStyle w:val="23"/>
        <w:numPr>
          <w:ilvl w:val="0"/>
          <w:numId w:val="13"/>
        </w:numPr>
        <w:tabs>
          <w:tab w:val="left" w:pos="851"/>
          <w:tab w:val="left" w:pos="993"/>
        </w:tabs>
        <w:spacing w:after="0" w:line="240" w:lineRule="auto"/>
        <w:ind w:left="1418" w:hanging="425"/>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Actele ce atestă dreptul de proprietate, folosință sau gestiune asupra imobilului în raza căruia urmează sa fie amenajat parcajul rezervat;</w:t>
      </w:r>
    </w:p>
    <w:p>
      <w:pPr>
        <w:pStyle w:val="23"/>
        <w:numPr>
          <w:ilvl w:val="0"/>
          <w:numId w:val="13"/>
        </w:numPr>
        <w:tabs>
          <w:tab w:val="left" w:pos="851"/>
          <w:tab w:val="left" w:pos="993"/>
        </w:tabs>
        <w:spacing w:after="0" w:line="240" w:lineRule="auto"/>
        <w:ind w:left="1418" w:hanging="425"/>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Schema de încadrare în teritoriu a lotului aferent imobilului la scara 1:2000;</w:t>
      </w:r>
    </w:p>
    <w:p>
      <w:pPr>
        <w:pStyle w:val="23"/>
        <w:numPr>
          <w:ilvl w:val="0"/>
          <w:numId w:val="13"/>
        </w:numPr>
        <w:tabs>
          <w:tab w:val="left" w:pos="851"/>
          <w:tab w:val="left" w:pos="993"/>
        </w:tabs>
        <w:spacing w:after="0" w:line="240" w:lineRule="auto"/>
        <w:ind w:left="1418" w:hanging="425"/>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Proiectul parcajului (-elor), executat la scara 1:500;</w:t>
      </w:r>
    </w:p>
    <w:p>
      <w:pPr>
        <w:pStyle w:val="23"/>
        <w:numPr>
          <w:ilvl w:val="0"/>
          <w:numId w:val="13"/>
        </w:numPr>
        <w:tabs>
          <w:tab w:val="left" w:pos="851"/>
          <w:tab w:val="left" w:pos="993"/>
        </w:tabs>
        <w:spacing w:after="0" w:line="240" w:lineRule="auto"/>
        <w:ind w:left="1418" w:hanging="425"/>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Dovada deținerii în proprietate, gestiune sau folosință a autoturismului (-elor) pentru care este solicitată autorizarea parcajului rezervat și a angajaților acestora;</w:t>
      </w:r>
    </w:p>
    <w:p>
      <w:pPr>
        <w:pStyle w:val="23"/>
        <w:numPr>
          <w:ilvl w:val="0"/>
          <w:numId w:val="13"/>
        </w:numPr>
        <w:tabs>
          <w:tab w:val="left" w:pos="851"/>
          <w:tab w:val="left" w:pos="993"/>
        </w:tabs>
        <w:spacing w:after="0" w:line="240" w:lineRule="auto"/>
        <w:ind w:left="1418" w:hanging="425"/>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Programul de activitate al instituției/întreprinderii;</w:t>
      </w:r>
    </w:p>
    <w:p>
      <w:pPr>
        <w:pStyle w:val="23"/>
        <w:numPr>
          <w:ilvl w:val="0"/>
          <w:numId w:val="13"/>
        </w:numPr>
        <w:tabs>
          <w:tab w:val="left" w:pos="851"/>
          <w:tab w:val="left" w:pos="993"/>
        </w:tabs>
        <w:spacing w:after="0" w:line="240" w:lineRule="auto"/>
        <w:ind w:left="1418" w:hanging="425"/>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Declarația pe propria răspundere a conducătorului instituției/întreprinderii privind deținerea sau nu în proprietate, gestiune sau folosință a altor parcări sau parcaje amenajate în curți sau alte terenuri, pe care le utilizează pentru parcarea/staționarea autovehiculelor de serviciu, cu identificarea, enumerarea acestora;</w:t>
      </w:r>
    </w:p>
    <w:p>
      <w:pPr>
        <w:pStyle w:val="23"/>
        <w:numPr>
          <w:ilvl w:val="0"/>
          <w:numId w:val="13"/>
        </w:numPr>
        <w:tabs>
          <w:tab w:val="left" w:pos="851"/>
          <w:tab w:val="left" w:pos="993"/>
        </w:tabs>
        <w:spacing w:after="0" w:line="240" w:lineRule="auto"/>
        <w:ind w:left="1418" w:hanging="425"/>
        <w:jc w:val="both"/>
        <w:rPr>
          <w:rFonts w:ascii="Times New Roman" w:hAnsi="Times New Roman" w:eastAsia="Calibri" w:cs="Times New Roman"/>
          <w:sz w:val="24"/>
          <w:szCs w:val="24"/>
          <w:lang w:val="zh-CN"/>
        </w:rPr>
      </w:pPr>
      <w:r>
        <w:rPr>
          <w:rFonts w:ascii="Times New Roman" w:hAnsi="Times New Roman" w:cs="Times New Roman"/>
          <w:bCs/>
          <w:sz w:val="24"/>
          <w:szCs w:val="24"/>
          <w:lang w:val="zh-CN"/>
        </w:rPr>
        <w:t>Procura semnată de către conducătorul instituției, după caz.</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Suplimentar la documentele indicate în p. 89, persoanele juridice altele decât instituțiile publice, vor prezenta: </w:t>
      </w:r>
    </w:p>
    <w:p>
      <w:pPr>
        <w:pStyle w:val="23"/>
        <w:numPr>
          <w:ilvl w:val="0"/>
          <w:numId w:val="14"/>
        </w:numPr>
        <w:tabs>
          <w:tab w:val="left" w:pos="851"/>
          <w:tab w:val="left" w:pos="993"/>
        </w:tabs>
        <w:spacing w:after="0" w:line="240" w:lineRule="auto"/>
        <w:jc w:val="both"/>
        <w:rPr>
          <w:rFonts w:ascii="Times New Roman" w:hAnsi="Times New Roman" w:cs="Times New Roman"/>
          <w:bCs/>
          <w:sz w:val="24"/>
          <w:szCs w:val="24"/>
          <w:lang w:val="zh-CN"/>
        </w:rPr>
      </w:pPr>
      <w:r>
        <w:rPr>
          <w:rFonts w:ascii="Times New Roman" w:hAnsi="Times New Roman" w:cs="Times New Roman"/>
          <w:bCs/>
          <w:sz w:val="24"/>
          <w:szCs w:val="24"/>
          <w:lang w:val="zh-CN"/>
        </w:rPr>
        <w:t>Certificat de înregistrare a întreprinderii și/sau extras din Registrul de Stat a persoanelor juridice (emis cu maxim 3 luni înainte de data solicitării, cu indicarea genurilor de activitate, fondatorilor si administratorului);</w:t>
      </w:r>
    </w:p>
    <w:p>
      <w:pPr>
        <w:pStyle w:val="23"/>
        <w:numPr>
          <w:ilvl w:val="0"/>
          <w:numId w:val="14"/>
        </w:numPr>
        <w:tabs>
          <w:tab w:val="left" w:pos="851"/>
          <w:tab w:val="left" w:pos="993"/>
        </w:tabs>
        <w:spacing w:after="0" w:line="240" w:lineRule="auto"/>
        <w:jc w:val="both"/>
        <w:rPr>
          <w:rFonts w:ascii="Times New Roman" w:hAnsi="Times New Roman" w:cs="Times New Roman"/>
          <w:bCs/>
          <w:sz w:val="24"/>
          <w:szCs w:val="24"/>
          <w:lang w:val="zh-CN"/>
        </w:rPr>
      </w:pPr>
      <w:r>
        <w:rPr>
          <w:rFonts w:ascii="Times New Roman" w:hAnsi="Times New Roman" w:cs="Times New Roman"/>
          <w:bCs/>
          <w:sz w:val="24"/>
          <w:szCs w:val="24"/>
          <w:lang w:val="zh-CN"/>
        </w:rPr>
        <w:t>Dovada lipsei restanțelor față de buget;</w:t>
      </w:r>
    </w:p>
    <w:p>
      <w:pPr>
        <w:pStyle w:val="23"/>
        <w:numPr>
          <w:ilvl w:val="0"/>
          <w:numId w:val="14"/>
        </w:numPr>
        <w:tabs>
          <w:tab w:val="left" w:pos="851"/>
          <w:tab w:val="left" w:pos="993"/>
        </w:tabs>
        <w:spacing w:after="0" w:line="240" w:lineRule="auto"/>
        <w:jc w:val="both"/>
        <w:rPr>
          <w:rFonts w:ascii="Times New Roman" w:hAnsi="Times New Roman" w:cs="Times New Roman"/>
          <w:bCs/>
          <w:sz w:val="24"/>
          <w:szCs w:val="24"/>
          <w:lang w:val="zh-CN"/>
        </w:rPr>
      </w:pPr>
      <w:r>
        <w:rPr>
          <w:rFonts w:ascii="Times New Roman" w:hAnsi="Times New Roman" w:cs="Times New Roman"/>
          <w:bCs/>
          <w:sz w:val="24"/>
          <w:szCs w:val="24"/>
          <w:lang w:val="zh-CN"/>
        </w:rPr>
        <w:t>Cazier judiciar pe numele persoanei juridice;</w:t>
      </w:r>
    </w:p>
    <w:p>
      <w:pPr>
        <w:pStyle w:val="23"/>
        <w:numPr>
          <w:ilvl w:val="0"/>
          <w:numId w:val="14"/>
        </w:numPr>
        <w:tabs>
          <w:tab w:val="left" w:pos="851"/>
          <w:tab w:val="left" w:pos="993"/>
        </w:tabs>
        <w:spacing w:after="0" w:line="240" w:lineRule="auto"/>
        <w:jc w:val="both"/>
        <w:rPr>
          <w:rFonts w:ascii="Times New Roman" w:hAnsi="Times New Roman" w:cs="Times New Roman"/>
          <w:bCs/>
          <w:sz w:val="24"/>
          <w:szCs w:val="24"/>
          <w:lang w:val="zh-CN"/>
        </w:rPr>
      </w:pPr>
      <w:r>
        <w:rPr>
          <w:rFonts w:ascii="Times New Roman" w:hAnsi="Times New Roman" w:cs="Times New Roman"/>
          <w:bCs/>
          <w:sz w:val="24"/>
          <w:szCs w:val="24"/>
          <w:lang w:val="zh-CN"/>
        </w:rPr>
        <w:t>Copia buletinului de identitate al administratorului persoanei juridice.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Autoritatea, examinează cererea de autorizare a parcajelor rezervate, documentele anexate, cu deplasare la fața locului, stabilește posibilitatea și condițiile de identificare și amenajare a parcajelor rezervate, solicită, după caz, coordonarea planului/proiectului parcajului (-elor) cu instituțiile de resort, instituții deținătoare de rețele și comunicații, completarea setului de acte, inclusiv cu documente suplimentare la necesitate.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Lucrările de amenajare a parcajelor rezervate se autorizează conform prevederilor actelor normative în vigoare.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Termenul de valabilitate a autorizației se stabilește de către Autoritate în limitele valabilității a actelor prezentate și plăților efectuate în acest sens. </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Cererea pentru emiterea autorizației pe un nou termen, se depune cu cel puțin 30 zile până la expirarea valabilității autorizației existente, cu anexarea doar a acelor documente care au expirat și/sau necesită actualizare sau modificare.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Cerințele pentru amenajarea parcajelor rezervate sunt: </w:t>
      </w:r>
    </w:p>
    <w:p>
      <w:pPr>
        <w:pStyle w:val="23"/>
        <w:numPr>
          <w:ilvl w:val="0"/>
          <w:numId w:val="15"/>
        </w:numPr>
        <w:tabs>
          <w:tab w:val="left" w:pos="851"/>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Amenajarea cu pavaj dur, asfalt, beton;</w:t>
      </w:r>
    </w:p>
    <w:p>
      <w:pPr>
        <w:pStyle w:val="23"/>
        <w:numPr>
          <w:ilvl w:val="0"/>
          <w:numId w:val="15"/>
        </w:numPr>
        <w:tabs>
          <w:tab w:val="left" w:pos="851"/>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Semnalizarea cu indicatoarele rutiere corespunzătoare;</w:t>
      </w:r>
    </w:p>
    <w:p>
      <w:pPr>
        <w:pStyle w:val="23"/>
        <w:numPr>
          <w:ilvl w:val="0"/>
          <w:numId w:val="15"/>
        </w:numPr>
        <w:tabs>
          <w:tab w:val="left" w:pos="851"/>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Marcajul rutier; </w:t>
      </w:r>
    </w:p>
    <w:p>
      <w:pPr>
        <w:pStyle w:val="23"/>
        <w:numPr>
          <w:ilvl w:val="0"/>
          <w:numId w:val="15"/>
        </w:numPr>
        <w:tabs>
          <w:tab w:val="left" w:pos="851"/>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Delimitarea, după caz, de restul domeniului public </w:t>
      </w:r>
      <w:bookmarkStart w:id="60" w:name="_Hlk166062253"/>
      <w:r>
        <w:rPr>
          <w:rFonts w:ascii="Times New Roman" w:hAnsi="Times New Roman" w:eastAsia="Calibri" w:cs="Times New Roman"/>
          <w:sz w:val="24"/>
          <w:szCs w:val="24"/>
          <w:lang w:val="zh-CN"/>
        </w:rPr>
        <w:t>(cu borduri, bolarzi, zone de spații verzi, etc)</w:t>
      </w:r>
      <w:bookmarkEnd w:id="60"/>
      <w:r>
        <w:rPr>
          <w:rFonts w:ascii="Times New Roman" w:hAnsi="Times New Roman" w:eastAsia="Calibri" w:cs="Times New Roman"/>
          <w:sz w:val="24"/>
          <w:szCs w:val="24"/>
          <w:lang w:val="zh-CN"/>
        </w:rPr>
        <w:t>;</w:t>
      </w:r>
    </w:p>
    <w:p>
      <w:pPr>
        <w:pStyle w:val="23"/>
        <w:numPr>
          <w:ilvl w:val="0"/>
          <w:numId w:val="15"/>
        </w:numPr>
        <w:tabs>
          <w:tab w:val="left" w:pos="851"/>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Asigurarea respectării aspectului arhitectural, aliniamentului autoturismelor și funcționalității drumului cu cel existent sau preconizat pe întregul sector de drum sau stradă;</w:t>
      </w:r>
    </w:p>
    <w:p>
      <w:pPr>
        <w:pStyle w:val="23"/>
        <w:numPr>
          <w:ilvl w:val="0"/>
          <w:numId w:val="15"/>
        </w:numPr>
        <w:tabs>
          <w:tab w:val="left" w:pos="851"/>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Asigurarea respectării principiului amenajării unitare a tuturor parcajelor posibile pe întregul sector de drum sau stradă;</w:t>
      </w:r>
    </w:p>
    <w:p>
      <w:pPr>
        <w:pStyle w:val="23"/>
        <w:numPr>
          <w:ilvl w:val="0"/>
          <w:numId w:val="15"/>
        </w:numPr>
        <w:tabs>
          <w:tab w:val="left" w:pos="851"/>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Asigurarea respectării principiului proporționalității parcajelor rezervate din numărul total de parcaje amenajate sau posibile a fi amenajate pe întregul sector de drum sau stradă, și numărul de instituții sau persoane juridice aflate în sectorul respectiv; </w:t>
      </w:r>
    </w:p>
    <w:p>
      <w:pPr>
        <w:pStyle w:val="23"/>
        <w:numPr>
          <w:ilvl w:val="0"/>
          <w:numId w:val="15"/>
        </w:numPr>
        <w:tabs>
          <w:tab w:val="left" w:pos="851"/>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Asigurarea încadrării în limita de cel mult de 30% pentru un singur solicitant din numărul total de parcaje amenajate sau posibile pe întregul sector de drum sau stradă, dar nu mai mult de 75% pentru toți solicitanții din acel sector.</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bookmarkStart w:id="61" w:name="_Hlk164174572"/>
      <w:r>
        <w:rPr>
          <w:rFonts w:ascii="Times New Roman" w:hAnsi="Times New Roman" w:eastAsia="Calibri" w:cs="Times New Roman"/>
          <w:sz w:val="24"/>
          <w:szCs w:val="24"/>
          <w:lang w:val="zh-CN"/>
        </w:rPr>
        <w:t xml:space="preserve"> Parcajele rezervate, funcționează doar în zilele lucrătoare în intervalul de timp stabilit în autorizație și în indicatoarele adiționale, ținând cont de programul de activitate al solicitantului (utilizatorului). În afara intervalului de timp respectiv, parcajele rezervate pot avea statut de parcaj public cu plată;</w:t>
      </w:r>
      <w:bookmarkEnd w:id="61"/>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Titularul autorizației parcajelor rezervate nu are dreptul să perceapă careva plăți de la persoane terțe pentru utilizarea acestora;</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Responsabilitatea pentru ocuparea abuzivă a parcajelor rezervate în timpul programului de lucru de către alți utilizatori, precum și ocuparea abuzivă a acestora de către utilizatorii solicitantului în afara programului de lucru, revine titularului autorizației.</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Instituția publică care deține autorizația de parcaj rezervat este obligată să achite  taxa de parcaj în conformitate cu actele normative în vigoare;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Persoana juridică alta decât instituția publică, care deține autorizația de parcaj rezervat este obligată să achite taxa de parcaj în conformitate cu actele normative în vigoare, precum și tariful de parcaj în conformitate cu prevederile prezentului regulament (în dependență de zona de parcare), achitat în avans pentru 365 zile.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Autoritatea este în drept de a solicita suspendarea sau retragerea autorizației de parcaj rezervat, fără obligația de restituire a taxelor și tarifelor achitate în avans în următoarele situații: în cazul încălcării prevederilor prezentului Regulament de către utilizator precum și </w:t>
      </w:r>
      <w:bookmarkStart w:id="62" w:name="_Hlk165973208"/>
      <w:r>
        <w:rPr>
          <w:rFonts w:ascii="Times New Roman" w:hAnsi="Times New Roman" w:eastAsia="Calibri" w:cs="Times New Roman"/>
          <w:sz w:val="24"/>
          <w:szCs w:val="24"/>
          <w:lang w:val="zh-CN"/>
        </w:rPr>
        <w:t xml:space="preserve">în cazul </w:t>
      </w:r>
      <w:bookmarkEnd w:id="62"/>
      <w:r>
        <w:rPr>
          <w:rFonts w:ascii="Times New Roman" w:hAnsi="Times New Roman" w:eastAsia="Calibri" w:cs="Times New Roman"/>
          <w:sz w:val="24"/>
          <w:szCs w:val="24"/>
          <w:lang w:val="zh-CN"/>
        </w:rPr>
        <w:t>unui impediment în afara controlului, avarii, calamități naturale, pentru necesități de reparație, reabilitare sau reamenajare a străzii, intervenții la rețele sau comunicații.</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Autorizația parcajelor rezervate nu oferă titularului acesteia dreptul de instalare a sistemelor de limitare a accesului.</w:t>
      </w:r>
    </w:p>
    <w:p>
      <w:pPr>
        <w:pStyle w:val="23"/>
        <w:tabs>
          <w:tab w:val="left" w:pos="709"/>
          <w:tab w:val="left" w:pos="1134"/>
        </w:tabs>
        <w:spacing w:after="0" w:line="240" w:lineRule="auto"/>
        <w:ind w:left="0" w:firstLine="567"/>
        <w:jc w:val="both"/>
        <w:rPr>
          <w:rFonts w:ascii="Times New Roman" w:hAnsi="Times New Roman" w:cs="Times New Roman"/>
          <w:bCs/>
          <w:sz w:val="24"/>
          <w:szCs w:val="24"/>
          <w:lang w:val="zh-CN"/>
        </w:rPr>
      </w:pPr>
    </w:p>
    <w:p>
      <w:pPr>
        <w:pStyle w:val="3"/>
        <w:spacing w:before="0" w:line="240" w:lineRule="auto"/>
        <w:ind w:left="426"/>
        <w:jc w:val="center"/>
        <w:rPr>
          <w:rFonts w:ascii="Times New Roman" w:hAnsi="Times New Roman" w:eastAsia="Calibri" w:cs="Times New Roman"/>
          <w:b/>
          <w:bCs/>
          <w:color w:val="auto"/>
          <w:sz w:val="24"/>
          <w:szCs w:val="24"/>
          <w:lang w:val="zh-CN"/>
        </w:rPr>
      </w:pPr>
      <w:bookmarkStart w:id="63" w:name="_Toc164640881"/>
      <w:r>
        <w:rPr>
          <w:rFonts w:ascii="Times New Roman" w:hAnsi="Times New Roman" w:eastAsia="Calibri" w:cs="Times New Roman"/>
          <w:b/>
          <w:bCs/>
          <w:color w:val="auto"/>
          <w:sz w:val="24"/>
          <w:szCs w:val="24"/>
          <w:lang w:val="zh-CN"/>
        </w:rPr>
        <w:t xml:space="preserve">Secțiunea 17. Parcările private </w:t>
      </w:r>
      <w:bookmarkStart w:id="64" w:name="_Hlk162603541"/>
      <w:r>
        <w:rPr>
          <w:rFonts w:ascii="Times New Roman" w:hAnsi="Times New Roman" w:eastAsia="Calibri" w:cs="Times New Roman"/>
          <w:b/>
          <w:bCs/>
          <w:color w:val="auto"/>
          <w:sz w:val="24"/>
          <w:szCs w:val="24"/>
          <w:lang w:val="zh-CN"/>
        </w:rPr>
        <w:t>cu plată</w:t>
      </w:r>
      <w:bookmarkEnd w:id="64"/>
      <w:r>
        <w:rPr>
          <w:rFonts w:ascii="Times New Roman" w:hAnsi="Times New Roman" w:eastAsia="Calibri" w:cs="Times New Roman"/>
          <w:b/>
          <w:bCs/>
          <w:color w:val="auto"/>
          <w:sz w:val="24"/>
          <w:szCs w:val="24"/>
          <w:lang w:val="zh-CN"/>
        </w:rPr>
        <w:t>.</w:t>
      </w:r>
      <w:bookmarkEnd w:id="63"/>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Parcările private cu plată sunt organizate, amenajate și exploatate de către persoane juridice în scop de obținere a veniturilor.</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Parcările private cu plată sunt autorizate la solicitare, prin Dispoziția Primarul General al municipiului Chișinău, prin care se dispune înscrierea acestora în Registrul public al parcărilor și parcajelor.</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Competența recepționării și examinării cererilor de autorizare a parcărilor private cu plată, revine Autorității, ținând cont de: zonele de parcare, estimarea cererii și ofertei locurilor de parcare, evaluarea opțiunilor de administrare, dezvoltarea și managementul sistemului de parcări publice și parcaje în municipiul Chișinău.</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Pentru autorizarea parcării private cu plată, solicitantul urmează să prezinte Autorității următoarele acte:</w:t>
      </w:r>
    </w:p>
    <w:p>
      <w:pPr>
        <w:pStyle w:val="23"/>
        <w:numPr>
          <w:ilvl w:val="0"/>
          <w:numId w:val="16"/>
        </w:numPr>
        <w:tabs>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Cererea privind eliberarea autorizației de funcționare a parcării privat, conform modelului stabilit în (anexa nr.3 la prezentul regulament);</w:t>
      </w:r>
    </w:p>
    <w:p>
      <w:pPr>
        <w:pStyle w:val="23"/>
        <w:numPr>
          <w:ilvl w:val="0"/>
          <w:numId w:val="16"/>
        </w:numPr>
        <w:tabs>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Actele ce atestă dreptul de proprietate sau folosință asupra terenului/imobilului în care urmează sa fie organizată parcajul sau parcarea privată;</w:t>
      </w:r>
    </w:p>
    <w:p>
      <w:pPr>
        <w:pStyle w:val="23"/>
        <w:numPr>
          <w:ilvl w:val="0"/>
          <w:numId w:val="16"/>
        </w:numPr>
        <w:tabs>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Documente permisive în vederea proiectării și amenajerii parcării.</w:t>
      </w:r>
    </w:p>
    <w:p>
      <w:pPr>
        <w:pStyle w:val="23"/>
        <w:numPr>
          <w:ilvl w:val="0"/>
          <w:numId w:val="16"/>
        </w:numPr>
        <w:tabs>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Schema de încadrare în teritoriu a lotului/imobilului la scara 1:2000;</w:t>
      </w:r>
    </w:p>
    <w:p>
      <w:pPr>
        <w:pStyle w:val="23"/>
        <w:numPr>
          <w:ilvl w:val="0"/>
          <w:numId w:val="16"/>
        </w:numPr>
        <w:tabs>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Proiectul parcării, executat la scara 1:500, aprobat de Departamentul arhitectură și urbanism al Primăriei municipiului Chișinău;</w:t>
      </w:r>
    </w:p>
    <w:p>
      <w:pPr>
        <w:pStyle w:val="23"/>
        <w:numPr>
          <w:ilvl w:val="0"/>
          <w:numId w:val="16"/>
        </w:numPr>
        <w:tabs>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Dovada lipsei restanțelor față de buget;</w:t>
      </w:r>
    </w:p>
    <w:p>
      <w:pPr>
        <w:pStyle w:val="23"/>
        <w:numPr>
          <w:ilvl w:val="0"/>
          <w:numId w:val="16"/>
        </w:numPr>
        <w:tabs>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Certificat de înregistrare a întreprinderii și/sau extras din Registrul de Stat a persoanelor juridice (emis cu maxim 3 luni înainte de data solicitării, cu indicarea genurilor de activitate, fondatorilor si administratorului).</w:t>
      </w:r>
    </w:p>
    <w:p>
      <w:pPr>
        <w:pStyle w:val="23"/>
        <w:numPr>
          <w:ilvl w:val="0"/>
          <w:numId w:val="16"/>
        </w:numPr>
        <w:tabs>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Reguli sau regulament individual de utilizare a parcajului sau parcării private cu plată”;</w:t>
      </w:r>
    </w:p>
    <w:p>
      <w:pPr>
        <w:pStyle w:val="23"/>
        <w:numPr>
          <w:ilvl w:val="0"/>
          <w:numId w:val="16"/>
        </w:numPr>
        <w:tabs>
          <w:tab w:val="left" w:pos="993"/>
        </w:tabs>
        <w:spacing w:after="0" w:line="240" w:lineRule="auto"/>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Copia buletinului al administratorului persoanei juridice.</w:t>
      </w:r>
      <w:bookmarkStart w:id="65" w:name="_Hlk162606592"/>
    </w:p>
    <w:bookmarkEnd w:id="65"/>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Autoritatea  examinează cererea de autorizare a parcărilor private cu plată, documentele anexate, cu deplasare la fața locului, stabilește și identifică respectarea prevederilor cadrului normativ în vigoare, solicită, după caz, coordonarea planului/proiectului cu instituțiile de resort inclusiv instituții deținătoare de rețele și comunicații.</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Lucrările de amenajare a parcărilor private cu plată se autorizează conform prevederilor actelor normative în vigoare.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Termenul de valabilitate a autorizației se stabilește de Autoritate, dar nu poate depăși termenul de valabilitate a actelor prezentate.</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eastAsia="Calibri" w:cs="Times New Roman"/>
          <w:sz w:val="24"/>
          <w:szCs w:val="24"/>
          <w:lang w:val="zh-CN"/>
        </w:rPr>
        <w:t xml:space="preserve"> Cererea pentru emiterea autorizației pe un nou termen, să depune cu cel puțin 30 zile până la expirarea valabilității autorizației existente, cu anexarea doar a acelor documente care au expirat și/sau necesită actualizare sau modificare</w:t>
      </w:r>
      <w:r>
        <w:rPr>
          <w:rFonts w:ascii="Times New Roman" w:hAnsi="Times New Roman" w:cs="Times New Roman"/>
          <w:bCs/>
          <w:sz w:val="24"/>
          <w:szCs w:val="24"/>
          <w:lang w:val="zh-CN"/>
        </w:rPr>
        <w:t>.</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eastAsia="Calibri" w:cs="Times New Roman"/>
          <w:sz w:val="24"/>
          <w:szCs w:val="24"/>
          <w:lang w:val="zh-CN"/>
        </w:rPr>
        <w:t xml:space="preserve"> Cerințele minime pentru amenajarea și dotarea unei parcări private cu plată sunt:</w:t>
      </w:r>
      <w:r>
        <w:rPr>
          <w:rFonts w:ascii="Times New Roman" w:hAnsi="Times New Roman" w:cs="Times New Roman"/>
          <w:bCs/>
          <w:sz w:val="24"/>
          <w:szCs w:val="24"/>
          <w:lang w:val="zh-CN"/>
        </w:rPr>
        <w:t xml:space="preserve"> </w:t>
      </w:r>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Amenajarea cu pavaj dur, asfalt, beton-ciment, agregate concasate;</w:t>
      </w:r>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Semnalizarea cu indicatoare și marcate corespunzător;</w:t>
      </w:r>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Îngrădirea sau delimitarea de restul domeniului public (gard, borduri, bolarzi, zone de spații verzi, elemente unor altor construcții, etc);</w:t>
      </w:r>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Iluminarea pentru timp de noapte;</w:t>
      </w:r>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Asigurarea cu căile de acces în dependență de numărul locurilor de parcare conform cerințelor prevăzute de actele normative în vigoare;</w:t>
      </w:r>
      <w:bookmarkStart w:id="66" w:name="_Hlk162605936"/>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Dotarea </w:t>
      </w:r>
      <w:bookmarkEnd w:id="66"/>
      <w:r>
        <w:rPr>
          <w:rFonts w:ascii="Times New Roman" w:hAnsi="Times New Roman" w:eastAsia="Calibri" w:cs="Times New Roman"/>
          <w:sz w:val="24"/>
          <w:szCs w:val="24"/>
          <w:lang w:val="zh-CN"/>
        </w:rPr>
        <w:t>cu sisteme anti incendiare conform cerințelor prevăzute de actele normative în vigoare;</w:t>
      </w:r>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dotate cu sistem de control și evidență a accesului și încasarea plăților (cu eliberarea bonului fiscal) și/sau emiterea tichetului de parcare;</w:t>
      </w:r>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Dotarea cu sistem de supraveghere video;</w:t>
      </w:r>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Asigurarea condițiilor de salubrizare și apă;</w:t>
      </w:r>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Afișarea în locuri vizibile a Regulamentului individual de utilizare a parcării;</w:t>
      </w:r>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Asigurarea cu locuri de parcare pentru persoanele cu dizabilități conform cerințelor prevăzute de actele normative în vigoare;</w:t>
      </w:r>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opțional: Dotarea cu WC; </w:t>
      </w:r>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Dotarea cu stațiile de alimentare a autoturismelor electrice; (plug-in);</w:t>
      </w:r>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Asigurarea cu minim un loc rezervat pentru autovehicule de serviciul aflate în misiune (pompieri, ambulanța, poliția, etc.).</w:t>
      </w:r>
    </w:p>
    <w:p>
      <w:pPr>
        <w:pStyle w:val="23"/>
        <w:numPr>
          <w:ilvl w:val="0"/>
          <w:numId w:val="17"/>
        </w:numPr>
        <w:tabs>
          <w:tab w:val="left" w:pos="993"/>
        </w:tabs>
        <w:spacing w:after="0" w:line="240" w:lineRule="auto"/>
        <w:ind w:left="993" w:hanging="426"/>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Îngrădirea sau delimitarea de restul domeniului public;</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Parcările private cu plată, funcționează doar în termenul de valabilitate stabilit în autorizație, conform orarului prevăzut în regulamentul individual de utilizare. </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Accesul în parcarea privată se admite în limitele locurilor libere disponibile.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Plata pentru serviciile de parcare se efectuează prin una din metodele de plată stabilite în Regulamentul individual de utilizare, cu eliberarea bonului fiscal.</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Titularul autorizației de funcționare a parcării private cu plată este obligat să achite taxa de parcare.</w:t>
      </w:r>
      <w:bookmarkStart w:id="67" w:name="_Hlk162597646"/>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Titularul autorizației de funcționare a parcării private cu plată, </w:t>
      </w:r>
      <w:bookmarkEnd w:id="67"/>
      <w:r>
        <w:rPr>
          <w:rFonts w:ascii="Times New Roman" w:hAnsi="Times New Roman" w:eastAsia="Calibri" w:cs="Times New Roman"/>
          <w:sz w:val="24"/>
          <w:szCs w:val="24"/>
          <w:lang w:val="zh-CN"/>
        </w:rPr>
        <w:t xml:space="preserve">poartă răspunderea patrimonială pentru integritatea autovehiculelor parcate, în conformitate cu prevederile actelor normative în vigoare. </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Cs/>
          <w:sz w:val="24"/>
          <w:szCs w:val="24"/>
          <w:lang w:val="zh-CN"/>
        </w:rPr>
      </w:pPr>
      <w:r>
        <w:rPr>
          <w:rFonts w:ascii="Times New Roman" w:hAnsi="Times New Roman" w:eastAsia="Calibri" w:cs="Times New Roman"/>
          <w:sz w:val="24"/>
          <w:szCs w:val="24"/>
          <w:lang w:val="zh-CN"/>
        </w:rPr>
        <w:t xml:space="preserve"> Autoritatea, este în drept de a solicita suspendarea sau retragerea autorizației de funcționare a parcării private cu plată, fără obligația de compensare a prejudiciului sau venitului ratat în caz de: unui impediment în afara controlului, avarii, calamități naturale, pentru necesități de reparație, reabilitare sau reamenajare a străzilor sau teritoriilor, intervenții la rețele sau comunicații, precum și încălcarea de către beneficiar a prevederilor prezentului regulament</w:t>
      </w:r>
      <w:r>
        <w:rPr>
          <w:rFonts w:ascii="Times New Roman" w:hAnsi="Times New Roman" w:cs="Times New Roman"/>
          <w:bCs/>
          <w:sz w:val="24"/>
          <w:szCs w:val="24"/>
          <w:lang w:val="zh-CN"/>
        </w:rPr>
        <w:t xml:space="preserve">; </w:t>
      </w:r>
    </w:p>
    <w:p>
      <w:pPr>
        <w:pStyle w:val="23"/>
        <w:tabs>
          <w:tab w:val="left" w:pos="709"/>
          <w:tab w:val="left" w:pos="1134"/>
        </w:tabs>
        <w:spacing w:after="0" w:line="240" w:lineRule="auto"/>
        <w:ind w:left="0" w:firstLine="567"/>
        <w:jc w:val="both"/>
        <w:rPr>
          <w:rFonts w:ascii="Times New Roman" w:hAnsi="Times New Roman" w:cs="Times New Roman"/>
          <w:bCs/>
          <w:sz w:val="24"/>
          <w:szCs w:val="24"/>
          <w:lang w:val="zh-CN"/>
        </w:rPr>
      </w:pPr>
    </w:p>
    <w:p>
      <w:pPr>
        <w:pStyle w:val="23"/>
        <w:tabs>
          <w:tab w:val="left" w:pos="709"/>
          <w:tab w:val="left" w:pos="1134"/>
        </w:tabs>
        <w:spacing w:after="0" w:line="240" w:lineRule="auto"/>
        <w:ind w:left="0" w:firstLine="567"/>
        <w:jc w:val="both"/>
        <w:rPr>
          <w:rFonts w:ascii="Times New Roman" w:hAnsi="Times New Roman" w:cs="Times New Roman"/>
          <w:bCs/>
          <w:sz w:val="24"/>
          <w:szCs w:val="24"/>
          <w:lang w:val="zh-CN"/>
        </w:rPr>
      </w:pPr>
    </w:p>
    <w:p>
      <w:pPr>
        <w:pStyle w:val="2"/>
        <w:tabs>
          <w:tab w:val="left" w:pos="1134"/>
        </w:tabs>
        <w:spacing w:before="0" w:line="240" w:lineRule="auto"/>
        <w:ind w:firstLine="567"/>
        <w:jc w:val="center"/>
        <w:rPr>
          <w:rFonts w:ascii="Times New Roman" w:hAnsi="Times New Roman" w:eastAsia="Calibri" w:cs="Times New Roman"/>
          <w:b/>
          <w:bCs/>
          <w:color w:val="auto"/>
          <w:sz w:val="24"/>
          <w:szCs w:val="24"/>
          <w:lang w:val="zh-CN"/>
        </w:rPr>
      </w:pPr>
      <w:bookmarkStart w:id="68" w:name="_Toc164638755"/>
      <w:bookmarkStart w:id="69" w:name="_Toc164640887"/>
      <w:r>
        <w:rPr>
          <w:rFonts w:ascii="Times New Roman" w:hAnsi="Times New Roman" w:eastAsia="Calibri" w:cs="Times New Roman"/>
          <w:b/>
          <w:bCs/>
          <w:color w:val="auto"/>
          <w:sz w:val="24"/>
          <w:szCs w:val="24"/>
          <w:lang w:val="zh-CN"/>
        </w:rPr>
        <w:t>CAPITOLUL V.</w:t>
      </w:r>
      <w:bookmarkEnd w:id="68"/>
      <w:r>
        <w:rPr>
          <w:rFonts w:ascii="Times New Roman" w:hAnsi="Times New Roman" w:eastAsia="Calibri" w:cs="Times New Roman"/>
          <w:b/>
          <w:bCs/>
          <w:color w:val="auto"/>
          <w:sz w:val="24"/>
          <w:szCs w:val="24"/>
          <w:lang w:val="zh-CN"/>
        </w:rPr>
        <w:t xml:space="preserve"> </w:t>
      </w:r>
      <w:bookmarkStart w:id="70" w:name="_Toc164638756"/>
      <w:r>
        <w:rPr>
          <w:rFonts w:ascii="Times New Roman" w:hAnsi="Times New Roman" w:eastAsia="Calibri" w:cs="Times New Roman"/>
          <w:b/>
          <w:bCs/>
          <w:color w:val="auto"/>
          <w:sz w:val="24"/>
          <w:szCs w:val="24"/>
          <w:lang w:val="zh-CN"/>
        </w:rPr>
        <w:t>Taxe, tarife și modalitățile de plată, abonamente și fonduri</w:t>
      </w:r>
      <w:bookmarkEnd w:id="69"/>
      <w:bookmarkEnd w:id="70"/>
      <w:r>
        <w:rPr>
          <w:rFonts w:ascii="Times New Roman" w:hAnsi="Times New Roman" w:eastAsia="Calibri" w:cs="Times New Roman"/>
          <w:b/>
          <w:bCs/>
          <w:color w:val="auto"/>
          <w:sz w:val="24"/>
          <w:szCs w:val="24"/>
          <w:lang w:val="zh-CN"/>
        </w:rPr>
        <w:t>.</w:t>
      </w:r>
    </w:p>
    <w:p>
      <w:pPr>
        <w:pStyle w:val="3"/>
        <w:spacing w:before="0" w:line="240" w:lineRule="auto"/>
        <w:ind w:left="360"/>
        <w:jc w:val="center"/>
        <w:rPr>
          <w:rFonts w:ascii="Times New Roman" w:hAnsi="Times New Roman" w:eastAsia="Calibri" w:cs="Times New Roman"/>
          <w:b/>
          <w:bCs/>
          <w:color w:val="auto"/>
          <w:sz w:val="24"/>
          <w:szCs w:val="24"/>
          <w:lang w:val="zh-CN"/>
        </w:rPr>
      </w:pPr>
      <w:bookmarkStart w:id="71" w:name="_Hlk164333069"/>
      <w:bookmarkStart w:id="72" w:name="_Toc164640888"/>
    </w:p>
    <w:p>
      <w:pPr>
        <w:pStyle w:val="3"/>
        <w:spacing w:before="0" w:line="240" w:lineRule="auto"/>
        <w:ind w:left="360"/>
        <w:jc w:val="center"/>
        <w:rPr>
          <w:rFonts w:ascii="Times New Roman" w:hAnsi="Times New Roman" w:cs="Times New Roman"/>
          <w:b/>
          <w:color w:val="auto"/>
          <w:sz w:val="24"/>
          <w:szCs w:val="24"/>
          <w:lang w:val="zh-CN"/>
        </w:rPr>
      </w:pPr>
      <w:r>
        <w:rPr>
          <w:rFonts w:ascii="Times New Roman" w:hAnsi="Times New Roman" w:eastAsia="Calibri" w:cs="Times New Roman"/>
          <w:b/>
          <w:bCs/>
          <w:color w:val="auto"/>
          <w:sz w:val="24"/>
          <w:szCs w:val="24"/>
          <w:lang w:val="zh-CN"/>
        </w:rPr>
        <w:t>Secțiunea 18. Taxele</w:t>
      </w:r>
      <w:r>
        <w:rPr>
          <w:rFonts w:ascii="Times New Roman" w:hAnsi="Times New Roman" w:cs="Times New Roman"/>
          <w:b/>
          <w:color w:val="auto"/>
          <w:sz w:val="24"/>
          <w:szCs w:val="24"/>
          <w:lang w:val="zh-CN"/>
        </w:rPr>
        <w:t xml:space="preserve"> </w:t>
      </w:r>
      <w:r>
        <w:rPr>
          <w:rFonts w:ascii="Times New Roman" w:hAnsi="Times New Roman" w:eastAsia="Calibri" w:cs="Times New Roman"/>
          <w:b/>
          <w:bCs/>
          <w:color w:val="auto"/>
          <w:sz w:val="24"/>
          <w:szCs w:val="24"/>
          <w:lang w:val="zh-CN"/>
        </w:rPr>
        <w:t>aplicabile</w:t>
      </w:r>
      <w:r>
        <w:rPr>
          <w:rFonts w:ascii="Times New Roman" w:hAnsi="Times New Roman" w:cs="Times New Roman"/>
          <w:b/>
          <w:color w:val="auto"/>
          <w:sz w:val="24"/>
          <w:szCs w:val="24"/>
          <w:lang w:val="zh-CN"/>
        </w:rPr>
        <w:t xml:space="preserve"> pentru parcare și pentru parcaj</w:t>
      </w:r>
      <w:bookmarkEnd w:id="71"/>
      <w:bookmarkEnd w:id="72"/>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Conform prevederilor actelor normative în vigoare, taxele pentru parcare și pentru parcaj sunt taxe locale, care se stabilesc și se aprobă de către Consiliul municipal Chișinău.</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Taxa pentru parcare se aplică persoanelor fizice sau juridice, înregistrate în calitate de întreprinzător, care prestează servicii de parcare contra plată, și se achită anual pentru fiecare metru pătrat din suprafața parcării.</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Taxa pentru parcaj se aplică persoanelor juridice sau fizice posesoare de autovehicule, care au obținut autorizația de parcaj rezervat, și se achită pentru fiecare loc de parcaj.</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sz w:val="24"/>
          <w:szCs w:val="24"/>
          <w:lang w:val="zh-CN"/>
        </w:rPr>
      </w:pPr>
      <w:r>
        <w:rPr>
          <w:rFonts w:ascii="Times New Roman" w:hAnsi="Times New Roman" w:eastAsia="Calibri" w:cs="Times New Roman"/>
          <w:sz w:val="24"/>
          <w:szCs w:val="24"/>
          <w:lang w:val="zh-CN"/>
        </w:rPr>
        <w:t xml:space="preserve"> Taxele pentru parcare și pentru parcaj se aplică doar în măsura și modul în care acestea au fost stabilite și aprobate</w:t>
      </w:r>
      <w:r>
        <w:rPr>
          <w:rFonts w:ascii="Times New Roman" w:hAnsi="Times New Roman" w:cs="Times New Roman"/>
          <w:sz w:val="24"/>
          <w:szCs w:val="24"/>
          <w:lang w:val="zh-CN"/>
        </w:rPr>
        <w:t xml:space="preserve"> de către Consiliul municipal Chișinău.</w:t>
      </w:r>
    </w:p>
    <w:p>
      <w:pPr>
        <w:tabs>
          <w:tab w:val="left" w:pos="851"/>
        </w:tabs>
        <w:spacing w:after="0" w:line="240" w:lineRule="auto"/>
        <w:ind w:firstLine="567"/>
        <w:contextualSpacing/>
        <w:jc w:val="both"/>
        <w:rPr>
          <w:rFonts w:ascii="Times New Roman" w:hAnsi="Times New Roman" w:eastAsia="Calibri" w:cs="Times New Roman"/>
          <w:sz w:val="24"/>
          <w:szCs w:val="24"/>
          <w:lang w:val="zh-CN"/>
        </w:rPr>
      </w:pPr>
    </w:p>
    <w:p>
      <w:pPr>
        <w:pStyle w:val="3"/>
        <w:spacing w:before="0" w:line="240" w:lineRule="auto"/>
        <w:ind w:left="360"/>
        <w:jc w:val="center"/>
        <w:rPr>
          <w:rFonts w:ascii="Times New Roman" w:hAnsi="Times New Roman" w:eastAsia="Calibri" w:cs="Times New Roman"/>
          <w:b/>
          <w:bCs/>
          <w:color w:val="auto"/>
          <w:sz w:val="24"/>
          <w:szCs w:val="24"/>
          <w:lang w:val="zh-CN"/>
        </w:rPr>
      </w:pPr>
      <w:bookmarkStart w:id="73" w:name="_Toc164640889"/>
      <w:bookmarkStart w:id="74" w:name="_Toc164640894"/>
      <w:r>
        <w:rPr>
          <w:rFonts w:ascii="Times New Roman" w:hAnsi="Times New Roman" w:eastAsia="Calibri" w:cs="Times New Roman"/>
          <w:b/>
          <w:bCs/>
          <w:color w:val="auto"/>
          <w:sz w:val="24"/>
          <w:szCs w:val="24"/>
          <w:lang w:val="zh-CN"/>
        </w:rPr>
        <w:t>Secțiunea 19. Tarifele și modalitățile de plată</w:t>
      </w:r>
      <w:r>
        <w:rPr>
          <w:rFonts w:ascii="Times New Roman" w:hAnsi="Times New Roman" w:cs="Times New Roman"/>
          <w:b/>
          <w:color w:val="auto"/>
          <w:sz w:val="24"/>
          <w:szCs w:val="24"/>
          <w:lang w:val="zh-CN"/>
        </w:rPr>
        <w:t>.</w:t>
      </w:r>
      <w:bookmarkEnd w:id="73"/>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Utilizarea parcărilor publice cu plată, și parcajelor se va face contra plată, conform tarifelor aprobate prin decizia Consiliul municipal Chișinău, în baza tichetelor de parcare sau de parcaj și abonamentelor.</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Tarifele de utilizare a parcărilor și parcajelor publice cu plată, vor fi stabilite diferențiat, în funcție de Zona de parcare unde este amenajată parcarea sau parcajul și/sau clasificarea stipulată în pct.5 și pct.6 al prezentului Regulament.</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În scopul fluidizării traficului rutier în anumite zone ale orașului, precum și asigurarea accesibilității în măsura egală pentru toți utilizatorii, parcările/parcajele publice cu plată pot fi organizate și autorizate cu regim de funcționare limitat până la 4 ore, și cu tarifare progresivă, care prevede creșterea tarifului aplicabil în zona respectivă, direct proporțional cu perioada de staționare, conform unui coeficient de multiplicare, aprobat de Consiliul Municipal Chișinău pentru fiecare 4 (patru) ore consecutive ulterioare. În acest caz, informația cu privire la tarifarea progresivă va fi expusă pe panourile informative aferente parcărilor/parcajelor respective.</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sz w:val="24"/>
          <w:szCs w:val="24"/>
          <w:lang w:val="zh-CN"/>
        </w:rPr>
      </w:pPr>
      <w:r>
        <w:rPr>
          <w:rFonts w:ascii="Times New Roman" w:hAnsi="Times New Roman" w:eastAsia="Calibri" w:cs="Times New Roman"/>
          <w:sz w:val="24"/>
          <w:szCs w:val="24"/>
          <w:lang w:val="zh-CN"/>
        </w:rPr>
        <w:t xml:space="preserve"> Încasarea tarifelor pentru utilizarea parcărilor publice cu plată și parcajelor, inclusiv pentru abonamentele, aflate în gestiunea Autorității/administratorului, se va putea efectua direct sau prin intermediul partenerilor care îndeplinesc toate cerințele pentru acest tip de operațiuni prevăzute de cadrul legal, prin intermediul unora sau mai multora din următoarele metode:</w:t>
      </w:r>
    </w:p>
    <w:p>
      <w:pPr>
        <w:pStyle w:val="23"/>
        <w:numPr>
          <w:ilvl w:val="0"/>
          <w:numId w:val="18"/>
        </w:numPr>
        <w:tabs>
          <w:tab w:val="left" w:pos="709"/>
          <w:tab w:val="left" w:pos="993"/>
        </w:tabs>
        <w:spacing w:after="0" w:line="240" w:lineRule="auto"/>
        <w:ind w:left="993"/>
        <w:jc w:val="both"/>
        <w:rPr>
          <w:rFonts w:ascii="Times New Roman" w:hAnsi="Times New Roman" w:eastAsia="Calibri" w:cs="Times New Roman"/>
          <w:sz w:val="24"/>
          <w:szCs w:val="24"/>
          <w:lang w:val="zh-CN"/>
        </w:rPr>
      </w:pPr>
      <w:bookmarkStart w:id="75" w:name="_Hlk169598250"/>
      <w:r>
        <w:rPr>
          <w:rFonts w:ascii="Times New Roman" w:hAnsi="Times New Roman" w:eastAsia="Calibri" w:cs="Times New Roman"/>
          <w:sz w:val="24"/>
          <w:szCs w:val="24"/>
          <w:lang w:val="zh-CN"/>
        </w:rPr>
        <w:t>plata prin intermediul cardului bancar la parcomatele speciale;</w:t>
      </w:r>
    </w:p>
    <w:p>
      <w:pPr>
        <w:pStyle w:val="23"/>
        <w:numPr>
          <w:ilvl w:val="0"/>
          <w:numId w:val="18"/>
        </w:numPr>
        <w:tabs>
          <w:tab w:val="left" w:pos="709"/>
          <w:tab w:val="left" w:pos="993"/>
        </w:tabs>
        <w:spacing w:after="0" w:line="240" w:lineRule="auto"/>
        <w:ind w:left="993"/>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plata cu numerar prin parcomatele de tip „Cash-In”;</w:t>
      </w:r>
    </w:p>
    <w:p>
      <w:pPr>
        <w:pStyle w:val="23"/>
        <w:numPr>
          <w:ilvl w:val="0"/>
          <w:numId w:val="18"/>
        </w:numPr>
        <w:tabs>
          <w:tab w:val="left" w:pos="709"/>
          <w:tab w:val="left" w:pos="993"/>
        </w:tabs>
        <w:spacing w:after="0" w:line="240" w:lineRule="auto"/>
        <w:ind w:left="993"/>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plata prin intermediul terminalelor a operatorilor de încasare și perceperea a plăților (cum ar fi: QIWI, RunPay, B-PAY, etc.);</w:t>
      </w:r>
    </w:p>
    <w:p>
      <w:pPr>
        <w:pStyle w:val="23"/>
        <w:numPr>
          <w:ilvl w:val="0"/>
          <w:numId w:val="18"/>
        </w:numPr>
        <w:tabs>
          <w:tab w:val="left" w:pos="709"/>
          <w:tab w:val="left" w:pos="993"/>
        </w:tabs>
        <w:spacing w:after="0" w:line="240" w:lineRule="auto"/>
        <w:ind w:left="993"/>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prin serviciul de achitare a serviciilor publice „M-PAY”;</w:t>
      </w:r>
    </w:p>
    <w:p>
      <w:pPr>
        <w:pStyle w:val="23"/>
        <w:numPr>
          <w:ilvl w:val="0"/>
          <w:numId w:val="18"/>
        </w:numPr>
        <w:tabs>
          <w:tab w:val="left" w:pos="709"/>
          <w:tab w:val="left" w:pos="993"/>
        </w:tabs>
        <w:spacing w:after="0" w:line="240" w:lineRule="auto"/>
        <w:ind w:left="993"/>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plata prin Sistemul de Plăți Instant „MIA” lansat de Banca Națională a Moldovei;</w:t>
      </w:r>
    </w:p>
    <w:p>
      <w:pPr>
        <w:pStyle w:val="23"/>
        <w:numPr>
          <w:ilvl w:val="0"/>
          <w:numId w:val="18"/>
        </w:numPr>
        <w:tabs>
          <w:tab w:val="left" w:pos="709"/>
          <w:tab w:val="left" w:pos="993"/>
        </w:tabs>
        <w:spacing w:after="0" w:line="240" w:lineRule="auto"/>
        <w:ind w:left="993"/>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plata prin aplicațiile mobile speciale – parte a sistemului de management parcărilor din municipiul Chișinău și prin aplicațiile mobile a instituțiilor financiare (mobile banking);</w:t>
      </w:r>
    </w:p>
    <w:p>
      <w:pPr>
        <w:pStyle w:val="23"/>
        <w:numPr>
          <w:ilvl w:val="0"/>
          <w:numId w:val="18"/>
        </w:numPr>
        <w:tabs>
          <w:tab w:val="left" w:pos="709"/>
          <w:tab w:val="left" w:pos="993"/>
        </w:tabs>
        <w:spacing w:after="0" w:line="240" w:lineRule="auto"/>
        <w:ind w:left="993"/>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plata în numerar la instituțiile bancare sau în casieria a administratorului parcărilor cu plată, inclusiv percepută de către angajații dotați cu aparatele de casă mobile și terminale mobile pentru achitarea cu card bancar;</w:t>
      </w:r>
    </w:p>
    <w:p>
      <w:pPr>
        <w:pStyle w:val="23"/>
        <w:numPr>
          <w:ilvl w:val="0"/>
          <w:numId w:val="18"/>
        </w:numPr>
        <w:tabs>
          <w:tab w:val="left" w:pos="709"/>
          <w:tab w:val="left" w:pos="993"/>
        </w:tabs>
        <w:spacing w:after="0" w:line="240" w:lineRule="auto"/>
        <w:ind w:left="993"/>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plata prin transfer bancar de către persoana juridică fie rezident sau nerezident (inclusiv pentru abonamente săptămânale, lunare, trimestriale și anuale);</w:t>
      </w:r>
    </w:p>
    <w:p>
      <w:pPr>
        <w:pStyle w:val="23"/>
        <w:numPr>
          <w:ilvl w:val="0"/>
          <w:numId w:val="18"/>
        </w:numPr>
        <w:tabs>
          <w:tab w:val="left" w:pos="709"/>
          <w:tab w:val="left" w:pos="993"/>
        </w:tabs>
        <w:spacing w:after="0" w:line="240" w:lineRule="auto"/>
        <w:ind w:left="993"/>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plata prin SMS cu suportul operatorilor rețelelor de telefonie mobilă.</w:t>
      </w:r>
    </w:p>
    <w:bookmarkEnd w:id="75"/>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Toate plățile aferente parcărilor publice cu plată și parcajelor vor fi contabilizate și reflectate în ”Sistemul electronic de management al parcărilor și parcajelor”, cu respectarea principiului transparentei procesului și condițiilor de operare a datelor cu caracter personal, reglementate prin actele normative în vigoare.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Pentru utilizarea  parcărilor și parcajelor publice cu plată, utilizatorii ce nu dețin abonamente, vor achita tariful stabilit prin una din metodele de plată disponibile pentru acestea, stipulate în pct. 125, al prezentului Regulament.</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În cazul achitării tarifului de parcare/parcaj prin intermediul site-ului specializat, aplicației mobile bancare sau aplicației speciale gestionate de către Autoritate/administrator, etc., utilizatorii nu sunt obligați să afișeze confirmarea plății pe bordul autovehiculului la loc vizibil cu fața în sus astfel încât să permită controlul validității. </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Costurile suplimentare aplicate la plata tarifelor de parcare sau parcaje (comisioane), prin intermediul altor operatori autorizați de perceperea plăților, sunt suportate de către utilizator. </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Parcările/parcajele publice cu plată pot fi utilizate, inclusiv în baza abonamentelor emise pe suport fizic, de către Autoritate/administrator, care va percepe plata și le va înregistra în Sistemul electronic de management al parcărilor și parcajelor, pentru: perioada, zona, solicitată de utilizator.</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Parcările publice și parcajele</w:t>
      </w:r>
      <w:r>
        <w:rPr>
          <w:rFonts w:ascii="Times New Roman" w:hAnsi="Times New Roman" w:cs="Times New Roman"/>
          <w:sz w:val="24"/>
          <w:szCs w:val="24"/>
          <w:lang w:val="zh-CN"/>
        </w:rPr>
        <w:t>, pot fi utilizate gratuit de către:</w:t>
      </w:r>
    </w:p>
    <w:p>
      <w:pPr>
        <w:pStyle w:val="23"/>
        <w:numPr>
          <w:ilvl w:val="0"/>
          <w:numId w:val="19"/>
        </w:numPr>
        <w:tabs>
          <w:tab w:val="left" w:pos="709"/>
          <w:tab w:val="left" w:pos="993"/>
        </w:tabs>
        <w:spacing w:after="0" w:line="240" w:lineRule="auto"/>
        <w:ind w:left="993"/>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persoanele cu dizabilități sau însoțitorii acestora în baza permisului/abonamentului;</w:t>
      </w:r>
    </w:p>
    <w:p>
      <w:pPr>
        <w:pStyle w:val="23"/>
        <w:numPr>
          <w:ilvl w:val="0"/>
          <w:numId w:val="19"/>
        </w:numPr>
        <w:tabs>
          <w:tab w:val="left" w:pos="709"/>
          <w:tab w:val="left" w:pos="993"/>
        </w:tabs>
        <w:spacing w:after="0" w:line="240" w:lineRule="auto"/>
        <w:ind w:left="993"/>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autovehiculele de preemțiune aflate în misiune pe teritoriul mun. Chișinău, inscripționate și/sau semnalizate corespunzător;</w:t>
      </w:r>
    </w:p>
    <w:p>
      <w:pPr>
        <w:pStyle w:val="23"/>
        <w:numPr>
          <w:ilvl w:val="0"/>
          <w:numId w:val="19"/>
        </w:numPr>
        <w:tabs>
          <w:tab w:val="left" w:pos="709"/>
          <w:tab w:val="left" w:pos="993"/>
        </w:tabs>
        <w:spacing w:after="0" w:line="240" w:lineRule="auto"/>
        <w:ind w:left="993"/>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autovehicule oprite, aflate în misiunea de deservire și aprovizionare a magazinelor, farmaciilor etc., în locurile de parcare aflate în raza acestora până la 20 m, timpul gratuit admis de staționare fiind până la 30 min.</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Autovehiculele instituțiilor publice aflate în interes de serviciu sunt exceptate de la plata tarifului de parcare sau parcaj cu condiția prezentării în prealabil către Autoritate/administrator a cererii de emitere a abonamentului, conform modelului stabilit în anexa 4  cu anexarea listei autovehiculelor cu numerele de înmatriculare ale autoturismelor care le aparțin, însoțite de documente justificative.</w:t>
      </w:r>
    </w:p>
    <w:p>
      <w:pPr>
        <w:tabs>
          <w:tab w:val="left" w:pos="1134"/>
        </w:tabs>
        <w:spacing w:after="0" w:line="247" w:lineRule="auto"/>
        <w:ind w:right="35" w:firstLine="567"/>
        <w:jc w:val="both"/>
        <w:rPr>
          <w:rFonts w:ascii="Times New Roman" w:hAnsi="Times New Roman" w:eastAsia="Calibri" w:cs="Times New Roman"/>
          <w:b/>
          <w:bCs/>
          <w:sz w:val="24"/>
          <w:szCs w:val="24"/>
          <w:lang w:val="zh-CN"/>
        </w:rPr>
      </w:pPr>
    </w:p>
    <w:p>
      <w:pPr>
        <w:pStyle w:val="3"/>
        <w:spacing w:before="0" w:line="240" w:lineRule="auto"/>
        <w:ind w:left="360"/>
        <w:jc w:val="center"/>
        <w:rPr>
          <w:rFonts w:ascii="Times New Roman" w:hAnsi="Times New Roman" w:eastAsia="Calibri" w:cs="Times New Roman"/>
          <w:b/>
          <w:bCs/>
          <w:color w:val="auto"/>
          <w:sz w:val="24"/>
          <w:szCs w:val="24"/>
          <w:lang w:val="zh-CN"/>
        </w:rPr>
      </w:pPr>
      <w:bookmarkStart w:id="76" w:name="_Toc164640890"/>
      <w:r>
        <w:rPr>
          <w:rFonts w:ascii="Times New Roman" w:hAnsi="Times New Roman" w:eastAsia="Calibri" w:cs="Times New Roman"/>
          <w:b/>
          <w:bCs/>
          <w:color w:val="auto"/>
          <w:sz w:val="24"/>
          <w:szCs w:val="24"/>
          <w:lang w:val="zh-CN"/>
        </w:rPr>
        <w:t>Secțiunea 20. Abonamente</w:t>
      </w:r>
      <w:bookmarkEnd w:id="76"/>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Parcările și parcajele publice cu plată, pot fi utilizate de către utilizatori (cu excepția celor prevăzuți în pct. 131 și pct.132 al prezentului Regulament) prin abonamente, emise în baza cererii depuse în acest sens de utilizator, conform modelului stabilit în anexa 5 (pentru persoane juridice) și anexa 6 (pentru persoane fizice) și în corespundere cu prevederile prezentului Regulament.</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Prin prezentul Regulament se stabilesc următoarele tipuri de abonamente pentru parcări/parcaje publice cu plată:</w:t>
      </w:r>
    </w:p>
    <w:p>
      <w:pPr>
        <w:pStyle w:val="23"/>
        <w:numPr>
          <w:ilvl w:val="0"/>
          <w:numId w:val="20"/>
        </w:numPr>
        <w:tabs>
          <w:tab w:val="left" w:pos="993"/>
          <w:tab w:val="left" w:pos="1276"/>
        </w:tabs>
        <w:spacing w:after="0" w:line="240" w:lineRule="auto"/>
        <w:ind w:left="993" w:hanging="284"/>
        <w:jc w:val="both"/>
        <w:rPr>
          <w:rFonts w:ascii="Times New Roman" w:hAnsi="Times New Roman" w:eastAsia="Calibri" w:cs="Times New Roman"/>
          <w:sz w:val="24"/>
          <w:szCs w:val="24"/>
          <w:lang w:val="zh-CN"/>
        </w:rPr>
      </w:pPr>
      <w:bookmarkStart w:id="77" w:name="_Hlk164177449"/>
      <w:r>
        <w:rPr>
          <w:rFonts w:ascii="Times New Roman" w:hAnsi="Times New Roman" w:eastAsia="Calibri" w:cs="Times New Roman"/>
          <w:b/>
          <w:bCs/>
          <w:sz w:val="24"/>
          <w:szCs w:val="24"/>
          <w:lang w:val="zh-CN"/>
        </w:rPr>
        <w:t xml:space="preserve">Abonament pentru parcare și parcaj </w:t>
      </w:r>
      <w:bookmarkEnd w:id="77"/>
      <w:r>
        <w:rPr>
          <w:rFonts w:ascii="Times New Roman" w:hAnsi="Times New Roman" w:eastAsia="Calibri" w:cs="Times New Roman"/>
          <w:b/>
          <w:bCs/>
          <w:sz w:val="24"/>
          <w:szCs w:val="24"/>
          <w:lang w:val="zh-CN"/>
        </w:rPr>
        <w:t>în zona 1</w:t>
      </w:r>
      <w:r>
        <w:rPr>
          <w:rFonts w:ascii="Times New Roman" w:hAnsi="Times New Roman" w:eastAsia="Calibri" w:cs="Times New Roman"/>
          <w:sz w:val="24"/>
          <w:szCs w:val="24"/>
          <w:lang w:val="zh-CN"/>
        </w:rPr>
        <w:t xml:space="preserve"> pot fi eliberate pentru o anumită perioadă (7 zile, 30 zile, 90 zile, 180 zile, 365 zile) – se eliberează persoanelor fizice sau juridice pe perioada înscrisă în acesta și conferă dreptul de staționare în parcările/parcajele publice cu plată, amplasate în zona 1, zona 2, zona 3, </w:t>
      </w:r>
      <w:bookmarkStart w:id="78" w:name="_Hlk164175349"/>
      <w:r>
        <w:rPr>
          <w:rFonts w:ascii="Times New Roman" w:hAnsi="Times New Roman" w:eastAsia="Calibri" w:cs="Times New Roman"/>
          <w:sz w:val="24"/>
          <w:szCs w:val="24"/>
          <w:lang w:val="zh-CN"/>
        </w:rPr>
        <w:t xml:space="preserve">inclusiv de tip Park&amp;Ride, în limitele locurilor libere disponibile, fără dreptul de staționare/parcare în </w:t>
      </w:r>
      <w:bookmarkEnd w:id="78"/>
      <w:r>
        <w:rPr>
          <w:rFonts w:ascii="Times New Roman" w:hAnsi="Times New Roman" w:eastAsia="Calibri" w:cs="Times New Roman"/>
          <w:sz w:val="24"/>
          <w:szCs w:val="24"/>
          <w:lang w:val="zh-CN"/>
        </w:rPr>
        <w:t>parcările private cu plată, parcajele rezervate și parcările/parcajele cu tarifare progresivă;</w:t>
      </w:r>
    </w:p>
    <w:p>
      <w:pPr>
        <w:pStyle w:val="23"/>
        <w:numPr>
          <w:ilvl w:val="0"/>
          <w:numId w:val="20"/>
        </w:numPr>
        <w:tabs>
          <w:tab w:val="left" w:pos="993"/>
          <w:tab w:val="left" w:pos="1276"/>
        </w:tabs>
        <w:spacing w:after="0" w:line="240" w:lineRule="auto"/>
        <w:ind w:left="993" w:hanging="284"/>
        <w:jc w:val="both"/>
        <w:rPr>
          <w:rFonts w:ascii="Times New Roman" w:hAnsi="Times New Roman" w:eastAsia="Calibri" w:cs="Times New Roman"/>
          <w:sz w:val="24"/>
          <w:szCs w:val="24"/>
          <w:lang w:val="zh-CN"/>
        </w:rPr>
      </w:pPr>
      <w:r>
        <w:rPr>
          <w:rFonts w:ascii="Times New Roman" w:hAnsi="Times New Roman" w:eastAsia="Calibri" w:cs="Times New Roman"/>
          <w:b/>
          <w:bCs/>
          <w:sz w:val="24"/>
          <w:szCs w:val="24"/>
          <w:lang w:val="zh-CN"/>
        </w:rPr>
        <w:t>Abonament pentru parcare și parcaj în zona 2</w:t>
      </w:r>
      <w:r>
        <w:rPr>
          <w:rFonts w:ascii="Times New Roman" w:hAnsi="Times New Roman" w:eastAsia="Calibri" w:cs="Times New Roman"/>
          <w:sz w:val="24"/>
          <w:szCs w:val="24"/>
          <w:lang w:val="zh-CN"/>
        </w:rPr>
        <w:t xml:space="preserve"> pot fi eliberate pentru o anumită perioadă (7 zile, 30 zile, 90 zile, 180 zile, 365 zile) – se eliberează persoanelor fizice sau juridice pe perioada înscrisă în acesta și conferă dreptul de staționare în parcările/parcajele publice cu plată, amplasate în zona 2, zona 3, inclusiv de tip Park&amp;Ride, în limitele locurilor libere disponibile, fără dreptul de staționare/parcare în parcările private cu plată, parcajele rezervate și parcările/parcajele cu tarifare progresivă;</w:t>
      </w:r>
    </w:p>
    <w:p>
      <w:pPr>
        <w:pStyle w:val="23"/>
        <w:numPr>
          <w:ilvl w:val="0"/>
          <w:numId w:val="20"/>
        </w:numPr>
        <w:tabs>
          <w:tab w:val="left" w:pos="993"/>
          <w:tab w:val="left" w:pos="1276"/>
        </w:tabs>
        <w:spacing w:after="0" w:line="240" w:lineRule="auto"/>
        <w:ind w:left="993" w:hanging="284"/>
        <w:jc w:val="both"/>
        <w:rPr>
          <w:rFonts w:ascii="Times New Roman" w:hAnsi="Times New Roman" w:eastAsia="Calibri" w:cs="Times New Roman"/>
          <w:sz w:val="24"/>
          <w:szCs w:val="24"/>
          <w:lang w:val="zh-CN"/>
        </w:rPr>
      </w:pPr>
      <w:r>
        <w:rPr>
          <w:rFonts w:ascii="Times New Roman" w:hAnsi="Times New Roman" w:eastAsia="Calibri" w:cs="Times New Roman"/>
          <w:b/>
          <w:bCs/>
          <w:sz w:val="24"/>
          <w:szCs w:val="24"/>
          <w:lang w:val="zh-CN"/>
        </w:rPr>
        <w:t>Abonament pentru parcare și parcaj în zona 3</w:t>
      </w:r>
      <w:r>
        <w:rPr>
          <w:rFonts w:ascii="Times New Roman" w:hAnsi="Times New Roman" w:eastAsia="Calibri" w:cs="Times New Roman"/>
          <w:sz w:val="24"/>
          <w:szCs w:val="24"/>
          <w:lang w:val="zh-CN"/>
        </w:rPr>
        <w:t xml:space="preserve"> pot fi eliberate pentru o anumită perioadă (7 zile, 30 zile, 90 zile, 180 zile, 365 zile) – se eliberează persoanelor fizice sau juridice pe perioada înscrisă în acesta și conferă dreptul de staționare în parcările/parcajele publice cu plată, amplasate în zona 3, inclusiv de tip Park&amp;Ride, în limitele locurilor libere disponibile, fără dreptul de staționare/parcare în </w:t>
      </w:r>
      <w:bookmarkStart w:id="79" w:name="_Hlk164236722"/>
      <w:r>
        <w:rPr>
          <w:rFonts w:ascii="Times New Roman" w:hAnsi="Times New Roman" w:eastAsia="Calibri" w:cs="Times New Roman"/>
          <w:sz w:val="24"/>
          <w:szCs w:val="24"/>
          <w:lang w:val="zh-CN"/>
        </w:rPr>
        <w:t>parcările private cu plată, parcajele rezervate și parcările/parcajele cu tarifare progresivă;</w:t>
      </w:r>
    </w:p>
    <w:p>
      <w:pPr>
        <w:pStyle w:val="23"/>
        <w:numPr>
          <w:ilvl w:val="0"/>
          <w:numId w:val="20"/>
        </w:numPr>
        <w:tabs>
          <w:tab w:val="left" w:pos="993"/>
          <w:tab w:val="left" w:pos="1276"/>
        </w:tabs>
        <w:spacing w:after="0" w:line="240" w:lineRule="auto"/>
        <w:ind w:left="993" w:hanging="284"/>
        <w:jc w:val="both"/>
        <w:rPr>
          <w:rFonts w:ascii="Times New Roman" w:hAnsi="Times New Roman" w:eastAsia="Calibri" w:cs="Times New Roman"/>
          <w:sz w:val="24"/>
          <w:szCs w:val="24"/>
          <w:lang w:val="zh-CN"/>
        </w:rPr>
      </w:pPr>
      <w:r>
        <w:rPr>
          <w:rFonts w:ascii="Times New Roman" w:hAnsi="Times New Roman" w:eastAsia="Calibri" w:cs="Times New Roman"/>
          <w:b/>
          <w:bCs/>
          <w:sz w:val="24"/>
          <w:szCs w:val="24"/>
          <w:lang w:val="zh-CN"/>
        </w:rPr>
        <w:t>Permis/Abonament pentru persoane cu dizabilități</w:t>
      </w:r>
      <w:bookmarkEnd w:id="79"/>
      <w:r>
        <w:rPr>
          <w:rFonts w:ascii="Times New Roman" w:hAnsi="Times New Roman" w:eastAsia="Calibri" w:cs="Times New Roman"/>
          <w:b/>
          <w:bCs/>
          <w:sz w:val="24"/>
          <w:szCs w:val="24"/>
          <w:lang w:val="zh-CN"/>
        </w:rPr>
        <w:t xml:space="preserve"> </w:t>
      </w:r>
      <w:r>
        <w:rPr>
          <w:rFonts w:ascii="Times New Roman" w:hAnsi="Times New Roman" w:eastAsia="Calibri" w:cs="Times New Roman"/>
          <w:sz w:val="24"/>
          <w:szCs w:val="24"/>
          <w:lang w:val="zh-CN"/>
        </w:rPr>
        <w:t xml:space="preserve">– se eliberează pe perioada de 12 luni, cu titlul gratuit, persoanelor fizice, care suferă de o dizabilitate, fac dovada că posedă un permis de conducere și sunt proprietarii/utilizatorii unui autovehicul precum și însoțitorilor acestora. Acest tip de abonament conferă dreptul de staționare pe timp nelimitat în orice zona tarifară numai pe locurile de parcare semnalizate prin semnul internațional pentru persoane cu dizabilități. </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Abonamentele sunt documentele individuale și nu sunt transmisibil persoanelor terțe, și conțin următoarele informații: seria și numărul și data emiterii abonamentului, numărul  de înmatriculare al autovehiculului, tipul abonamentului (specificat în pct. 134 al prezentului regulament), termenul de valabilitate, bar-code/QR-cod.</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Eliberarea abonamentelor pentru parcare și parcaj în orice zonă se realizează în limita a maxim 70% din capacitatea totală a parcajelor publice cu plată și a locurilor din parcările publice cu plată, cu condiția lipsei restanțelor de plată la bugetul local </w:t>
      </w:r>
      <w:r>
        <w:rPr>
          <w:rFonts w:ascii="Times New Roman" w:hAnsi="Times New Roman" w:cs="Times New Roman"/>
          <w:sz w:val="24"/>
          <w:szCs w:val="24"/>
          <w:lang w:val="zh-CN"/>
        </w:rPr>
        <w:t xml:space="preserve">(impozite și penalități, taxe și tarife, amenzi, </w:t>
      </w:r>
      <w:r>
        <w:rPr>
          <w:rFonts w:ascii="Times New Roman" w:hAnsi="Times New Roman" w:eastAsia="Calibri" w:cs="Times New Roman"/>
          <w:sz w:val="24"/>
          <w:szCs w:val="24"/>
          <w:lang w:val="zh-CN"/>
        </w:rPr>
        <w:t>etc.).</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Abonamentul pentru parcare și parcaj din orice zonă, nu reprezintă o garanție de rezervare a unui loc, responsabilitatea de a găsi un loc de parcare sau parcaj revenindu-i utilizatorului.</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Obținerea, reînnoirea și prelungirea abonamentelor, inclusiv modificarea datelor care au stat la baza emiterii abonamentului, cade în sarcina utilizatorului. Valabilitatea abonamentului de utilizare a locului de parcare și parcaj, poate fi prelungită: lunar, trimestrial, semestrial, anual, doar dacă titularul acestuia achită anticipat și integral taxa de parcare aferentă perioade de prelungire.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Renunțarea</w:t>
      </w:r>
      <w:r>
        <w:rPr>
          <w:rFonts w:ascii="Times New Roman" w:hAnsi="Times New Roman" w:cs="Times New Roman"/>
          <w:bCs/>
          <w:sz w:val="24"/>
          <w:szCs w:val="24"/>
          <w:lang w:val="zh-CN"/>
        </w:rPr>
        <w:t xml:space="preserve"> la abonament, se face în baza unei cereri în acest sens adresată Autorității/administratorului de către utilizator (reprezentant sau moștenitor al acestuia, fără restituirea părții din tarifului de parcare/parcaj aferentă timpului valabil rămas (restituirea va avea loc dacă termenul valabil rămas depășește 50% din termenul total).</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În cazul nerespectării de către utilizator a condițiilor prevăzute în pct. 49 și pct. 50, al prezentului Regulament, Autoritatea/administratorul poate anula abonamentul, fără restituirea părții din tarifului de parcare și parcaj aferentă timpului valabil rămas. </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Abonamentele de utilizare al locului de parcare/parcaj se emit după prezentarea tuturor actelor confirmative și după înregistrarea plății tarifului, în cuantumul stabilit. Abonamentul va fi emis pe suport fizic cu înregistrarea acestuia în sistemul electronic de management al parcărilor și parcajelor.</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w:t>
      </w:r>
      <w:r>
        <w:rPr>
          <w:rFonts w:ascii="Times New Roman" w:hAnsi="Times New Roman" w:cs="Times New Roman"/>
          <w:bCs/>
          <w:sz w:val="24"/>
          <w:szCs w:val="24"/>
          <w:lang w:val="zh-CN"/>
        </w:rPr>
        <w:t>Utilizatorul este obligat să afișeze abonamentul valabil, în interiorul autovehiculului, pe bord, sub parbriz, astfel încât toate datele inscripționate să fie vizibile din exterior;</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Pierderea, deteriorarea, furtul sau modificarea datelor care au stat la baza emiterii abonamentului se va anunța imediat administratorului de către utilizator, pentru operarea modificărilor în sistemul electronic de management al parcărilor și parcajelor. Reperfectarea și eliberarea unui nou abonament se va efectua, doar pentru perioada nefolosită a acestuia.</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Reemiterea abonamentelor (după caz permiselor) către toate categoriile de utilizatori în cazul pierderii, deteriorării, furtului sau modificării datelor care au stat la baza emiterii abonamentului se va efectua contra plată conform</w:t>
      </w:r>
      <w:r>
        <w:rPr>
          <w:rFonts w:ascii="Times New Roman" w:hAnsi="Times New Roman" w:cs="Times New Roman"/>
          <w:sz w:val="24"/>
          <w:szCs w:val="24"/>
          <w:lang w:val="zh-CN"/>
        </w:rPr>
        <w:t xml:space="preserve"> tarifului stabilit în acest sens. </w:t>
      </w:r>
    </w:p>
    <w:p>
      <w:pPr>
        <w:tabs>
          <w:tab w:val="left" w:pos="1134"/>
        </w:tabs>
        <w:spacing w:after="0" w:line="240" w:lineRule="auto"/>
        <w:ind w:firstLine="567"/>
        <w:contextualSpacing/>
        <w:jc w:val="both"/>
        <w:rPr>
          <w:rFonts w:ascii="Times New Roman" w:hAnsi="Times New Roman" w:eastAsia="Calibri" w:cs="Times New Roman"/>
          <w:sz w:val="24"/>
          <w:szCs w:val="24"/>
          <w:lang w:val="zh-CN"/>
        </w:rPr>
      </w:pPr>
    </w:p>
    <w:p>
      <w:pPr>
        <w:pStyle w:val="3"/>
        <w:tabs>
          <w:tab w:val="left" w:pos="1134"/>
        </w:tabs>
        <w:spacing w:before="0" w:line="240" w:lineRule="auto"/>
        <w:ind w:left="360"/>
        <w:jc w:val="center"/>
        <w:rPr>
          <w:rFonts w:ascii="Times New Roman" w:hAnsi="Times New Roman" w:cs="Times New Roman"/>
          <w:b/>
          <w:color w:val="auto"/>
          <w:sz w:val="24"/>
          <w:szCs w:val="24"/>
          <w:lang w:val="zh-CN"/>
        </w:rPr>
      </w:pPr>
      <w:bookmarkStart w:id="80" w:name="_Toc164640891"/>
      <w:r>
        <w:rPr>
          <w:rFonts w:ascii="Times New Roman" w:hAnsi="Times New Roman" w:eastAsia="Calibri" w:cs="Times New Roman"/>
          <w:b/>
          <w:bCs/>
          <w:color w:val="auto"/>
          <w:sz w:val="24"/>
          <w:szCs w:val="24"/>
          <w:lang w:val="zh-CN"/>
        </w:rPr>
        <w:t>Secțiunea 21. Fondurile</w:t>
      </w:r>
      <w:bookmarkEnd w:id="80"/>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Fondurile rezultate din exploatarea parcărilor publice cu plată și parcajelor,  vor fi colectate de către administrator pentru și în numele municipiului Chișinău, constituind venituri la bugetul municipal.</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sz w:val="24"/>
          <w:szCs w:val="24"/>
          <w:lang w:val="zh-CN"/>
        </w:rPr>
      </w:pPr>
      <w:r>
        <w:rPr>
          <w:rFonts w:ascii="Times New Roman" w:hAnsi="Times New Roman" w:eastAsia="Calibri" w:cs="Times New Roman"/>
          <w:sz w:val="24"/>
          <w:szCs w:val="24"/>
          <w:lang w:val="zh-CN"/>
        </w:rPr>
        <w:t xml:space="preserve"> Aceste fonduri vor fi folosite prioritar pentru deservirea, mentenanța, reparația, întreținerea parcărilor</w:t>
      </w:r>
      <w:r>
        <w:rPr>
          <w:rFonts w:ascii="Times New Roman" w:hAnsi="Times New Roman" w:cs="Times New Roman"/>
          <w:sz w:val="24"/>
          <w:szCs w:val="24"/>
          <w:lang w:val="zh-CN"/>
        </w:rPr>
        <w:t xml:space="preserve"> și parcajelor publice cu plată, amenajarea de noi parcări sau parcaje, și/sau pentru dezvoltarea și îmbunătățirea condițiilor de organizare și sistematizare a circulației rutiere și pietonale.</w:t>
      </w:r>
    </w:p>
    <w:p>
      <w:pPr>
        <w:tabs>
          <w:tab w:val="left" w:pos="1134"/>
        </w:tabs>
        <w:spacing w:after="0" w:line="240" w:lineRule="auto"/>
        <w:ind w:firstLine="567"/>
        <w:jc w:val="center"/>
        <w:rPr>
          <w:rFonts w:ascii="Times New Roman" w:hAnsi="Times New Roman" w:cs="Times New Roman"/>
          <w:b/>
          <w:sz w:val="24"/>
          <w:szCs w:val="24"/>
          <w:lang w:val="zh-CN"/>
        </w:rPr>
      </w:pPr>
    </w:p>
    <w:p>
      <w:pPr>
        <w:pStyle w:val="3"/>
        <w:spacing w:before="0" w:line="240" w:lineRule="auto"/>
        <w:ind w:left="360"/>
        <w:jc w:val="center"/>
        <w:rPr>
          <w:rFonts w:ascii="Times New Roman" w:hAnsi="Times New Roman" w:eastAsia="Calibri" w:cs="Times New Roman"/>
          <w:b/>
          <w:color w:val="auto"/>
          <w:sz w:val="24"/>
          <w:szCs w:val="24"/>
          <w:lang w:val="zh-CN"/>
        </w:rPr>
      </w:pPr>
      <w:bookmarkStart w:id="81" w:name="_Toc164640892"/>
      <w:bookmarkStart w:id="82" w:name="_Toc122416265"/>
      <w:r>
        <w:rPr>
          <w:rFonts w:ascii="Times New Roman" w:hAnsi="Times New Roman" w:eastAsia="Calibri" w:cs="Times New Roman"/>
          <w:b/>
          <w:bCs/>
          <w:color w:val="auto"/>
          <w:sz w:val="24"/>
          <w:szCs w:val="24"/>
          <w:lang w:val="zh-CN"/>
        </w:rPr>
        <w:t>Secțiunea 22. Controlul</w:t>
      </w:r>
      <w:r>
        <w:rPr>
          <w:rFonts w:ascii="Times New Roman" w:hAnsi="Times New Roman" w:eastAsia="Calibri" w:cs="Times New Roman"/>
          <w:b/>
          <w:color w:val="auto"/>
          <w:sz w:val="24"/>
          <w:szCs w:val="24"/>
          <w:lang w:val="zh-CN"/>
        </w:rPr>
        <w:t xml:space="preserve"> și sancționarea</w:t>
      </w:r>
      <w:bookmarkEnd w:id="81"/>
      <w:bookmarkEnd w:id="82"/>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Autoritatea este responsabilă de implementarea, controlul și monitorizarea respectării prevederilor prezentului Regulament.</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Nerespectarea prevederilor Regulamentului, se sancționează în conformitate cu prevederile Codului Contravențional al Republicii Moldova nr. 218/2008.</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Constatarea încălcărilor prezentului Regulament, se efectuează de către subdiviziunile responsabile ale autorității administrației publice potrivit competențelor funcționale (agenții constatatori desemnați de către primarul general, comisiile administrative competente, organele MAI competente, etc.), și în temeiul prevederilor actelor normative în vigoare.</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sz w:val="24"/>
          <w:szCs w:val="24"/>
          <w:lang w:val="zh-CN"/>
        </w:rPr>
      </w:pPr>
      <w:r>
        <w:rPr>
          <w:rFonts w:ascii="Times New Roman" w:hAnsi="Times New Roman" w:eastAsia="Calibri" w:cs="Times New Roman"/>
          <w:sz w:val="24"/>
          <w:szCs w:val="24"/>
          <w:lang w:val="zh-CN"/>
        </w:rPr>
        <w:t xml:space="preserve"> Autoritatea (prin intermediul agenților constatatori și persoanelor desemnate de către primarul general) este abilitată în constatarea contravențiilor</w:t>
      </w:r>
      <w:r>
        <w:rPr>
          <w:rFonts w:ascii="Times New Roman" w:hAnsi="Times New Roman" w:cs="Times New Roman"/>
          <w:sz w:val="24"/>
          <w:szCs w:val="24"/>
          <w:lang w:val="zh-CN"/>
        </w:rPr>
        <w:t xml:space="preserve"> administrative și aplicarea sancțiunilor respective, prevăzute la art. 238 alin.(2) al codului contravențional al RM  – „staționarea sau parcarea în locuri interzise”.</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sz w:val="24"/>
          <w:szCs w:val="24"/>
          <w:lang w:val="zh-CN"/>
        </w:rPr>
      </w:pPr>
      <w:r>
        <w:rPr>
          <w:rFonts w:ascii="Times New Roman" w:hAnsi="Times New Roman" w:eastAsia="Calibri" w:cs="Times New Roman"/>
          <w:sz w:val="24"/>
          <w:szCs w:val="24"/>
          <w:lang w:val="zh-CN"/>
        </w:rPr>
        <w:t xml:space="preserve"> În</w:t>
      </w:r>
      <w:r>
        <w:rPr>
          <w:rFonts w:ascii="Times New Roman" w:hAnsi="Times New Roman" w:cs="Times New Roman"/>
          <w:sz w:val="24"/>
          <w:szCs w:val="24"/>
          <w:lang w:val="zh-CN"/>
        </w:rPr>
        <w:t xml:space="preserve"> sensul prezentului regulament staționarea sau parcarea în locuri interzise semnifică:</w:t>
      </w:r>
    </w:p>
    <w:p>
      <w:pPr>
        <w:pStyle w:val="23"/>
        <w:numPr>
          <w:ilvl w:val="1"/>
          <w:numId w:val="21"/>
        </w:numPr>
        <w:tabs>
          <w:tab w:val="left" w:pos="851"/>
        </w:tabs>
        <w:spacing w:after="0" w:line="240" w:lineRule="auto"/>
        <w:ind w:left="993" w:hanging="284"/>
        <w:jc w:val="both"/>
        <w:rPr>
          <w:rFonts w:ascii="Times New Roman" w:hAnsi="Times New Roman" w:cs="Times New Roman"/>
          <w:sz w:val="24"/>
          <w:szCs w:val="24"/>
          <w:lang w:val="zh-CN"/>
        </w:rPr>
      </w:pPr>
      <w:r>
        <w:rPr>
          <w:rFonts w:ascii="Times New Roman" w:hAnsi="Times New Roman" w:cs="Times New Roman"/>
          <w:sz w:val="24"/>
          <w:szCs w:val="24"/>
          <w:lang w:val="zh-CN"/>
        </w:rPr>
        <w:t>staționarea/parcarea autovehiculului în locul de parcare publică cu plată sau în parcajul public cu plată, fără achitarea tarifului de parcare sau de parcaj;</w:t>
      </w:r>
    </w:p>
    <w:p>
      <w:pPr>
        <w:pStyle w:val="23"/>
        <w:numPr>
          <w:ilvl w:val="1"/>
          <w:numId w:val="21"/>
        </w:numPr>
        <w:tabs>
          <w:tab w:val="left" w:pos="851"/>
        </w:tabs>
        <w:spacing w:after="0" w:line="240" w:lineRule="auto"/>
        <w:ind w:left="993" w:hanging="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ne afișarea sau expunerea tichetului de parcare sau de parcaj într-o manieră care să permită descifrarea elementelor de identificare în cazurile când afișarea acestora este obligatorie; </w:t>
      </w:r>
    </w:p>
    <w:p>
      <w:pPr>
        <w:pStyle w:val="23"/>
        <w:numPr>
          <w:ilvl w:val="1"/>
          <w:numId w:val="21"/>
        </w:numPr>
        <w:tabs>
          <w:tab w:val="left" w:pos="851"/>
        </w:tabs>
        <w:spacing w:after="0" w:line="240" w:lineRule="auto"/>
        <w:ind w:left="993" w:hanging="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depășirea timpului de staționare/parcare pentru parcările publice cu plată, indicat în tichetul/chitanță de plată); </w:t>
      </w:r>
    </w:p>
    <w:p>
      <w:pPr>
        <w:pStyle w:val="23"/>
        <w:numPr>
          <w:ilvl w:val="1"/>
          <w:numId w:val="21"/>
        </w:numPr>
        <w:tabs>
          <w:tab w:val="left" w:pos="851"/>
        </w:tabs>
        <w:spacing w:after="0" w:line="240" w:lineRule="auto"/>
        <w:ind w:left="993" w:hanging="284"/>
        <w:jc w:val="both"/>
        <w:rPr>
          <w:rFonts w:ascii="Times New Roman" w:hAnsi="Times New Roman" w:cs="Times New Roman"/>
          <w:sz w:val="24"/>
          <w:szCs w:val="24"/>
          <w:lang w:val="zh-CN"/>
        </w:rPr>
      </w:pPr>
      <w:r>
        <w:rPr>
          <w:rFonts w:ascii="Times New Roman" w:hAnsi="Times New Roman" w:cs="Times New Roman"/>
          <w:sz w:val="24"/>
          <w:szCs w:val="24"/>
          <w:lang w:val="zh-CN"/>
        </w:rPr>
        <w:t>staționarea/parcarea autovehiculului peste limitele marcajelor locului de parcare sau parcajului, sau astfel încât ocupă două sau mai multe locuri de parcare sau parcaje;</w:t>
      </w:r>
    </w:p>
    <w:p>
      <w:pPr>
        <w:pStyle w:val="23"/>
        <w:numPr>
          <w:ilvl w:val="1"/>
          <w:numId w:val="21"/>
        </w:numPr>
        <w:tabs>
          <w:tab w:val="left" w:pos="851"/>
        </w:tabs>
        <w:spacing w:after="0" w:line="240" w:lineRule="auto"/>
        <w:ind w:left="993" w:hanging="284"/>
        <w:jc w:val="both"/>
        <w:rPr>
          <w:rFonts w:ascii="Times New Roman" w:hAnsi="Times New Roman" w:cs="Times New Roman"/>
          <w:sz w:val="24"/>
          <w:szCs w:val="24"/>
          <w:lang w:val="zh-CN"/>
        </w:rPr>
      </w:pPr>
      <w:r>
        <w:rPr>
          <w:rFonts w:ascii="Times New Roman" w:hAnsi="Times New Roman" w:cs="Times New Roman"/>
          <w:sz w:val="24"/>
          <w:szCs w:val="24"/>
          <w:lang w:val="zh-CN"/>
        </w:rPr>
        <w:t>staționarea/parcarea autovehiculelor în parcări și parcaje cu depășirea gabaritelor și masei permise în acestea, sau în alte locuri de parcări și parcaje decât cele amenajate în acest sens;</w:t>
      </w:r>
    </w:p>
    <w:p>
      <w:pPr>
        <w:pStyle w:val="23"/>
        <w:numPr>
          <w:ilvl w:val="1"/>
          <w:numId w:val="21"/>
        </w:numPr>
        <w:tabs>
          <w:tab w:val="left" w:pos="851"/>
        </w:tabs>
        <w:spacing w:after="0" w:line="240" w:lineRule="auto"/>
        <w:ind w:left="993" w:hanging="284"/>
        <w:jc w:val="both"/>
        <w:rPr>
          <w:rFonts w:ascii="Times New Roman" w:hAnsi="Times New Roman" w:cs="Times New Roman"/>
          <w:sz w:val="24"/>
          <w:szCs w:val="24"/>
          <w:lang w:val="zh-CN"/>
        </w:rPr>
      </w:pPr>
      <w:r>
        <w:rPr>
          <w:rFonts w:ascii="Times New Roman" w:hAnsi="Times New Roman" w:cs="Times New Roman"/>
          <w:sz w:val="24"/>
          <w:szCs w:val="24"/>
          <w:lang w:val="zh-CN"/>
        </w:rPr>
        <w:t>staționarea/parcarea autovehiculelor non-electrice pe locurile special amenajate pentru reîncărcarea autovehiculelor electrice;</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În cazul altor încălcări ce derivă din prevederile prezentului regulament și prevăzute de actele normative în vigoare, dar pentru care competența aparține altor organe sau instituții, autoritatea/administrator este în drept să se adreseze acestora în scopul constatării și/sau examinării și sancționării acestora.</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sz w:val="24"/>
          <w:szCs w:val="24"/>
          <w:lang w:val="zh-CN"/>
        </w:rPr>
      </w:pPr>
      <w:r>
        <w:rPr>
          <w:rFonts w:ascii="Times New Roman" w:hAnsi="Times New Roman" w:eastAsia="Calibri" w:cs="Times New Roman"/>
          <w:sz w:val="24"/>
          <w:szCs w:val="24"/>
          <w:lang w:val="zh-CN"/>
        </w:rPr>
        <w:t xml:space="preserve"> Pentru perioada de timp, în care autoturismul a staționat în parcaj public cu plată fără achitarea tarifului prevăzut de prezentul Regulament, utilizatorul va achita tarif dublu pentru perioada staționării autoturismului, începând cu ora stabilirii acestui fapt, dar nu mai puțin decât pentru 2 (două) ore</w:t>
      </w:r>
      <w:r>
        <w:rPr>
          <w:rFonts w:ascii="Times New Roman" w:hAnsi="Times New Roman" w:cs="Times New Roman"/>
          <w:sz w:val="24"/>
          <w:szCs w:val="24"/>
          <w:lang w:val="zh-CN"/>
        </w:rPr>
        <w:t>.</w:t>
      </w:r>
      <w:bookmarkStart w:id="83" w:name="_Hlk169602228"/>
    </w:p>
    <w:bookmarkEnd w:id="83"/>
    <w:p>
      <w:pPr>
        <w:pStyle w:val="23"/>
        <w:numPr>
          <w:ilvl w:val="0"/>
          <w:numId w:val="4"/>
        </w:numPr>
        <w:tabs>
          <w:tab w:val="left" w:pos="567"/>
          <w:tab w:val="left" w:pos="1134"/>
        </w:tabs>
        <w:spacing w:after="0" w:line="240" w:lineRule="auto"/>
        <w:ind w:left="0" w:firstLine="142"/>
        <w:jc w:val="both"/>
        <w:rPr>
          <w:rFonts w:ascii="Times New Roman" w:hAnsi="Times New Roman" w:cs="Times New Roman"/>
          <w:sz w:val="24"/>
          <w:szCs w:val="24"/>
          <w:lang w:val="zh-CN"/>
        </w:rPr>
      </w:pPr>
      <w:r>
        <w:rPr>
          <w:rFonts w:ascii="Times New Roman" w:hAnsi="Times New Roman" w:eastAsia="Calibri" w:cs="Times New Roman"/>
          <w:sz w:val="24"/>
          <w:szCs w:val="24"/>
          <w:lang w:val="zh-CN"/>
        </w:rPr>
        <w:t xml:space="preserve"> Pentru perioada staționării autoturismului în parcajul public cu plată după expirarea termenului achitat, </w:t>
      </w:r>
      <w:r>
        <w:rPr>
          <w:rFonts w:ascii="Times New Roman" w:hAnsi="Times New Roman" w:cs="Times New Roman"/>
          <w:sz w:val="24"/>
          <w:szCs w:val="24"/>
          <w:lang w:val="zh-CN"/>
        </w:rPr>
        <w:t xml:space="preserve">utilizatorului îi va fi aplicat un tarif </w:t>
      </w:r>
      <w:bookmarkStart w:id="84" w:name="_Hlk164257231"/>
      <w:r>
        <w:rPr>
          <w:rFonts w:ascii="Times New Roman" w:hAnsi="Times New Roman" w:cs="Times New Roman"/>
          <w:b/>
          <w:bCs/>
          <w:sz w:val="24"/>
          <w:szCs w:val="24"/>
          <w:u w:val="single"/>
          <w:lang w:val="zh-CN"/>
        </w:rPr>
        <w:t>dublu,</w:t>
      </w:r>
      <w:r>
        <w:rPr>
          <w:rFonts w:ascii="Times New Roman" w:hAnsi="Times New Roman" w:cs="Times New Roman"/>
          <w:sz w:val="24"/>
          <w:szCs w:val="24"/>
          <w:lang w:val="zh-CN"/>
        </w:rPr>
        <w:t xml:space="preserve"> aplicabil pentru parcajul public cu plată respectiv, </w:t>
      </w:r>
      <w:bookmarkEnd w:id="84"/>
      <w:r>
        <w:rPr>
          <w:rFonts w:ascii="Times New Roman" w:hAnsi="Times New Roman" w:eastAsia="Calibri" w:cs="Times New Roman"/>
          <w:sz w:val="24"/>
          <w:szCs w:val="24"/>
          <w:lang w:val="zh-CN"/>
        </w:rPr>
        <w:t>pentru perioada staționării autoturismului, începând cu ora expirării termenului achitat, dar nu mai puțin decât pentru o oră</w:t>
      </w:r>
      <w:r>
        <w:rPr>
          <w:rFonts w:ascii="Times New Roman" w:hAnsi="Times New Roman" w:cs="Times New Roman"/>
          <w:sz w:val="24"/>
          <w:szCs w:val="24"/>
          <w:lang w:val="zh-CN"/>
        </w:rPr>
        <w:t>.</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sz w:val="24"/>
          <w:szCs w:val="24"/>
          <w:lang w:val="zh-CN"/>
        </w:rPr>
      </w:pPr>
      <w:r>
        <w:rPr>
          <w:rFonts w:ascii="Times New Roman" w:hAnsi="Times New Roman" w:eastAsia="Calibri" w:cs="Times New Roman"/>
          <w:sz w:val="24"/>
          <w:szCs w:val="24"/>
          <w:lang w:val="zh-CN"/>
        </w:rPr>
        <w:t xml:space="preserve"> În</w:t>
      </w:r>
      <w:r>
        <w:rPr>
          <w:rFonts w:ascii="Times New Roman" w:hAnsi="Times New Roman" w:cs="Times New Roman"/>
          <w:sz w:val="24"/>
          <w:szCs w:val="24"/>
          <w:lang w:val="zh-CN"/>
        </w:rPr>
        <w:t xml:space="preserve"> cazul nerespectării prevederilor </w:t>
      </w:r>
      <w:bookmarkStart w:id="85" w:name="_Hlk164942152"/>
      <w:r>
        <w:rPr>
          <w:rFonts w:ascii="Times New Roman" w:hAnsi="Times New Roman" w:cs="Times New Roman"/>
          <w:sz w:val="24"/>
          <w:szCs w:val="24"/>
          <w:lang w:val="zh-CN"/>
        </w:rPr>
        <w:t>pct. 151 și  pct. 152 al prezentului Regulament</w:t>
      </w:r>
      <w:bookmarkEnd w:id="85"/>
      <w:r>
        <w:rPr>
          <w:rFonts w:ascii="Times New Roman" w:hAnsi="Times New Roman" w:cs="Times New Roman"/>
          <w:sz w:val="24"/>
          <w:szCs w:val="24"/>
          <w:lang w:val="zh-CN"/>
        </w:rPr>
        <w:t xml:space="preserve">, reprezentantul Autorității/administratorului poate iniția procedura de atragere la răspundere contravențională precum și solicita organelor abilitate </w:t>
      </w:r>
      <w:bookmarkStart w:id="86" w:name="_Hlk75674140"/>
      <w:r>
        <w:rPr>
          <w:rFonts w:ascii="Times New Roman" w:hAnsi="Times New Roman" w:cs="Times New Roman"/>
          <w:sz w:val="24"/>
          <w:szCs w:val="24"/>
          <w:lang w:val="zh-CN"/>
        </w:rPr>
        <w:t xml:space="preserve">măsura tehnico-administrativă de blocare a roții autovehiculului sau de ridicare și evacuare a </w:t>
      </w:r>
      <w:bookmarkEnd w:id="86"/>
      <w:r>
        <w:rPr>
          <w:rFonts w:ascii="Times New Roman" w:hAnsi="Times New Roman" w:cs="Times New Roman"/>
          <w:sz w:val="24"/>
          <w:szCs w:val="24"/>
          <w:lang w:val="zh-CN"/>
        </w:rPr>
        <w:t xml:space="preserve">acestuia. </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Măsura</w:t>
      </w:r>
      <w:r>
        <w:rPr>
          <w:rFonts w:ascii="Times New Roman" w:hAnsi="Times New Roman" w:cs="Times New Roman"/>
          <w:sz w:val="24"/>
          <w:szCs w:val="24"/>
          <w:lang w:val="zh-CN"/>
        </w:rPr>
        <w:t xml:space="preserve"> tehnico-administrativă de blocare a roților sau parbrizului autoturismului, poate fi implementată și aplicată de către Autoritate/administrator, în scopul constrângerii utilizatorilor de a achita obligațiunile restante de achitare a tarifelor pentru parcare sau parcaj.</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Ridicarea, transportarea, depozitarea și restituirea mijloacelor de transport are loc conform Regulamentului privind modul de ridicare, transportare, depozitare și restituire a mijloacelor de transport în procesul de constatare a contravențiilor aprobat prin Hotărârea Guvernului RM nr. 557 din 18 iunie 2018.</w:t>
      </w:r>
    </w:p>
    <w:p>
      <w:pPr>
        <w:pStyle w:val="23"/>
        <w:numPr>
          <w:ilvl w:val="0"/>
          <w:numId w:val="4"/>
        </w:numPr>
        <w:tabs>
          <w:tab w:val="left" w:pos="567"/>
          <w:tab w:val="left" w:pos="1134"/>
        </w:tabs>
        <w:spacing w:after="0" w:line="240" w:lineRule="auto"/>
        <w:ind w:left="0" w:firstLine="142"/>
        <w:jc w:val="both"/>
        <w:rPr>
          <w:rFonts w:ascii="Times New Roman" w:hAnsi="Times New Roman" w:cs="Times New Roman"/>
          <w:b/>
          <w:sz w:val="24"/>
          <w:szCs w:val="24"/>
          <w:lang w:val="zh-CN"/>
        </w:rPr>
      </w:pPr>
      <w:r>
        <w:rPr>
          <w:rFonts w:ascii="Times New Roman" w:hAnsi="Times New Roman" w:eastAsia="Calibri" w:cs="Times New Roman"/>
          <w:sz w:val="24"/>
          <w:szCs w:val="24"/>
          <w:lang w:val="zh-CN"/>
        </w:rPr>
        <w:t xml:space="preserve"> Aplicarea amenzilor contravenționale utilizatorului în condițiile pct. 151 și  pct. 152 al prezentului regulament, nu-l scutește de obligația de plată a tarifelor stabilite și aplicate.</w:t>
      </w:r>
    </w:p>
    <w:p>
      <w:pPr>
        <w:pStyle w:val="3"/>
        <w:spacing w:before="0" w:line="240" w:lineRule="auto"/>
        <w:ind w:left="360" w:firstLine="142"/>
        <w:jc w:val="center"/>
        <w:rPr>
          <w:rFonts w:ascii="Times New Roman" w:hAnsi="Times New Roman" w:eastAsia="Calibri" w:cs="Times New Roman"/>
          <w:b/>
          <w:bCs/>
          <w:color w:val="auto"/>
          <w:sz w:val="24"/>
          <w:szCs w:val="24"/>
          <w:lang w:val="zh-CN"/>
        </w:rPr>
      </w:pPr>
      <w:bookmarkStart w:id="87" w:name="_Toc164640893"/>
    </w:p>
    <w:p>
      <w:pPr>
        <w:pStyle w:val="3"/>
        <w:spacing w:before="0" w:line="240" w:lineRule="auto"/>
        <w:ind w:left="360"/>
        <w:jc w:val="center"/>
        <w:rPr>
          <w:rFonts w:ascii="Times New Roman" w:hAnsi="Times New Roman" w:cs="Times New Roman"/>
          <w:b/>
          <w:color w:val="auto"/>
          <w:sz w:val="24"/>
          <w:szCs w:val="24"/>
          <w:lang w:val="zh-CN"/>
        </w:rPr>
      </w:pPr>
      <w:r>
        <w:rPr>
          <w:rFonts w:ascii="Times New Roman" w:hAnsi="Times New Roman" w:eastAsia="Calibri" w:cs="Times New Roman"/>
          <w:b/>
          <w:bCs/>
          <w:color w:val="auto"/>
          <w:sz w:val="24"/>
          <w:szCs w:val="24"/>
          <w:lang w:val="zh-CN"/>
        </w:rPr>
        <w:t>Secțiunea 23. Dispoziții</w:t>
      </w:r>
      <w:r>
        <w:rPr>
          <w:rFonts w:ascii="Times New Roman" w:hAnsi="Times New Roman" w:cs="Times New Roman"/>
          <w:b/>
          <w:color w:val="auto"/>
          <w:sz w:val="24"/>
          <w:szCs w:val="24"/>
          <w:lang w:val="zh-CN"/>
        </w:rPr>
        <w:t xml:space="preserve"> finale și tranzitorii</w:t>
      </w:r>
      <w:bookmarkEnd w:id="87"/>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Prezentul Regulament va fi publicat pe site-ul Autorității/administratorului, iar extrase sau parți ale acestuia vor fi afișate și pe panourile informative aferente  parcărilor publice și  parcajelor.</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Autorizațiile de funcționare a parcărilor auto cu plată emise până la data intrării în vigoare a prezentei decizii, vor rămâne valabile până la expirarea termenelor acestora, ulterior urmând a fi autorizate în conformitate cu prevederile prezentului Regulament. </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Autorizările parcărilor/parcajelor rezervate, emise prin Dispozițiile Primarului General al mun. Chișinău sau ale Primarului de ramură, până la data intrării în vigoare a prezentei decizii, își pierd valabilitatea în termen de 6 luni de la data intrării în vigoare a prezentului Regulament, termen în care beneficiarii acestora urmează să solicite autorizarea acestora în conformitate cu prevederile prezentului Regulament.</w:t>
      </w:r>
    </w:p>
    <w:p>
      <w:pPr>
        <w:pStyle w:val="23"/>
        <w:numPr>
          <w:ilvl w:val="0"/>
          <w:numId w:val="4"/>
        </w:numPr>
        <w:tabs>
          <w:tab w:val="left" w:pos="567"/>
          <w:tab w:val="left" w:pos="1134"/>
        </w:tabs>
        <w:spacing w:after="0" w:line="240" w:lineRule="auto"/>
        <w:ind w:left="0" w:firstLine="142"/>
        <w:jc w:val="both"/>
        <w:rPr>
          <w:rFonts w:ascii="Times New Roman" w:hAnsi="Times New Roman" w:eastAsia="Calibri" w:cs="Times New Roman"/>
          <w:sz w:val="24"/>
          <w:szCs w:val="24"/>
          <w:lang w:val="zh-CN"/>
        </w:rPr>
      </w:pPr>
      <w:r>
        <w:rPr>
          <w:rFonts w:ascii="Times New Roman" w:hAnsi="Times New Roman" w:eastAsia="Calibri" w:cs="Times New Roman"/>
          <w:sz w:val="24"/>
          <w:szCs w:val="24"/>
          <w:lang w:val="zh-CN"/>
        </w:rPr>
        <w:t xml:space="preserve"> Prevederile pct. 124 al prezentului regulament nu se aplică până la implementarea sistemului electronic de management al parcărilor și parcajelor.</w:t>
      </w:r>
    </w:p>
    <w:p>
      <w:pPr>
        <w:tabs>
          <w:tab w:val="left" w:pos="567"/>
          <w:tab w:val="left" w:pos="1134"/>
        </w:tabs>
        <w:spacing w:after="0" w:line="240" w:lineRule="auto"/>
        <w:jc w:val="both"/>
        <w:rPr>
          <w:rFonts w:ascii="Times New Roman" w:hAnsi="Times New Roman" w:eastAsia="Calibri" w:cs="Times New Roman"/>
          <w:sz w:val="24"/>
          <w:szCs w:val="24"/>
          <w:lang w:val="zh-CN"/>
        </w:rPr>
      </w:pPr>
    </w:p>
    <w:p>
      <w:pPr>
        <w:pStyle w:val="3"/>
        <w:pageBreakBefore/>
        <w:spacing w:before="0" w:line="240" w:lineRule="auto"/>
        <w:jc w:val="right"/>
        <w:rPr>
          <w:rFonts w:ascii="Times New Roman" w:hAnsi="Times New Roman" w:eastAsia="Calibri" w:cs="Times New Roman"/>
          <w:b/>
          <w:bCs/>
          <w:color w:val="auto"/>
          <w:sz w:val="24"/>
          <w:szCs w:val="24"/>
          <w:lang w:val="zh-CN"/>
        </w:rPr>
      </w:pPr>
      <w:r>
        <w:rPr>
          <w:rFonts w:ascii="Times New Roman" w:hAnsi="Times New Roman" w:eastAsia="Calibri" w:cs="Times New Roman"/>
          <w:b/>
          <w:bCs/>
          <w:color w:val="auto"/>
          <w:sz w:val="24"/>
          <w:szCs w:val="24"/>
          <w:lang w:val="zh-CN"/>
        </w:rPr>
        <w:t>Anexa nr. 1</w:t>
      </w:r>
      <w:bookmarkEnd w:id="74"/>
      <w:r>
        <w:rPr>
          <w:rFonts w:ascii="Times New Roman" w:hAnsi="Times New Roman" w:eastAsia="Calibri" w:cs="Times New Roman"/>
          <w:b/>
          <w:bCs/>
          <w:color w:val="auto"/>
          <w:sz w:val="24"/>
          <w:szCs w:val="24"/>
          <w:lang w:val="zh-CN"/>
        </w:rPr>
        <w:t xml:space="preserve"> </w:t>
      </w:r>
    </w:p>
    <w:p>
      <w:pPr>
        <w:spacing w:after="0" w:line="240" w:lineRule="auto"/>
        <w:ind w:left="382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 xml:space="preserve">la  Regulamentul cu privire la organizarea și funcționarea parcărilor și parcajelor publice din municipiul Chișinău, </w:t>
      </w:r>
    </w:p>
    <w:p>
      <w:pPr>
        <w:spacing w:after="0" w:line="240" w:lineRule="auto"/>
        <w:ind w:left="467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 xml:space="preserve">aprobat prin Decizia Consiliului municipal Chișinău </w:t>
      </w:r>
    </w:p>
    <w:p>
      <w:pPr>
        <w:spacing w:after="0" w:line="240" w:lineRule="auto"/>
        <w:ind w:left="467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nr. ____ din  ”__”_______ 202__.</w:t>
      </w:r>
    </w:p>
    <w:tbl>
      <w:tblPr>
        <w:tblStyle w:val="6"/>
        <w:tblW w:w="9449" w:type="dxa"/>
        <w:jc w:val="center"/>
        <w:tblLayout w:type="fixed"/>
        <w:tblCellMar>
          <w:top w:w="0" w:type="dxa"/>
          <w:left w:w="108" w:type="dxa"/>
          <w:bottom w:w="0" w:type="dxa"/>
          <w:right w:w="108" w:type="dxa"/>
        </w:tblCellMar>
      </w:tblPr>
      <w:tblGrid>
        <w:gridCol w:w="9449"/>
      </w:tblGrid>
      <w:tr>
        <w:trPr>
          <w:trHeight w:val="375" w:hRule="atLeast"/>
          <w:jc w:val="center"/>
        </w:trPr>
        <w:tc>
          <w:tcPr>
            <w:tcW w:w="944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spacing w:after="0" w:line="240" w:lineRule="auto"/>
              <w:rPr>
                <w:rFonts w:ascii="Times New Roman" w:hAnsi="Times New Roman" w:eastAsia="Georgia" w:cs="Times New Roman"/>
                <w:lang w:val="zh-CN"/>
              </w:rPr>
            </w:pPr>
            <w:r>
              <w:rPr>
                <w:rFonts w:ascii="Times New Roman" w:hAnsi="Times New Roman" w:eastAsia="Georgia" w:cs="Times New Roman"/>
                <w:lang w:val="zh-CN"/>
              </w:rPr>
              <w:t xml:space="preserve">Zona I – străzile sau porțiunile de străzi din centrul orașului cu cererea cea mai sporită la locuri de parcare </w:t>
            </w:r>
          </w:p>
        </w:tc>
      </w:tr>
      <w:tr>
        <w:trPr>
          <w:trHeight w:val="391" w:hRule="atLeast"/>
          <w:jc w:val="center"/>
        </w:trPr>
        <w:tc>
          <w:tcPr>
            <w:tcW w:w="9449"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spacing w:after="0" w:line="240" w:lineRule="auto"/>
              <w:rPr>
                <w:rFonts w:ascii="Times New Roman" w:hAnsi="Times New Roman" w:eastAsia="Georgia" w:cs="Times New Roman"/>
                <w:lang w:val="zh-CN"/>
              </w:rPr>
            </w:pPr>
            <w:r>
              <w:rPr>
                <w:rFonts w:ascii="Times New Roman" w:hAnsi="Times New Roman" w:eastAsia="Georgia" w:cs="Times New Roman"/>
                <w:lang w:val="zh-CN"/>
              </w:rPr>
              <w:t xml:space="preserve">Zona II – restul străzilor sau porțiunilor de străzi din centrul orașului, străzile sau porțiunile de străzi din alte cartiere ale orașului cu cererea cea mai sporită la locuri de parcare </w:t>
            </w:r>
          </w:p>
        </w:tc>
      </w:tr>
      <w:tr>
        <w:trPr>
          <w:trHeight w:val="422" w:hRule="atLeast"/>
          <w:jc w:val="center"/>
        </w:trPr>
        <w:tc>
          <w:tcPr>
            <w:tcW w:w="9449" w:type="dxa"/>
            <w:tcBorders>
              <w:top w:val="single" w:color="CCCCCC" w:sz="6" w:space="0"/>
              <w:left w:val="single" w:color="000000" w:sz="6" w:space="0"/>
              <w:bottom w:val="single" w:color="CCCCCC" w:sz="6" w:space="0"/>
              <w:right w:val="single" w:color="000000" w:sz="6" w:space="0"/>
            </w:tcBorders>
            <w:tcMar>
              <w:top w:w="30" w:type="dxa"/>
              <w:left w:w="45" w:type="dxa"/>
              <w:bottom w:w="30" w:type="dxa"/>
              <w:right w:w="45" w:type="dxa"/>
            </w:tcMar>
            <w:vAlign w:val="center"/>
          </w:tcPr>
          <w:p>
            <w:pPr>
              <w:spacing w:after="0" w:line="240" w:lineRule="auto"/>
              <w:rPr>
                <w:rFonts w:ascii="Times New Roman" w:hAnsi="Times New Roman" w:eastAsia="Georgia" w:cs="Times New Roman"/>
                <w:lang w:val="zh-CN"/>
              </w:rPr>
            </w:pPr>
            <w:r>
              <w:rPr>
                <w:rFonts w:ascii="Times New Roman" w:hAnsi="Times New Roman" w:eastAsia="Georgia" w:cs="Times New Roman"/>
                <w:lang w:val="zh-CN"/>
              </w:rPr>
              <w:t>Zona III - alte străzi sau porțiuni de străzi, care n-au intrat în zonele I și II, dacă includerea lor în zona III este impusă de condițiile locale respective.</w:t>
            </w:r>
          </w:p>
        </w:tc>
      </w:tr>
    </w:tbl>
    <w:p>
      <w:pPr>
        <w:spacing w:after="0" w:line="240" w:lineRule="auto"/>
        <w:contextualSpacing/>
        <w:jc w:val="center"/>
        <w:rPr>
          <w:rFonts w:ascii="Times New Roman" w:hAnsi="Times New Roman" w:eastAsia="Calibri" w:cs="Times New Roman"/>
          <w:b/>
          <w:bCs/>
          <w:sz w:val="24"/>
          <w:szCs w:val="24"/>
          <w:lang w:val="zh-CN"/>
        </w:rPr>
      </w:pPr>
    </w:p>
    <w:p>
      <w:pPr>
        <w:spacing w:after="0" w:line="240" w:lineRule="auto"/>
        <w:contextualSpacing/>
        <w:jc w:val="center"/>
        <w:rPr>
          <w:rFonts w:ascii="Times New Roman" w:hAnsi="Times New Roman" w:eastAsia="Calibri" w:cs="Times New Roman"/>
          <w:b/>
          <w:bCs/>
          <w:sz w:val="24"/>
          <w:szCs w:val="24"/>
          <w:lang w:val="zh-CN"/>
        </w:rPr>
      </w:pPr>
      <w:r>
        <w:rPr>
          <w:rFonts w:ascii="Times New Roman" w:hAnsi="Times New Roman" w:eastAsia="Calibri" w:cs="Times New Roman"/>
          <w:b/>
          <w:bCs/>
          <w:sz w:val="24"/>
          <w:szCs w:val="24"/>
          <w:lang w:val="zh-CN"/>
        </w:rPr>
        <w:t>Schema – grafică indicativă delimitării  zonelor de parcare și parcajelor</w:t>
      </w:r>
    </w:p>
    <w:p>
      <w:pPr>
        <w:spacing w:after="0" w:line="240" w:lineRule="auto"/>
        <w:contextualSpacing/>
        <w:rPr>
          <w:rFonts w:ascii="Times New Roman" w:hAnsi="Times New Roman" w:eastAsia="Calibri" w:cs="Times New Roman"/>
          <w:sz w:val="24"/>
          <w:szCs w:val="24"/>
          <w:lang w:val="zh-CN"/>
        </w:rPr>
      </w:pPr>
      <w:r>
        <w:rPr>
          <w:rFonts w:ascii="Times New Roman" w:hAnsi="Times New Roman" w:cs="Times New Roman"/>
          <w:lang w:val="ru-RU" w:eastAsia="ru-RU"/>
        </w:rPr>
        <mc:AlternateContent>
          <mc:Choice Requires="wpg">
            <w:drawing>
              <wp:anchor distT="0" distB="0" distL="114300" distR="114300" simplePos="0" relativeHeight="251659264" behindDoc="0" locked="0" layoutInCell="1" allowOverlap="1">
                <wp:simplePos x="0" y="0"/>
                <wp:positionH relativeFrom="column">
                  <wp:posOffset>4219575</wp:posOffset>
                </wp:positionH>
                <wp:positionV relativeFrom="paragraph">
                  <wp:posOffset>2249805</wp:posOffset>
                </wp:positionV>
                <wp:extent cx="1529715" cy="865505"/>
                <wp:effectExtent l="0" t="0" r="13335" b="10795"/>
                <wp:wrapNone/>
                <wp:docPr id="95" name="Group 95"/>
                <wp:cNvGraphicFramePr/>
                <a:graphic xmlns:a="http://schemas.openxmlformats.org/drawingml/2006/main">
                  <a:graphicData uri="http://schemas.microsoft.com/office/word/2010/wordprocessingGroup">
                    <wpg:wgp>
                      <wpg:cNvGrpSpPr/>
                      <wpg:grpSpPr>
                        <a:xfrm>
                          <a:off x="0" y="0"/>
                          <a:ext cx="1529715" cy="865505"/>
                          <a:chOff x="3178379" y="2195956"/>
                          <a:chExt cx="1151725" cy="920830"/>
                        </a:xfrm>
                      </wpg:grpSpPr>
                      <wps:wsp>
                        <wps:cNvPr id="88" name="Rectangle 88"/>
                        <wps:cNvSpPr/>
                        <wps:spPr>
                          <a:xfrm>
                            <a:off x="3178379" y="2195956"/>
                            <a:ext cx="1151725" cy="9208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9" name="Rectangle 89"/>
                        <wps:cNvSpPr/>
                        <wps:spPr>
                          <a:xfrm>
                            <a:off x="3226271" y="2280334"/>
                            <a:ext cx="153563" cy="153563"/>
                          </a:xfrm>
                          <a:prstGeom prst="rect">
                            <a:avLst/>
                          </a:prstGeom>
                          <a:solidFill>
                            <a:srgbClr val="5053B8">
                              <a:alpha val="50196"/>
                            </a:srgbClr>
                          </a:solidFill>
                          <a:ln>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0" name="Rectangle 90"/>
                        <wps:cNvSpPr/>
                        <wps:spPr>
                          <a:xfrm>
                            <a:off x="3226271" y="2541732"/>
                            <a:ext cx="153563" cy="153563"/>
                          </a:xfrm>
                          <a:prstGeom prst="rect">
                            <a:avLst/>
                          </a:prstGeom>
                          <a:solidFill>
                            <a:srgbClr val="E57200"/>
                          </a:solidFill>
                          <a:ln>
                            <a:solidFill>
                              <a:srgbClr val="E572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Rectangle 91"/>
                        <wps:cNvSpPr/>
                        <wps:spPr>
                          <a:xfrm>
                            <a:off x="3226271" y="2770898"/>
                            <a:ext cx="153563" cy="153563"/>
                          </a:xfrm>
                          <a:prstGeom prst="rect">
                            <a:avLst/>
                          </a:prstGeom>
                          <a:solidFill>
                            <a:srgbClr val="E57200">
                              <a:alpha val="29804"/>
                            </a:srgb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2" name="Text Box 92"/>
                        <wps:cNvSpPr txBox="1"/>
                        <wps:spPr>
                          <a:xfrm>
                            <a:off x="3438558" y="2211057"/>
                            <a:ext cx="607274" cy="286224"/>
                          </a:xfrm>
                          <a:prstGeom prst="rect">
                            <a:avLst/>
                          </a:prstGeom>
                          <a:solidFill>
                            <a:schemeClr val="lt1"/>
                          </a:solidFill>
                          <a:ln w="6350">
                            <a:noFill/>
                          </a:ln>
                        </wps:spPr>
                        <wps:txbx>
                          <w:txbxContent>
                            <w:p>
                              <w:pPr>
                                <w:rPr>
                                  <w:b/>
                                  <w:bCs/>
                                  <w:sz w:val="20"/>
                                  <w:szCs w:val="20"/>
                                </w:rPr>
                              </w:pPr>
                              <w:r>
                                <w:rPr>
                                  <w:b/>
                                  <w:bCs/>
                                  <w:sz w:val="20"/>
                                  <w:szCs w:val="20"/>
                                </w:rPr>
                                <w:t>ZONA 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3" name="Text Box 93"/>
                        <wps:cNvSpPr txBox="1"/>
                        <wps:spPr>
                          <a:xfrm>
                            <a:off x="3438558" y="2433897"/>
                            <a:ext cx="607274" cy="261398"/>
                          </a:xfrm>
                          <a:prstGeom prst="rect">
                            <a:avLst/>
                          </a:prstGeom>
                          <a:solidFill>
                            <a:schemeClr val="lt1"/>
                          </a:solidFill>
                          <a:ln w="6350">
                            <a:noFill/>
                          </a:ln>
                        </wps:spPr>
                        <wps:txbx>
                          <w:txbxContent>
                            <w:p>
                              <w:pPr>
                                <w:rPr>
                                  <w:b/>
                                  <w:bCs/>
                                  <w:sz w:val="20"/>
                                  <w:szCs w:val="20"/>
                                </w:rPr>
                              </w:pPr>
                              <w:r>
                                <w:rPr>
                                  <w:b/>
                                  <w:bCs/>
                                  <w:sz w:val="20"/>
                                  <w:szCs w:val="20"/>
                                </w:rPr>
                                <w:t>ZONA 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Text Box 94"/>
                        <wps:cNvSpPr txBox="1"/>
                        <wps:spPr>
                          <a:xfrm>
                            <a:off x="3550022" y="2834112"/>
                            <a:ext cx="478552" cy="222837"/>
                          </a:xfrm>
                          <a:prstGeom prst="rect">
                            <a:avLst/>
                          </a:prstGeom>
                          <a:solidFill>
                            <a:schemeClr val="lt1"/>
                          </a:solidFill>
                          <a:ln w="6350">
                            <a:noFill/>
                          </a:ln>
                        </wps:spPr>
                        <wps:txbx>
                          <w:txbxContent>
                            <w:p>
                              <w:pPr>
                                <w:rPr>
                                  <w:b/>
                                  <w:bCs/>
                                  <w:lang w:val="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32.25pt;margin-top:177.15pt;height:68.15pt;width:120.45pt;z-index:251659264;mso-width-relative:page;mso-height-relative:page;" coordorigin="3178379,2195956" coordsize="1151725,920830" o:gfxdata="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">
                <o:lock v:ext="edit" aspectratio="f"/>
                <v:rect id="Rectangle 88" o:spid="_x0000_s1026" o:spt="1" style="position:absolute;left:3178379;top:2195956;height:920830;width:1151725;v-text-anchor:middle;" fillcolor="#FFFFFF [3201]" filled="t" stroked="t" coordsize="21600,21600" o:gfxdata="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u6JuguQAAANsAAAAPAAAAAAAAAAEAIAAAADgAAABkcnMvZG93bnJldi54bWxQ&#10;SwECFAAUAAAACACHTuJAMy8FnjsAAAA5AAAAEAAAAAAAAAABACAAAAAeAQAAZHJzL3NoYXBleG1s&#10;LnhtbFBLBQYAAAAABgAGAFsBAADIAwAAAAA=&#10;">
                  <v:fill on="t" focussize="0,0"/>
                  <v:stroke weight="1pt" color="#000000 [3213]" miterlimit="8" joinstyle="miter"/>
                  <v:imagedata o:title=""/>
                  <o:lock v:ext="edit" aspectratio="f"/>
                </v:rect>
                <v:rect id="Rectangle 89" o:spid="_x0000_s1026" o:spt="1" style="position:absolute;left:3226271;top:2280334;height:153563;width:153563;v-text-anchor:middle;" fillcolor="#5053B8" filled="t" stroked="t" coordsize="21600,21600" o:gfxdata="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U68ES7AAAA2wAAAA8AAAAAAAAAAQAgAAAAOAAAAGRycy9kb3ducmV2Lnht&#10;bFBLAQIUABQAAAAIAIdO4kAzLwWeOwAAADkAAAAQAAAAAAAAAAEAIAAAACABAABkcnMvc2hhcGV4&#10;bWwueG1sUEsFBgAAAAAGAAYAWwEAAMoDAAAAAA==&#10;">
                  <v:fill on="t" opacity="32896f" focussize="0,0"/>
                  <v:stroke weight="1pt" color="#2F528F [3204]" miterlimit="8" joinstyle="miter"/>
                  <v:imagedata o:title=""/>
                  <o:lock v:ext="edit" aspectratio="f"/>
                </v:rect>
                <v:rect id="Rectangle 90" o:spid="_x0000_s1026" o:spt="1" style="position:absolute;left:3226271;top:2541732;height:153563;width:153563;v-text-anchor:middle;" fillcolor="#E57200" filled="t" stroked="t" coordsize="21600,21600" o:gfxdata="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LEBhfuQAAANsAAAAPAAAAAAAAAAEAIAAAADgAAABkcnMvZG93bnJldi54bWxQ&#10;SwECFAAUAAAACACHTuJAMy8FnjsAAAA5AAAAEAAAAAAAAAABACAAAAAeAQAAZHJzL3NoYXBleG1s&#10;LnhtbFBLBQYAAAAABgAGAFsBAADIAwAAAAA=&#10;">
                  <v:fill on="t" focussize="0,0"/>
                  <v:stroke weight="1pt" color="#E57200 [3204]" miterlimit="8" joinstyle="miter"/>
                  <v:imagedata o:title=""/>
                  <o:lock v:ext="edit" aspectratio="f"/>
                </v:rect>
                <v:rect id="Rectangle 91" o:spid="_x0000_s1026" o:spt="1" style="position:absolute;left:3226271;top:2770898;height:153563;width:153563;v-text-anchor:middle;" fillcolor="#E57200" filled="t" stroked="t" coordsize="21600,21600" o:gfxdata="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U7D70AAADbAAAADwAAAAAAAAABACAAAAA4AAAAZHJzL2Rvd25yZXYu&#10;eG1sUEsBAhQAFAAAAAgAh07iQDMvBZ47AAAAOQAAABAAAAAAAAAAAQAgAAAAIgEAAGRycy9zaGFw&#10;ZXhtbC54bWxQSwUGAAAAAAYABgBbAQAAzAMAAAAA&#10;">
                  <v:fill on="t" opacity="19532f" focussize="0,0"/>
                  <v:stroke weight="1pt" color="#FFC000 [3204]" miterlimit="8" joinstyle="miter"/>
                  <v:imagedata o:title=""/>
                  <o:lock v:ext="edit" aspectratio="f"/>
                </v:rect>
                <v:shape id="_x0000_s1026" o:spid="_x0000_s1026" o:spt="202" type="#_x0000_t202" style="position:absolute;left:3438558;top:2211057;height:286224;width:607274;" fillcolor="#FFFFFF [3201]" filled="t" stroked="f" coordsize="21600,21600" o:gfxdata="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J/ZIAvAAAANsAAAAPAAAAAAAAAAEAIAAAADgAAABkcnMvZG93bnJldi54&#10;bWxQSwECFAAUAAAACACHTuJAMy8FnjsAAAA5AAAAEAAAAAAAAAABACAAAAAhAQAAZHJzL3NoYXBl&#10;eG1sLnhtbFBLBQYAAAAABgAGAFsBAADLAwAAAAA=&#10;">
                  <v:fill on="t" focussize="0,0"/>
                  <v:stroke on="f" weight="0.5pt"/>
                  <v:imagedata o:title=""/>
                  <o:lock v:ext="edit" aspectratio="f"/>
                  <v:textbox>
                    <w:txbxContent>
                      <w:p>
                        <w:pPr>
                          <w:rPr>
                            <w:b/>
                            <w:bCs/>
                            <w:sz w:val="20"/>
                            <w:szCs w:val="20"/>
                          </w:rPr>
                        </w:pPr>
                        <w:r>
                          <w:rPr>
                            <w:b/>
                            <w:bCs/>
                            <w:sz w:val="20"/>
                            <w:szCs w:val="20"/>
                          </w:rPr>
                          <w:t>ZONA 1</w:t>
                        </w:r>
                      </w:p>
                    </w:txbxContent>
                  </v:textbox>
                </v:shape>
                <v:shape id="_x0000_s1026" o:spid="_x0000_s1026" o:spt="202" type="#_x0000_t202" style="position:absolute;left:3438558;top:2433897;height:261398;width:607274;" fillcolor="#FFFFFF [3201]" filled="t" stroked="f" coordsize="21600,21600" o:gfxdata="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axN5u7AAAA2wAAAA8AAAAAAAAAAQAgAAAAOAAAAGRycy9kb3ducmV2Lnht&#10;bFBLAQIUABQAAAAIAIdO4kAzLwWeOwAAADkAAAAQAAAAAAAAAAEAIAAAACABAABkcnMvc2hhcGV4&#10;bWwueG1sUEsFBgAAAAAGAAYAWwEAAMoDAAAAAA==&#10;">
                  <v:fill on="t" focussize="0,0"/>
                  <v:stroke on="f" weight="0.5pt"/>
                  <v:imagedata o:title=""/>
                  <o:lock v:ext="edit" aspectratio="f"/>
                  <v:textbox>
                    <w:txbxContent>
                      <w:p>
                        <w:pPr>
                          <w:rPr>
                            <w:b/>
                            <w:bCs/>
                            <w:sz w:val="20"/>
                            <w:szCs w:val="20"/>
                          </w:rPr>
                        </w:pPr>
                        <w:r>
                          <w:rPr>
                            <w:b/>
                            <w:bCs/>
                            <w:sz w:val="20"/>
                            <w:szCs w:val="20"/>
                          </w:rPr>
                          <w:t>ZONA 2</w:t>
                        </w:r>
                      </w:p>
                    </w:txbxContent>
                  </v:textbox>
                </v:shape>
                <v:shape id="_x0000_s1026" o:spid="_x0000_s1026" o:spt="202" type="#_x0000_t202" style="position:absolute;left:3550022;top:2834112;height:222837;width:478552;" fillcolor="#FFFFFF [3201]" filled="t" stroked="f" coordsize="21600,21600" o:gfxdata="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pWK/vvAAAANsAAAAPAAAAAAAAAAEAIAAAADgAAABkcnMvZG93bnJldi54&#10;bWxQSwECFAAUAAAACACHTuJAMy8FnjsAAAA5AAAAEAAAAAAAAAABACAAAAAhAQAAZHJzL3NoYXBl&#10;eG1sLnhtbFBLBQYAAAAABgAGAFsBAADLAwAAAAA=&#10;">
                  <v:fill on="t" focussize="0,0"/>
                  <v:stroke on="f" weight="0.5pt"/>
                  <v:imagedata o:title=""/>
                  <o:lock v:ext="edit" aspectratio="f"/>
                  <v:textbox>
                    <w:txbxContent>
                      <w:p>
                        <w:pPr>
                          <w:rPr>
                            <w:b/>
                            <w:bCs/>
                            <w:lang w:val="zh-CN"/>
                          </w:rPr>
                        </w:pPr>
                      </w:p>
                    </w:txbxContent>
                  </v:textbox>
                </v:shape>
              </v:group>
            </w:pict>
          </mc:Fallback>
        </mc:AlternateContent>
      </w:r>
      <w:r>
        <w:rPr>
          <w:rFonts w:ascii="Times New Roman" w:hAnsi="Times New Roman" w:cs="Times New Roman"/>
          <w:lang w:val="ru-RU" w:eastAsia="ru-RU"/>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4567555</wp:posOffset>
                </wp:positionH>
                <wp:positionV relativeFrom="paragraph">
                  <wp:posOffset>2719070</wp:posOffset>
                </wp:positionV>
                <wp:extent cx="749300" cy="252730"/>
                <wp:effectExtent l="0" t="0" r="12700" b="14605"/>
                <wp:wrapNone/>
                <wp:docPr id="311992452" name="Надпись 1"/>
                <wp:cNvGraphicFramePr/>
                <a:graphic xmlns:a="http://schemas.openxmlformats.org/drawingml/2006/main">
                  <a:graphicData uri="http://schemas.microsoft.com/office/word/2010/wordprocessingShape">
                    <wps:wsp>
                      <wps:cNvSpPr txBox="1"/>
                      <wps:spPr>
                        <a:xfrm>
                          <a:off x="0" y="0"/>
                          <a:ext cx="749537" cy="252484"/>
                        </a:xfrm>
                        <a:prstGeom prst="rect">
                          <a:avLst/>
                        </a:prstGeom>
                        <a:solidFill>
                          <a:schemeClr val="lt1"/>
                        </a:solidFill>
                        <a:ln w="6350">
                          <a:solidFill>
                            <a:schemeClr val="bg1"/>
                          </a:solidFill>
                        </a:ln>
                      </wps:spPr>
                      <wps:txbx>
                        <w:txbxContent>
                          <w:p>
                            <w:pPr>
                              <w:rPr>
                                <w:b/>
                                <w:bCs/>
                                <w:lang w:val="zh-CN"/>
                              </w:rPr>
                            </w:pPr>
                            <w:r>
                              <w:rPr>
                                <w:b/>
                                <w:bCs/>
                                <w:lang w:val="zh-CN"/>
                              </w:rPr>
                              <w:t>ZONA 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1" o:spid="_x0000_s1026" o:spt="202" type="#_x0000_t202" style="position:absolute;left:0pt;margin-left:359.65pt;margin-top:214.1pt;height:19.9pt;width:59pt;z-index:251660288;mso-width-relative:page;mso-height-relative:page;" fillcolor="#FFFFFF [3201]" filled="t" stroked="t" coordsize="21600,21600" o:gfxdata="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DJ2r2u2QAAAAsBAAAPAAAAAAAAAAEAIAAAADgAAABk&#10;cnMvZG93bnJldi54bWxQSwECFAAUAAAACACHTuJApcU6pGECAADEBAAADgAAAAAAAAABACAAAAA+&#10;AQAAZHJzL2Uyb0RvYy54bWxQSwUGAAAAAAYABgBZAQAAEQYAAAAA&#10;">
                <v:fill on="t" focussize="0,0"/>
                <v:stroke weight="0.5pt" color="#FFFFFF [3212]" joinstyle="round"/>
                <v:imagedata o:title=""/>
                <o:lock v:ext="edit" aspectratio="f"/>
                <v:textbox>
                  <w:txbxContent>
                    <w:p>
                      <w:pPr>
                        <w:rPr>
                          <w:b/>
                          <w:bCs/>
                          <w:lang w:val="zh-CN"/>
                        </w:rPr>
                      </w:pPr>
                      <w:r>
                        <w:rPr>
                          <w:b/>
                          <w:bCs/>
                          <w:lang w:val="zh-CN"/>
                        </w:rPr>
                        <w:t>ZONA 3</w:t>
                      </w:r>
                    </w:p>
                  </w:txbxContent>
                </v:textbox>
              </v:shape>
            </w:pict>
          </mc:Fallback>
        </mc:AlternateContent>
      </w:r>
      <w:r>
        <w:rPr>
          <w:rFonts w:ascii="Times New Roman" w:hAnsi="Times New Roman" w:cs="Times New Roman"/>
          <w:lang w:val="ru-RU" w:eastAsia="ru-RU"/>
        </w:rPr>
        <w:drawing>
          <wp:inline distT="0" distB="0" distL="0" distR="0">
            <wp:extent cx="5457825" cy="2915285"/>
            <wp:effectExtent l="19050" t="19050" r="9525" b="184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465233" cy="2919410"/>
                    </a:xfrm>
                    <a:prstGeom prst="rect">
                      <a:avLst/>
                    </a:prstGeom>
                    <a:solidFill>
                      <a:srgbClr val="E57200">
                        <a:alpha val="29804"/>
                      </a:srgbClr>
                    </a:solidFill>
                    <a:ln>
                      <a:solidFill>
                        <a:srgbClr val="FFC000"/>
                      </a:solidFill>
                    </a:ln>
                  </pic:spPr>
                </pic:pic>
              </a:graphicData>
            </a:graphic>
          </wp:inline>
        </w:drawing>
      </w:r>
    </w:p>
    <w:p>
      <w:pPr>
        <w:spacing w:after="0" w:line="240" w:lineRule="auto"/>
        <w:contextualSpacing/>
        <w:rPr>
          <w:rFonts w:ascii="Times New Roman" w:hAnsi="Times New Roman" w:eastAsia="Calibri" w:cs="Times New Roman"/>
          <w:sz w:val="24"/>
          <w:szCs w:val="24"/>
          <w:lang w:val="zh-CN"/>
        </w:rPr>
      </w:pPr>
    </w:p>
    <w:p>
      <w:pPr>
        <w:pStyle w:val="8"/>
        <w:rPr>
          <w:b/>
          <w:bCs/>
          <w:i w:val="0"/>
          <w:iCs w:val="0"/>
          <w:color w:val="auto"/>
          <w:sz w:val="22"/>
          <w:szCs w:val="22"/>
          <w:lang w:val="zh-CN"/>
        </w:rPr>
      </w:pPr>
      <w:r>
        <w:rPr>
          <w:b/>
          <w:bCs/>
          <w:i w:val="0"/>
          <w:iCs w:val="0"/>
          <w:color w:val="auto"/>
          <w:sz w:val="22"/>
          <w:szCs w:val="22"/>
          <w:lang w:val="zh-CN"/>
        </w:rPr>
        <w:t>Zona 1 - Cuprinde străzile din orașul Chișinău:</w:t>
      </w:r>
    </w:p>
    <w:tbl>
      <w:tblPr>
        <w:tblStyle w:val="6"/>
        <w:tblW w:w="9118" w:type="dxa"/>
        <w:tblInd w:w="0" w:type="dxa"/>
        <w:tblLayout w:type="autofit"/>
        <w:tblCellMar>
          <w:top w:w="0" w:type="dxa"/>
          <w:left w:w="0" w:type="dxa"/>
          <w:bottom w:w="0" w:type="dxa"/>
          <w:right w:w="0" w:type="dxa"/>
        </w:tblCellMar>
      </w:tblPr>
      <w:tblGrid>
        <w:gridCol w:w="1271"/>
        <w:gridCol w:w="7847"/>
      </w:tblGrid>
      <w:tr>
        <w:trPr>
          <w:trHeight w:val="318" w:hRule="atLeast"/>
        </w:trPr>
        <w:tc>
          <w:tcPr>
            <w:tcW w:w="1271" w:type="dxa"/>
            <w:tcBorders>
              <w:top w:val="single" w:color="auto" w:sz="4" w:space="0"/>
              <w:left w:val="single" w:color="auto" w:sz="4" w:space="0"/>
              <w:bottom w:val="single" w:color="auto" w:sz="4" w:space="0"/>
              <w:right w:val="single" w:color="auto" w:sz="4" w:space="0"/>
            </w:tcBorders>
            <w:shd w:val="clear" w:color="auto" w:fill="DEEAF6" w:themeFill="accent1" w:themeFillTint="33"/>
            <w:tcMar>
              <w:top w:w="30" w:type="dxa"/>
              <w:left w:w="45" w:type="dxa"/>
              <w:bottom w:w="30" w:type="dxa"/>
              <w:right w:w="45" w:type="dxa"/>
            </w:tcMar>
            <w:vAlign w:val="center"/>
          </w:tcPr>
          <w:p>
            <w:pPr>
              <w:spacing w:after="0" w:line="240" w:lineRule="auto"/>
              <w:jc w:val="center"/>
              <w:rPr>
                <w:rFonts w:ascii="Times New Roman" w:hAnsi="Times New Roman" w:cs="Times New Roman"/>
                <w:lang w:val="zh-CN"/>
              </w:rPr>
            </w:pPr>
            <w:r>
              <w:rPr>
                <w:rFonts w:ascii="Times New Roman" w:hAnsi="Times New Roman" w:cs="Times New Roman"/>
                <w:lang w:val="zh-CN"/>
              </w:rPr>
              <w:t>Centru Orizontal:</w:t>
            </w:r>
          </w:p>
        </w:tc>
        <w:tc>
          <w:tcPr>
            <w:tcW w:w="7847" w:type="dxa"/>
            <w:tcBorders>
              <w:top w:val="single" w:color="auto" w:sz="4" w:space="0"/>
              <w:left w:val="single" w:color="auto" w:sz="4" w:space="0"/>
              <w:bottom w:val="single" w:color="auto" w:sz="4" w:space="0"/>
              <w:right w:val="single" w:color="auto" w:sz="4" w:space="0"/>
            </w:tcBorders>
            <w:shd w:val="clear" w:color="auto" w:fill="FFFFFF" w:themeFill="background1"/>
            <w:tcMar>
              <w:top w:w="30" w:type="dxa"/>
              <w:left w:w="45" w:type="dxa"/>
              <w:bottom w:w="30" w:type="dxa"/>
              <w:right w:w="45" w:type="dxa"/>
            </w:tcMar>
            <w:vAlign w:val="bottom"/>
          </w:tcPr>
          <w:p>
            <w:pPr>
              <w:spacing w:after="0" w:line="240" w:lineRule="auto"/>
              <w:rPr>
                <w:rFonts w:ascii="Times New Roman" w:hAnsi="Times New Roman" w:cs="Times New Roman"/>
                <w:lang w:val="zh-CN"/>
              </w:rPr>
            </w:pPr>
            <w:r>
              <w:rPr>
                <w:rFonts w:ascii="Times New Roman" w:hAnsi="Times New Roman" w:cs="Times New Roman"/>
                <w:lang w:val="zh-CN"/>
              </w:rPr>
              <w:t>Bernardazzi, M. Kogâlniceanu, Șciusev, 31 August, V. Micle, M. Varlaam, M. Dosoftei, Columna, Alexandru cel Bun, Ierusalim, Romană.</w:t>
            </w:r>
          </w:p>
        </w:tc>
      </w:tr>
      <w:tr>
        <w:trPr>
          <w:trHeight w:val="318" w:hRule="atLeast"/>
        </w:trPr>
        <w:tc>
          <w:tcPr>
            <w:tcW w:w="1271" w:type="dxa"/>
            <w:tcBorders>
              <w:top w:val="single" w:color="auto" w:sz="4" w:space="0"/>
              <w:left w:val="single" w:color="000000" w:sz="6" w:space="0"/>
              <w:bottom w:val="single" w:color="000000" w:sz="6" w:space="0"/>
              <w:right w:val="single" w:color="000000" w:sz="6" w:space="0"/>
            </w:tcBorders>
            <w:shd w:val="clear" w:color="auto" w:fill="DEEAF6" w:themeFill="accent1" w:themeFillTint="33"/>
            <w:tcMar>
              <w:top w:w="30" w:type="dxa"/>
              <w:left w:w="45" w:type="dxa"/>
              <w:bottom w:w="30" w:type="dxa"/>
              <w:right w:w="45" w:type="dxa"/>
            </w:tcMar>
            <w:vAlign w:val="center"/>
          </w:tcPr>
          <w:p>
            <w:pPr>
              <w:spacing w:after="0" w:line="240" w:lineRule="auto"/>
              <w:jc w:val="center"/>
              <w:rPr>
                <w:rFonts w:ascii="Times New Roman" w:hAnsi="Times New Roman" w:cs="Times New Roman"/>
                <w:lang w:val="zh-CN"/>
              </w:rPr>
            </w:pPr>
            <w:r>
              <w:rPr>
                <w:rFonts w:ascii="Times New Roman" w:hAnsi="Times New Roman" w:cs="Times New Roman"/>
                <w:lang w:val="zh-CN"/>
              </w:rPr>
              <w:t>Centru Vertical:</w:t>
            </w:r>
          </w:p>
        </w:tc>
        <w:tc>
          <w:tcPr>
            <w:tcW w:w="7847" w:type="dxa"/>
            <w:tcBorders>
              <w:top w:val="single" w:color="auto" w:sz="4" w:space="0"/>
              <w:left w:val="single" w:color="CCCCCC" w:sz="6" w:space="0"/>
              <w:bottom w:val="single" w:color="000000" w:sz="6" w:space="0"/>
              <w:right w:val="single" w:color="000000" w:sz="6" w:space="0"/>
            </w:tcBorders>
            <w:shd w:val="clear" w:color="auto" w:fill="FFFFFF" w:themeFill="background1"/>
            <w:tcMar>
              <w:top w:w="30" w:type="dxa"/>
              <w:left w:w="45" w:type="dxa"/>
              <w:bottom w:w="30" w:type="dxa"/>
              <w:right w:w="45" w:type="dxa"/>
            </w:tcMar>
            <w:vAlign w:val="bottom"/>
          </w:tcPr>
          <w:p>
            <w:pPr>
              <w:spacing w:after="0" w:line="240" w:lineRule="auto"/>
              <w:rPr>
                <w:rFonts w:ascii="Times New Roman" w:hAnsi="Times New Roman" w:cs="Times New Roman"/>
                <w:lang w:val="zh-CN"/>
              </w:rPr>
            </w:pPr>
            <w:r>
              <w:rPr>
                <w:rFonts w:ascii="Times New Roman" w:hAnsi="Times New Roman" w:cs="Times New Roman"/>
                <w:lang w:val="zh-CN"/>
              </w:rPr>
              <w:t>Lăpușneanu, T. Ciorbă, P. Movilă, S. Lazo, Sfatul Țării, M. Cebotari, N. Iorga, Tricolorului, Vlaicu Pârcălab, M. Eminescu, V. Alecsandri, Armenească, Bulgară, Tighina.</w:t>
            </w:r>
          </w:p>
        </w:tc>
      </w:tr>
      <w:tr>
        <w:trPr>
          <w:trHeight w:val="318" w:hRule="atLeast"/>
        </w:trPr>
        <w:tc>
          <w:tcPr>
            <w:tcW w:w="1271" w:type="dxa"/>
            <w:tcBorders>
              <w:top w:val="single" w:color="auto" w:sz="4" w:space="0"/>
              <w:left w:val="single" w:color="000000" w:sz="6" w:space="0"/>
              <w:bottom w:val="single" w:color="000000" w:sz="6" w:space="0"/>
              <w:right w:val="single" w:color="000000" w:sz="6" w:space="0"/>
            </w:tcBorders>
            <w:shd w:val="clear" w:color="auto" w:fill="DEEAF6" w:themeFill="accent1" w:themeFillTint="33"/>
            <w:tcMar>
              <w:top w:w="30" w:type="dxa"/>
              <w:left w:w="45" w:type="dxa"/>
              <w:bottom w:w="30" w:type="dxa"/>
              <w:right w:w="45" w:type="dxa"/>
            </w:tcMar>
            <w:vAlign w:val="center"/>
          </w:tcPr>
          <w:p>
            <w:pPr>
              <w:spacing w:after="0" w:line="240" w:lineRule="auto"/>
              <w:jc w:val="center"/>
              <w:rPr>
                <w:rFonts w:ascii="Times New Roman" w:hAnsi="Times New Roman" w:cs="Times New Roman"/>
                <w:lang w:val="zh-CN"/>
              </w:rPr>
            </w:pPr>
            <w:r>
              <w:rPr>
                <w:rFonts w:ascii="Times New Roman" w:hAnsi="Times New Roman" w:cs="Times New Roman"/>
                <w:lang w:val="zh-CN"/>
              </w:rPr>
              <w:t xml:space="preserve">Rîșcani </w:t>
            </w:r>
          </w:p>
        </w:tc>
        <w:tc>
          <w:tcPr>
            <w:tcW w:w="7847" w:type="dxa"/>
            <w:tcBorders>
              <w:top w:val="single" w:color="auto" w:sz="4" w:space="0"/>
              <w:left w:val="single" w:color="CCCCCC" w:sz="6" w:space="0"/>
              <w:bottom w:val="single" w:color="000000" w:sz="6" w:space="0"/>
              <w:right w:val="single" w:color="000000" w:sz="6" w:space="0"/>
            </w:tcBorders>
            <w:shd w:val="clear" w:color="auto" w:fill="FFFFFF" w:themeFill="background1"/>
            <w:tcMar>
              <w:top w:w="30" w:type="dxa"/>
              <w:left w:w="45" w:type="dxa"/>
              <w:bottom w:w="30" w:type="dxa"/>
              <w:right w:w="45" w:type="dxa"/>
            </w:tcMar>
            <w:vAlign w:val="bottom"/>
          </w:tcPr>
          <w:p>
            <w:pPr>
              <w:spacing w:after="0" w:line="240" w:lineRule="auto"/>
              <w:rPr>
                <w:rFonts w:ascii="Times New Roman" w:hAnsi="Times New Roman" w:cs="Times New Roman"/>
                <w:lang w:val="zh-CN"/>
              </w:rPr>
            </w:pPr>
            <w:r>
              <w:rPr>
                <w:rFonts w:ascii="Times New Roman" w:hAnsi="Times New Roman" w:cs="Times New Roman"/>
                <w:lang w:val="zh-CN"/>
              </w:rPr>
              <w:t>Moscova, Kiev, N. Dimo, M. Costin, Florilor.</w:t>
            </w:r>
          </w:p>
        </w:tc>
      </w:tr>
    </w:tbl>
    <w:p>
      <w:pPr>
        <w:pStyle w:val="8"/>
        <w:spacing w:after="0"/>
        <w:rPr>
          <w:b/>
          <w:bCs/>
          <w:i w:val="0"/>
          <w:iCs w:val="0"/>
          <w:color w:val="auto"/>
          <w:sz w:val="22"/>
          <w:szCs w:val="22"/>
          <w:lang w:val="zh-CN"/>
        </w:rPr>
      </w:pPr>
      <w:r>
        <w:rPr>
          <w:b/>
          <w:bCs/>
          <w:i w:val="0"/>
          <w:iCs w:val="0"/>
          <w:color w:val="auto"/>
          <w:sz w:val="22"/>
          <w:szCs w:val="22"/>
          <w:lang w:val="zh-CN"/>
        </w:rPr>
        <w:t xml:space="preserve"> Zona 2 - Cuprinde străzile din  sectoarele orașului Chișinău:</w:t>
      </w:r>
    </w:p>
    <w:tbl>
      <w:tblPr>
        <w:tblStyle w:val="6"/>
        <w:tblW w:w="9118" w:type="dxa"/>
        <w:tblInd w:w="0" w:type="dxa"/>
        <w:tblLayout w:type="autofit"/>
        <w:tblCellMar>
          <w:top w:w="0" w:type="dxa"/>
          <w:left w:w="0" w:type="dxa"/>
          <w:bottom w:w="0" w:type="dxa"/>
          <w:right w:w="0" w:type="dxa"/>
        </w:tblCellMar>
      </w:tblPr>
      <w:tblGrid>
        <w:gridCol w:w="1271"/>
        <w:gridCol w:w="7847"/>
      </w:tblGrid>
      <w:tr>
        <w:trPr>
          <w:trHeight w:val="318" w:hRule="atLeast"/>
        </w:trPr>
        <w:tc>
          <w:tcPr>
            <w:tcW w:w="1271" w:type="dxa"/>
            <w:tcBorders>
              <w:top w:val="single" w:color="auto" w:sz="4" w:space="0"/>
              <w:left w:val="single" w:color="auto" w:sz="4" w:space="0"/>
              <w:bottom w:val="single" w:color="auto" w:sz="4" w:space="0"/>
              <w:right w:val="single" w:color="auto" w:sz="4" w:space="0"/>
            </w:tcBorders>
            <w:shd w:val="clear" w:color="auto" w:fill="DEEAF6" w:themeFill="accent1" w:themeFillTint="33"/>
            <w:tcMar>
              <w:top w:w="30" w:type="dxa"/>
              <w:left w:w="45" w:type="dxa"/>
              <w:bottom w:w="30" w:type="dxa"/>
              <w:right w:w="45" w:type="dxa"/>
            </w:tcMar>
            <w:vAlign w:val="center"/>
          </w:tcPr>
          <w:p>
            <w:pPr>
              <w:spacing w:after="0" w:line="240" w:lineRule="auto"/>
              <w:jc w:val="center"/>
              <w:rPr>
                <w:rFonts w:ascii="Times New Roman" w:hAnsi="Times New Roman" w:cs="Times New Roman"/>
                <w:lang w:val="zh-CN"/>
              </w:rPr>
            </w:pPr>
            <w:r>
              <w:rPr>
                <w:rFonts w:ascii="Times New Roman" w:hAnsi="Times New Roman" w:cs="Times New Roman"/>
                <w:lang w:val="zh-CN"/>
              </w:rPr>
              <w:t>Buiucani</w:t>
            </w:r>
          </w:p>
        </w:tc>
        <w:tc>
          <w:tcPr>
            <w:tcW w:w="7847" w:type="dxa"/>
            <w:tcBorders>
              <w:top w:val="single" w:color="auto" w:sz="4" w:space="0"/>
              <w:left w:val="single" w:color="auto" w:sz="4" w:space="0"/>
              <w:bottom w:val="single" w:color="auto" w:sz="4" w:space="0"/>
              <w:right w:val="single" w:color="auto" w:sz="4" w:space="0"/>
            </w:tcBorders>
            <w:shd w:val="clear" w:color="auto" w:fill="FFFFFF" w:themeFill="background1"/>
            <w:tcMar>
              <w:top w:w="30" w:type="dxa"/>
              <w:left w:w="45" w:type="dxa"/>
              <w:bottom w:w="30" w:type="dxa"/>
              <w:right w:w="45" w:type="dxa"/>
            </w:tcMar>
            <w:vAlign w:val="bottom"/>
          </w:tcPr>
          <w:p>
            <w:pPr>
              <w:spacing w:after="0" w:line="240" w:lineRule="auto"/>
              <w:rPr>
                <w:rFonts w:ascii="Times New Roman" w:hAnsi="Times New Roman" w:cs="Times New Roman"/>
                <w:lang w:val="zh-CN"/>
              </w:rPr>
            </w:pPr>
            <w:r>
              <w:rPr>
                <w:rFonts w:ascii="Times New Roman" w:hAnsi="Times New Roman" w:cs="Times New Roman"/>
                <w:lang w:val="zh-CN"/>
              </w:rPr>
              <w:t>Alba Iulia, N. Costin, Paris, I. Creangă, E. Coca, V. Lupu, Calea Ieșilor.</w:t>
            </w:r>
          </w:p>
        </w:tc>
      </w:tr>
      <w:tr>
        <w:trPr>
          <w:trHeight w:val="318" w:hRule="atLeast"/>
        </w:trPr>
        <w:tc>
          <w:tcPr>
            <w:tcW w:w="1271" w:type="dxa"/>
            <w:tcBorders>
              <w:top w:val="single" w:color="auto" w:sz="4" w:space="0"/>
              <w:left w:val="single" w:color="000000" w:sz="6" w:space="0"/>
              <w:bottom w:val="single" w:color="000000" w:sz="6" w:space="0"/>
              <w:right w:val="single" w:color="000000" w:sz="6" w:space="0"/>
            </w:tcBorders>
            <w:shd w:val="clear" w:color="auto" w:fill="DEEAF6" w:themeFill="accent1" w:themeFillTint="33"/>
            <w:tcMar>
              <w:top w:w="30" w:type="dxa"/>
              <w:left w:w="45" w:type="dxa"/>
              <w:bottom w:w="30" w:type="dxa"/>
              <w:right w:w="45" w:type="dxa"/>
            </w:tcMar>
            <w:vAlign w:val="center"/>
          </w:tcPr>
          <w:p>
            <w:pPr>
              <w:spacing w:after="0" w:line="240" w:lineRule="auto"/>
              <w:jc w:val="center"/>
              <w:rPr>
                <w:rFonts w:ascii="Times New Roman" w:hAnsi="Times New Roman" w:cs="Times New Roman"/>
                <w:lang w:val="zh-CN"/>
              </w:rPr>
            </w:pPr>
            <w:r>
              <w:rPr>
                <w:rFonts w:ascii="Times New Roman" w:hAnsi="Times New Roman" w:cs="Times New Roman"/>
                <w:lang w:val="zh-CN"/>
              </w:rPr>
              <w:t xml:space="preserve">Telecentru </w:t>
            </w:r>
          </w:p>
        </w:tc>
        <w:tc>
          <w:tcPr>
            <w:tcW w:w="7847" w:type="dxa"/>
            <w:tcBorders>
              <w:top w:val="single" w:color="auto" w:sz="4" w:space="0"/>
              <w:left w:val="single" w:color="CCCCCC" w:sz="6" w:space="0"/>
              <w:bottom w:val="single" w:color="000000" w:sz="6" w:space="0"/>
              <w:right w:val="single" w:color="000000" w:sz="6" w:space="0"/>
            </w:tcBorders>
            <w:shd w:val="clear" w:color="auto" w:fill="FFFFFF" w:themeFill="background1"/>
            <w:tcMar>
              <w:top w:w="30" w:type="dxa"/>
              <w:left w:w="45" w:type="dxa"/>
              <w:bottom w:w="30" w:type="dxa"/>
              <w:right w:w="45" w:type="dxa"/>
            </w:tcMar>
            <w:vAlign w:val="bottom"/>
          </w:tcPr>
          <w:p>
            <w:pPr>
              <w:spacing w:after="0" w:line="240" w:lineRule="auto"/>
              <w:rPr>
                <w:rFonts w:ascii="Times New Roman" w:hAnsi="Times New Roman" w:cs="Times New Roman"/>
                <w:lang w:val="zh-CN"/>
              </w:rPr>
            </w:pPr>
            <w:r>
              <w:rPr>
                <w:rFonts w:ascii="Times New Roman" w:hAnsi="Times New Roman" w:cs="Times New Roman"/>
                <w:lang w:val="zh-CN"/>
              </w:rPr>
              <w:t>Șos. Hâncești (până la Miorița), G. Asachi, P. Halipa, V. Alecsandri (partea Telecentru).</w:t>
            </w:r>
          </w:p>
        </w:tc>
      </w:tr>
      <w:tr>
        <w:trPr>
          <w:trHeight w:val="318" w:hRule="atLeast"/>
        </w:trPr>
        <w:tc>
          <w:tcPr>
            <w:tcW w:w="1271" w:type="dxa"/>
            <w:tcBorders>
              <w:top w:val="single" w:color="auto" w:sz="4" w:space="0"/>
              <w:left w:val="single" w:color="000000" w:sz="6" w:space="0"/>
              <w:bottom w:val="single" w:color="000000" w:sz="6" w:space="0"/>
              <w:right w:val="single" w:color="000000" w:sz="6" w:space="0"/>
            </w:tcBorders>
            <w:shd w:val="clear" w:color="auto" w:fill="DEEAF6" w:themeFill="accent1" w:themeFillTint="33"/>
            <w:tcMar>
              <w:top w:w="30" w:type="dxa"/>
              <w:left w:w="45" w:type="dxa"/>
              <w:bottom w:w="30" w:type="dxa"/>
              <w:right w:w="45" w:type="dxa"/>
            </w:tcMar>
            <w:vAlign w:val="center"/>
          </w:tcPr>
          <w:p>
            <w:pPr>
              <w:spacing w:after="0" w:line="240" w:lineRule="auto"/>
              <w:jc w:val="center"/>
              <w:rPr>
                <w:rFonts w:ascii="Times New Roman" w:hAnsi="Times New Roman" w:cs="Times New Roman"/>
                <w:lang w:val="zh-CN"/>
              </w:rPr>
            </w:pPr>
            <w:r>
              <w:rPr>
                <w:rFonts w:ascii="Times New Roman" w:hAnsi="Times New Roman" w:cs="Times New Roman"/>
                <w:lang w:val="zh-CN"/>
              </w:rPr>
              <w:t>Botanica</w:t>
            </w:r>
          </w:p>
        </w:tc>
        <w:tc>
          <w:tcPr>
            <w:tcW w:w="7847" w:type="dxa"/>
            <w:tcBorders>
              <w:top w:val="single" w:color="auto" w:sz="4" w:space="0"/>
              <w:left w:val="single" w:color="CCCCCC" w:sz="6" w:space="0"/>
              <w:bottom w:val="single" w:color="000000" w:sz="6" w:space="0"/>
              <w:right w:val="single" w:color="000000" w:sz="6" w:space="0"/>
            </w:tcBorders>
            <w:shd w:val="clear" w:color="auto" w:fill="FFFFFF" w:themeFill="background1"/>
            <w:tcMar>
              <w:top w:w="30" w:type="dxa"/>
              <w:left w:w="45" w:type="dxa"/>
              <w:bottom w:w="30" w:type="dxa"/>
              <w:right w:w="45" w:type="dxa"/>
            </w:tcMar>
            <w:vAlign w:val="bottom"/>
          </w:tcPr>
          <w:p>
            <w:pPr>
              <w:spacing w:after="0" w:line="240" w:lineRule="auto"/>
              <w:rPr>
                <w:rFonts w:ascii="Times New Roman" w:hAnsi="Times New Roman" w:cs="Times New Roman"/>
                <w:lang w:val="zh-CN"/>
              </w:rPr>
            </w:pPr>
            <w:r>
              <w:rPr>
                <w:rFonts w:ascii="Times New Roman" w:hAnsi="Times New Roman" w:cs="Times New Roman"/>
                <w:lang w:val="zh-CN"/>
              </w:rPr>
              <w:t>Dacia (Zelinski – Valea Crucii), Traian, Decebal.</w:t>
            </w:r>
          </w:p>
        </w:tc>
      </w:tr>
      <w:tr>
        <w:trPr>
          <w:trHeight w:val="318" w:hRule="atLeast"/>
        </w:trPr>
        <w:tc>
          <w:tcPr>
            <w:tcW w:w="1271" w:type="dxa"/>
            <w:tcBorders>
              <w:top w:val="single" w:color="auto" w:sz="4" w:space="0"/>
              <w:left w:val="single" w:color="000000" w:sz="6" w:space="0"/>
              <w:bottom w:val="single" w:color="000000" w:sz="6" w:space="0"/>
              <w:right w:val="single" w:color="000000" w:sz="6" w:space="0"/>
            </w:tcBorders>
            <w:shd w:val="clear" w:color="auto" w:fill="DEEAF6" w:themeFill="accent1" w:themeFillTint="33"/>
            <w:tcMar>
              <w:top w:w="30" w:type="dxa"/>
              <w:left w:w="45" w:type="dxa"/>
              <w:bottom w:w="30" w:type="dxa"/>
              <w:right w:w="45" w:type="dxa"/>
            </w:tcMar>
            <w:vAlign w:val="center"/>
          </w:tcPr>
          <w:p>
            <w:pPr>
              <w:spacing w:after="0" w:line="240" w:lineRule="auto"/>
              <w:jc w:val="center"/>
              <w:rPr>
                <w:rFonts w:ascii="Times New Roman" w:hAnsi="Times New Roman" w:cs="Times New Roman"/>
                <w:lang w:val="zh-CN"/>
              </w:rPr>
            </w:pPr>
            <w:r>
              <w:rPr>
                <w:rFonts w:ascii="Times New Roman" w:hAnsi="Times New Roman" w:cs="Times New Roman"/>
                <w:lang w:val="zh-CN"/>
              </w:rPr>
              <w:t xml:space="preserve">Ciocana </w:t>
            </w:r>
          </w:p>
        </w:tc>
        <w:tc>
          <w:tcPr>
            <w:tcW w:w="7847" w:type="dxa"/>
            <w:tcBorders>
              <w:top w:val="single" w:color="auto" w:sz="4" w:space="0"/>
              <w:left w:val="single" w:color="CCCCCC" w:sz="6" w:space="0"/>
              <w:bottom w:val="single" w:color="000000" w:sz="6" w:space="0"/>
              <w:right w:val="single" w:color="000000" w:sz="6" w:space="0"/>
            </w:tcBorders>
            <w:shd w:val="clear" w:color="auto" w:fill="FFFFFF" w:themeFill="background1"/>
            <w:tcMar>
              <w:top w:w="30" w:type="dxa"/>
              <w:left w:w="45" w:type="dxa"/>
              <w:bottom w:w="30" w:type="dxa"/>
              <w:right w:w="45" w:type="dxa"/>
            </w:tcMar>
            <w:vAlign w:val="bottom"/>
          </w:tcPr>
          <w:p>
            <w:pPr>
              <w:spacing w:after="0" w:line="240" w:lineRule="auto"/>
              <w:rPr>
                <w:rFonts w:ascii="Times New Roman" w:hAnsi="Times New Roman" w:cs="Times New Roman"/>
                <w:lang w:val="zh-CN"/>
              </w:rPr>
            </w:pPr>
            <w:r>
              <w:rPr>
                <w:rFonts w:ascii="Times New Roman" w:hAnsi="Times New Roman" w:cs="Times New Roman"/>
                <w:lang w:val="zh-CN"/>
              </w:rPr>
              <w:t>Mircea cel Bătrân (Dumeniuc - Ginta Latină), M. Sadoveanu (până la I.Vieru), I. Vieru, Alecu Russo (de la Sadoveanu), Ginta Latină.</w:t>
            </w:r>
          </w:p>
        </w:tc>
      </w:tr>
    </w:tbl>
    <w:p>
      <w:pPr>
        <w:spacing w:after="0" w:line="240" w:lineRule="auto"/>
        <w:jc w:val="both"/>
        <w:rPr>
          <w:rFonts w:ascii="Times New Roman" w:hAnsi="Times New Roman" w:cs="Times New Roman"/>
          <w:lang w:val="zh-CN"/>
        </w:rPr>
      </w:pPr>
      <w:r>
        <w:rPr>
          <w:rFonts w:ascii="Times New Roman" w:hAnsi="Times New Roman" w:cs="Times New Roman"/>
          <w:b/>
          <w:bCs/>
          <w:lang w:val="zh-CN"/>
        </w:rPr>
        <w:t>Zona 3 -</w:t>
      </w:r>
      <w:r>
        <w:rPr>
          <w:rFonts w:ascii="Times New Roman" w:hAnsi="Times New Roman" w:cs="Times New Roman"/>
          <w:lang w:val="zh-CN"/>
        </w:rPr>
        <w:t xml:space="preserve"> este ceea ce rămâne din sectoare dacă excludem Zonele 1 și 2 în raza orașului Chișinău. Respectiv străzile adiacente din Centru, Telecentru, Ciocana, Buiucani, Botanica, Rîșcani. Suburbiile nu sunt incluse în Zona 3. </w:t>
      </w:r>
    </w:p>
    <w:p>
      <w:pPr>
        <w:spacing w:after="0" w:line="240" w:lineRule="auto"/>
        <w:jc w:val="both"/>
        <w:rPr>
          <w:rFonts w:ascii="Times New Roman" w:hAnsi="Times New Roman" w:cs="Times New Roman"/>
          <w:lang w:val="zh-CN"/>
        </w:rPr>
      </w:pPr>
      <w:r>
        <w:rPr>
          <w:rFonts w:ascii="Times New Roman" w:hAnsi="Times New Roman" w:cs="Times New Roman"/>
          <w:b/>
          <w:bCs/>
          <w:lang w:val="zh-CN"/>
        </w:rPr>
        <w:t>Zona 4 -</w:t>
      </w:r>
      <w:r>
        <w:rPr>
          <w:rFonts w:ascii="Times New Roman" w:hAnsi="Times New Roman" w:cs="Times New Roman"/>
          <w:lang w:val="zh-CN"/>
        </w:rPr>
        <w:t xml:space="preserve"> cuprinde suburbiile municipiului Chișinău: Băcioi, Bubuieci, Budești, Ciorescu, Codru, Coloniţa, Condriţa, Cricova, Cruzeşti, Durleşti, Ghidighici, Grătieşti, Sîngera, Stăuceni, Tohatin, Trușeni, Vadul lui Vodă, Vatra.</w:t>
      </w:r>
    </w:p>
    <w:p>
      <w:pPr>
        <w:pStyle w:val="3"/>
        <w:pageBreakBefore/>
        <w:spacing w:before="0" w:line="240" w:lineRule="auto"/>
        <w:jc w:val="right"/>
        <w:rPr>
          <w:rFonts w:ascii="Times New Roman" w:hAnsi="Times New Roman" w:eastAsia="Calibri" w:cs="Times New Roman"/>
          <w:b/>
          <w:bCs/>
          <w:color w:val="auto"/>
          <w:sz w:val="24"/>
          <w:szCs w:val="24"/>
          <w:lang w:val="zh-CN"/>
        </w:rPr>
      </w:pPr>
      <w:bookmarkStart w:id="88" w:name="_Toc164640895"/>
      <w:bookmarkStart w:id="89" w:name="_Hlk164339283"/>
      <w:r>
        <w:rPr>
          <w:rFonts w:ascii="Times New Roman" w:hAnsi="Times New Roman" w:eastAsia="Calibri" w:cs="Times New Roman"/>
          <w:b/>
          <w:bCs/>
          <w:color w:val="auto"/>
          <w:sz w:val="24"/>
          <w:szCs w:val="24"/>
          <w:lang w:val="zh-CN"/>
        </w:rPr>
        <w:t>Anexa nr. 2</w:t>
      </w:r>
      <w:bookmarkEnd w:id="88"/>
      <w:r>
        <w:rPr>
          <w:rFonts w:ascii="Times New Roman" w:hAnsi="Times New Roman" w:eastAsia="Calibri" w:cs="Times New Roman"/>
          <w:b/>
          <w:bCs/>
          <w:color w:val="auto"/>
          <w:sz w:val="24"/>
          <w:szCs w:val="24"/>
          <w:lang w:val="zh-CN"/>
        </w:rPr>
        <w:t xml:space="preserve"> </w:t>
      </w:r>
    </w:p>
    <w:p>
      <w:pPr>
        <w:spacing w:after="0" w:line="240" w:lineRule="auto"/>
        <w:ind w:left="382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 xml:space="preserve">la  Regulamentul cu privire la organizarea și funcționarea parcărilor și parcajelor publice din municipiul Chișinău, </w:t>
      </w:r>
    </w:p>
    <w:p>
      <w:pPr>
        <w:spacing w:after="0" w:line="240" w:lineRule="auto"/>
        <w:ind w:left="467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 xml:space="preserve">aprobat prin Decizia Consiliului municipal Chișinău </w:t>
      </w:r>
    </w:p>
    <w:p>
      <w:pPr>
        <w:spacing w:after="0" w:line="240" w:lineRule="auto"/>
        <w:ind w:left="467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nr. ____ din  ”__”_______ 202__.</w:t>
      </w:r>
    </w:p>
    <w:p>
      <w:pPr>
        <w:tabs>
          <w:tab w:val="left" w:pos="6330"/>
        </w:tabs>
        <w:spacing w:after="0"/>
        <w:jc w:val="right"/>
        <w:rPr>
          <w:rFonts w:ascii="Times New Roman" w:hAnsi="Times New Roman" w:cs="Times New Roman"/>
          <w:sz w:val="30"/>
          <w:szCs w:val="30"/>
          <w:lang w:val="zh-CN"/>
        </w:rPr>
      </w:pPr>
    </w:p>
    <w:p>
      <w:pPr>
        <w:spacing w:after="0"/>
        <w:ind w:left="3828"/>
        <w:rPr>
          <w:rFonts w:ascii="Times New Roman" w:hAnsi="Times New Roman" w:eastAsia="Times New Roman" w:cs="Times New Roman"/>
          <w:sz w:val="28"/>
          <w:szCs w:val="28"/>
          <w:lang w:val="zh-CN" w:eastAsia="ru-RU"/>
        </w:rPr>
      </w:pPr>
      <w:bookmarkStart w:id="90" w:name="_Hlk165980986"/>
      <w:r>
        <w:rPr>
          <w:rFonts w:ascii="Times New Roman" w:hAnsi="Times New Roman" w:cs="Times New Roman"/>
          <w:sz w:val="30"/>
          <w:szCs w:val="30"/>
          <w:lang w:val="zh-CN"/>
        </w:rPr>
        <w:t xml:space="preserve">       </w:t>
      </w:r>
      <w:r>
        <w:rPr>
          <w:rFonts w:ascii="Times New Roman" w:hAnsi="Times New Roman" w:eastAsia="Times New Roman" w:cs="Times New Roman"/>
          <w:b/>
          <w:sz w:val="28"/>
          <w:szCs w:val="28"/>
          <w:lang w:val="zh-CN" w:eastAsia="ru-RU"/>
        </w:rPr>
        <w:t>Domnului Vitalie MIHALACHE</w:t>
      </w:r>
    </w:p>
    <w:p>
      <w:pPr>
        <w:spacing w:after="0" w:line="276" w:lineRule="auto"/>
        <w:ind w:left="3828"/>
        <w:rPr>
          <w:rFonts w:ascii="Times New Roman" w:hAnsi="Times New Roman" w:eastAsia="Times New Roman" w:cs="Times New Roman"/>
          <w:b/>
          <w:sz w:val="28"/>
          <w:szCs w:val="28"/>
          <w:lang w:val="zh-CN" w:eastAsia="ru-RU"/>
        </w:rPr>
      </w:pPr>
      <w:r>
        <w:rPr>
          <w:rFonts w:ascii="Times New Roman" w:hAnsi="Times New Roman" w:eastAsia="Times New Roman" w:cs="Times New Roman"/>
          <w:b/>
          <w:sz w:val="28"/>
          <w:szCs w:val="28"/>
          <w:lang w:val="zh-CN" w:eastAsia="ru-RU"/>
        </w:rPr>
        <w:t>Şef al Direcţiei Generale Mobilitate Urbană</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De la </w:t>
      </w:r>
      <w:r>
        <w:rPr>
          <w:rFonts w:ascii="Times New Roman" w:hAnsi="Times New Roman" w:eastAsia="Times New Roman" w:cs="Times New Roman"/>
          <w:sz w:val="28"/>
          <w:szCs w:val="28"/>
          <w:lang w:val="zh-CN" w:eastAsia="ru-RU"/>
        </w:rPr>
        <w:t>_______________________________</w:t>
      </w:r>
    </w:p>
    <w:p>
      <w:pPr>
        <w:spacing w:after="0" w:line="276" w:lineRule="auto"/>
        <w:ind w:left="3828"/>
        <w:rPr>
          <w:rFonts w:ascii="Times New Roman" w:hAnsi="Times New Roman" w:eastAsia="Times New Roman" w:cs="Times New Roman"/>
          <w:sz w:val="16"/>
          <w:szCs w:val="16"/>
          <w:lang w:val="zh-CN" w:eastAsia="ru-RU"/>
        </w:rPr>
      </w:pPr>
      <w:r>
        <w:rPr>
          <w:rFonts w:ascii="Times New Roman" w:hAnsi="Times New Roman" w:eastAsia="Times New Roman" w:cs="Times New Roman"/>
          <w:sz w:val="28"/>
          <w:szCs w:val="28"/>
          <w:lang w:val="zh-CN" w:eastAsia="ru-RU"/>
        </w:rPr>
        <w:t xml:space="preserve">                    </w:t>
      </w:r>
      <w:r>
        <w:rPr>
          <w:rFonts w:ascii="Times New Roman" w:hAnsi="Times New Roman" w:eastAsia="Times New Roman" w:cs="Times New Roman"/>
          <w:sz w:val="16"/>
          <w:szCs w:val="16"/>
          <w:lang w:val="zh-CN" w:eastAsia="ru-RU"/>
        </w:rPr>
        <w:t>(denumirea persoanei juridice)</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c/f </w:t>
      </w:r>
      <w:r>
        <w:rPr>
          <w:rFonts w:ascii="Times New Roman" w:hAnsi="Times New Roman" w:eastAsia="Times New Roman" w:cs="Times New Roman"/>
          <w:sz w:val="28"/>
          <w:szCs w:val="28"/>
          <w:lang w:val="zh-CN" w:eastAsia="ru-RU"/>
        </w:rPr>
        <w:t xml:space="preserve"> _________________________________</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IBAN  </w:t>
      </w:r>
      <w:r>
        <w:rPr>
          <w:rFonts w:ascii="Times New Roman" w:hAnsi="Times New Roman" w:eastAsia="Times New Roman" w:cs="Times New Roman"/>
          <w:sz w:val="28"/>
          <w:szCs w:val="28"/>
          <w:lang w:val="zh-CN" w:eastAsia="ru-RU"/>
        </w:rPr>
        <w:t>______________________________</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Adresa juridică</w:t>
      </w:r>
      <w:r>
        <w:rPr>
          <w:rFonts w:ascii="Times New Roman" w:hAnsi="Times New Roman" w:eastAsia="Times New Roman" w:cs="Times New Roman"/>
          <w:sz w:val="28"/>
          <w:szCs w:val="28"/>
          <w:lang w:val="zh-CN" w:eastAsia="ru-RU"/>
        </w:rPr>
        <w:t xml:space="preserve"> ______________________</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sz w:val="28"/>
          <w:szCs w:val="28"/>
          <w:lang w:val="zh-CN" w:eastAsia="ru-RU"/>
        </w:rPr>
        <w:t xml:space="preserve">____________________________________                                                              </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Nr. de contact</w:t>
      </w:r>
      <w:r>
        <w:rPr>
          <w:rFonts w:ascii="Times New Roman" w:hAnsi="Times New Roman" w:eastAsia="Times New Roman" w:cs="Times New Roman"/>
          <w:sz w:val="28"/>
          <w:szCs w:val="28"/>
          <w:lang w:val="zh-CN" w:eastAsia="ru-RU"/>
        </w:rPr>
        <w:t xml:space="preserve"> ________________________</w:t>
      </w:r>
    </w:p>
    <w:bookmarkEnd w:id="90"/>
    <w:p>
      <w:pPr>
        <w:tabs>
          <w:tab w:val="left" w:pos="3465"/>
        </w:tabs>
        <w:spacing w:after="0" w:line="240" w:lineRule="auto"/>
        <w:contextualSpacing/>
        <w:jc w:val="center"/>
        <w:rPr>
          <w:rFonts w:ascii="Times New Roman" w:hAnsi="Times New Roman" w:cs="Times New Roman"/>
          <w:b/>
          <w:bCs/>
          <w:iCs/>
          <w:spacing w:val="80"/>
          <w:sz w:val="30"/>
          <w:szCs w:val="30"/>
          <w:lang w:val="zh-CN"/>
        </w:rPr>
      </w:pPr>
    </w:p>
    <w:p>
      <w:pPr>
        <w:tabs>
          <w:tab w:val="left" w:pos="3465"/>
        </w:tabs>
        <w:spacing w:after="0" w:line="240" w:lineRule="auto"/>
        <w:contextualSpacing/>
        <w:jc w:val="center"/>
        <w:rPr>
          <w:rFonts w:ascii="Times New Roman" w:hAnsi="Times New Roman" w:cs="Times New Roman"/>
          <w:b/>
          <w:bCs/>
          <w:iCs/>
          <w:spacing w:val="80"/>
          <w:sz w:val="30"/>
          <w:szCs w:val="30"/>
          <w:lang w:val="zh-CN"/>
        </w:rPr>
      </w:pPr>
      <w:r>
        <w:rPr>
          <w:rFonts w:ascii="Times New Roman" w:hAnsi="Times New Roman" w:cs="Times New Roman"/>
          <w:b/>
          <w:bCs/>
          <w:iCs/>
          <w:spacing w:val="80"/>
          <w:sz w:val="30"/>
          <w:szCs w:val="30"/>
          <w:lang w:val="zh-CN"/>
        </w:rPr>
        <w:t>CERERE</w:t>
      </w:r>
    </w:p>
    <w:p>
      <w:pPr>
        <w:tabs>
          <w:tab w:val="left" w:pos="3465"/>
        </w:tabs>
        <w:contextualSpacing/>
        <w:jc w:val="center"/>
        <w:rPr>
          <w:rFonts w:ascii="Times New Roman" w:hAnsi="Times New Roman" w:cs="Times New Roman"/>
          <w:iCs/>
          <w:sz w:val="30"/>
          <w:szCs w:val="30"/>
          <w:lang w:val="zh-CN"/>
        </w:rPr>
      </w:pPr>
      <w:r>
        <w:rPr>
          <w:rFonts w:ascii="Times New Roman" w:hAnsi="Times New Roman" w:cs="Times New Roman"/>
          <w:iCs/>
          <w:sz w:val="30"/>
          <w:szCs w:val="30"/>
          <w:lang w:val="zh-CN"/>
        </w:rPr>
        <w:t>Privind autorizarea parcajului rezervat</w:t>
      </w:r>
    </w:p>
    <w:p>
      <w:pPr>
        <w:ind w:firstLine="720"/>
        <w:jc w:val="both"/>
        <w:rPr>
          <w:rFonts w:ascii="Times New Roman" w:hAnsi="Times New Roman" w:cs="Times New Roman"/>
          <w:sz w:val="30"/>
          <w:szCs w:val="30"/>
          <w:lang w:val="zh-CN"/>
        </w:rPr>
      </w:pPr>
      <w:r>
        <w:rPr>
          <w:rFonts w:ascii="Times New Roman" w:hAnsi="Times New Roman" w:cs="Times New Roman"/>
          <w:sz w:val="30"/>
          <w:szCs w:val="30"/>
          <w:lang w:val="zh-CN"/>
        </w:rPr>
        <w:t xml:space="preserve">Prin prezenta, solicităm autorizarea a _____(___________) parcaje rezervate pe str.________________________, amplasate terenul aferent imobilului cu numărul cadastral ___________________ </w:t>
      </w:r>
    </w:p>
    <w:p>
      <w:pPr>
        <w:rPr>
          <w:rFonts w:ascii="Times New Roman" w:hAnsi="Times New Roman" w:cs="Times New Roman"/>
          <w:sz w:val="30"/>
          <w:szCs w:val="30"/>
          <w:lang w:val="zh-CN"/>
        </w:rPr>
      </w:pPr>
      <w:r>
        <w:rPr>
          <w:rFonts w:ascii="Times New Roman" w:hAnsi="Times New Roman" w:cs="Times New Roman"/>
          <w:sz w:val="30"/>
          <w:szCs w:val="30"/>
          <w:lang w:val="zh-CN"/>
        </w:rPr>
        <w:t>„____”______________202__</w:t>
      </w:r>
    </w:p>
    <w:p>
      <w:pPr>
        <w:spacing w:after="0" w:line="240" w:lineRule="auto"/>
        <w:rPr>
          <w:rFonts w:ascii="Times New Roman" w:hAnsi="Times New Roman" w:cs="Times New Roman"/>
          <w:sz w:val="30"/>
          <w:szCs w:val="30"/>
          <w:lang w:val="zh-CN"/>
        </w:rPr>
      </w:pPr>
      <w:r>
        <w:rPr>
          <w:rFonts w:ascii="Times New Roman" w:hAnsi="Times New Roman" w:cs="Times New Roman"/>
          <w:sz w:val="30"/>
          <w:szCs w:val="30"/>
          <w:lang w:val="zh-CN"/>
        </w:rPr>
        <w:t>Conducător/administrator/reprezentant  __________________________</w:t>
      </w:r>
    </w:p>
    <w:p>
      <w:pPr>
        <w:ind w:left="5954" w:firstLine="427"/>
        <w:rPr>
          <w:rFonts w:ascii="Times New Roman" w:hAnsi="Times New Roman" w:cs="Times New Roman"/>
          <w:sz w:val="30"/>
          <w:szCs w:val="30"/>
          <w:vertAlign w:val="superscript"/>
          <w:lang w:val="zh-CN"/>
        </w:rPr>
      </w:pPr>
      <w:r>
        <w:rPr>
          <w:rFonts w:ascii="Times New Roman" w:hAnsi="Times New Roman" w:cs="Times New Roman"/>
          <w:sz w:val="30"/>
          <w:szCs w:val="30"/>
          <w:vertAlign w:val="superscript"/>
          <w:lang w:val="zh-CN"/>
        </w:rPr>
        <w:t>Nume, prenume, nr. telefon, e-mail</w:t>
      </w:r>
    </w:p>
    <w:p>
      <w:pPr>
        <w:ind w:left="1276"/>
        <w:rPr>
          <w:rFonts w:ascii="Times New Roman" w:hAnsi="Times New Roman" w:cs="Times New Roman"/>
          <w:sz w:val="30"/>
          <w:szCs w:val="30"/>
          <w:lang w:val="zh-CN"/>
        </w:rPr>
      </w:pPr>
      <w:r>
        <w:rPr>
          <w:rFonts w:ascii="Times New Roman" w:hAnsi="Times New Roman" w:cs="Times New Roman"/>
          <w:b/>
          <w:sz w:val="30"/>
          <w:szCs w:val="30"/>
          <w:lang w:val="zh-CN"/>
        </w:rPr>
        <w:t>L.Ș.</w:t>
      </w:r>
    </w:p>
    <w:p>
      <w:pPr>
        <w:tabs>
          <w:tab w:val="right" w:pos="9360"/>
        </w:tabs>
        <w:rPr>
          <w:rFonts w:ascii="Times New Roman" w:hAnsi="Times New Roman" w:cs="Times New Roman"/>
          <w:i/>
          <w:sz w:val="24"/>
          <w:szCs w:val="24"/>
          <w:u w:val="single"/>
          <w:lang w:val="zh-CN"/>
        </w:rPr>
      </w:pPr>
      <w:bookmarkStart w:id="91" w:name="_Hlk164336083"/>
      <w:r>
        <w:rPr>
          <w:rFonts w:ascii="Times New Roman" w:hAnsi="Times New Roman" w:cs="Times New Roman"/>
          <w:i/>
          <w:sz w:val="24"/>
          <w:szCs w:val="24"/>
          <w:u w:val="single"/>
          <w:lang w:val="zh-CN"/>
        </w:rPr>
        <w:t>Anexe:</w:t>
      </w:r>
    </w:p>
    <w:bookmarkEnd w:id="91"/>
    <w:p>
      <w:pPr>
        <w:pStyle w:val="23"/>
        <w:numPr>
          <w:ilvl w:val="0"/>
          <w:numId w:val="22"/>
        </w:numPr>
        <w:tabs>
          <w:tab w:val="left" w:pos="851"/>
        </w:tabs>
        <w:spacing w:after="0" w:line="240" w:lineRule="auto"/>
        <w:ind w:left="426"/>
        <w:jc w:val="both"/>
        <w:rPr>
          <w:rFonts w:ascii="Times New Roman" w:hAnsi="Times New Roman" w:cs="Times New Roman"/>
          <w:bCs/>
          <w:i/>
          <w:iCs/>
          <w:sz w:val="20"/>
          <w:szCs w:val="20"/>
          <w:lang w:val="zh-CN"/>
        </w:rPr>
      </w:pPr>
      <w:bookmarkStart w:id="92" w:name="_Hlk164336096"/>
      <w:r>
        <w:rPr>
          <w:rFonts w:ascii="Times New Roman" w:hAnsi="Times New Roman" w:cs="Times New Roman"/>
          <w:bCs/>
          <w:i/>
          <w:iCs/>
          <w:sz w:val="20"/>
          <w:szCs w:val="20"/>
          <w:lang w:val="zh-CN"/>
        </w:rPr>
        <w:t>Copia actului ce atestă dreptul de proprietate, folosință sau gestiune asupra imobilului în care își are sediul, și în raza căruia urmează sa fie amenajat parcajul rezervat;</w:t>
      </w:r>
    </w:p>
    <w:bookmarkEnd w:id="92"/>
    <w:p>
      <w:pPr>
        <w:pStyle w:val="23"/>
        <w:numPr>
          <w:ilvl w:val="0"/>
          <w:numId w:val="22"/>
        </w:numPr>
        <w:tabs>
          <w:tab w:val="left" w:pos="851"/>
        </w:tabs>
        <w:spacing w:after="0" w:line="240" w:lineRule="auto"/>
        <w:ind w:left="426"/>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Planul lotului aferent imobilului la scara 1:2000;</w:t>
      </w:r>
    </w:p>
    <w:p>
      <w:pPr>
        <w:pStyle w:val="23"/>
        <w:numPr>
          <w:ilvl w:val="0"/>
          <w:numId w:val="22"/>
        </w:numPr>
        <w:tabs>
          <w:tab w:val="left" w:pos="851"/>
        </w:tabs>
        <w:spacing w:after="0" w:line="240" w:lineRule="auto"/>
        <w:ind w:left="426"/>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Proiectul parcajului (-elor), executat la scara 1:500;</w:t>
      </w:r>
    </w:p>
    <w:p>
      <w:pPr>
        <w:pStyle w:val="23"/>
        <w:numPr>
          <w:ilvl w:val="0"/>
          <w:numId w:val="22"/>
        </w:numPr>
        <w:tabs>
          <w:tab w:val="left" w:pos="851"/>
        </w:tabs>
        <w:spacing w:after="0" w:line="240" w:lineRule="auto"/>
        <w:ind w:left="426"/>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Dovada deținerii în proprietate, gestiune sau folosință a autoturismului (-elor) pentru care este solicitată autorizarea parcajului rezervat și a angajaților acestora (copiile pașapoartelor tehnice, listele angajaților cu nr. de telefoane);</w:t>
      </w:r>
    </w:p>
    <w:p>
      <w:pPr>
        <w:pStyle w:val="23"/>
        <w:numPr>
          <w:ilvl w:val="0"/>
          <w:numId w:val="22"/>
        </w:numPr>
        <w:tabs>
          <w:tab w:val="left" w:pos="851"/>
        </w:tabs>
        <w:spacing w:after="0" w:line="240" w:lineRule="auto"/>
        <w:ind w:left="426"/>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Programul de activitate al instituției/întreprinderii;</w:t>
      </w:r>
    </w:p>
    <w:p>
      <w:pPr>
        <w:pStyle w:val="23"/>
        <w:numPr>
          <w:ilvl w:val="0"/>
          <w:numId w:val="22"/>
        </w:numPr>
        <w:tabs>
          <w:tab w:val="left" w:pos="851"/>
        </w:tabs>
        <w:spacing w:after="0" w:line="240" w:lineRule="auto"/>
        <w:ind w:left="426"/>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Declarația pe propria răspundere a conducătorului instituției/întreprinderii privind deținerea sau nu în proprietate, gestiune sau folosință a altor parcări sau parcaje amenajate în curți sau alte terenuri, pe care le utilizează pentru parcarea/staționarea autovehiculelor de serviciu, cu identificarea, enumerarea acestora;</w:t>
      </w:r>
    </w:p>
    <w:p>
      <w:pPr>
        <w:pStyle w:val="23"/>
        <w:numPr>
          <w:ilvl w:val="0"/>
          <w:numId w:val="22"/>
        </w:numPr>
        <w:tabs>
          <w:tab w:val="left" w:pos="851"/>
        </w:tabs>
        <w:spacing w:after="0" w:line="240" w:lineRule="auto"/>
        <w:ind w:left="426"/>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Autorizația de construcție sau cererea de eliberare a permisului pentru îndeplinirea lucrărilor;( În cazul amenajării parcajului rezervat de către solicitant)</w:t>
      </w:r>
    </w:p>
    <w:p>
      <w:pPr>
        <w:pStyle w:val="23"/>
        <w:numPr>
          <w:ilvl w:val="0"/>
          <w:numId w:val="22"/>
        </w:numPr>
        <w:tabs>
          <w:tab w:val="left" w:pos="851"/>
        </w:tabs>
        <w:spacing w:after="0" w:line="240" w:lineRule="auto"/>
        <w:ind w:left="426"/>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Procura semnată de către conducătorul instituției. (în cazul depunerii de către reprezentant)</w:t>
      </w:r>
    </w:p>
    <w:p>
      <w:pPr>
        <w:pStyle w:val="23"/>
        <w:tabs>
          <w:tab w:val="left" w:pos="851"/>
        </w:tabs>
        <w:spacing w:after="0" w:line="240" w:lineRule="auto"/>
        <w:ind w:left="426"/>
        <w:jc w:val="center"/>
        <w:rPr>
          <w:rFonts w:ascii="Times New Roman" w:hAnsi="Times New Roman" w:cs="Times New Roman"/>
          <w:b/>
          <w:i/>
          <w:iCs/>
          <w:sz w:val="20"/>
          <w:szCs w:val="20"/>
          <w:lang w:val="zh-CN"/>
        </w:rPr>
      </w:pPr>
      <w:r>
        <w:rPr>
          <w:rFonts w:ascii="Times New Roman" w:hAnsi="Times New Roman" w:cs="Times New Roman"/>
          <w:b/>
          <w:i/>
          <w:iCs/>
          <w:sz w:val="20"/>
          <w:szCs w:val="20"/>
          <w:lang w:val="zh-CN"/>
        </w:rPr>
        <w:t>Suplimentar la documentele indicate, persoanele juridice altele decât instituțiile publice, vor anexa:</w:t>
      </w:r>
    </w:p>
    <w:p>
      <w:pPr>
        <w:pStyle w:val="23"/>
        <w:numPr>
          <w:ilvl w:val="0"/>
          <w:numId w:val="22"/>
        </w:numPr>
        <w:tabs>
          <w:tab w:val="left" w:pos="851"/>
        </w:tabs>
        <w:spacing w:after="0" w:line="240" w:lineRule="auto"/>
        <w:ind w:left="426"/>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Certificat de înregistrare a întreprinderii și/sau extras din Registrul de Stat a persoanelor juridice (emis cu maxim 3 luni înainte de data solicitării, cu indicarea genurilor de activitate, fondatorilor si administratorului).</w:t>
      </w:r>
    </w:p>
    <w:p>
      <w:pPr>
        <w:pStyle w:val="23"/>
        <w:numPr>
          <w:ilvl w:val="0"/>
          <w:numId w:val="22"/>
        </w:numPr>
        <w:tabs>
          <w:tab w:val="left" w:pos="851"/>
        </w:tabs>
        <w:spacing w:after="0" w:line="240" w:lineRule="auto"/>
        <w:ind w:left="426"/>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Dovada lipsei restanțelor față de buget.</w:t>
      </w:r>
    </w:p>
    <w:p>
      <w:pPr>
        <w:pStyle w:val="23"/>
        <w:numPr>
          <w:ilvl w:val="0"/>
          <w:numId w:val="22"/>
        </w:numPr>
        <w:tabs>
          <w:tab w:val="left" w:pos="851"/>
        </w:tabs>
        <w:spacing w:after="0" w:line="240" w:lineRule="auto"/>
        <w:ind w:left="426"/>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Cazier judiciar pe numele persoanei juridice;</w:t>
      </w:r>
    </w:p>
    <w:p>
      <w:pPr>
        <w:pStyle w:val="23"/>
        <w:numPr>
          <w:ilvl w:val="0"/>
          <w:numId w:val="22"/>
        </w:numPr>
        <w:tabs>
          <w:tab w:val="left" w:pos="851"/>
        </w:tabs>
        <w:spacing w:after="0" w:line="240" w:lineRule="auto"/>
        <w:ind w:left="426"/>
        <w:jc w:val="both"/>
        <w:rPr>
          <w:rFonts w:ascii="Times New Roman" w:hAnsi="Times New Roman" w:eastAsia="Calibri" w:cs="Times New Roman"/>
          <w:b/>
          <w:bCs/>
          <w:sz w:val="24"/>
          <w:szCs w:val="24"/>
          <w:lang w:val="zh-CN"/>
        </w:rPr>
      </w:pPr>
      <w:r>
        <w:rPr>
          <w:rFonts w:ascii="Times New Roman" w:hAnsi="Times New Roman" w:cs="Times New Roman"/>
          <w:bCs/>
          <w:i/>
          <w:iCs/>
          <w:sz w:val="20"/>
          <w:szCs w:val="20"/>
          <w:lang w:val="zh-CN"/>
        </w:rPr>
        <w:t>Copia buletinului de identitate al administratorului persoanei juridice</w:t>
      </w:r>
      <w:bookmarkEnd w:id="89"/>
      <w:bookmarkStart w:id="93" w:name="_Hlk164336436"/>
      <w:r>
        <w:rPr>
          <w:rFonts w:ascii="Times New Roman" w:hAnsi="Times New Roman" w:cs="Times New Roman"/>
          <w:bCs/>
          <w:i/>
          <w:iCs/>
          <w:sz w:val="20"/>
          <w:szCs w:val="20"/>
          <w:lang w:val="zh-CN"/>
        </w:rPr>
        <w:t>.</w:t>
      </w:r>
    </w:p>
    <w:p>
      <w:pPr>
        <w:pStyle w:val="3"/>
        <w:pageBreakBefore/>
        <w:spacing w:before="0" w:line="240" w:lineRule="auto"/>
        <w:jc w:val="right"/>
        <w:rPr>
          <w:rFonts w:ascii="Times New Roman" w:hAnsi="Times New Roman" w:eastAsia="Calibri" w:cs="Times New Roman"/>
          <w:color w:val="auto"/>
          <w:sz w:val="24"/>
          <w:szCs w:val="24"/>
          <w:lang w:val="zh-CN"/>
        </w:rPr>
      </w:pPr>
      <w:bookmarkStart w:id="94" w:name="_Toc164640896"/>
      <w:r>
        <w:rPr>
          <w:rFonts w:ascii="Times New Roman" w:hAnsi="Times New Roman" w:eastAsia="Calibri" w:cs="Times New Roman"/>
          <w:b/>
          <w:bCs/>
          <w:color w:val="auto"/>
          <w:sz w:val="24"/>
          <w:szCs w:val="24"/>
          <w:lang w:val="zh-CN"/>
        </w:rPr>
        <w:t>Anexa nr. 3</w:t>
      </w:r>
      <w:bookmarkEnd w:id="94"/>
      <w:r>
        <w:rPr>
          <w:rFonts w:ascii="Times New Roman" w:hAnsi="Times New Roman" w:eastAsia="Calibri" w:cs="Times New Roman"/>
          <w:color w:val="auto"/>
          <w:sz w:val="24"/>
          <w:szCs w:val="24"/>
          <w:lang w:val="zh-CN"/>
        </w:rPr>
        <w:t xml:space="preserve"> </w:t>
      </w:r>
    </w:p>
    <w:p>
      <w:pPr>
        <w:spacing w:after="0" w:line="240" w:lineRule="auto"/>
        <w:ind w:left="382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 xml:space="preserve">la  Regulamentul cu privire la organizarea și funcționarea parcărilor și parcajelor publice din municipiul Chișinău, </w:t>
      </w:r>
    </w:p>
    <w:p>
      <w:pPr>
        <w:spacing w:after="0" w:line="240" w:lineRule="auto"/>
        <w:ind w:left="467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 xml:space="preserve">aprobat prin Decizia Consiliului municipal Chișinău </w:t>
      </w:r>
    </w:p>
    <w:p>
      <w:pPr>
        <w:spacing w:after="0" w:line="240" w:lineRule="auto"/>
        <w:ind w:left="467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nr. ____ din  ”__”_______ 202__.</w:t>
      </w:r>
    </w:p>
    <w:p>
      <w:pPr>
        <w:tabs>
          <w:tab w:val="left" w:pos="6330"/>
        </w:tabs>
        <w:spacing w:after="0"/>
        <w:jc w:val="right"/>
        <w:rPr>
          <w:rFonts w:ascii="Times New Roman" w:hAnsi="Times New Roman" w:cs="Times New Roman"/>
          <w:sz w:val="28"/>
          <w:szCs w:val="28"/>
          <w:lang w:val="zh-CN"/>
        </w:rPr>
      </w:pPr>
      <w:r>
        <w:rPr>
          <w:rFonts w:ascii="Times New Roman" w:hAnsi="Times New Roman" w:cs="Times New Roman"/>
          <w:sz w:val="28"/>
          <w:szCs w:val="28"/>
          <w:lang w:val="zh-CN"/>
        </w:rPr>
        <w:t xml:space="preserve">                                                          </w:t>
      </w:r>
    </w:p>
    <w:p>
      <w:pPr>
        <w:spacing w:after="0"/>
        <w:ind w:left="3828"/>
        <w:rPr>
          <w:rFonts w:ascii="Times New Roman" w:hAnsi="Times New Roman" w:eastAsia="Times New Roman" w:cs="Times New Roman"/>
          <w:sz w:val="28"/>
          <w:szCs w:val="28"/>
          <w:lang w:val="zh-CN" w:eastAsia="ru-RU"/>
        </w:rPr>
      </w:pPr>
      <w:r>
        <w:rPr>
          <w:rFonts w:ascii="Times New Roman" w:hAnsi="Times New Roman" w:cs="Times New Roman"/>
          <w:sz w:val="30"/>
          <w:szCs w:val="30"/>
          <w:lang w:val="zh-CN"/>
        </w:rPr>
        <w:t xml:space="preserve">       </w:t>
      </w:r>
      <w:r>
        <w:rPr>
          <w:rFonts w:ascii="Times New Roman" w:hAnsi="Times New Roman" w:eastAsia="Times New Roman" w:cs="Times New Roman"/>
          <w:b/>
          <w:sz w:val="28"/>
          <w:szCs w:val="28"/>
          <w:lang w:val="zh-CN" w:eastAsia="ru-RU"/>
        </w:rPr>
        <w:t>Domnului Vitalie MIHALACHE</w:t>
      </w:r>
    </w:p>
    <w:p>
      <w:pPr>
        <w:spacing w:after="0" w:line="276" w:lineRule="auto"/>
        <w:ind w:left="3828"/>
        <w:rPr>
          <w:rFonts w:ascii="Times New Roman" w:hAnsi="Times New Roman" w:eastAsia="Times New Roman" w:cs="Times New Roman"/>
          <w:b/>
          <w:sz w:val="28"/>
          <w:szCs w:val="28"/>
          <w:lang w:val="zh-CN" w:eastAsia="ru-RU"/>
        </w:rPr>
      </w:pPr>
      <w:r>
        <w:rPr>
          <w:rFonts w:ascii="Times New Roman" w:hAnsi="Times New Roman" w:eastAsia="Times New Roman" w:cs="Times New Roman"/>
          <w:b/>
          <w:sz w:val="28"/>
          <w:szCs w:val="28"/>
          <w:lang w:val="zh-CN" w:eastAsia="ru-RU"/>
        </w:rPr>
        <w:t>Şef al Direcţiei Generale Mobilitate Urbană</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De la </w:t>
      </w:r>
      <w:r>
        <w:rPr>
          <w:rFonts w:ascii="Times New Roman" w:hAnsi="Times New Roman" w:eastAsia="Times New Roman" w:cs="Times New Roman"/>
          <w:sz w:val="28"/>
          <w:szCs w:val="28"/>
          <w:lang w:val="zh-CN" w:eastAsia="ru-RU"/>
        </w:rPr>
        <w:t>_______________________________</w:t>
      </w:r>
    </w:p>
    <w:p>
      <w:pPr>
        <w:spacing w:after="0" w:line="276" w:lineRule="auto"/>
        <w:ind w:left="3828"/>
        <w:rPr>
          <w:rFonts w:ascii="Times New Roman" w:hAnsi="Times New Roman" w:eastAsia="Times New Roman" w:cs="Times New Roman"/>
          <w:sz w:val="16"/>
          <w:szCs w:val="16"/>
          <w:lang w:val="zh-CN" w:eastAsia="ru-RU"/>
        </w:rPr>
      </w:pPr>
      <w:r>
        <w:rPr>
          <w:rFonts w:ascii="Times New Roman" w:hAnsi="Times New Roman" w:eastAsia="Times New Roman" w:cs="Times New Roman"/>
          <w:sz w:val="28"/>
          <w:szCs w:val="28"/>
          <w:lang w:val="zh-CN" w:eastAsia="ru-RU"/>
        </w:rPr>
        <w:t xml:space="preserve">                    </w:t>
      </w:r>
      <w:r>
        <w:rPr>
          <w:rFonts w:ascii="Times New Roman" w:hAnsi="Times New Roman" w:eastAsia="Times New Roman" w:cs="Times New Roman"/>
          <w:sz w:val="16"/>
          <w:szCs w:val="16"/>
          <w:lang w:val="zh-CN" w:eastAsia="ru-RU"/>
        </w:rPr>
        <w:t>(denumirea persoanei juridice)</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c/f </w:t>
      </w:r>
      <w:r>
        <w:rPr>
          <w:rFonts w:ascii="Times New Roman" w:hAnsi="Times New Roman" w:eastAsia="Times New Roman" w:cs="Times New Roman"/>
          <w:sz w:val="28"/>
          <w:szCs w:val="28"/>
          <w:lang w:val="zh-CN" w:eastAsia="ru-RU"/>
        </w:rPr>
        <w:t xml:space="preserve"> _________________________________</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IBAN  </w:t>
      </w:r>
      <w:r>
        <w:rPr>
          <w:rFonts w:ascii="Times New Roman" w:hAnsi="Times New Roman" w:eastAsia="Times New Roman" w:cs="Times New Roman"/>
          <w:sz w:val="28"/>
          <w:szCs w:val="28"/>
          <w:lang w:val="zh-CN" w:eastAsia="ru-RU"/>
        </w:rPr>
        <w:t>______________________________</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Adresa juridică</w:t>
      </w:r>
      <w:r>
        <w:rPr>
          <w:rFonts w:ascii="Times New Roman" w:hAnsi="Times New Roman" w:eastAsia="Times New Roman" w:cs="Times New Roman"/>
          <w:sz w:val="28"/>
          <w:szCs w:val="28"/>
          <w:lang w:val="zh-CN" w:eastAsia="ru-RU"/>
        </w:rPr>
        <w:t xml:space="preserve"> ______________________</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sz w:val="28"/>
          <w:szCs w:val="28"/>
          <w:lang w:val="zh-CN" w:eastAsia="ru-RU"/>
        </w:rPr>
        <w:t xml:space="preserve">____________________________________                                                              </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Nr. de contact</w:t>
      </w:r>
      <w:r>
        <w:rPr>
          <w:rFonts w:ascii="Times New Roman" w:hAnsi="Times New Roman" w:eastAsia="Times New Roman" w:cs="Times New Roman"/>
          <w:sz w:val="28"/>
          <w:szCs w:val="28"/>
          <w:lang w:val="zh-CN" w:eastAsia="ru-RU"/>
        </w:rPr>
        <w:t xml:space="preserve"> ________________________</w:t>
      </w:r>
    </w:p>
    <w:p>
      <w:pPr>
        <w:tabs>
          <w:tab w:val="left" w:pos="3465"/>
        </w:tabs>
        <w:spacing w:after="0" w:line="240" w:lineRule="auto"/>
        <w:contextualSpacing/>
        <w:jc w:val="center"/>
        <w:rPr>
          <w:rFonts w:ascii="Times New Roman" w:hAnsi="Times New Roman" w:cs="Times New Roman"/>
          <w:b/>
          <w:bCs/>
          <w:iCs/>
          <w:spacing w:val="80"/>
          <w:sz w:val="28"/>
          <w:szCs w:val="28"/>
          <w:lang w:val="zh-CN"/>
        </w:rPr>
      </w:pPr>
    </w:p>
    <w:p>
      <w:pPr>
        <w:tabs>
          <w:tab w:val="left" w:pos="3465"/>
        </w:tabs>
        <w:spacing w:after="0" w:line="240" w:lineRule="auto"/>
        <w:contextualSpacing/>
        <w:jc w:val="center"/>
        <w:rPr>
          <w:rFonts w:ascii="Times New Roman" w:hAnsi="Times New Roman" w:cs="Times New Roman"/>
          <w:b/>
          <w:bCs/>
          <w:iCs/>
          <w:spacing w:val="80"/>
          <w:sz w:val="28"/>
          <w:szCs w:val="28"/>
          <w:lang w:val="zh-CN"/>
        </w:rPr>
      </w:pPr>
      <w:r>
        <w:rPr>
          <w:rFonts w:ascii="Times New Roman" w:hAnsi="Times New Roman" w:cs="Times New Roman"/>
          <w:b/>
          <w:bCs/>
          <w:iCs/>
          <w:spacing w:val="80"/>
          <w:sz w:val="28"/>
          <w:szCs w:val="28"/>
          <w:lang w:val="zh-CN"/>
        </w:rPr>
        <w:t>CERERE</w:t>
      </w:r>
    </w:p>
    <w:p>
      <w:pPr>
        <w:spacing w:after="0" w:line="240" w:lineRule="auto"/>
        <w:jc w:val="center"/>
        <w:rPr>
          <w:rFonts w:ascii="Times New Roman" w:hAnsi="Times New Roman" w:cs="Times New Roman"/>
          <w:b/>
          <w:bCs/>
          <w:sz w:val="32"/>
          <w:szCs w:val="32"/>
          <w:lang w:val="zh-CN"/>
        </w:rPr>
      </w:pPr>
      <w:r>
        <w:rPr>
          <w:rFonts w:ascii="Times New Roman" w:hAnsi="Times New Roman" w:cs="Times New Roman"/>
          <w:b/>
          <w:bCs/>
          <w:sz w:val="32"/>
          <w:szCs w:val="32"/>
          <w:lang w:val="zh-CN"/>
        </w:rPr>
        <w:t>Privind autorizarea parcărilor private cu plată</w:t>
      </w:r>
    </w:p>
    <w:p>
      <w:pPr>
        <w:tabs>
          <w:tab w:val="left" w:pos="3465"/>
        </w:tabs>
        <w:contextualSpacing/>
        <w:jc w:val="center"/>
        <w:rPr>
          <w:rFonts w:ascii="Times New Roman" w:hAnsi="Times New Roman" w:cs="Times New Roman"/>
          <w:i/>
          <w:sz w:val="24"/>
          <w:szCs w:val="24"/>
          <w:lang w:val="zh-CN"/>
        </w:rPr>
      </w:pPr>
    </w:p>
    <w:p>
      <w:pPr>
        <w:ind w:firstLine="720"/>
        <w:jc w:val="both"/>
        <w:rPr>
          <w:rFonts w:ascii="Times New Roman" w:hAnsi="Times New Roman" w:cs="Times New Roman"/>
          <w:sz w:val="32"/>
          <w:szCs w:val="32"/>
          <w:lang w:val="zh-CN"/>
        </w:rPr>
      </w:pPr>
      <w:r>
        <w:rPr>
          <w:rFonts w:ascii="Times New Roman" w:hAnsi="Times New Roman" w:cs="Times New Roman"/>
          <w:sz w:val="32"/>
          <w:szCs w:val="32"/>
          <w:lang w:val="zh-CN"/>
        </w:rPr>
        <w:t xml:space="preserve">Prin prezenta, solicită autorizarea parcajului/parcării private cu plată, cu __________locuri de parcare, amplasată pe adresa: municipiul Chișinău, </w:t>
      </w:r>
      <w:r>
        <w:rPr>
          <w:rFonts w:ascii="Times New Roman" w:hAnsi="Times New Roman" w:cs="Times New Roman"/>
          <w:sz w:val="28"/>
          <w:szCs w:val="28"/>
          <w:lang w:val="zh-CN"/>
        </w:rPr>
        <w:t>str. ___________________________________,</w:t>
      </w:r>
      <w:r>
        <w:rPr>
          <w:rFonts w:ascii="Times New Roman" w:hAnsi="Times New Roman" w:cs="Times New Roman"/>
          <w:sz w:val="32"/>
          <w:szCs w:val="32"/>
          <w:lang w:val="zh-CN"/>
        </w:rPr>
        <w:t xml:space="preserve"> sectorul_________________, cu suprafața de ___________ ari și numărul cadastral al terenului/imobilului _____________________ .     </w:t>
      </w:r>
    </w:p>
    <w:p>
      <w:pPr>
        <w:spacing w:after="0"/>
        <w:jc w:val="both"/>
        <w:rPr>
          <w:rFonts w:ascii="Times New Roman" w:hAnsi="Times New Roman" w:cs="Times New Roman"/>
          <w:sz w:val="32"/>
          <w:szCs w:val="32"/>
          <w:lang w:val="zh-CN"/>
        </w:rPr>
      </w:pPr>
    </w:p>
    <w:p>
      <w:pPr>
        <w:rPr>
          <w:rFonts w:ascii="Times New Roman" w:hAnsi="Times New Roman" w:cs="Times New Roman"/>
          <w:sz w:val="32"/>
          <w:szCs w:val="32"/>
          <w:lang w:val="zh-CN"/>
        </w:rPr>
      </w:pPr>
      <w:r>
        <w:rPr>
          <w:rFonts w:ascii="Times New Roman" w:hAnsi="Times New Roman" w:cs="Times New Roman"/>
          <w:sz w:val="32"/>
          <w:szCs w:val="32"/>
          <w:lang w:val="zh-CN"/>
        </w:rPr>
        <w:t>“____”______________202_</w:t>
      </w:r>
    </w:p>
    <w:p>
      <w:pPr>
        <w:rPr>
          <w:rFonts w:ascii="Times New Roman" w:hAnsi="Times New Roman" w:cs="Times New Roman"/>
          <w:sz w:val="32"/>
          <w:szCs w:val="32"/>
          <w:lang w:val="zh-CN"/>
        </w:rPr>
      </w:pPr>
    </w:p>
    <w:p>
      <w:pPr>
        <w:rPr>
          <w:rFonts w:ascii="Times New Roman" w:hAnsi="Times New Roman" w:cs="Times New Roman"/>
          <w:sz w:val="32"/>
          <w:szCs w:val="32"/>
          <w:lang w:val="zh-CN"/>
        </w:rPr>
      </w:pPr>
      <w:r>
        <w:rPr>
          <w:rFonts w:ascii="Times New Roman" w:hAnsi="Times New Roman" w:cs="Times New Roman"/>
          <w:sz w:val="32"/>
          <w:szCs w:val="32"/>
          <w:lang w:val="zh-CN"/>
        </w:rPr>
        <w:t>administrator/reprezentant                                ____________________</w:t>
      </w:r>
    </w:p>
    <w:p>
      <w:pPr>
        <w:rPr>
          <w:rFonts w:ascii="Times New Roman" w:hAnsi="Times New Roman" w:cs="Times New Roman"/>
          <w:sz w:val="24"/>
          <w:szCs w:val="24"/>
          <w:lang w:val="zh-CN"/>
        </w:rPr>
      </w:pPr>
      <w:r>
        <w:rPr>
          <w:rFonts w:ascii="Times New Roman" w:hAnsi="Times New Roman" w:cs="Times New Roman"/>
          <w:sz w:val="24"/>
          <w:szCs w:val="24"/>
          <w:lang w:val="zh-CN"/>
        </w:rPr>
        <w:t xml:space="preserve">                                                                                                         Nume, prenume, nr.de telefon</w:t>
      </w:r>
    </w:p>
    <w:p>
      <w:pPr>
        <w:rPr>
          <w:rFonts w:ascii="Times New Roman" w:hAnsi="Times New Roman" w:cs="Times New Roman"/>
          <w:b/>
          <w:sz w:val="28"/>
          <w:szCs w:val="28"/>
          <w:lang w:val="zh-CN"/>
        </w:rPr>
      </w:pPr>
      <w:r>
        <w:rPr>
          <w:rFonts w:ascii="Times New Roman" w:hAnsi="Times New Roman" w:cs="Times New Roman"/>
          <w:b/>
          <w:sz w:val="28"/>
          <w:szCs w:val="28"/>
          <w:lang w:val="zh-CN"/>
        </w:rPr>
        <w:t>L.Ș.</w:t>
      </w:r>
    </w:p>
    <w:p>
      <w:pPr>
        <w:tabs>
          <w:tab w:val="right" w:pos="9360"/>
        </w:tabs>
        <w:rPr>
          <w:rFonts w:ascii="Times New Roman" w:hAnsi="Times New Roman" w:cs="Times New Roman"/>
          <w:i/>
          <w:sz w:val="24"/>
          <w:szCs w:val="24"/>
          <w:u w:val="single"/>
          <w:lang w:val="zh-CN"/>
        </w:rPr>
      </w:pPr>
      <w:r>
        <w:rPr>
          <w:rFonts w:ascii="Times New Roman" w:hAnsi="Times New Roman" w:cs="Times New Roman"/>
          <w:i/>
          <w:sz w:val="24"/>
          <w:szCs w:val="24"/>
          <w:u w:val="single"/>
          <w:lang w:val="zh-CN"/>
        </w:rPr>
        <w:t>Anexe:</w:t>
      </w:r>
    </w:p>
    <w:p>
      <w:pPr>
        <w:pStyle w:val="23"/>
        <w:numPr>
          <w:ilvl w:val="0"/>
          <w:numId w:val="23"/>
        </w:numPr>
        <w:tabs>
          <w:tab w:val="left" w:pos="851"/>
        </w:tabs>
        <w:spacing w:after="0" w:line="240" w:lineRule="auto"/>
        <w:ind w:left="567" w:hanging="425"/>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Copia actului ce atestă dreptul de proprietate sau folosință asupra terenului/imobilului în care urmează sa fie organizată parcajul sau parcarea privată;</w:t>
      </w:r>
    </w:p>
    <w:p>
      <w:pPr>
        <w:pStyle w:val="23"/>
        <w:numPr>
          <w:ilvl w:val="0"/>
          <w:numId w:val="23"/>
        </w:numPr>
        <w:tabs>
          <w:tab w:val="left" w:pos="851"/>
        </w:tabs>
        <w:spacing w:after="0" w:line="240" w:lineRule="auto"/>
        <w:ind w:left="567" w:hanging="425"/>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Certificatul de urbanism eliberat de DGAURF;</w:t>
      </w:r>
    </w:p>
    <w:p>
      <w:pPr>
        <w:pStyle w:val="23"/>
        <w:numPr>
          <w:ilvl w:val="0"/>
          <w:numId w:val="23"/>
        </w:numPr>
        <w:tabs>
          <w:tab w:val="left" w:pos="851"/>
        </w:tabs>
        <w:spacing w:after="0" w:line="240" w:lineRule="auto"/>
        <w:ind w:left="567" w:hanging="425"/>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Planul lotului/imobilului la scara 1:2000;</w:t>
      </w:r>
    </w:p>
    <w:p>
      <w:pPr>
        <w:pStyle w:val="23"/>
        <w:numPr>
          <w:ilvl w:val="0"/>
          <w:numId w:val="23"/>
        </w:numPr>
        <w:tabs>
          <w:tab w:val="left" w:pos="851"/>
        </w:tabs>
        <w:spacing w:after="0" w:line="240" w:lineRule="auto"/>
        <w:ind w:left="567" w:hanging="425"/>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 xml:space="preserve">Planul/proiectul parcării, executat la scara 1:500 </w:t>
      </w:r>
      <w:r>
        <w:rPr>
          <w:i/>
          <w:iCs/>
          <w:lang w:val="zh-CN"/>
        </w:rPr>
        <w:t>(</w:t>
      </w:r>
      <w:r>
        <w:rPr>
          <w:rFonts w:ascii="Times New Roman" w:hAnsi="Times New Roman" w:cs="Times New Roman"/>
          <w:bCs/>
          <w:i/>
          <w:iCs/>
          <w:sz w:val="20"/>
          <w:szCs w:val="20"/>
          <w:lang w:val="zh-CN"/>
        </w:rPr>
        <w:t>aprobat de Departamentul arhitectură și urbanism al Primăriei municipiului Chișinău);</w:t>
      </w:r>
    </w:p>
    <w:p>
      <w:pPr>
        <w:pStyle w:val="23"/>
        <w:numPr>
          <w:ilvl w:val="0"/>
          <w:numId w:val="23"/>
        </w:numPr>
        <w:tabs>
          <w:tab w:val="left" w:pos="851"/>
        </w:tabs>
        <w:spacing w:after="0" w:line="240" w:lineRule="auto"/>
        <w:ind w:left="567" w:hanging="425"/>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Dovada lipsei restanțelor față de buget.</w:t>
      </w:r>
    </w:p>
    <w:p>
      <w:pPr>
        <w:pStyle w:val="23"/>
        <w:numPr>
          <w:ilvl w:val="0"/>
          <w:numId w:val="23"/>
        </w:numPr>
        <w:tabs>
          <w:tab w:val="left" w:pos="851"/>
        </w:tabs>
        <w:spacing w:after="0" w:line="240" w:lineRule="auto"/>
        <w:ind w:left="567" w:hanging="425"/>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Certificat de înregistrare a întreprinderii și/sau extras din Registrul de Stat a persoanelor juridice;</w:t>
      </w:r>
    </w:p>
    <w:p>
      <w:pPr>
        <w:pStyle w:val="23"/>
        <w:numPr>
          <w:ilvl w:val="0"/>
          <w:numId w:val="23"/>
        </w:numPr>
        <w:tabs>
          <w:tab w:val="left" w:pos="851"/>
        </w:tabs>
        <w:spacing w:after="0" w:line="240" w:lineRule="auto"/>
        <w:ind w:left="567" w:hanging="425"/>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Regulamentul de utilizare a parcajului sau parcării private cu plată”;</w:t>
      </w:r>
    </w:p>
    <w:p>
      <w:pPr>
        <w:pStyle w:val="23"/>
        <w:numPr>
          <w:ilvl w:val="0"/>
          <w:numId w:val="23"/>
        </w:numPr>
        <w:tabs>
          <w:tab w:val="left" w:pos="851"/>
        </w:tabs>
        <w:spacing w:after="0" w:line="240" w:lineRule="auto"/>
        <w:ind w:left="567" w:hanging="425"/>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Copia buletinului al administratorului persoanei juridice;</w:t>
      </w:r>
    </w:p>
    <w:bookmarkEnd w:id="93"/>
    <w:p>
      <w:pPr>
        <w:ind w:left="567" w:hanging="425"/>
        <w:rPr>
          <w:rFonts w:ascii="Times New Roman" w:hAnsi="Times New Roman" w:cs="Times New Roman"/>
          <w:sz w:val="28"/>
          <w:szCs w:val="28"/>
          <w:lang w:val="zh-CN"/>
        </w:rPr>
      </w:pPr>
    </w:p>
    <w:p>
      <w:pPr>
        <w:pStyle w:val="3"/>
        <w:pageBreakBefore/>
        <w:spacing w:before="0" w:line="240" w:lineRule="auto"/>
        <w:jc w:val="right"/>
        <w:rPr>
          <w:rFonts w:ascii="Times New Roman" w:hAnsi="Times New Roman" w:eastAsia="Calibri" w:cs="Times New Roman"/>
          <w:b/>
          <w:bCs/>
          <w:color w:val="auto"/>
          <w:sz w:val="24"/>
          <w:szCs w:val="24"/>
          <w:lang w:val="zh-CN"/>
        </w:rPr>
      </w:pPr>
      <w:bookmarkStart w:id="95" w:name="_Toc164640899"/>
      <w:bookmarkStart w:id="96" w:name="_Hlk164341530"/>
      <w:r>
        <w:rPr>
          <w:rFonts w:ascii="Times New Roman" w:hAnsi="Times New Roman" w:eastAsia="Calibri" w:cs="Times New Roman"/>
          <w:b/>
          <w:bCs/>
          <w:color w:val="auto"/>
          <w:sz w:val="24"/>
          <w:szCs w:val="24"/>
          <w:lang w:val="zh-CN"/>
        </w:rPr>
        <w:t xml:space="preserve">Anexa nr. </w:t>
      </w:r>
      <w:bookmarkEnd w:id="95"/>
      <w:r>
        <w:rPr>
          <w:rFonts w:ascii="Times New Roman" w:hAnsi="Times New Roman" w:eastAsia="Calibri" w:cs="Times New Roman"/>
          <w:b/>
          <w:bCs/>
          <w:color w:val="auto"/>
          <w:sz w:val="24"/>
          <w:szCs w:val="24"/>
          <w:lang w:val="zh-CN"/>
        </w:rPr>
        <w:t xml:space="preserve">4 </w:t>
      </w:r>
    </w:p>
    <w:p>
      <w:pPr>
        <w:spacing w:after="0" w:line="240" w:lineRule="auto"/>
        <w:ind w:left="382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 xml:space="preserve">la  Regulamentul cu privire la organizarea și funcționarea parcărilor și parcajelor publice din municipiul Chișinău, </w:t>
      </w:r>
    </w:p>
    <w:p>
      <w:pPr>
        <w:spacing w:after="0" w:line="240" w:lineRule="auto"/>
        <w:ind w:left="467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 xml:space="preserve">aprobat prin Decizia Consiliului municipal Chișinău </w:t>
      </w:r>
    </w:p>
    <w:p>
      <w:pPr>
        <w:spacing w:after="0" w:line="240" w:lineRule="auto"/>
        <w:ind w:left="467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nr. ____ din  ”__”_______ 202__.</w:t>
      </w:r>
    </w:p>
    <w:p>
      <w:pPr>
        <w:tabs>
          <w:tab w:val="left" w:pos="6330"/>
        </w:tabs>
        <w:spacing w:after="0"/>
        <w:jc w:val="right"/>
        <w:rPr>
          <w:rFonts w:ascii="Times New Roman" w:hAnsi="Times New Roman" w:cs="Times New Roman"/>
          <w:sz w:val="28"/>
          <w:szCs w:val="28"/>
          <w:lang w:val="zh-CN"/>
        </w:rPr>
      </w:pPr>
      <w:r>
        <w:rPr>
          <w:rFonts w:ascii="Times New Roman" w:hAnsi="Times New Roman" w:cs="Times New Roman"/>
          <w:sz w:val="28"/>
          <w:szCs w:val="28"/>
          <w:lang w:val="zh-CN"/>
        </w:rPr>
        <w:t xml:space="preserve">                                                          </w:t>
      </w:r>
    </w:p>
    <w:p>
      <w:pPr>
        <w:spacing w:after="0"/>
        <w:ind w:left="3828"/>
        <w:rPr>
          <w:rFonts w:ascii="Times New Roman" w:hAnsi="Times New Roman" w:eastAsia="Times New Roman" w:cs="Times New Roman"/>
          <w:sz w:val="28"/>
          <w:szCs w:val="28"/>
          <w:lang w:val="zh-CN" w:eastAsia="ru-RU"/>
        </w:rPr>
      </w:pPr>
      <w:bookmarkStart w:id="97" w:name="_Hlk165983896"/>
      <w:r>
        <w:rPr>
          <w:rFonts w:ascii="Times New Roman" w:hAnsi="Times New Roman" w:cs="Times New Roman"/>
          <w:sz w:val="28"/>
          <w:szCs w:val="28"/>
          <w:lang w:val="zh-CN"/>
        </w:rPr>
        <w:t xml:space="preserve">       </w:t>
      </w:r>
      <w:r>
        <w:rPr>
          <w:rFonts w:ascii="Times New Roman" w:hAnsi="Times New Roman" w:cs="Times New Roman"/>
          <w:sz w:val="30"/>
          <w:szCs w:val="30"/>
          <w:lang w:val="zh-CN"/>
        </w:rPr>
        <w:t xml:space="preserve">       </w:t>
      </w:r>
      <w:r>
        <w:rPr>
          <w:rFonts w:ascii="Times New Roman" w:hAnsi="Times New Roman" w:eastAsia="Times New Roman" w:cs="Times New Roman"/>
          <w:b/>
          <w:sz w:val="28"/>
          <w:szCs w:val="28"/>
          <w:lang w:val="zh-CN" w:eastAsia="ru-RU"/>
        </w:rPr>
        <w:t>Domnului Vitalie MIHALACHE</w:t>
      </w:r>
    </w:p>
    <w:p>
      <w:pPr>
        <w:spacing w:after="0" w:line="276" w:lineRule="auto"/>
        <w:ind w:left="3828"/>
        <w:rPr>
          <w:rFonts w:ascii="Times New Roman" w:hAnsi="Times New Roman" w:eastAsia="Times New Roman" w:cs="Times New Roman"/>
          <w:b/>
          <w:sz w:val="28"/>
          <w:szCs w:val="28"/>
          <w:lang w:val="zh-CN" w:eastAsia="ru-RU"/>
        </w:rPr>
      </w:pPr>
      <w:r>
        <w:rPr>
          <w:rFonts w:ascii="Times New Roman" w:hAnsi="Times New Roman" w:eastAsia="Times New Roman" w:cs="Times New Roman"/>
          <w:b/>
          <w:sz w:val="28"/>
          <w:szCs w:val="28"/>
          <w:lang w:val="zh-CN" w:eastAsia="ru-RU"/>
        </w:rPr>
        <w:t>Şef al Direcţiei Generale Mobilitate Urbană</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De la </w:t>
      </w:r>
      <w:r>
        <w:rPr>
          <w:rFonts w:ascii="Times New Roman" w:hAnsi="Times New Roman" w:eastAsia="Times New Roman" w:cs="Times New Roman"/>
          <w:sz w:val="28"/>
          <w:szCs w:val="28"/>
          <w:lang w:val="zh-CN" w:eastAsia="ru-RU"/>
        </w:rPr>
        <w:t>__________________________________</w:t>
      </w:r>
    </w:p>
    <w:p>
      <w:pPr>
        <w:spacing w:after="0" w:line="276" w:lineRule="auto"/>
        <w:ind w:left="3828"/>
        <w:rPr>
          <w:rFonts w:ascii="Times New Roman" w:hAnsi="Times New Roman" w:eastAsia="Times New Roman" w:cs="Times New Roman"/>
          <w:sz w:val="16"/>
          <w:szCs w:val="16"/>
          <w:lang w:val="zh-CN" w:eastAsia="ru-RU"/>
        </w:rPr>
      </w:pPr>
      <w:r>
        <w:rPr>
          <w:rFonts w:ascii="Times New Roman" w:hAnsi="Times New Roman" w:eastAsia="Times New Roman" w:cs="Times New Roman"/>
          <w:sz w:val="28"/>
          <w:szCs w:val="28"/>
          <w:lang w:val="zh-CN" w:eastAsia="ru-RU"/>
        </w:rPr>
        <w:t xml:space="preserve"> </w:t>
      </w:r>
      <w:r>
        <w:rPr>
          <w:rFonts w:ascii="Times New Roman" w:hAnsi="Times New Roman" w:eastAsia="Times New Roman" w:cs="Times New Roman"/>
          <w:sz w:val="28"/>
          <w:szCs w:val="28"/>
          <w:lang w:val="zh-CN" w:eastAsia="ru-RU"/>
        </w:rPr>
        <w:tab/>
      </w:r>
      <w:r>
        <w:rPr>
          <w:rFonts w:ascii="Times New Roman" w:hAnsi="Times New Roman" w:eastAsia="Times New Roman" w:cs="Times New Roman"/>
          <w:sz w:val="28"/>
          <w:szCs w:val="28"/>
          <w:lang w:val="zh-CN" w:eastAsia="ru-RU"/>
        </w:rPr>
        <w:tab/>
      </w:r>
      <w:r>
        <w:rPr>
          <w:rFonts w:ascii="Times New Roman" w:hAnsi="Times New Roman" w:eastAsia="Times New Roman" w:cs="Times New Roman"/>
          <w:sz w:val="28"/>
          <w:szCs w:val="28"/>
          <w:lang w:val="zh-CN" w:eastAsia="ru-RU"/>
        </w:rPr>
        <w:tab/>
      </w:r>
      <w:r>
        <w:rPr>
          <w:rFonts w:ascii="Times New Roman" w:hAnsi="Times New Roman" w:eastAsia="Times New Roman" w:cs="Times New Roman"/>
          <w:sz w:val="28"/>
          <w:szCs w:val="28"/>
          <w:lang w:val="zh-CN" w:eastAsia="ru-RU"/>
        </w:rPr>
        <w:tab/>
      </w:r>
      <w:r>
        <w:rPr>
          <w:rFonts w:ascii="Times New Roman" w:hAnsi="Times New Roman" w:eastAsia="Times New Roman" w:cs="Times New Roman"/>
          <w:sz w:val="28"/>
          <w:szCs w:val="28"/>
          <w:lang w:val="zh-CN" w:eastAsia="ru-RU"/>
        </w:rPr>
        <w:t xml:space="preserve"> </w:t>
      </w:r>
      <w:r>
        <w:rPr>
          <w:rFonts w:ascii="Times New Roman" w:hAnsi="Times New Roman" w:eastAsia="Times New Roman" w:cs="Times New Roman"/>
          <w:sz w:val="16"/>
          <w:szCs w:val="16"/>
          <w:lang w:val="zh-CN" w:eastAsia="ru-RU"/>
        </w:rPr>
        <w:t>(N.P.P)</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IDNP </w:t>
      </w:r>
      <w:r>
        <w:rPr>
          <w:rFonts w:ascii="Times New Roman" w:hAnsi="Times New Roman" w:eastAsia="Times New Roman" w:cs="Times New Roman"/>
          <w:sz w:val="28"/>
          <w:szCs w:val="28"/>
          <w:lang w:val="zh-CN" w:eastAsia="ru-RU"/>
        </w:rPr>
        <w:t xml:space="preserve"> _________________________________</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Adresa domiciliu </w:t>
      </w:r>
      <w:r>
        <w:rPr>
          <w:rFonts w:ascii="Times New Roman" w:hAnsi="Times New Roman" w:eastAsia="Times New Roman" w:cs="Times New Roman"/>
          <w:sz w:val="28"/>
          <w:szCs w:val="28"/>
          <w:lang w:val="zh-CN" w:eastAsia="ru-RU"/>
        </w:rPr>
        <w:t>________________________</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sz w:val="28"/>
          <w:szCs w:val="28"/>
          <w:lang w:val="zh-CN" w:eastAsia="ru-RU"/>
        </w:rPr>
        <w:t xml:space="preserve">_______________________________________                                                              </w:t>
      </w:r>
    </w:p>
    <w:p>
      <w:pPr>
        <w:tabs>
          <w:tab w:val="left" w:pos="6330"/>
        </w:tabs>
        <w:spacing w:after="0"/>
        <w:jc w:val="right"/>
        <w:rPr>
          <w:rFonts w:ascii="Times New Roman" w:hAnsi="Times New Roman" w:cs="Times New Roman"/>
          <w:sz w:val="28"/>
          <w:szCs w:val="28"/>
          <w:lang w:val="zh-CN"/>
        </w:rPr>
      </w:pPr>
      <w:r>
        <w:rPr>
          <w:rFonts w:ascii="Times New Roman" w:hAnsi="Times New Roman" w:eastAsia="Times New Roman" w:cs="Times New Roman"/>
          <w:b/>
          <w:sz w:val="28"/>
          <w:szCs w:val="28"/>
          <w:lang w:val="zh-CN" w:eastAsia="ru-RU"/>
        </w:rPr>
        <w:t>Nr. de contact</w:t>
      </w:r>
      <w:r>
        <w:rPr>
          <w:rFonts w:ascii="Times New Roman" w:hAnsi="Times New Roman" w:eastAsia="Times New Roman" w:cs="Times New Roman"/>
          <w:sz w:val="28"/>
          <w:szCs w:val="28"/>
          <w:lang w:val="zh-CN" w:eastAsia="ru-RU"/>
        </w:rPr>
        <w:t xml:space="preserve"> __________________________</w:t>
      </w:r>
      <w:r>
        <w:rPr>
          <w:rFonts w:ascii="Times New Roman" w:hAnsi="Times New Roman" w:cs="Times New Roman"/>
          <w:sz w:val="28"/>
          <w:szCs w:val="28"/>
          <w:lang w:val="zh-CN"/>
        </w:rPr>
        <w:t xml:space="preserve">                               </w:t>
      </w:r>
    </w:p>
    <w:p>
      <w:pPr>
        <w:tabs>
          <w:tab w:val="left" w:pos="3465"/>
        </w:tabs>
        <w:spacing w:after="0" w:line="240" w:lineRule="auto"/>
        <w:contextualSpacing/>
        <w:jc w:val="center"/>
        <w:rPr>
          <w:rFonts w:ascii="Times New Roman" w:hAnsi="Times New Roman" w:cs="Times New Roman"/>
          <w:b/>
          <w:bCs/>
          <w:iCs/>
          <w:spacing w:val="80"/>
          <w:sz w:val="32"/>
          <w:szCs w:val="32"/>
          <w:lang w:val="zh-CN"/>
        </w:rPr>
      </w:pPr>
    </w:p>
    <w:bookmarkEnd w:id="97"/>
    <w:p>
      <w:pPr>
        <w:tabs>
          <w:tab w:val="left" w:pos="3465"/>
        </w:tabs>
        <w:spacing w:after="0" w:line="240" w:lineRule="auto"/>
        <w:contextualSpacing/>
        <w:jc w:val="center"/>
        <w:rPr>
          <w:rFonts w:ascii="Times New Roman" w:hAnsi="Times New Roman" w:cs="Times New Roman"/>
          <w:b/>
          <w:bCs/>
          <w:iCs/>
          <w:spacing w:val="80"/>
          <w:sz w:val="32"/>
          <w:szCs w:val="32"/>
          <w:lang w:val="zh-CN"/>
        </w:rPr>
      </w:pPr>
      <w:r>
        <w:rPr>
          <w:rFonts w:ascii="Times New Roman" w:hAnsi="Times New Roman" w:cs="Times New Roman"/>
          <w:b/>
          <w:bCs/>
          <w:iCs/>
          <w:spacing w:val="80"/>
          <w:sz w:val="32"/>
          <w:szCs w:val="32"/>
          <w:lang w:val="zh-CN"/>
        </w:rPr>
        <w:t>CERERE</w:t>
      </w:r>
    </w:p>
    <w:p>
      <w:pPr>
        <w:tabs>
          <w:tab w:val="left" w:pos="3465"/>
        </w:tabs>
        <w:spacing w:after="0" w:line="240" w:lineRule="auto"/>
        <w:contextualSpacing/>
        <w:jc w:val="center"/>
        <w:rPr>
          <w:rFonts w:ascii="Times New Roman" w:hAnsi="Times New Roman" w:cs="Times New Roman"/>
          <w:b/>
          <w:bCs/>
          <w:iCs/>
          <w:sz w:val="32"/>
          <w:szCs w:val="32"/>
          <w:lang w:val="zh-CN"/>
        </w:rPr>
      </w:pPr>
      <w:r>
        <w:rPr>
          <w:rFonts w:ascii="Times New Roman" w:hAnsi="Times New Roman" w:cs="Times New Roman"/>
          <w:b/>
          <w:bCs/>
          <w:iCs/>
          <w:sz w:val="32"/>
          <w:szCs w:val="32"/>
          <w:lang w:val="zh-CN"/>
        </w:rPr>
        <w:t>Privind emiterea abonamentelor pentru instituții publice</w:t>
      </w:r>
    </w:p>
    <w:p>
      <w:pPr>
        <w:ind w:firstLine="720"/>
        <w:jc w:val="both"/>
        <w:rPr>
          <w:rFonts w:ascii="Times New Roman" w:hAnsi="Times New Roman" w:cs="Times New Roman"/>
          <w:sz w:val="32"/>
          <w:szCs w:val="32"/>
          <w:lang w:val="zh-CN"/>
        </w:rPr>
      </w:pPr>
    </w:p>
    <w:p>
      <w:pPr>
        <w:ind w:firstLine="720"/>
        <w:jc w:val="both"/>
        <w:rPr>
          <w:rFonts w:ascii="Times New Roman" w:hAnsi="Times New Roman" w:cs="Times New Roman"/>
          <w:sz w:val="32"/>
          <w:szCs w:val="32"/>
          <w:lang w:val="zh-CN"/>
        </w:rPr>
      </w:pPr>
      <w:r>
        <w:rPr>
          <w:rFonts w:ascii="Times New Roman" w:hAnsi="Times New Roman" w:cs="Times New Roman"/>
          <w:sz w:val="32"/>
          <w:szCs w:val="32"/>
          <w:lang w:val="zh-CN"/>
        </w:rPr>
        <w:t xml:space="preserve">Prin prezenta, solicită emiterea a  ____ (_________________) abonamente pentru parcări și parcaje publice cu plată din zona ___________________ a or. Chișinău pentru autovehicule de serviciu (conform listei anexate) pentru perioada de la ”__”_________202__, până la  ”__”________202__.     </w:t>
      </w:r>
    </w:p>
    <w:p>
      <w:pPr>
        <w:jc w:val="both"/>
        <w:rPr>
          <w:rFonts w:ascii="Times New Roman" w:hAnsi="Times New Roman" w:cs="Times New Roman"/>
          <w:i/>
          <w:iCs/>
          <w:sz w:val="32"/>
          <w:szCs w:val="32"/>
          <w:lang w:val="zh-CN"/>
        </w:rPr>
      </w:pPr>
      <w:r>
        <w:rPr>
          <w:rFonts w:ascii="Times New Roman" w:hAnsi="Times New Roman" w:cs="Times New Roman"/>
          <w:i/>
          <w:iCs/>
          <w:sz w:val="32"/>
          <w:szCs w:val="32"/>
          <w:lang w:val="zh-CN"/>
        </w:rPr>
        <w:t xml:space="preserve">nr.de telefon ______________________________, </w:t>
      </w:r>
    </w:p>
    <w:p>
      <w:pPr>
        <w:jc w:val="both"/>
        <w:rPr>
          <w:rFonts w:ascii="Times New Roman" w:hAnsi="Times New Roman" w:cs="Times New Roman"/>
          <w:i/>
          <w:iCs/>
          <w:sz w:val="32"/>
          <w:szCs w:val="32"/>
          <w:lang w:val="zh-CN"/>
        </w:rPr>
      </w:pPr>
      <w:r>
        <w:rPr>
          <w:rFonts w:ascii="Times New Roman" w:hAnsi="Times New Roman" w:cs="Times New Roman"/>
          <w:i/>
          <w:iCs/>
          <w:sz w:val="32"/>
          <w:szCs w:val="32"/>
          <w:lang w:val="zh-CN"/>
        </w:rPr>
        <w:t>e-mail __________________________________,</w:t>
      </w:r>
    </w:p>
    <w:p>
      <w:pPr>
        <w:rPr>
          <w:rFonts w:ascii="Times New Roman" w:hAnsi="Times New Roman" w:cs="Times New Roman"/>
          <w:sz w:val="32"/>
          <w:szCs w:val="32"/>
          <w:lang w:val="zh-CN"/>
        </w:rPr>
      </w:pPr>
      <w:r>
        <w:rPr>
          <w:rFonts w:ascii="Times New Roman" w:hAnsi="Times New Roman" w:cs="Times New Roman"/>
          <w:sz w:val="32"/>
          <w:szCs w:val="32"/>
          <w:lang w:val="zh-CN"/>
        </w:rPr>
        <w:t>Conducător/administrator/reprezentant  __________________________</w:t>
      </w:r>
    </w:p>
    <w:p>
      <w:pPr>
        <w:ind w:left="5953" w:firstLine="419"/>
        <w:rPr>
          <w:rFonts w:ascii="Times New Roman" w:hAnsi="Times New Roman" w:cs="Times New Roman"/>
          <w:sz w:val="32"/>
          <w:szCs w:val="32"/>
          <w:lang w:val="zh-CN"/>
        </w:rPr>
      </w:pPr>
      <w:r>
        <w:rPr>
          <w:rFonts w:ascii="Times New Roman" w:hAnsi="Times New Roman" w:cs="Times New Roman"/>
          <w:sz w:val="24"/>
          <w:szCs w:val="24"/>
          <w:lang w:val="zh-CN"/>
        </w:rPr>
        <w:t xml:space="preserve">Nume, prenume, </w:t>
      </w:r>
    </w:p>
    <w:p>
      <w:pPr>
        <w:ind w:left="1276"/>
        <w:rPr>
          <w:rFonts w:ascii="Times New Roman" w:hAnsi="Times New Roman" w:cs="Times New Roman"/>
          <w:sz w:val="28"/>
          <w:szCs w:val="28"/>
          <w:lang w:val="zh-CN"/>
        </w:rPr>
      </w:pPr>
      <w:r>
        <w:rPr>
          <w:rFonts w:ascii="Times New Roman" w:hAnsi="Times New Roman" w:cs="Times New Roman"/>
          <w:b/>
          <w:sz w:val="28"/>
          <w:szCs w:val="28"/>
          <w:lang w:val="zh-CN"/>
        </w:rPr>
        <w:t>L.Ș.</w:t>
      </w:r>
    </w:p>
    <w:p>
      <w:pPr>
        <w:rPr>
          <w:rFonts w:ascii="Times New Roman" w:hAnsi="Times New Roman" w:cs="Times New Roman"/>
          <w:sz w:val="24"/>
          <w:szCs w:val="24"/>
          <w:lang w:val="zh-CN"/>
        </w:rPr>
      </w:pPr>
    </w:p>
    <w:p>
      <w:pPr>
        <w:rPr>
          <w:rFonts w:ascii="Times New Roman" w:hAnsi="Times New Roman" w:cs="Times New Roman"/>
          <w:sz w:val="24"/>
          <w:szCs w:val="24"/>
          <w:lang w:val="zh-CN"/>
        </w:rPr>
      </w:pPr>
      <w:r>
        <w:rPr>
          <w:rFonts w:ascii="Times New Roman" w:hAnsi="Times New Roman" w:cs="Times New Roman"/>
          <w:sz w:val="24"/>
          <w:szCs w:val="24"/>
          <w:lang w:val="zh-CN"/>
        </w:rPr>
        <w:t>“____”______________202__</w:t>
      </w:r>
    </w:p>
    <w:p>
      <w:pPr>
        <w:tabs>
          <w:tab w:val="right" w:pos="9360"/>
        </w:tabs>
        <w:rPr>
          <w:rFonts w:ascii="Times New Roman" w:hAnsi="Times New Roman" w:cs="Times New Roman"/>
          <w:i/>
          <w:sz w:val="24"/>
          <w:szCs w:val="24"/>
          <w:u w:val="single"/>
          <w:lang w:val="zh-CN"/>
        </w:rPr>
      </w:pPr>
      <w:r>
        <w:rPr>
          <w:rFonts w:ascii="Times New Roman" w:hAnsi="Times New Roman" w:cs="Times New Roman"/>
          <w:i/>
          <w:sz w:val="24"/>
          <w:szCs w:val="24"/>
          <w:u w:val="single"/>
          <w:lang w:val="zh-CN"/>
        </w:rPr>
        <w:t>Anexe:</w:t>
      </w:r>
    </w:p>
    <w:p>
      <w:pPr>
        <w:pStyle w:val="23"/>
        <w:numPr>
          <w:ilvl w:val="0"/>
          <w:numId w:val="24"/>
        </w:numPr>
        <w:tabs>
          <w:tab w:val="left" w:pos="851"/>
        </w:tabs>
        <w:spacing w:after="0" w:line="240" w:lineRule="auto"/>
        <w:ind w:left="567"/>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Copia extrasului din registrul persoanelor juridice;</w:t>
      </w:r>
    </w:p>
    <w:p>
      <w:pPr>
        <w:pStyle w:val="23"/>
        <w:numPr>
          <w:ilvl w:val="0"/>
          <w:numId w:val="24"/>
        </w:numPr>
        <w:tabs>
          <w:tab w:val="left" w:pos="851"/>
        </w:tabs>
        <w:spacing w:after="0" w:line="240" w:lineRule="auto"/>
        <w:ind w:left="567"/>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Lista autovehiculelor (cu indicarea orarului de lucru, persoanele responsabile de utilizare cu nr. de telefoane).</w:t>
      </w:r>
    </w:p>
    <w:p>
      <w:pPr>
        <w:pStyle w:val="23"/>
        <w:numPr>
          <w:ilvl w:val="0"/>
          <w:numId w:val="24"/>
        </w:numPr>
        <w:tabs>
          <w:tab w:val="left" w:pos="851"/>
        </w:tabs>
        <w:spacing w:after="0" w:line="240" w:lineRule="auto"/>
        <w:ind w:left="567"/>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Copiile pașapoartelor tehnice ale autovehiculelor;</w:t>
      </w:r>
    </w:p>
    <w:p>
      <w:pPr>
        <w:pStyle w:val="23"/>
        <w:numPr>
          <w:ilvl w:val="0"/>
          <w:numId w:val="24"/>
        </w:numPr>
        <w:tabs>
          <w:tab w:val="left" w:pos="851"/>
        </w:tabs>
        <w:spacing w:after="0" w:line="240" w:lineRule="auto"/>
        <w:ind w:left="567"/>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Copile rapoartelor de inspectare tehnică a autovehiculelor;</w:t>
      </w:r>
    </w:p>
    <w:p>
      <w:pPr>
        <w:pStyle w:val="23"/>
        <w:numPr>
          <w:ilvl w:val="0"/>
          <w:numId w:val="24"/>
        </w:numPr>
        <w:tabs>
          <w:tab w:val="left" w:pos="851"/>
        </w:tabs>
        <w:spacing w:after="0" w:line="240" w:lineRule="auto"/>
        <w:ind w:left="567"/>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Copile polițelor RCA;</w:t>
      </w:r>
    </w:p>
    <w:p>
      <w:pPr>
        <w:pStyle w:val="3"/>
        <w:pageBreakBefore/>
        <w:spacing w:before="0" w:line="240" w:lineRule="auto"/>
        <w:jc w:val="right"/>
        <w:rPr>
          <w:rFonts w:ascii="Times New Roman" w:hAnsi="Times New Roman" w:eastAsia="Calibri" w:cs="Times New Roman"/>
          <w:b/>
          <w:bCs/>
          <w:color w:val="auto"/>
          <w:sz w:val="24"/>
          <w:szCs w:val="24"/>
          <w:lang w:val="zh-CN"/>
        </w:rPr>
      </w:pPr>
      <w:bookmarkStart w:id="98" w:name="_Toc164640900"/>
      <w:bookmarkStart w:id="99" w:name="_Hlk164341833"/>
      <w:r>
        <w:rPr>
          <w:rFonts w:ascii="Times New Roman" w:hAnsi="Times New Roman" w:eastAsia="Calibri" w:cs="Times New Roman"/>
          <w:b/>
          <w:bCs/>
          <w:color w:val="auto"/>
          <w:sz w:val="24"/>
          <w:szCs w:val="24"/>
          <w:lang w:val="zh-CN"/>
        </w:rPr>
        <w:t xml:space="preserve">Anexa nr. </w:t>
      </w:r>
      <w:bookmarkEnd w:id="98"/>
      <w:r>
        <w:rPr>
          <w:rFonts w:ascii="Times New Roman" w:hAnsi="Times New Roman" w:eastAsia="Calibri" w:cs="Times New Roman"/>
          <w:b/>
          <w:bCs/>
          <w:color w:val="auto"/>
          <w:sz w:val="24"/>
          <w:szCs w:val="24"/>
          <w:lang w:val="zh-CN"/>
        </w:rPr>
        <w:t>5</w:t>
      </w:r>
    </w:p>
    <w:p>
      <w:pPr>
        <w:spacing w:after="0" w:line="240" w:lineRule="auto"/>
        <w:ind w:left="382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 xml:space="preserve">la  Regulamentul cu privire la organizarea și funcționarea parcărilor și parcajelor publice din municipiul Chișinău, </w:t>
      </w:r>
    </w:p>
    <w:p>
      <w:pPr>
        <w:spacing w:after="0" w:line="240" w:lineRule="auto"/>
        <w:ind w:left="467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 xml:space="preserve">aprobat prin Decizia Consiliului municipal Chișinău </w:t>
      </w:r>
    </w:p>
    <w:p>
      <w:pPr>
        <w:spacing w:after="0" w:line="240" w:lineRule="auto"/>
        <w:ind w:left="467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nr. ____ din  ”__”_______ 202__.</w:t>
      </w:r>
    </w:p>
    <w:p>
      <w:pPr>
        <w:tabs>
          <w:tab w:val="left" w:pos="6330"/>
        </w:tabs>
        <w:spacing w:after="0"/>
        <w:jc w:val="right"/>
        <w:rPr>
          <w:rFonts w:ascii="Times New Roman" w:hAnsi="Times New Roman" w:cs="Times New Roman"/>
          <w:sz w:val="28"/>
          <w:szCs w:val="28"/>
          <w:lang w:val="zh-CN"/>
        </w:rPr>
      </w:pPr>
      <w:r>
        <w:rPr>
          <w:rFonts w:ascii="Times New Roman" w:hAnsi="Times New Roman" w:cs="Times New Roman"/>
          <w:sz w:val="28"/>
          <w:szCs w:val="28"/>
          <w:lang w:val="zh-CN"/>
        </w:rPr>
        <w:t xml:space="preserve">                                                          </w:t>
      </w:r>
    </w:p>
    <w:p>
      <w:pPr>
        <w:spacing w:after="0"/>
        <w:ind w:left="3828"/>
        <w:rPr>
          <w:rFonts w:ascii="Times New Roman" w:hAnsi="Times New Roman" w:eastAsia="Times New Roman" w:cs="Times New Roman"/>
          <w:sz w:val="28"/>
          <w:szCs w:val="28"/>
          <w:lang w:val="zh-CN" w:eastAsia="ru-RU"/>
        </w:rPr>
      </w:pPr>
      <w:r>
        <w:rPr>
          <w:rFonts w:ascii="Times New Roman" w:hAnsi="Times New Roman" w:cs="Times New Roman"/>
          <w:sz w:val="28"/>
          <w:szCs w:val="28"/>
          <w:lang w:val="zh-CN"/>
        </w:rPr>
        <w:t xml:space="preserve">       </w:t>
      </w:r>
      <w:r>
        <w:rPr>
          <w:rFonts w:ascii="Times New Roman" w:hAnsi="Times New Roman" w:cs="Times New Roman"/>
          <w:sz w:val="30"/>
          <w:szCs w:val="30"/>
          <w:lang w:val="zh-CN"/>
        </w:rPr>
        <w:t xml:space="preserve">       </w:t>
      </w:r>
      <w:r>
        <w:rPr>
          <w:rFonts w:ascii="Times New Roman" w:hAnsi="Times New Roman" w:eastAsia="Times New Roman" w:cs="Times New Roman"/>
          <w:b/>
          <w:sz w:val="28"/>
          <w:szCs w:val="28"/>
          <w:lang w:val="zh-CN" w:eastAsia="ru-RU"/>
        </w:rPr>
        <w:t>Domnului Vitalie MIHALACHE</w:t>
      </w:r>
    </w:p>
    <w:p>
      <w:pPr>
        <w:spacing w:after="0" w:line="276" w:lineRule="auto"/>
        <w:ind w:left="3828"/>
        <w:rPr>
          <w:rFonts w:ascii="Times New Roman" w:hAnsi="Times New Roman" w:eastAsia="Times New Roman" w:cs="Times New Roman"/>
          <w:b/>
          <w:sz w:val="28"/>
          <w:szCs w:val="28"/>
          <w:lang w:val="zh-CN" w:eastAsia="ru-RU"/>
        </w:rPr>
      </w:pPr>
      <w:r>
        <w:rPr>
          <w:rFonts w:ascii="Times New Roman" w:hAnsi="Times New Roman" w:eastAsia="Times New Roman" w:cs="Times New Roman"/>
          <w:b/>
          <w:sz w:val="28"/>
          <w:szCs w:val="28"/>
          <w:lang w:val="zh-CN" w:eastAsia="ru-RU"/>
        </w:rPr>
        <w:t>Şef al Direcţiei Generale Mobilitate Urbană</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De la </w:t>
      </w:r>
      <w:r>
        <w:rPr>
          <w:rFonts w:ascii="Times New Roman" w:hAnsi="Times New Roman" w:eastAsia="Times New Roman" w:cs="Times New Roman"/>
          <w:sz w:val="28"/>
          <w:szCs w:val="28"/>
          <w:lang w:val="zh-CN" w:eastAsia="ru-RU"/>
        </w:rPr>
        <w:t>_______________________________</w:t>
      </w:r>
    </w:p>
    <w:p>
      <w:pPr>
        <w:spacing w:after="0" w:line="276" w:lineRule="auto"/>
        <w:ind w:left="3828"/>
        <w:rPr>
          <w:rFonts w:ascii="Times New Roman" w:hAnsi="Times New Roman" w:eastAsia="Times New Roman" w:cs="Times New Roman"/>
          <w:sz w:val="16"/>
          <w:szCs w:val="16"/>
          <w:lang w:val="zh-CN" w:eastAsia="ru-RU"/>
        </w:rPr>
      </w:pPr>
      <w:r>
        <w:rPr>
          <w:rFonts w:ascii="Times New Roman" w:hAnsi="Times New Roman" w:eastAsia="Times New Roman" w:cs="Times New Roman"/>
          <w:sz w:val="28"/>
          <w:szCs w:val="28"/>
          <w:lang w:val="zh-CN" w:eastAsia="ru-RU"/>
        </w:rPr>
        <w:t xml:space="preserve">                    </w:t>
      </w:r>
      <w:r>
        <w:rPr>
          <w:rFonts w:ascii="Times New Roman" w:hAnsi="Times New Roman" w:eastAsia="Times New Roman" w:cs="Times New Roman"/>
          <w:sz w:val="16"/>
          <w:szCs w:val="16"/>
          <w:lang w:val="zh-CN" w:eastAsia="ru-RU"/>
        </w:rPr>
        <w:t>(denumirea persoanei juridice)</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c/f </w:t>
      </w:r>
      <w:r>
        <w:rPr>
          <w:rFonts w:ascii="Times New Roman" w:hAnsi="Times New Roman" w:eastAsia="Times New Roman" w:cs="Times New Roman"/>
          <w:sz w:val="28"/>
          <w:szCs w:val="28"/>
          <w:lang w:val="zh-CN" w:eastAsia="ru-RU"/>
        </w:rPr>
        <w:t xml:space="preserve"> _________________________________</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IBAN  </w:t>
      </w:r>
      <w:r>
        <w:rPr>
          <w:rFonts w:ascii="Times New Roman" w:hAnsi="Times New Roman" w:eastAsia="Times New Roman" w:cs="Times New Roman"/>
          <w:sz w:val="28"/>
          <w:szCs w:val="28"/>
          <w:lang w:val="zh-CN" w:eastAsia="ru-RU"/>
        </w:rPr>
        <w:t>______________________________</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Adresa juridică</w:t>
      </w:r>
      <w:r>
        <w:rPr>
          <w:rFonts w:ascii="Times New Roman" w:hAnsi="Times New Roman" w:eastAsia="Times New Roman" w:cs="Times New Roman"/>
          <w:sz w:val="28"/>
          <w:szCs w:val="28"/>
          <w:lang w:val="zh-CN" w:eastAsia="ru-RU"/>
        </w:rPr>
        <w:t xml:space="preserve"> ______________________</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sz w:val="28"/>
          <w:szCs w:val="28"/>
          <w:lang w:val="zh-CN" w:eastAsia="ru-RU"/>
        </w:rPr>
        <w:t xml:space="preserve">____________________________________                                                              </w:t>
      </w:r>
    </w:p>
    <w:p>
      <w:pPr>
        <w:tabs>
          <w:tab w:val="left" w:pos="6330"/>
        </w:tabs>
        <w:spacing w:after="0"/>
        <w:jc w:val="right"/>
        <w:rPr>
          <w:rFonts w:ascii="Times New Roman" w:hAnsi="Times New Roman" w:cs="Times New Roman"/>
          <w:sz w:val="28"/>
          <w:szCs w:val="28"/>
          <w:lang w:val="zh-CN"/>
        </w:rPr>
      </w:pPr>
      <w:r>
        <w:rPr>
          <w:rFonts w:ascii="Times New Roman" w:hAnsi="Times New Roman" w:eastAsia="Times New Roman" w:cs="Times New Roman"/>
          <w:b/>
          <w:sz w:val="28"/>
          <w:szCs w:val="28"/>
          <w:lang w:val="zh-CN" w:eastAsia="ru-RU"/>
        </w:rPr>
        <w:t>Nr. de contact</w:t>
      </w:r>
      <w:r>
        <w:rPr>
          <w:rFonts w:ascii="Times New Roman" w:hAnsi="Times New Roman" w:eastAsia="Times New Roman" w:cs="Times New Roman"/>
          <w:sz w:val="28"/>
          <w:szCs w:val="28"/>
          <w:lang w:val="zh-CN" w:eastAsia="ru-RU"/>
        </w:rPr>
        <w:t xml:space="preserve"> ________________________</w:t>
      </w:r>
      <w:r>
        <w:rPr>
          <w:rFonts w:ascii="Times New Roman" w:hAnsi="Times New Roman" w:cs="Times New Roman"/>
          <w:sz w:val="28"/>
          <w:szCs w:val="28"/>
          <w:lang w:val="zh-CN"/>
        </w:rPr>
        <w:t xml:space="preserve">                               </w:t>
      </w:r>
    </w:p>
    <w:p>
      <w:pPr>
        <w:tabs>
          <w:tab w:val="left" w:pos="3465"/>
        </w:tabs>
        <w:spacing w:after="0" w:line="240" w:lineRule="auto"/>
        <w:contextualSpacing/>
        <w:jc w:val="center"/>
        <w:rPr>
          <w:rFonts w:ascii="Times New Roman" w:hAnsi="Times New Roman" w:cs="Times New Roman"/>
          <w:b/>
          <w:bCs/>
          <w:iCs/>
          <w:spacing w:val="80"/>
          <w:sz w:val="32"/>
          <w:szCs w:val="32"/>
          <w:lang w:val="zh-CN"/>
        </w:rPr>
      </w:pPr>
    </w:p>
    <w:p>
      <w:pPr>
        <w:tabs>
          <w:tab w:val="left" w:pos="3465"/>
        </w:tabs>
        <w:spacing w:after="0" w:line="240" w:lineRule="auto"/>
        <w:contextualSpacing/>
        <w:jc w:val="center"/>
        <w:rPr>
          <w:rFonts w:ascii="Times New Roman" w:hAnsi="Times New Roman" w:cs="Times New Roman"/>
          <w:b/>
          <w:bCs/>
          <w:iCs/>
          <w:spacing w:val="80"/>
          <w:sz w:val="32"/>
          <w:szCs w:val="32"/>
          <w:lang w:val="zh-CN"/>
        </w:rPr>
      </w:pPr>
      <w:r>
        <w:rPr>
          <w:rFonts w:ascii="Times New Roman" w:hAnsi="Times New Roman" w:cs="Times New Roman"/>
          <w:b/>
          <w:bCs/>
          <w:iCs/>
          <w:spacing w:val="80"/>
          <w:sz w:val="32"/>
          <w:szCs w:val="32"/>
          <w:lang w:val="zh-CN"/>
        </w:rPr>
        <w:t>CERERE</w:t>
      </w:r>
    </w:p>
    <w:p>
      <w:pPr>
        <w:tabs>
          <w:tab w:val="left" w:pos="3465"/>
        </w:tabs>
        <w:spacing w:after="0" w:line="240" w:lineRule="auto"/>
        <w:contextualSpacing/>
        <w:jc w:val="center"/>
        <w:rPr>
          <w:rFonts w:ascii="Times New Roman" w:hAnsi="Times New Roman" w:cs="Times New Roman"/>
          <w:b/>
          <w:bCs/>
          <w:iCs/>
          <w:sz w:val="32"/>
          <w:szCs w:val="32"/>
          <w:lang w:val="zh-CN"/>
        </w:rPr>
      </w:pPr>
      <w:r>
        <w:rPr>
          <w:rFonts w:ascii="Times New Roman" w:hAnsi="Times New Roman" w:cs="Times New Roman"/>
          <w:b/>
          <w:bCs/>
          <w:iCs/>
          <w:sz w:val="32"/>
          <w:szCs w:val="32"/>
          <w:lang w:val="zh-CN"/>
        </w:rPr>
        <w:t>Privind de emitere a abonamentului(lor) pentru persoane juridice</w:t>
      </w:r>
    </w:p>
    <w:p>
      <w:pPr>
        <w:ind w:firstLine="720"/>
        <w:jc w:val="both"/>
        <w:rPr>
          <w:rFonts w:ascii="Times New Roman" w:hAnsi="Times New Roman" w:cs="Times New Roman"/>
          <w:sz w:val="32"/>
          <w:szCs w:val="32"/>
          <w:lang w:val="zh-CN"/>
        </w:rPr>
      </w:pPr>
    </w:p>
    <w:p>
      <w:pPr>
        <w:ind w:firstLine="720"/>
        <w:jc w:val="both"/>
        <w:rPr>
          <w:rFonts w:ascii="Times New Roman" w:hAnsi="Times New Roman" w:cs="Times New Roman"/>
          <w:sz w:val="32"/>
          <w:szCs w:val="32"/>
          <w:lang w:val="zh-CN"/>
        </w:rPr>
      </w:pPr>
      <w:r>
        <w:rPr>
          <w:rFonts w:ascii="Times New Roman" w:hAnsi="Times New Roman" w:cs="Times New Roman"/>
          <w:sz w:val="32"/>
          <w:szCs w:val="32"/>
          <w:lang w:val="zh-CN"/>
        </w:rPr>
        <w:t xml:space="preserve">Prin prezenta, solicită emiterea a  ____ (_________________) abonamente pentru parcări și parcaje publice cu plată din zona ___________________ a or. Chișinău, pentru autovehicule de serviciu (conform listei anexate) pentru perioada de la ”__”_________202__, până la  ”__”________202__.     </w:t>
      </w:r>
    </w:p>
    <w:p>
      <w:pPr>
        <w:jc w:val="both"/>
        <w:rPr>
          <w:rFonts w:ascii="Times New Roman" w:hAnsi="Times New Roman" w:cs="Times New Roman"/>
          <w:i/>
          <w:iCs/>
          <w:sz w:val="32"/>
          <w:szCs w:val="32"/>
          <w:lang w:val="zh-CN"/>
        </w:rPr>
      </w:pPr>
      <w:r>
        <w:rPr>
          <w:rFonts w:ascii="Times New Roman" w:hAnsi="Times New Roman" w:cs="Times New Roman"/>
          <w:i/>
          <w:iCs/>
          <w:sz w:val="32"/>
          <w:szCs w:val="32"/>
          <w:lang w:val="zh-CN"/>
        </w:rPr>
        <w:t xml:space="preserve">nr. telefon ______________________________, </w:t>
      </w:r>
    </w:p>
    <w:p>
      <w:pPr>
        <w:jc w:val="both"/>
        <w:rPr>
          <w:rFonts w:ascii="Times New Roman" w:hAnsi="Times New Roman" w:cs="Times New Roman"/>
          <w:i/>
          <w:iCs/>
          <w:sz w:val="32"/>
          <w:szCs w:val="32"/>
          <w:lang w:val="zh-CN"/>
        </w:rPr>
      </w:pPr>
      <w:r>
        <w:rPr>
          <w:rFonts w:ascii="Times New Roman" w:hAnsi="Times New Roman" w:cs="Times New Roman"/>
          <w:i/>
          <w:iCs/>
          <w:sz w:val="32"/>
          <w:szCs w:val="32"/>
          <w:lang w:val="zh-CN"/>
        </w:rPr>
        <w:t>e-mail __________________________________,</w:t>
      </w:r>
    </w:p>
    <w:p>
      <w:pPr>
        <w:spacing w:after="0" w:line="240" w:lineRule="auto"/>
        <w:rPr>
          <w:rFonts w:ascii="Times New Roman" w:hAnsi="Times New Roman" w:cs="Times New Roman"/>
          <w:sz w:val="32"/>
          <w:szCs w:val="32"/>
          <w:lang w:val="zh-CN"/>
        </w:rPr>
      </w:pPr>
      <w:r>
        <w:rPr>
          <w:rFonts w:ascii="Times New Roman" w:hAnsi="Times New Roman" w:cs="Times New Roman"/>
          <w:sz w:val="32"/>
          <w:szCs w:val="32"/>
          <w:lang w:val="zh-CN"/>
        </w:rPr>
        <w:t>Conducător/administrator/reprezentant  __________________________</w:t>
      </w:r>
    </w:p>
    <w:p>
      <w:pPr>
        <w:spacing w:after="0" w:line="240" w:lineRule="auto"/>
        <w:ind w:left="6663" w:firstLine="427"/>
        <w:rPr>
          <w:rFonts w:ascii="Times New Roman" w:hAnsi="Times New Roman" w:cs="Times New Roman"/>
          <w:sz w:val="32"/>
          <w:szCs w:val="32"/>
          <w:vertAlign w:val="superscript"/>
          <w:lang w:val="zh-CN"/>
        </w:rPr>
      </w:pPr>
      <w:r>
        <w:rPr>
          <w:rFonts w:ascii="Times New Roman" w:hAnsi="Times New Roman" w:cs="Times New Roman"/>
          <w:sz w:val="24"/>
          <w:szCs w:val="24"/>
          <w:vertAlign w:val="superscript"/>
          <w:lang w:val="zh-CN"/>
        </w:rPr>
        <w:t>Nume, prenume</w:t>
      </w:r>
    </w:p>
    <w:p>
      <w:pPr>
        <w:ind w:left="1276"/>
        <w:rPr>
          <w:rFonts w:ascii="Times New Roman" w:hAnsi="Times New Roman" w:cs="Times New Roman"/>
          <w:sz w:val="28"/>
          <w:szCs w:val="28"/>
          <w:lang w:val="zh-CN"/>
        </w:rPr>
      </w:pPr>
      <w:r>
        <w:rPr>
          <w:rFonts w:ascii="Times New Roman" w:hAnsi="Times New Roman" w:cs="Times New Roman"/>
          <w:b/>
          <w:sz w:val="28"/>
          <w:szCs w:val="28"/>
          <w:lang w:val="zh-CN"/>
        </w:rPr>
        <w:t>L.Ș.</w:t>
      </w:r>
    </w:p>
    <w:p>
      <w:pPr>
        <w:rPr>
          <w:rFonts w:ascii="Times New Roman" w:hAnsi="Times New Roman" w:cs="Times New Roman"/>
          <w:sz w:val="24"/>
          <w:szCs w:val="24"/>
          <w:lang w:val="zh-CN"/>
        </w:rPr>
      </w:pPr>
      <w:r>
        <w:rPr>
          <w:rFonts w:ascii="Times New Roman" w:hAnsi="Times New Roman" w:cs="Times New Roman"/>
          <w:sz w:val="24"/>
          <w:szCs w:val="24"/>
          <w:lang w:val="zh-CN"/>
        </w:rPr>
        <w:t>“____”______________202__</w:t>
      </w:r>
    </w:p>
    <w:p>
      <w:pPr>
        <w:tabs>
          <w:tab w:val="right" w:pos="9360"/>
        </w:tabs>
        <w:rPr>
          <w:rFonts w:ascii="Times New Roman" w:hAnsi="Times New Roman" w:cs="Times New Roman"/>
          <w:i/>
          <w:sz w:val="24"/>
          <w:szCs w:val="24"/>
          <w:u w:val="single"/>
          <w:lang w:val="zh-CN"/>
        </w:rPr>
      </w:pPr>
      <w:r>
        <w:rPr>
          <w:rFonts w:ascii="Times New Roman" w:hAnsi="Times New Roman" w:cs="Times New Roman"/>
          <w:i/>
          <w:sz w:val="24"/>
          <w:szCs w:val="24"/>
          <w:u w:val="single"/>
          <w:lang w:val="zh-CN"/>
        </w:rPr>
        <w:t>Anexe:</w:t>
      </w:r>
    </w:p>
    <w:p>
      <w:pPr>
        <w:pStyle w:val="23"/>
        <w:numPr>
          <w:ilvl w:val="0"/>
          <w:numId w:val="25"/>
        </w:numPr>
        <w:tabs>
          <w:tab w:val="left" w:pos="851"/>
        </w:tabs>
        <w:spacing w:after="0" w:line="240" w:lineRule="auto"/>
        <w:ind w:left="567"/>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Copia extrasului din registrul persoanelor juridice;</w:t>
      </w:r>
    </w:p>
    <w:p>
      <w:pPr>
        <w:pStyle w:val="23"/>
        <w:numPr>
          <w:ilvl w:val="0"/>
          <w:numId w:val="25"/>
        </w:numPr>
        <w:tabs>
          <w:tab w:val="left" w:pos="851"/>
        </w:tabs>
        <w:spacing w:after="0" w:line="240" w:lineRule="auto"/>
        <w:ind w:left="567"/>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Lista autovehiculelor (cu indicarea orarului de lucru, persoanele responsabile de utilizare cu nr. de telefoane).</w:t>
      </w:r>
    </w:p>
    <w:p>
      <w:pPr>
        <w:pStyle w:val="23"/>
        <w:numPr>
          <w:ilvl w:val="0"/>
          <w:numId w:val="25"/>
        </w:numPr>
        <w:tabs>
          <w:tab w:val="left" w:pos="851"/>
        </w:tabs>
        <w:spacing w:after="0" w:line="240" w:lineRule="auto"/>
        <w:ind w:left="567"/>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Copiile pașapoartelor tehnice ale autovehiculelor</w:t>
      </w:r>
    </w:p>
    <w:p>
      <w:pPr>
        <w:pStyle w:val="23"/>
        <w:numPr>
          <w:ilvl w:val="0"/>
          <w:numId w:val="25"/>
        </w:numPr>
        <w:tabs>
          <w:tab w:val="left" w:pos="851"/>
        </w:tabs>
        <w:spacing w:after="0" w:line="240" w:lineRule="auto"/>
        <w:ind w:left="567"/>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Copiile rapoartelor de inspectare tehnică a autovehiculelor;</w:t>
      </w:r>
    </w:p>
    <w:p>
      <w:pPr>
        <w:pStyle w:val="23"/>
        <w:numPr>
          <w:ilvl w:val="0"/>
          <w:numId w:val="25"/>
        </w:numPr>
        <w:tabs>
          <w:tab w:val="left" w:pos="851"/>
        </w:tabs>
        <w:spacing w:after="0" w:line="240" w:lineRule="auto"/>
        <w:ind w:left="567"/>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Copile polițelor RCA</w:t>
      </w:r>
      <w:r>
        <w:rPr>
          <w:lang w:val="zh-CN"/>
        </w:rPr>
        <w:t xml:space="preserve"> </w:t>
      </w:r>
      <w:r>
        <w:rPr>
          <w:rFonts w:ascii="Times New Roman" w:hAnsi="Times New Roman" w:cs="Times New Roman"/>
          <w:bCs/>
          <w:i/>
          <w:iCs/>
          <w:sz w:val="20"/>
          <w:szCs w:val="20"/>
          <w:lang w:val="zh-CN"/>
        </w:rPr>
        <w:t>a autovehiculelor;</w:t>
      </w:r>
    </w:p>
    <w:p>
      <w:pPr>
        <w:pStyle w:val="23"/>
        <w:numPr>
          <w:ilvl w:val="0"/>
          <w:numId w:val="25"/>
        </w:numPr>
        <w:ind w:left="567"/>
        <w:rPr>
          <w:rFonts w:ascii="Times New Roman" w:hAnsi="Times New Roman" w:cs="Times New Roman"/>
          <w:bCs/>
          <w:i/>
          <w:iCs/>
          <w:sz w:val="20"/>
          <w:szCs w:val="20"/>
          <w:lang w:val="zh-CN"/>
        </w:rPr>
      </w:pPr>
      <w:r>
        <w:rPr>
          <w:rFonts w:ascii="Times New Roman" w:hAnsi="Times New Roman" w:cs="Times New Roman"/>
          <w:bCs/>
          <w:i/>
          <w:iCs/>
          <w:sz w:val="20"/>
          <w:szCs w:val="20"/>
          <w:lang w:val="zh-CN"/>
        </w:rPr>
        <w:t>Declarația pe propria răspundere a solicitantului privind deținerea sau nu în proprietate, gestiune sau folosință a, garajelor, imobilelor cu curți sau alte terenuri, pe care le utilizează pentru parcarea/gararea autovehiculelor, cu identificarea și enumerarea acestora;</w:t>
      </w:r>
    </w:p>
    <w:bookmarkEnd w:id="99"/>
    <w:p>
      <w:pPr>
        <w:pStyle w:val="3"/>
        <w:pageBreakBefore/>
        <w:spacing w:before="0" w:line="240" w:lineRule="auto"/>
        <w:jc w:val="right"/>
        <w:rPr>
          <w:rFonts w:ascii="Times New Roman" w:hAnsi="Times New Roman" w:eastAsia="Calibri" w:cs="Times New Roman"/>
          <w:b/>
          <w:bCs/>
          <w:color w:val="auto"/>
          <w:sz w:val="24"/>
          <w:szCs w:val="24"/>
          <w:lang w:val="zh-CN"/>
        </w:rPr>
      </w:pPr>
      <w:bookmarkStart w:id="100" w:name="_Toc164640901"/>
      <w:r>
        <w:rPr>
          <w:rFonts w:ascii="Times New Roman" w:hAnsi="Times New Roman" w:eastAsia="Calibri" w:cs="Times New Roman"/>
          <w:b/>
          <w:bCs/>
          <w:color w:val="auto"/>
          <w:sz w:val="24"/>
          <w:szCs w:val="24"/>
          <w:lang w:val="zh-CN"/>
        </w:rPr>
        <w:t xml:space="preserve">Anexa nr. </w:t>
      </w:r>
      <w:bookmarkEnd w:id="100"/>
      <w:r>
        <w:rPr>
          <w:rFonts w:ascii="Times New Roman" w:hAnsi="Times New Roman" w:eastAsia="Calibri" w:cs="Times New Roman"/>
          <w:b/>
          <w:bCs/>
          <w:color w:val="auto"/>
          <w:sz w:val="24"/>
          <w:szCs w:val="24"/>
          <w:lang w:val="zh-CN"/>
        </w:rPr>
        <w:t>6</w:t>
      </w:r>
    </w:p>
    <w:p>
      <w:pPr>
        <w:spacing w:after="0" w:line="240" w:lineRule="auto"/>
        <w:ind w:left="382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 xml:space="preserve">la  Regulamentul cu privire la organizarea și funcționarea parcărilor și parcajelor publice din municipiul Chișinău, </w:t>
      </w:r>
    </w:p>
    <w:p>
      <w:pPr>
        <w:spacing w:after="0" w:line="240" w:lineRule="auto"/>
        <w:ind w:left="467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 xml:space="preserve">aprobat prin Decizia Consiliului municipal Chișinău </w:t>
      </w:r>
    </w:p>
    <w:p>
      <w:pPr>
        <w:spacing w:after="0" w:line="240" w:lineRule="auto"/>
        <w:ind w:left="467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nr. ____ din  ”__”_______ 202__.</w:t>
      </w:r>
    </w:p>
    <w:p>
      <w:pPr>
        <w:tabs>
          <w:tab w:val="left" w:pos="6330"/>
        </w:tabs>
        <w:spacing w:after="0"/>
        <w:jc w:val="right"/>
        <w:rPr>
          <w:rFonts w:ascii="Times New Roman" w:hAnsi="Times New Roman" w:cs="Times New Roman"/>
          <w:sz w:val="28"/>
          <w:szCs w:val="28"/>
          <w:lang w:val="zh-CN"/>
        </w:rPr>
      </w:pPr>
      <w:r>
        <w:rPr>
          <w:rFonts w:ascii="Times New Roman" w:hAnsi="Times New Roman" w:cs="Times New Roman"/>
          <w:sz w:val="28"/>
          <w:szCs w:val="28"/>
          <w:lang w:val="zh-CN"/>
        </w:rPr>
        <w:t xml:space="preserve">                                                          </w:t>
      </w:r>
    </w:p>
    <w:p>
      <w:pPr>
        <w:spacing w:after="0"/>
        <w:ind w:left="3828"/>
        <w:rPr>
          <w:rFonts w:ascii="Times New Roman" w:hAnsi="Times New Roman" w:eastAsia="Times New Roman" w:cs="Times New Roman"/>
          <w:sz w:val="28"/>
          <w:szCs w:val="28"/>
          <w:lang w:val="zh-CN" w:eastAsia="ru-RU"/>
        </w:rPr>
      </w:pPr>
      <w:r>
        <w:rPr>
          <w:rFonts w:ascii="Times New Roman" w:hAnsi="Times New Roman" w:cs="Times New Roman"/>
          <w:sz w:val="28"/>
          <w:szCs w:val="28"/>
          <w:lang w:val="zh-CN"/>
        </w:rPr>
        <w:t xml:space="preserve">       </w:t>
      </w:r>
      <w:r>
        <w:rPr>
          <w:rFonts w:ascii="Times New Roman" w:hAnsi="Times New Roman" w:cs="Times New Roman"/>
          <w:sz w:val="30"/>
          <w:szCs w:val="30"/>
          <w:lang w:val="zh-CN"/>
        </w:rPr>
        <w:t xml:space="preserve">       </w:t>
      </w:r>
      <w:r>
        <w:rPr>
          <w:rFonts w:ascii="Times New Roman" w:hAnsi="Times New Roman" w:eastAsia="Times New Roman" w:cs="Times New Roman"/>
          <w:b/>
          <w:sz w:val="28"/>
          <w:szCs w:val="28"/>
          <w:lang w:val="zh-CN" w:eastAsia="ru-RU"/>
        </w:rPr>
        <w:t>Domnului Vitalie MIHALACHE</w:t>
      </w:r>
    </w:p>
    <w:p>
      <w:pPr>
        <w:spacing w:after="0" w:line="276" w:lineRule="auto"/>
        <w:ind w:left="3828"/>
        <w:rPr>
          <w:rFonts w:ascii="Times New Roman" w:hAnsi="Times New Roman" w:eastAsia="Times New Roman" w:cs="Times New Roman"/>
          <w:b/>
          <w:sz w:val="28"/>
          <w:szCs w:val="28"/>
          <w:lang w:val="zh-CN" w:eastAsia="ru-RU"/>
        </w:rPr>
      </w:pPr>
      <w:r>
        <w:rPr>
          <w:rFonts w:ascii="Times New Roman" w:hAnsi="Times New Roman" w:eastAsia="Times New Roman" w:cs="Times New Roman"/>
          <w:b/>
          <w:sz w:val="28"/>
          <w:szCs w:val="28"/>
          <w:lang w:val="zh-CN" w:eastAsia="ru-RU"/>
        </w:rPr>
        <w:t>Șef al Direcției Generale Mobilitate Urbană</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De la </w:t>
      </w:r>
      <w:r>
        <w:rPr>
          <w:rFonts w:ascii="Times New Roman" w:hAnsi="Times New Roman" w:eastAsia="Times New Roman" w:cs="Times New Roman"/>
          <w:sz w:val="28"/>
          <w:szCs w:val="28"/>
          <w:lang w:val="zh-CN" w:eastAsia="ru-RU"/>
        </w:rPr>
        <w:t>__________________________________</w:t>
      </w:r>
    </w:p>
    <w:p>
      <w:pPr>
        <w:spacing w:after="0" w:line="276" w:lineRule="auto"/>
        <w:ind w:left="3828"/>
        <w:rPr>
          <w:rFonts w:ascii="Times New Roman" w:hAnsi="Times New Roman" w:eastAsia="Times New Roman" w:cs="Times New Roman"/>
          <w:sz w:val="16"/>
          <w:szCs w:val="16"/>
          <w:lang w:val="zh-CN" w:eastAsia="ru-RU"/>
        </w:rPr>
      </w:pPr>
      <w:r>
        <w:rPr>
          <w:rFonts w:ascii="Times New Roman" w:hAnsi="Times New Roman" w:eastAsia="Times New Roman" w:cs="Times New Roman"/>
          <w:sz w:val="28"/>
          <w:szCs w:val="28"/>
          <w:lang w:val="zh-CN" w:eastAsia="ru-RU"/>
        </w:rPr>
        <w:t xml:space="preserve">                  </w:t>
      </w:r>
      <w:r>
        <w:rPr>
          <w:rFonts w:ascii="Times New Roman" w:hAnsi="Times New Roman" w:eastAsia="Times New Roman" w:cs="Times New Roman"/>
          <w:sz w:val="28"/>
          <w:szCs w:val="28"/>
          <w:lang w:val="zh-CN" w:eastAsia="ru-RU"/>
        </w:rPr>
        <w:tab/>
      </w:r>
      <w:r>
        <w:rPr>
          <w:rFonts w:ascii="Times New Roman" w:hAnsi="Times New Roman" w:eastAsia="Times New Roman" w:cs="Times New Roman"/>
          <w:sz w:val="28"/>
          <w:szCs w:val="28"/>
          <w:lang w:val="zh-CN" w:eastAsia="ru-RU"/>
        </w:rPr>
        <w:tab/>
      </w:r>
      <w:r>
        <w:rPr>
          <w:rFonts w:ascii="Times New Roman" w:hAnsi="Times New Roman" w:eastAsia="Times New Roman" w:cs="Times New Roman"/>
          <w:sz w:val="28"/>
          <w:szCs w:val="28"/>
          <w:lang w:val="zh-CN" w:eastAsia="ru-RU"/>
        </w:rPr>
        <w:t xml:space="preserve">  </w:t>
      </w:r>
      <w:r>
        <w:rPr>
          <w:rFonts w:ascii="Times New Roman" w:hAnsi="Times New Roman" w:eastAsia="Times New Roman" w:cs="Times New Roman"/>
          <w:sz w:val="16"/>
          <w:szCs w:val="16"/>
          <w:lang w:val="zh-CN" w:eastAsia="ru-RU"/>
        </w:rPr>
        <w:t>(N.P.P)</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IDNP </w:t>
      </w:r>
      <w:r>
        <w:rPr>
          <w:rFonts w:ascii="Times New Roman" w:hAnsi="Times New Roman" w:eastAsia="Times New Roman" w:cs="Times New Roman"/>
          <w:sz w:val="28"/>
          <w:szCs w:val="28"/>
          <w:lang w:val="zh-CN" w:eastAsia="ru-RU"/>
        </w:rPr>
        <w:t xml:space="preserve"> _________________________________</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b/>
          <w:sz w:val="28"/>
          <w:szCs w:val="28"/>
          <w:lang w:val="zh-CN" w:eastAsia="ru-RU"/>
        </w:rPr>
        <w:t xml:space="preserve">Adresa domiciliu </w:t>
      </w:r>
      <w:r>
        <w:rPr>
          <w:rFonts w:ascii="Times New Roman" w:hAnsi="Times New Roman" w:eastAsia="Times New Roman" w:cs="Times New Roman"/>
          <w:sz w:val="28"/>
          <w:szCs w:val="28"/>
          <w:lang w:val="zh-CN" w:eastAsia="ru-RU"/>
        </w:rPr>
        <w:t>________________________</w:t>
      </w:r>
    </w:p>
    <w:p>
      <w:pPr>
        <w:spacing w:after="0" w:line="276" w:lineRule="auto"/>
        <w:ind w:left="3828"/>
        <w:rPr>
          <w:rFonts w:ascii="Times New Roman" w:hAnsi="Times New Roman" w:eastAsia="Times New Roman" w:cs="Times New Roman"/>
          <w:sz w:val="28"/>
          <w:szCs w:val="28"/>
          <w:lang w:val="zh-CN" w:eastAsia="ru-RU"/>
        </w:rPr>
      </w:pPr>
      <w:r>
        <w:rPr>
          <w:rFonts w:ascii="Times New Roman" w:hAnsi="Times New Roman" w:eastAsia="Times New Roman" w:cs="Times New Roman"/>
          <w:sz w:val="28"/>
          <w:szCs w:val="28"/>
          <w:lang w:val="zh-CN" w:eastAsia="ru-RU"/>
        </w:rPr>
        <w:t xml:space="preserve">_______________________________________                                                              </w:t>
      </w:r>
    </w:p>
    <w:p>
      <w:pPr>
        <w:tabs>
          <w:tab w:val="left" w:pos="6330"/>
        </w:tabs>
        <w:spacing w:after="0"/>
        <w:jc w:val="right"/>
        <w:rPr>
          <w:rFonts w:ascii="Times New Roman" w:hAnsi="Times New Roman" w:cs="Times New Roman"/>
          <w:sz w:val="28"/>
          <w:szCs w:val="28"/>
          <w:lang w:val="zh-CN"/>
        </w:rPr>
      </w:pPr>
      <w:r>
        <w:rPr>
          <w:rFonts w:ascii="Times New Roman" w:hAnsi="Times New Roman" w:eastAsia="Times New Roman" w:cs="Times New Roman"/>
          <w:b/>
          <w:sz w:val="28"/>
          <w:szCs w:val="28"/>
          <w:lang w:val="zh-CN" w:eastAsia="ru-RU"/>
        </w:rPr>
        <w:t>Nr. de contact</w:t>
      </w:r>
      <w:r>
        <w:rPr>
          <w:rFonts w:ascii="Times New Roman" w:hAnsi="Times New Roman" w:eastAsia="Times New Roman" w:cs="Times New Roman"/>
          <w:sz w:val="28"/>
          <w:szCs w:val="28"/>
          <w:lang w:val="zh-CN" w:eastAsia="ru-RU"/>
        </w:rPr>
        <w:t xml:space="preserve"> __________________________</w:t>
      </w:r>
      <w:r>
        <w:rPr>
          <w:rFonts w:ascii="Times New Roman" w:hAnsi="Times New Roman" w:cs="Times New Roman"/>
          <w:sz w:val="28"/>
          <w:szCs w:val="28"/>
          <w:lang w:val="zh-CN"/>
        </w:rPr>
        <w:t xml:space="preserve">                               </w:t>
      </w:r>
    </w:p>
    <w:p>
      <w:pPr>
        <w:tabs>
          <w:tab w:val="left" w:pos="3465"/>
        </w:tabs>
        <w:spacing w:after="0" w:line="240" w:lineRule="auto"/>
        <w:contextualSpacing/>
        <w:jc w:val="center"/>
        <w:rPr>
          <w:rFonts w:ascii="Times New Roman" w:hAnsi="Times New Roman" w:cs="Times New Roman"/>
          <w:b/>
          <w:bCs/>
          <w:iCs/>
          <w:spacing w:val="80"/>
          <w:sz w:val="32"/>
          <w:szCs w:val="32"/>
          <w:lang w:val="zh-CN"/>
        </w:rPr>
      </w:pPr>
    </w:p>
    <w:p>
      <w:pPr>
        <w:tabs>
          <w:tab w:val="left" w:pos="3465"/>
        </w:tabs>
        <w:contextualSpacing/>
        <w:jc w:val="center"/>
        <w:rPr>
          <w:rFonts w:ascii="Times New Roman" w:hAnsi="Times New Roman" w:cs="Times New Roman"/>
          <w:b/>
          <w:bCs/>
          <w:iCs/>
          <w:spacing w:val="80"/>
          <w:sz w:val="32"/>
          <w:szCs w:val="32"/>
          <w:lang w:val="zh-CN"/>
        </w:rPr>
      </w:pPr>
    </w:p>
    <w:p>
      <w:pPr>
        <w:tabs>
          <w:tab w:val="left" w:pos="3465"/>
        </w:tabs>
        <w:contextualSpacing/>
        <w:jc w:val="center"/>
        <w:rPr>
          <w:rFonts w:ascii="Times New Roman" w:hAnsi="Times New Roman" w:cs="Times New Roman"/>
          <w:b/>
          <w:bCs/>
          <w:iCs/>
          <w:spacing w:val="80"/>
          <w:sz w:val="32"/>
          <w:szCs w:val="32"/>
          <w:lang w:val="zh-CN"/>
        </w:rPr>
      </w:pPr>
      <w:r>
        <w:rPr>
          <w:rFonts w:ascii="Times New Roman" w:hAnsi="Times New Roman" w:cs="Times New Roman"/>
          <w:b/>
          <w:bCs/>
          <w:iCs/>
          <w:spacing w:val="80"/>
          <w:sz w:val="32"/>
          <w:szCs w:val="32"/>
          <w:lang w:val="zh-CN"/>
        </w:rPr>
        <w:t>CERERE</w:t>
      </w:r>
    </w:p>
    <w:p>
      <w:pPr>
        <w:tabs>
          <w:tab w:val="left" w:pos="3465"/>
        </w:tabs>
        <w:contextualSpacing/>
        <w:jc w:val="center"/>
        <w:rPr>
          <w:rFonts w:ascii="Times New Roman" w:hAnsi="Times New Roman" w:cs="Times New Roman"/>
          <w:b/>
          <w:bCs/>
          <w:iCs/>
          <w:sz w:val="32"/>
          <w:szCs w:val="32"/>
          <w:lang w:val="zh-CN"/>
        </w:rPr>
      </w:pPr>
      <w:r>
        <w:rPr>
          <w:rFonts w:ascii="Times New Roman" w:hAnsi="Times New Roman" w:cs="Times New Roman"/>
          <w:b/>
          <w:bCs/>
          <w:iCs/>
          <w:sz w:val="32"/>
          <w:szCs w:val="32"/>
          <w:lang w:val="zh-CN"/>
        </w:rPr>
        <w:t>Privind emitere a abonamentului(lor) pentru persoane fizice</w:t>
      </w:r>
    </w:p>
    <w:p>
      <w:pPr>
        <w:ind w:firstLine="720"/>
        <w:jc w:val="both"/>
        <w:rPr>
          <w:rFonts w:ascii="Times New Roman" w:hAnsi="Times New Roman" w:cs="Times New Roman"/>
          <w:sz w:val="32"/>
          <w:szCs w:val="32"/>
          <w:lang w:val="zh-CN"/>
        </w:rPr>
      </w:pPr>
    </w:p>
    <w:p>
      <w:pPr>
        <w:ind w:firstLine="720"/>
        <w:jc w:val="both"/>
        <w:rPr>
          <w:rFonts w:ascii="Times New Roman" w:hAnsi="Times New Roman" w:cs="Times New Roman"/>
          <w:sz w:val="32"/>
          <w:szCs w:val="32"/>
          <w:lang w:val="zh-CN"/>
        </w:rPr>
      </w:pPr>
      <w:r>
        <w:rPr>
          <w:rFonts w:ascii="Times New Roman" w:hAnsi="Times New Roman" w:cs="Times New Roman"/>
          <w:sz w:val="32"/>
          <w:szCs w:val="32"/>
          <w:lang w:val="zh-CN"/>
        </w:rPr>
        <w:t xml:space="preserve">Prin prezenta, </w:t>
      </w:r>
      <w:bookmarkStart w:id="101" w:name="_Hlk164345612"/>
      <w:r>
        <w:rPr>
          <w:rFonts w:ascii="Times New Roman" w:hAnsi="Times New Roman" w:cs="Times New Roman"/>
          <w:sz w:val="32"/>
          <w:szCs w:val="32"/>
          <w:lang w:val="zh-CN"/>
        </w:rPr>
        <w:t>solicit emiterea abonamentului pentru parcări și parcaje publice cu plată din zona ___________________ a or. Chișinău</w:t>
      </w:r>
      <w:bookmarkEnd w:id="101"/>
      <w:r>
        <w:rPr>
          <w:rFonts w:ascii="Times New Roman" w:hAnsi="Times New Roman" w:cs="Times New Roman"/>
          <w:sz w:val="32"/>
          <w:szCs w:val="32"/>
          <w:lang w:val="zh-CN"/>
        </w:rPr>
        <w:t xml:space="preserve">,  pentru autovehiculul  cu numărul  de înmatriculare _____________________ pentru perioada de la ”__”_________202__, până la  ”__”________202__ .     </w:t>
      </w:r>
    </w:p>
    <w:p>
      <w:pPr>
        <w:jc w:val="both"/>
        <w:rPr>
          <w:rFonts w:ascii="Times New Roman" w:hAnsi="Times New Roman" w:cs="Times New Roman"/>
          <w:i/>
          <w:iCs/>
          <w:sz w:val="32"/>
          <w:szCs w:val="32"/>
          <w:lang w:val="zh-CN"/>
        </w:rPr>
      </w:pPr>
      <w:r>
        <w:rPr>
          <w:rFonts w:ascii="Times New Roman" w:hAnsi="Times New Roman" w:cs="Times New Roman"/>
          <w:i/>
          <w:iCs/>
          <w:sz w:val="32"/>
          <w:szCs w:val="32"/>
          <w:lang w:val="zh-CN"/>
        </w:rPr>
        <w:t xml:space="preserve">nr.de telefon ______________________________, </w:t>
      </w:r>
    </w:p>
    <w:p>
      <w:pPr>
        <w:jc w:val="both"/>
        <w:rPr>
          <w:rFonts w:ascii="Times New Roman" w:hAnsi="Times New Roman" w:cs="Times New Roman"/>
          <w:i/>
          <w:iCs/>
          <w:sz w:val="32"/>
          <w:szCs w:val="32"/>
          <w:lang w:val="zh-CN"/>
        </w:rPr>
      </w:pPr>
      <w:r>
        <w:rPr>
          <w:rFonts w:ascii="Times New Roman" w:hAnsi="Times New Roman" w:cs="Times New Roman"/>
          <w:i/>
          <w:iCs/>
          <w:sz w:val="32"/>
          <w:szCs w:val="32"/>
          <w:lang w:val="zh-CN"/>
        </w:rPr>
        <w:t>e-mail __________________________________,</w:t>
      </w:r>
    </w:p>
    <w:p>
      <w:pPr>
        <w:rPr>
          <w:rFonts w:ascii="Times New Roman" w:hAnsi="Times New Roman" w:cs="Times New Roman"/>
          <w:sz w:val="32"/>
          <w:szCs w:val="32"/>
          <w:lang w:val="zh-CN"/>
        </w:rPr>
      </w:pPr>
      <w:r>
        <w:rPr>
          <w:rFonts w:ascii="Times New Roman" w:hAnsi="Times New Roman" w:cs="Times New Roman"/>
          <w:sz w:val="32"/>
          <w:szCs w:val="32"/>
          <w:lang w:val="zh-CN"/>
        </w:rPr>
        <w:t>Solicitant                                                __________________________</w:t>
      </w:r>
    </w:p>
    <w:p>
      <w:pPr>
        <w:ind w:left="5953" w:firstLine="419"/>
        <w:rPr>
          <w:rFonts w:ascii="Times New Roman" w:hAnsi="Times New Roman" w:cs="Times New Roman"/>
          <w:sz w:val="32"/>
          <w:szCs w:val="32"/>
          <w:lang w:val="zh-CN"/>
        </w:rPr>
      </w:pPr>
      <w:r>
        <w:rPr>
          <w:rFonts w:ascii="Times New Roman" w:hAnsi="Times New Roman" w:cs="Times New Roman"/>
          <w:sz w:val="24"/>
          <w:szCs w:val="24"/>
          <w:lang w:val="zh-CN"/>
        </w:rPr>
        <w:t xml:space="preserve">Nume, prenume, </w:t>
      </w:r>
    </w:p>
    <w:p>
      <w:pPr>
        <w:rPr>
          <w:rFonts w:ascii="Times New Roman" w:hAnsi="Times New Roman" w:cs="Times New Roman"/>
          <w:sz w:val="24"/>
          <w:szCs w:val="24"/>
          <w:lang w:val="zh-CN"/>
        </w:rPr>
      </w:pPr>
    </w:p>
    <w:p>
      <w:pPr>
        <w:rPr>
          <w:rFonts w:ascii="Times New Roman" w:hAnsi="Times New Roman" w:cs="Times New Roman"/>
          <w:sz w:val="24"/>
          <w:szCs w:val="24"/>
          <w:lang w:val="zh-CN"/>
        </w:rPr>
      </w:pPr>
      <w:r>
        <w:rPr>
          <w:rFonts w:ascii="Times New Roman" w:hAnsi="Times New Roman" w:cs="Times New Roman"/>
          <w:sz w:val="24"/>
          <w:szCs w:val="24"/>
          <w:lang w:val="zh-CN"/>
        </w:rPr>
        <w:t>“____”______________202__</w:t>
      </w:r>
    </w:p>
    <w:p>
      <w:pPr>
        <w:spacing w:after="0"/>
        <w:ind w:firstLine="709"/>
        <w:jc w:val="both"/>
        <w:rPr>
          <w:lang w:val="zh-CN"/>
        </w:rPr>
      </w:pPr>
    </w:p>
    <w:p>
      <w:pPr>
        <w:spacing w:after="0"/>
        <w:ind w:firstLine="709"/>
        <w:jc w:val="both"/>
        <w:rPr>
          <w:lang w:val="zh-CN"/>
        </w:rPr>
      </w:pPr>
    </w:p>
    <w:p>
      <w:pPr>
        <w:tabs>
          <w:tab w:val="right" w:pos="9360"/>
        </w:tabs>
        <w:rPr>
          <w:rFonts w:ascii="Times New Roman" w:hAnsi="Times New Roman" w:cs="Times New Roman"/>
          <w:i/>
          <w:sz w:val="24"/>
          <w:szCs w:val="24"/>
          <w:u w:val="single"/>
          <w:lang w:val="zh-CN"/>
        </w:rPr>
      </w:pPr>
      <w:r>
        <w:rPr>
          <w:rFonts w:ascii="Times New Roman" w:hAnsi="Times New Roman" w:cs="Times New Roman"/>
          <w:i/>
          <w:sz w:val="24"/>
          <w:szCs w:val="24"/>
          <w:u w:val="single"/>
          <w:lang w:val="zh-CN"/>
        </w:rPr>
        <w:t>Anexe:</w:t>
      </w:r>
    </w:p>
    <w:p>
      <w:pPr>
        <w:pStyle w:val="23"/>
        <w:numPr>
          <w:ilvl w:val="0"/>
          <w:numId w:val="26"/>
        </w:numPr>
        <w:tabs>
          <w:tab w:val="left" w:pos="851"/>
        </w:tabs>
        <w:spacing w:after="0" w:line="240" w:lineRule="auto"/>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Copia buletinului de identitate a solicitantului;</w:t>
      </w:r>
    </w:p>
    <w:p>
      <w:pPr>
        <w:pStyle w:val="23"/>
        <w:numPr>
          <w:ilvl w:val="0"/>
          <w:numId w:val="26"/>
        </w:numPr>
        <w:tabs>
          <w:tab w:val="left" w:pos="851"/>
        </w:tabs>
        <w:spacing w:after="0" w:line="240" w:lineRule="auto"/>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Pașaport tehnic a  autovehiculului;</w:t>
      </w:r>
    </w:p>
    <w:p>
      <w:pPr>
        <w:pStyle w:val="23"/>
        <w:numPr>
          <w:ilvl w:val="0"/>
          <w:numId w:val="26"/>
        </w:numPr>
        <w:tabs>
          <w:tab w:val="left" w:pos="851"/>
        </w:tabs>
        <w:spacing w:after="0" w:line="240" w:lineRule="auto"/>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Copia raportului de inspectare tehnică a autovehiculului;</w:t>
      </w:r>
    </w:p>
    <w:p>
      <w:pPr>
        <w:pStyle w:val="23"/>
        <w:numPr>
          <w:ilvl w:val="0"/>
          <w:numId w:val="26"/>
        </w:numPr>
        <w:tabs>
          <w:tab w:val="left" w:pos="851"/>
        </w:tabs>
        <w:spacing w:after="0" w:line="240" w:lineRule="auto"/>
        <w:jc w:val="both"/>
        <w:rPr>
          <w:rFonts w:ascii="Times New Roman" w:hAnsi="Times New Roman" w:cs="Times New Roman"/>
          <w:bCs/>
          <w:i/>
          <w:iCs/>
          <w:sz w:val="20"/>
          <w:szCs w:val="20"/>
          <w:lang w:val="zh-CN"/>
        </w:rPr>
      </w:pPr>
      <w:r>
        <w:rPr>
          <w:rFonts w:ascii="Times New Roman" w:hAnsi="Times New Roman" w:cs="Times New Roman"/>
          <w:bCs/>
          <w:i/>
          <w:iCs/>
          <w:sz w:val="20"/>
          <w:szCs w:val="20"/>
          <w:lang w:val="zh-CN"/>
        </w:rPr>
        <w:t>Copia poliței RCA</w:t>
      </w:r>
      <w:r>
        <w:rPr>
          <w:lang w:val="zh-CN"/>
        </w:rPr>
        <w:t xml:space="preserve"> </w:t>
      </w:r>
      <w:r>
        <w:rPr>
          <w:rFonts w:ascii="Times New Roman" w:hAnsi="Times New Roman" w:cs="Times New Roman"/>
          <w:bCs/>
          <w:i/>
          <w:iCs/>
          <w:sz w:val="20"/>
          <w:szCs w:val="20"/>
          <w:lang w:val="zh-CN"/>
        </w:rPr>
        <w:t>a autovehiculului;</w:t>
      </w:r>
    </w:p>
    <w:bookmarkEnd w:id="96"/>
    <w:p>
      <w:pPr>
        <w:ind w:right="140"/>
        <w:rPr>
          <w:i/>
          <w:sz w:val="28"/>
          <w:szCs w:val="28"/>
          <w:lang w:val="zh-CN"/>
        </w:rPr>
      </w:pPr>
    </w:p>
    <w:p>
      <w:pPr>
        <w:pStyle w:val="3"/>
        <w:pageBreakBefore/>
        <w:spacing w:before="0" w:line="240" w:lineRule="auto"/>
        <w:ind w:left="720"/>
        <w:jc w:val="right"/>
        <w:rPr>
          <w:rFonts w:ascii="Times New Roman" w:hAnsi="Times New Roman" w:eastAsia="Calibri" w:cs="Times New Roman"/>
          <w:b/>
          <w:bCs/>
          <w:color w:val="auto"/>
          <w:sz w:val="24"/>
          <w:szCs w:val="24"/>
          <w:lang w:val="zh-CN"/>
        </w:rPr>
      </w:pPr>
      <w:r>
        <w:rPr>
          <w:rFonts w:ascii="Times New Roman" w:hAnsi="Times New Roman" w:eastAsia="Calibri" w:cs="Times New Roman"/>
          <w:b/>
          <w:bCs/>
          <w:color w:val="auto"/>
          <w:sz w:val="24"/>
          <w:szCs w:val="24"/>
          <w:lang w:val="zh-CN"/>
        </w:rPr>
        <w:t>Anexa nr. 7</w:t>
      </w:r>
    </w:p>
    <w:p>
      <w:pPr>
        <w:spacing w:after="0" w:line="240" w:lineRule="auto"/>
        <w:ind w:left="382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 xml:space="preserve">la  Regulamentul cu privire la organizarea și funcționarea parcărilor și parcajelor din municipiul Chișinău, </w:t>
      </w:r>
    </w:p>
    <w:p>
      <w:pPr>
        <w:spacing w:after="0" w:line="240" w:lineRule="auto"/>
        <w:ind w:left="467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 xml:space="preserve">aprobat prin Decizia Consiliului municipal Chișinău </w:t>
      </w:r>
    </w:p>
    <w:p>
      <w:pPr>
        <w:spacing w:after="0" w:line="240" w:lineRule="auto"/>
        <w:ind w:left="4678"/>
        <w:contextualSpacing/>
        <w:jc w:val="right"/>
        <w:rPr>
          <w:rFonts w:ascii="Times New Roman" w:hAnsi="Times New Roman" w:eastAsia="Calibri" w:cs="Times New Roman"/>
          <w:i/>
          <w:iCs/>
          <w:sz w:val="20"/>
          <w:szCs w:val="20"/>
          <w:lang w:val="zh-CN"/>
        </w:rPr>
      </w:pPr>
      <w:r>
        <w:rPr>
          <w:rFonts w:ascii="Times New Roman" w:hAnsi="Times New Roman" w:eastAsia="Calibri" w:cs="Times New Roman"/>
          <w:i/>
          <w:iCs/>
          <w:sz w:val="20"/>
          <w:szCs w:val="20"/>
          <w:lang w:val="zh-CN"/>
        </w:rPr>
        <w:t>nr. ____ din  ”__”_______ 202__.</w:t>
      </w:r>
    </w:p>
    <w:p>
      <w:pPr>
        <w:spacing w:after="0" w:line="240" w:lineRule="auto"/>
        <w:ind w:left="4678"/>
        <w:contextualSpacing/>
        <w:jc w:val="right"/>
        <w:rPr>
          <w:rFonts w:ascii="Times New Roman" w:hAnsi="Times New Roman" w:eastAsia="Calibri" w:cs="Times New Roman"/>
          <w:i/>
          <w:iCs/>
          <w:sz w:val="20"/>
          <w:szCs w:val="20"/>
          <w:lang w:val="zh-CN"/>
        </w:rPr>
      </w:pPr>
    </w:p>
    <w:p>
      <w:pPr>
        <w:spacing w:after="0" w:line="24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 xml:space="preserve">Procedura de aplicare </w:t>
      </w:r>
    </w:p>
    <w:p>
      <w:pPr>
        <w:spacing w:after="0" w:line="24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a măsurii tehnico-administrative de blocare/deblocare a roților autovehiculelor</w:t>
      </w:r>
    </w:p>
    <w:p>
      <w:pPr>
        <w:spacing w:after="0" w:line="240" w:lineRule="auto"/>
        <w:jc w:val="center"/>
        <w:rPr>
          <w:rFonts w:ascii="Times New Roman" w:hAnsi="Times New Roman" w:cs="Times New Roman"/>
          <w:b/>
          <w:sz w:val="24"/>
          <w:szCs w:val="24"/>
          <w:lang w:val="zh-CN"/>
        </w:rPr>
      </w:pPr>
    </w:p>
    <w:p>
      <w:pPr>
        <w:pStyle w:val="23"/>
        <w:numPr>
          <w:ilvl w:val="0"/>
          <w:numId w:val="27"/>
        </w:numPr>
        <w:shd w:val="clear" w:color="auto" w:fill="FFFFFF" w:themeFill="background1"/>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Măsura tehnico-administrativă de blocare a roților autovehiculelor se dispune în următoarele situații:</w:t>
      </w:r>
    </w:p>
    <w:p>
      <w:pPr>
        <w:pStyle w:val="23"/>
        <w:numPr>
          <w:ilvl w:val="1"/>
          <w:numId w:val="27"/>
        </w:numPr>
        <w:tabs>
          <w:tab w:val="left" w:pos="851"/>
        </w:tabs>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staționarea/parcarea autovehiculului în locul de parcare/parcaj public cu plată, fără achitarea tarifelor aplicabile de parcare/parcaj;</w:t>
      </w:r>
    </w:p>
    <w:p>
      <w:pPr>
        <w:pStyle w:val="23"/>
        <w:numPr>
          <w:ilvl w:val="1"/>
          <w:numId w:val="27"/>
        </w:numPr>
        <w:tabs>
          <w:tab w:val="left" w:pos="851"/>
        </w:tabs>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staționarea/parcarea autovehiculului în locul de parcare/parcaj public cu plată, după expirarea termenului cu mai mult de 15 minute, pentru care a fost achitat tariful de staționare/parcare în locul de parcare/parcaj public cu plată;</w:t>
      </w:r>
    </w:p>
    <w:p>
      <w:pPr>
        <w:pStyle w:val="23"/>
        <w:numPr>
          <w:ilvl w:val="1"/>
          <w:numId w:val="27"/>
        </w:numPr>
        <w:tabs>
          <w:tab w:val="left" w:pos="851"/>
        </w:tabs>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ne afișarea sau expunerea tichetului de parcare/parcaj într-o manieră care să permită descifrarea elementelor de identificare, în cazurile în care afișarea acestuia sub parbriz este obligatorie;</w:t>
      </w:r>
    </w:p>
    <w:p>
      <w:pPr>
        <w:pStyle w:val="23"/>
        <w:numPr>
          <w:ilvl w:val="1"/>
          <w:numId w:val="27"/>
        </w:numPr>
        <w:tabs>
          <w:tab w:val="left" w:pos="851"/>
        </w:tabs>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staționarea/parcarea autovehiculului peste limitele marcajelor locului de parcare/parcaj, sau astfel încât ocupă două sau mai multe locuri de parcare/parcaj;</w:t>
      </w:r>
    </w:p>
    <w:p>
      <w:pPr>
        <w:pStyle w:val="23"/>
        <w:numPr>
          <w:ilvl w:val="1"/>
          <w:numId w:val="27"/>
        </w:numPr>
        <w:tabs>
          <w:tab w:val="left" w:pos="851"/>
        </w:tabs>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staționarea/parcarea autovehiculelor non-electrice pe locurile special amenajate pentru reîncărcarea autovehiculelor electrice;</w:t>
      </w:r>
    </w:p>
    <w:p>
      <w:pPr>
        <w:pStyle w:val="23"/>
        <w:numPr>
          <w:ilvl w:val="1"/>
          <w:numId w:val="27"/>
        </w:numPr>
        <w:tabs>
          <w:tab w:val="left" w:pos="851"/>
        </w:tabs>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staționarea/parcarea abuzivă a autovehiculelor în locurile de parcare/parcaj destinate persoanelor cu dizabilități, marcate corespunzător ori în cazul blocării căilor de acces în parcările/parcajele publice cu plată;</w:t>
      </w:r>
    </w:p>
    <w:p>
      <w:pPr>
        <w:pStyle w:val="23"/>
        <w:numPr>
          <w:ilvl w:val="1"/>
          <w:numId w:val="27"/>
        </w:numPr>
        <w:rPr>
          <w:rFonts w:ascii="Times New Roman" w:hAnsi="Times New Roman" w:cs="Times New Roman"/>
          <w:sz w:val="24"/>
          <w:szCs w:val="24"/>
          <w:lang w:val="zh-CN"/>
        </w:rPr>
      </w:pPr>
      <w:r>
        <w:rPr>
          <w:rFonts w:ascii="Times New Roman" w:hAnsi="Times New Roman" w:cs="Times New Roman"/>
          <w:sz w:val="24"/>
          <w:szCs w:val="24"/>
          <w:lang w:val="zh-CN"/>
        </w:rPr>
        <w:t>ocuparea abuzivă a căilor de acces în parcările/parcajele publice cu plată;</w:t>
      </w:r>
    </w:p>
    <w:p>
      <w:pPr>
        <w:pStyle w:val="23"/>
        <w:numPr>
          <w:ilvl w:val="1"/>
          <w:numId w:val="27"/>
        </w:numPr>
        <w:tabs>
          <w:tab w:val="left" w:pos="851"/>
        </w:tabs>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staționarea/parcarea a autovehiculelor în locurile de parcare/parcaj amenajate cu depășirea masei maxim autorizate și gabaritelor sau cu nerespectarea categoriei de autovehicule pentru care  locurile de parcare/parcaj sunt destinate;</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eastAsia="Calibri" w:cs="Times New Roman"/>
          <w:sz w:val="24"/>
          <w:szCs w:val="24"/>
          <w:lang w:val="zh-CN"/>
        </w:rPr>
        <w:t>Constatarea situațiilor prevăzute în pct.1 al prezentei proceduri, se efectuează de către subdiviziunile responsabile ale Autorității/</w:t>
      </w:r>
      <w:r>
        <w:rPr>
          <w:rFonts w:ascii="Times New Roman" w:hAnsi="Times New Roman" w:cs="Times New Roman"/>
          <w:sz w:val="24"/>
          <w:szCs w:val="24"/>
          <w:lang w:val="zh-CN"/>
        </w:rPr>
        <w:t>administratorului,</w:t>
      </w:r>
      <w:r>
        <w:rPr>
          <w:rFonts w:ascii="Times New Roman" w:hAnsi="Times New Roman" w:eastAsia="Calibri" w:cs="Times New Roman"/>
          <w:sz w:val="24"/>
          <w:szCs w:val="24"/>
          <w:lang w:val="zh-CN"/>
        </w:rPr>
        <w:t xml:space="preserve"> prin intermediul agenților constatatori;</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Măsura tehnico-administrativă de blocare/deblocare a roților autovehiculelor se dispune de către </w:t>
      </w:r>
      <w:r>
        <w:rPr>
          <w:rFonts w:ascii="Times New Roman" w:hAnsi="Times New Roman" w:eastAsia="Calibri" w:cs="Times New Roman"/>
          <w:sz w:val="24"/>
          <w:szCs w:val="24"/>
          <w:lang w:val="zh-CN"/>
        </w:rPr>
        <w:t>Autoritate/</w:t>
      </w:r>
      <w:r>
        <w:rPr>
          <w:rFonts w:ascii="Times New Roman" w:hAnsi="Times New Roman" w:cs="Times New Roman"/>
          <w:sz w:val="24"/>
          <w:szCs w:val="24"/>
          <w:lang w:val="zh-CN"/>
        </w:rPr>
        <w:t>administrator;</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Nu se dispune blocarea roții autovehiculului unei instituții dintre cele prevăzute la pct. 131 și pct.132. În cazul în care s-a efectuat blocarea roții unui astfel de autovehicul, deblocarea acestuia se va face gratuit, necondiționat și în cel mai scurt timp posibil;</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Procesul propriu zis de blocare/deblocare a roților autovehiculelor se înfăptuiește de către personalul instruit și autorizat al </w:t>
      </w:r>
      <w:r>
        <w:rPr>
          <w:rFonts w:ascii="Times New Roman" w:hAnsi="Times New Roman" w:eastAsia="Calibri" w:cs="Times New Roman"/>
          <w:sz w:val="24"/>
          <w:szCs w:val="24"/>
          <w:lang w:val="zh-CN"/>
        </w:rPr>
        <w:t>Autorității/</w:t>
      </w:r>
      <w:r>
        <w:rPr>
          <w:rFonts w:ascii="Times New Roman" w:hAnsi="Times New Roman" w:cs="Times New Roman"/>
          <w:sz w:val="24"/>
          <w:szCs w:val="24"/>
          <w:lang w:val="zh-CN"/>
        </w:rPr>
        <w:t>administratorului, sau poate fi delegat către un operator specializat în acest sens prin intermediul unui contract;</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Blocarea/deblocarea roților autovehiculului nu se dispune în zilele de sâmbăta și duminică, precum și în zilele de sărbători naționale  și locale;</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Blocarea roții autovehiculului se efectuează prin imobilizarea roții stânga față/spate a acestuia, pentru autovehiculele cu amplasarea volanului în partea stânga, cu dispozitive special fabricate în acest sens. Pentru autovehiculele cu amplasarea volanului în partea dreaptă, blocarea roții autovehiculului se efectuează prin imobilizarea roții din dreapta față/spate a acestuia ;</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Blocarea roții motocicletei se efectuează prin imobilizarea roții din față a acesteia/acestuia, cu dispozitive special fabricate în acest sens.</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Dispozitivul de blocare a roții autovehiculului va asigura imposibilitatea îndepărtării acestuia, nepermițând demontarea roții blocate;</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Înainte și după blocarea roții vor fi realizate, fotografii sau video cu autovehiculul a cărui roată a fost blocată, în care sa poată fi vizualizate simultan numărul de înmatriculare al autovehiculul și mecanismul de blocare fixat pe roata acestuia ;</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Numerele de înmatriculare ale autovehiculelor a căror roți au fost blocate se înregistrează automat într-o bază de date - parte componentă a sistemului electronic de management al parcărilor și parcajelor.</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Pe parbrizul autovehiculului sau pe ușa conducătorului acestuia, în zona ghidonului autovehiculului a cărui roată a fost blocată va fi aplicată, o înștiințare care va cuprinde informații cu privire la dispozițiile regulamentului încălcate, măsura tehnico-administrativă aplicată, și informații referitoare la cuantumul și modalitatea de plata a tarifului de blocare/deblocare a roții autovehiculului precum și numărul de telefon care urmează a fi apelat în vederea deblocării roții autovehiculului.</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Cu ocazia blocării roții se va întocmi, un proces-verbal de blocare a roții, iar un exemplar al acestuia va fi înmânat proprietarului/deținătorului legal al autovehiculul a cărui roată a fost blocată, cu ocazia deblocării roții;</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Modelul înștiințării de blocare și Modelul procesului-verbal de blocare/deblocare sunt prevăzute în anexele la prezenta procedură de aplicare a măsurii tehnico-administrative de blocare a roții autovehiculului, și pot fi modificate și/sau completate de către Autoritate</w:t>
      </w:r>
      <w:r>
        <w:rPr>
          <w:rFonts w:ascii="Times New Roman" w:hAnsi="Times New Roman" w:eastAsia="Calibri" w:cs="Times New Roman"/>
          <w:sz w:val="24"/>
          <w:szCs w:val="24"/>
          <w:lang w:val="zh-CN"/>
        </w:rPr>
        <w:t xml:space="preserve">/administrator </w:t>
      </w:r>
      <w:r>
        <w:rPr>
          <w:rFonts w:ascii="Times New Roman" w:hAnsi="Times New Roman" w:cs="Times New Roman"/>
          <w:sz w:val="24"/>
          <w:szCs w:val="24"/>
          <w:lang w:val="zh-CN"/>
        </w:rPr>
        <w:t>în funcție de necesitatea reglementării cât mai exacte a situației reale din teren și de modificările actelor normative intervenite după adoptarea prezentei proceduri;</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Dacă nu se solicită deblocarea roții în termen de 24 (douăzeci și patru) de ore de la blocare (fără luarea în calcul a zilelor de sâmbăta și duminică și zilele de sărbătoare națională și locale), utilizatorului i se aplica un tarif de blocare pentru fiecare zi lucrătoare în care situația persistă.</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Solicitarea de deblocare a roților autovehiculelor poate fi făcută de către Proprietarul/deținătorul legal al autovehiculului în intervalul orar 8:00 - 18:00, în zilele lucrătoare ;</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Deblocarea roții autovehiculului se realizează în intervalul orar 09:00 - 21:00, în zilele lucrătoare, în termen de maxim 3 (trei) ore de la solicitarea efectuată de către proprietarul/deținătorul legal al autovehiculului în cauză.</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Solicitarea de deblocare a roților autovehiculului, și deblocarea acestora poate fi efectuată și în afara intervalului orar prevăzut la pct. 16 și 17 ale prezentei proceduri, în zilele de odihnă și sărbătorile naționale și locale, contra unui tarif de deblocare triplu;</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Deblocarea roții autovehiculului se va efectua în prezența proprietarul/deținătorul legal al autovehiculului, cu întocmirea unui proces-verbal de deblocare, după achitarea tuturor plăților datorate pentru parcare/parcaj, a tarifului de blocare și de deblocare a roților autovehiculului. Până la achitarea tuturor plăților datorate, autovehiculul nu va putea părăsi locul de parcare/parcaj, în care s-a procedat la blocarea roții acestuia.</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Tarifele de blocare și de deblocare a roților autovehiculelor se aprobă prin decizia Consiliului municipiului Chișinău;</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Pentru abaterea repetată înregistrată în baza de date pentru același număr de înmatriculare se aplică un tarif de deblocare dublu;</w:t>
      </w:r>
    </w:p>
    <w:p>
      <w:pPr>
        <w:pStyle w:val="23"/>
        <w:numPr>
          <w:ilvl w:val="0"/>
          <w:numId w:val="27"/>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Sustragerea, deteriorarea sau încercarea de deteriorare a sistemelor de blocare a roților, în conformitate cu legislația în vigoare, constituie infracțiune. În acest caz, Administratorul, după constatarea incidentului, dispune întreprinderea măsurilor legale pentru recuperarea eventualelor pagube create.</w:t>
      </w: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18"/>
          <w:szCs w:val="18"/>
          <w:lang w:val="zh-CN"/>
        </w:rPr>
      </w:pPr>
      <w:r>
        <w:rPr>
          <w:rFonts w:ascii="Times New Roman" w:hAnsi="Times New Roman" w:cs="Times New Roman"/>
          <w:sz w:val="18"/>
          <w:szCs w:val="18"/>
          <w:lang w:val="zh-CN"/>
        </w:rPr>
        <w:t xml:space="preserve">ANEXA nr. 1 </w:t>
      </w:r>
    </w:p>
    <w:p>
      <w:pPr>
        <w:spacing w:after="0" w:line="240" w:lineRule="auto"/>
        <w:jc w:val="both"/>
        <w:rPr>
          <w:rFonts w:ascii="Times New Roman" w:hAnsi="Times New Roman" w:cs="Times New Roman"/>
          <w:sz w:val="18"/>
          <w:szCs w:val="18"/>
          <w:lang w:val="zh-CN"/>
        </w:rPr>
      </w:pPr>
      <w:r>
        <w:rPr>
          <w:rFonts w:ascii="Times New Roman" w:hAnsi="Times New Roman" w:cs="Times New Roman"/>
          <w:sz w:val="18"/>
          <w:szCs w:val="18"/>
          <w:lang w:val="zh-CN"/>
        </w:rPr>
        <w:t xml:space="preserve">la Procedura de aplicare a măsurii </w:t>
      </w:r>
    </w:p>
    <w:p>
      <w:pPr>
        <w:spacing w:after="0" w:line="240" w:lineRule="auto"/>
        <w:jc w:val="both"/>
        <w:rPr>
          <w:rFonts w:ascii="Times New Roman" w:hAnsi="Times New Roman" w:cs="Times New Roman"/>
          <w:sz w:val="18"/>
          <w:szCs w:val="18"/>
          <w:lang w:val="zh-CN"/>
        </w:rPr>
      </w:pPr>
      <w:r>
        <w:rPr>
          <w:rFonts w:ascii="Times New Roman" w:hAnsi="Times New Roman" w:cs="Times New Roman"/>
          <w:sz w:val="18"/>
          <w:szCs w:val="18"/>
          <w:lang w:val="zh-CN"/>
        </w:rPr>
        <w:t>tehnico-administrative de blocare/</w:t>
      </w:r>
    </w:p>
    <w:p>
      <w:pPr>
        <w:spacing w:after="0" w:line="240" w:lineRule="auto"/>
        <w:jc w:val="both"/>
        <w:rPr>
          <w:rFonts w:ascii="Times New Roman" w:hAnsi="Times New Roman" w:cs="Times New Roman"/>
          <w:sz w:val="24"/>
          <w:szCs w:val="24"/>
          <w:lang w:val="zh-CN"/>
        </w:rPr>
      </w:pPr>
      <w:r>
        <w:rPr>
          <w:rFonts w:ascii="Times New Roman" w:hAnsi="Times New Roman" w:cs="Times New Roman"/>
          <w:sz w:val="18"/>
          <w:szCs w:val="18"/>
          <w:lang w:val="zh-CN"/>
        </w:rPr>
        <w:t>deblocare a roților autovehiculelor</w:t>
      </w: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center"/>
        <w:rPr>
          <w:rFonts w:ascii="Times New Roman" w:hAnsi="Times New Roman" w:cs="Times New Roman"/>
          <w:sz w:val="24"/>
          <w:szCs w:val="24"/>
          <w:lang w:val="zh-CN"/>
        </w:rPr>
      </w:pPr>
      <w:r>
        <w:rPr>
          <w:rFonts w:ascii="Times New Roman" w:hAnsi="Times New Roman" w:cs="Times New Roman"/>
          <w:sz w:val="24"/>
          <w:szCs w:val="24"/>
          <w:lang w:val="zh-CN"/>
        </w:rPr>
        <w:t>MODEL</w:t>
      </w: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center"/>
        <w:rPr>
          <w:rFonts w:ascii="Times New Roman" w:hAnsi="Times New Roman" w:cs="Times New Roman"/>
          <w:sz w:val="24"/>
          <w:szCs w:val="24"/>
          <w:lang w:val="zh-CN"/>
        </w:rPr>
      </w:pPr>
      <w:r>
        <w:rPr>
          <w:rFonts w:ascii="Times New Roman" w:hAnsi="Times New Roman" w:cs="Times New Roman"/>
          <w:sz w:val="24"/>
          <w:szCs w:val="24"/>
          <w:lang w:val="zh-CN"/>
        </w:rPr>
        <w:t>ÎNȘTIINȚARE DE BLOCARE</w:t>
      </w:r>
    </w:p>
    <w:p>
      <w:pPr>
        <w:spacing w:after="0" w:line="240" w:lineRule="auto"/>
        <w:ind w:left="284" w:hanging="284"/>
        <w:jc w:val="center"/>
        <w:rPr>
          <w:rFonts w:ascii="Times New Roman" w:hAnsi="Times New Roman" w:cs="Times New Roman"/>
          <w:sz w:val="24"/>
          <w:szCs w:val="24"/>
          <w:lang w:val="zh-CN"/>
        </w:rPr>
      </w:pPr>
      <w:r>
        <w:rPr>
          <w:rFonts w:ascii="Times New Roman" w:hAnsi="Times New Roman" w:cs="Times New Roman"/>
          <w:sz w:val="24"/>
          <w:szCs w:val="24"/>
          <w:lang w:val="zh-CN"/>
        </w:rPr>
        <w:t>a roții autovehiculului</w:t>
      </w:r>
    </w:p>
    <w:p>
      <w:pPr>
        <w:spacing w:after="0" w:line="240" w:lineRule="auto"/>
        <w:ind w:left="284" w:hanging="284"/>
        <w:jc w:val="center"/>
        <w:rPr>
          <w:rFonts w:ascii="Times New Roman" w:hAnsi="Times New Roman" w:cs="Times New Roman"/>
          <w:sz w:val="24"/>
          <w:szCs w:val="24"/>
          <w:lang w:val="zh-CN"/>
        </w:rPr>
      </w:pPr>
      <w:r>
        <w:rPr>
          <w:rFonts w:ascii="Times New Roman" w:hAnsi="Times New Roman" w:cs="Times New Roman"/>
          <w:sz w:val="24"/>
          <w:szCs w:val="24"/>
          <w:lang w:val="zh-CN"/>
        </w:rPr>
        <w:t>Nr........../..................</w:t>
      </w:r>
    </w:p>
    <w:p>
      <w:pPr>
        <w:spacing w:after="0" w:line="240" w:lineRule="auto"/>
        <w:ind w:left="284" w:hanging="284"/>
        <w:jc w:val="center"/>
        <w:rPr>
          <w:rFonts w:ascii="Times New Roman" w:hAnsi="Times New Roman" w:cs="Times New Roman"/>
          <w:sz w:val="24"/>
          <w:szCs w:val="24"/>
          <w:lang w:val="zh-CN"/>
        </w:rPr>
      </w:pPr>
    </w:p>
    <w:p>
      <w:pPr>
        <w:spacing w:after="0" w:line="240" w:lineRule="auto"/>
        <w:ind w:firstLine="709"/>
        <w:jc w:val="both"/>
        <w:rPr>
          <w:rFonts w:ascii="Times New Roman" w:hAnsi="Times New Roman" w:cs="Times New Roman"/>
          <w:sz w:val="24"/>
          <w:szCs w:val="24"/>
          <w:lang w:val="zh-CN"/>
        </w:rPr>
      </w:pPr>
      <w:r>
        <w:rPr>
          <w:rFonts w:ascii="Times New Roman" w:hAnsi="Times New Roman" w:cs="Times New Roman"/>
          <w:sz w:val="24"/>
          <w:szCs w:val="24"/>
          <w:lang w:val="zh-CN"/>
        </w:rPr>
        <w:t>Vă aducem la cunoștință faptul că, ați încălcat prevederile pct............. , ............ din Regulamentul cu privire la organizarea și funcționarea parcărilor și parcajelor în municipiul Chișinău, aprobat prin Decizia CMC nr. ............./....................., motiv pentru care s-a dispus măsura tehnico-administrativă de blocare a roții autovehiculului marca............, cu numărul de înmatriculare .................., astăzi ................., ora ............., conform procesului-verbal de blocare nr. ....../.............., pe care îl veți primi cu ocazia deblocării roții.</w:t>
      </w:r>
    </w:p>
    <w:p>
      <w:pPr>
        <w:spacing w:after="0" w:line="240" w:lineRule="auto"/>
        <w:ind w:firstLine="709"/>
        <w:jc w:val="both"/>
        <w:rPr>
          <w:rFonts w:ascii="Times New Roman" w:hAnsi="Times New Roman" w:cs="Times New Roman"/>
          <w:sz w:val="24"/>
          <w:szCs w:val="24"/>
          <w:lang w:val="zh-CN"/>
        </w:rPr>
      </w:pPr>
      <w:r>
        <w:rPr>
          <w:rFonts w:ascii="Times New Roman" w:hAnsi="Times New Roman" w:cs="Times New Roman"/>
          <w:sz w:val="24"/>
          <w:szCs w:val="24"/>
          <w:lang w:val="zh-CN"/>
        </w:rPr>
        <w:t>Pentru solicitarea deblocării roții apelați numărul ..........., în intervalul orar ............ în zilele lucrătoare.</w:t>
      </w:r>
    </w:p>
    <w:p>
      <w:pPr>
        <w:spacing w:after="0" w:line="240" w:lineRule="auto"/>
        <w:ind w:firstLine="708"/>
        <w:jc w:val="both"/>
        <w:rPr>
          <w:rFonts w:ascii="Times New Roman" w:hAnsi="Times New Roman" w:cs="Times New Roman"/>
          <w:sz w:val="24"/>
          <w:szCs w:val="24"/>
          <w:lang w:val="zh-CN"/>
        </w:rPr>
      </w:pPr>
      <w:r>
        <w:rPr>
          <w:rFonts w:ascii="Times New Roman" w:hAnsi="Times New Roman" w:cs="Times New Roman"/>
          <w:sz w:val="24"/>
          <w:szCs w:val="24"/>
          <w:lang w:val="zh-CN"/>
        </w:rPr>
        <w:t>Operațiunea de deblocare se va efectua în prezența proprietarului/deținătorului legal, în termen de maximum .......ore de la momentul solicitării în intervalul de timp -------, în zilele lucrătoare, și numai după ce veți face dovada achitării :</w:t>
      </w:r>
    </w:p>
    <w:p>
      <w:pPr>
        <w:pStyle w:val="23"/>
        <w:numPr>
          <w:ilvl w:val="0"/>
          <w:numId w:val="28"/>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tarifului de parcare/parcaj în mărime de --------- ;</w:t>
      </w:r>
    </w:p>
    <w:p>
      <w:pPr>
        <w:pStyle w:val="23"/>
        <w:numPr>
          <w:ilvl w:val="0"/>
          <w:numId w:val="28"/>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tarifului de blocare în mărime de ---------- ;</w:t>
      </w:r>
    </w:p>
    <w:p>
      <w:pPr>
        <w:pStyle w:val="23"/>
        <w:numPr>
          <w:ilvl w:val="0"/>
          <w:numId w:val="28"/>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tarifului de deblocare în mărime de ---------- ;.</w:t>
      </w:r>
    </w:p>
    <w:p>
      <w:pPr>
        <w:spacing w:after="0" w:line="240" w:lineRule="auto"/>
        <w:ind w:left="284" w:firstLine="42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Modalitățile de plată sunt următoarele: </w:t>
      </w:r>
    </w:p>
    <w:p>
      <w:pPr>
        <w:spacing w:after="0" w:line="240" w:lineRule="auto"/>
        <w:ind w:left="284" w:hanging="284"/>
        <w:jc w:val="both"/>
        <w:rPr>
          <w:rFonts w:ascii="Times New Roman" w:hAnsi="Times New Roman" w:cs="Times New Roman"/>
          <w:sz w:val="24"/>
          <w:szCs w:val="24"/>
          <w:lang w:val="zh-CN"/>
        </w:rPr>
      </w:pPr>
      <w:bookmarkStart w:id="102" w:name="_Hlk169513766"/>
      <w:r>
        <w:rPr>
          <w:rFonts w:ascii="Times New Roman" w:hAnsi="Times New Roman" w:cs="Times New Roman"/>
          <w:sz w:val="24"/>
          <w:szCs w:val="24"/>
          <w:lang w:val="zh-CN"/>
        </w:rPr>
        <w:t> în numerar la automatele de plată din parcare/parcaj;</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 cu cardul la automatele de plată din parcare/parcaj;</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w:t>
      </w:r>
      <w:r>
        <w:rPr>
          <w:lang w:val="zh-CN"/>
        </w:rPr>
        <w:t xml:space="preserve"> </w:t>
      </w:r>
      <w:r>
        <w:rPr>
          <w:rFonts w:ascii="Times New Roman" w:hAnsi="Times New Roman" w:cs="Times New Roman"/>
          <w:sz w:val="24"/>
          <w:szCs w:val="24"/>
          <w:lang w:val="zh-CN"/>
        </w:rPr>
        <w:t>plata prin intermediul terminalelor de tip CASH-IN (operator:</w:t>
      </w:r>
      <w:r>
        <w:rPr>
          <w:rFonts w:ascii="Times New Roman" w:hAnsi="Times New Roman" w:cs="Times New Roman"/>
          <w:sz w:val="24"/>
          <w:szCs w:val="24"/>
          <w:u w:val="single"/>
          <w:lang w:val="zh-CN"/>
        </w:rPr>
        <w:t xml:space="preserve">                                         </w:t>
      </w:r>
      <w:r>
        <w:rPr>
          <w:rFonts w:ascii="Times New Roman" w:hAnsi="Times New Roman" w:cs="Times New Roman"/>
          <w:sz w:val="24"/>
          <w:szCs w:val="24"/>
          <w:lang w:val="zh-CN"/>
        </w:rPr>
        <w:t xml:space="preserve"> );</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 online, pe site-ul autorizat;_______________________;</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 prin aplicația mobilă;</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 prin aplicația mobila a băncii: _______________________(denumirea băncii);</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 </w:t>
      </w:r>
      <w:r>
        <w:rPr>
          <w:rFonts w:ascii="Times New Roman" w:hAnsi="Times New Roman" w:eastAsia="Calibri" w:cs="Times New Roman"/>
          <w:sz w:val="24"/>
          <w:szCs w:val="24"/>
          <w:lang w:val="zh-CN"/>
        </w:rPr>
        <w:t>plata prin transfer bancar</w:t>
      </w:r>
      <w:r>
        <w:rPr>
          <w:rFonts w:ascii="Times New Roman" w:hAnsi="Times New Roman" w:cs="Times New Roman"/>
          <w:sz w:val="24"/>
          <w:szCs w:val="24"/>
          <w:lang w:val="zh-CN"/>
        </w:rPr>
        <w:t>__________________ (denumirea băncii);</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w:t>
      </w:r>
      <w:r>
        <w:rPr>
          <w:rFonts w:ascii="Times New Roman" w:hAnsi="Times New Roman" w:eastAsia="Calibri" w:cs="Times New Roman"/>
          <w:sz w:val="24"/>
          <w:szCs w:val="24"/>
          <w:lang w:val="zh-CN"/>
        </w:rPr>
        <w:t xml:space="preserve"> </w:t>
      </w:r>
      <w:r>
        <w:rPr>
          <w:rFonts w:ascii="Times New Roman" w:hAnsi="Times New Roman" w:cs="Times New Roman"/>
          <w:sz w:val="24"/>
          <w:szCs w:val="24"/>
          <w:lang w:val="zh-CN"/>
        </w:rPr>
        <w:t>SMS.</w:t>
      </w:r>
    </w:p>
    <w:p>
      <w:pPr>
        <w:spacing w:after="0" w:line="240" w:lineRule="auto"/>
        <w:ind w:left="284" w:hanging="284"/>
        <w:jc w:val="both"/>
        <w:rPr>
          <w:rFonts w:ascii="Times New Roman" w:hAnsi="Times New Roman" w:cs="Times New Roman"/>
          <w:sz w:val="24"/>
          <w:szCs w:val="24"/>
          <w:lang w:val="zh-CN"/>
        </w:rPr>
      </w:pPr>
    </w:p>
    <w:bookmarkEnd w:id="102"/>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 </w:t>
      </w: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firstLine="42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Nume și prenume …………………………</w:t>
      </w:r>
    </w:p>
    <w:p>
      <w:pPr>
        <w:rPr>
          <w:lang w:val="zh-CN"/>
        </w:rPr>
      </w:pPr>
      <w:r>
        <w:rPr>
          <w:lang w:val="zh-CN"/>
        </w:rPr>
        <w:t>Semnătura ………………………</w:t>
      </w: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18"/>
          <w:szCs w:val="18"/>
          <w:lang w:val="zh-CN"/>
        </w:rPr>
      </w:pPr>
      <w:r>
        <w:rPr>
          <w:rFonts w:ascii="Times New Roman" w:hAnsi="Times New Roman" w:cs="Times New Roman"/>
          <w:sz w:val="18"/>
          <w:szCs w:val="18"/>
          <w:lang w:val="zh-CN"/>
        </w:rPr>
        <w:t xml:space="preserve">ANEXA nr. 2 </w:t>
      </w:r>
    </w:p>
    <w:p>
      <w:pPr>
        <w:spacing w:after="0" w:line="240" w:lineRule="auto"/>
        <w:jc w:val="both"/>
        <w:rPr>
          <w:rFonts w:ascii="Times New Roman" w:hAnsi="Times New Roman" w:cs="Times New Roman"/>
          <w:sz w:val="18"/>
          <w:szCs w:val="18"/>
          <w:lang w:val="zh-CN"/>
        </w:rPr>
      </w:pPr>
      <w:r>
        <w:rPr>
          <w:rFonts w:ascii="Times New Roman" w:hAnsi="Times New Roman" w:cs="Times New Roman"/>
          <w:sz w:val="18"/>
          <w:szCs w:val="18"/>
          <w:lang w:val="zh-CN"/>
        </w:rPr>
        <w:t xml:space="preserve">la Procedura de aplicare a măsurii </w:t>
      </w:r>
    </w:p>
    <w:p>
      <w:pPr>
        <w:spacing w:after="0" w:line="240" w:lineRule="auto"/>
        <w:jc w:val="both"/>
        <w:rPr>
          <w:rFonts w:ascii="Times New Roman" w:hAnsi="Times New Roman" w:cs="Times New Roman"/>
          <w:sz w:val="18"/>
          <w:szCs w:val="18"/>
          <w:lang w:val="zh-CN"/>
        </w:rPr>
      </w:pPr>
      <w:r>
        <w:rPr>
          <w:rFonts w:ascii="Times New Roman" w:hAnsi="Times New Roman" w:cs="Times New Roman"/>
          <w:sz w:val="18"/>
          <w:szCs w:val="18"/>
          <w:lang w:val="zh-CN"/>
        </w:rPr>
        <w:t>tehnico-administrative de blocare/</w:t>
      </w:r>
    </w:p>
    <w:p>
      <w:pPr>
        <w:spacing w:after="0" w:line="240" w:lineRule="auto"/>
        <w:ind w:left="284" w:hanging="284"/>
        <w:jc w:val="both"/>
        <w:rPr>
          <w:rFonts w:ascii="Times New Roman" w:hAnsi="Times New Roman" w:cs="Times New Roman"/>
          <w:sz w:val="18"/>
          <w:szCs w:val="18"/>
          <w:lang w:val="zh-CN"/>
        </w:rPr>
      </w:pPr>
      <w:r>
        <w:rPr>
          <w:rFonts w:ascii="Times New Roman" w:hAnsi="Times New Roman" w:cs="Times New Roman"/>
          <w:sz w:val="18"/>
          <w:szCs w:val="18"/>
          <w:lang w:val="zh-CN"/>
        </w:rPr>
        <w:t>deblocare a roților autovehiculelor</w:t>
      </w:r>
    </w:p>
    <w:p>
      <w:pPr>
        <w:spacing w:after="0" w:line="240" w:lineRule="auto"/>
        <w:ind w:left="284" w:hanging="284"/>
        <w:jc w:val="center"/>
        <w:rPr>
          <w:rFonts w:ascii="Times New Roman" w:hAnsi="Times New Roman" w:cs="Times New Roman"/>
          <w:sz w:val="24"/>
          <w:szCs w:val="24"/>
          <w:lang w:val="zh-CN"/>
        </w:rPr>
      </w:pPr>
    </w:p>
    <w:p>
      <w:pPr>
        <w:spacing w:after="0" w:line="240" w:lineRule="auto"/>
        <w:ind w:left="284" w:hanging="284"/>
        <w:jc w:val="center"/>
        <w:rPr>
          <w:rFonts w:ascii="Times New Roman" w:hAnsi="Times New Roman" w:cs="Times New Roman"/>
          <w:sz w:val="24"/>
          <w:szCs w:val="24"/>
          <w:lang w:val="zh-CN"/>
        </w:rPr>
      </w:pPr>
      <w:r>
        <w:rPr>
          <w:rFonts w:ascii="Times New Roman" w:hAnsi="Times New Roman" w:cs="Times New Roman"/>
          <w:sz w:val="24"/>
          <w:szCs w:val="24"/>
          <w:lang w:val="zh-CN"/>
        </w:rPr>
        <w:t>MODEL</w:t>
      </w:r>
    </w:p>
    <w:p>
      <w:pPr>
        <w:spacing w:after="0" w:line="240" w:lineRule="auto"/>
        <w:ind w:left="284" w:hanging="284"/>
        <w:jc w:val="center"/>
        <w:rPr>
          <w:rFonts w:ascii="Times New Roman" w:hAnsi="Times New Roman" w:cs="Times New Roman"/>
          <w:sz w:val="24"/>
          <w:szCs w:val="24"/>
          <w:lang w:val="zh-CN"/>
        </w:rPr>
      </w:pPr>
    </w:p>
    <w:p>
      <w:pPr>
        <w:spacing w:after="0" w:line="240" w:lineRule="auto"/>
        <w:ind w:left="284" w:hanging="284"/>
        <w:jc w:val="center"/>
        <w:rPr>
          <w:rFonts w:ascii="Times New Roman" w:hAnsi="Times New Roman" w:cs="Times New Roman"/>
          <w:sz w:val="24"/>
          <w:szCs w:val="24"/>
          <w:lang w:val="zh-CN"/>
        </w:rPr>
      </w:pPr>
      <w:r>
        <w:rPr>
          <w:rFonts w:ascii="Times New Roman" w:hAnsi="Times New Roman" w:cs="Times New Roman"/>
          <w:sz w:val="24"/>
          <w:szCs w:val="24"/>
          <w:lang w:val="zh-CN"/>
        </w:rPr>
        <w:t>PROCES-VERBAL DE BLOCARE</w:t>
      </w:r>
    </w:p>
    <w:p>
      <w:pPr>
        <w:spacing w:after="0" w:line="240" w:lineRule="auto"/>
        <w:ind w:left="284" w:hanging="284"/>
        <w:jc w:val="center"/>
        <w:rPr>
          <w:rFonts w:ascii="Times New Roman" w:hAnsi="Times New Roman" w:cs="Times New Roman"/>
          <w:sz w:val="24"/>
          <w:szCs w:val="24"/>
          <w:lang w:val="zh-CN"/>
        </w:rPr>
      </w:pPr>
      <w:r>
        <w:rPr>
          <w:rFonts w:ascii="Times New Roman" w:hAnsi="Times New Roman" w:cs="Times New Roman"/>
          <w:sz w:val="24"/>
          <w:szCs w:val="24"/>
          <w:lang w:val="zh-CN"/>
        </w:rPr>
        <w:t>a roții autovehiculului</w:t>
      </w:r>
    </w:p>
    <w:p>
      <w:pPr>
        <w:spacing w:after="0" w:line="240" w:lineRule="auto"/>
        <w:ind w:left="284" w:hanging="284"/>
        <w:jc w:val="center"/>
        <w:rPr>
          <w:rFonts w:ascii="Times New Roman" w:hAnsi="Times New Roman" w:cs="Times New Roman"/>
          <w:sz w:val="24"/>
          <w:szCs w:val="24"/>
          <w:lang w:val="zh-CN"/>
        </w:rPr>
      </w:pPr>
    </w:p>
    <w:p>
      <w:pPr>
        <w:spacing w:after="0" w:line="240" w:lineRule="auto"/>
        <w:ind w:firstLine="284"/>
        <w:jc w:val="both"/>
        <w:rPr>
          <w:rFonts w:ascii="Times New Roman" w:hAnsi="Times New Roman" w:cs="Times New Roman"/>
          <w:sz w:val="24"/>
          <w:szCs w:val="24"/>
          <w:lang w:val="zh-CN"/>
        </w:rPr>
      </w:pPr>
      <w:r>
        <w:rPr>
          <w:rFonts w:ascii="Times New Roman" w:hAnsi="Times New Roman" w:cs="Times New Roman"/>
          <w:sz w:val="24"/>
          <w:szCs w:val="24"/>
          <w:lang w:val="zh-CN"/>
        </w:rPr>
        <w:t>Întocmit astăzi, ...................., ora ................., cu ocazia blocării roții autovehiculului marca ..................., cu număr de înmatriculare ................, care a staționat/parcat în Chișinău, str. ................., nr. ..................., sectorul ___________, nr. (codul ID) al locului de parcare/parcaj, .................., încălcând astfel dispozițiile pct.........., ale Regulamentului cu privire la organizarea și funcționarea parcărilor și parcajelor în municipiul Chișinău, aprobat prin Decizia CMC nr. ............./....................., motiv pentru care s-a dispus măsura tehnico-administrativă a blocării roții autovehiculului.</w:t>
      </w:r>
    </w:p>
    <w:p>
      <w:pPr>
        <w:spacing w:after="0" w:line="240" w:lineRule="auto"/>
        <w:ind w:firstLine="284"/>
        <w:jc w:val="both"/>
        <w:rPr>
          <w:rFonts w:ascii="Times New Roman" w:hAnsi="Times New Roman" w:cs="Times New Roman"/>
          <w:sz w:val="24"/>
          <w:szCs w:val="24"/>
          <w:lang w:val="zh-CN"/>
        </w:rPr>
      </w:pPr>
      <w:r>
        <w:rPr>
          <w:rFonts w:ascii="Times New Roman" w:hAnsi="Times New Roman" w:cs="Times New Roman"/>
          <w:sz w:val="24"/>
          <w:szCs w:val="24"/>
          <w:lang w:val="zh-CN"/>
        </w:rPr>
        <w:t>Astăzi, (Nume și prenume agent constatator)................................. din cadrul ______________ am procedat la blocarea roții autovehiculului mai sus-menționat, incidentul fiind înregistrat sub numărul unic ................... în _________________. Cu ocazia blocării s-a efectuat un număr de ...........fotografii/video.</w:t>
      </w:r>
    </w:p>
    <w:p>
      <w:pPr>
        <w:spacing w:after="0" w:line="240" w:lineRule="auto"/>
        <w:ind w:firstLine="284"/>
        <w:jc w:val="both"/>
        <w:rPr>
          <w:rFonts w:ascii="Times New Roman" w:hAnsi="Times New Roman" w:cs="Times New Roman"/>
          <w:sz w:val="24"/>
          <w:szCs w:val="24"/>
          <w:lang w:val="zh-CN"/>
        </w:rPr>
      </w:pPr>
      <w:r>
        <w:rPr>
          <w:rFonts w:ascii="Times New Roman" w:hAnsi="Times New Roman" w:cs="Times New Roman"/>
          <w:sz w:val="24"/>
          <w:szCs w:val="24"/>
          <w:lang w:val="zh-CN"/>
        </w:rPr>
        <w:t>Blocarea roții s-a executat în conformitate cu prevederile și procedura prevăzută în anexa nr.7 a Regulamentului cu privire la organizarea și funcționarea parcărilor și parcajelor în municipiul Chișinău ;</w:t>
      </w:r>
    </w:p>
    <w:p>
      <w:pPr>
        <w:spacing w:after="0" w:line="240" w:lineRule="auto"/>
        <w:ind w:firstLine="284"/>
        <w:jc w:val="both"/>
        <w:rPr>
          <w:rFonts w:ascii="Times New Roman" w:hAnsi="Times New Roman" w:cs="Times New Roman"/>
          <w:sz w:val="24"/>
          <w:szCs w:val="24"/>
          <w:lang w:val="zh-CN"/>
        </w:rPr>
      </w:pPr>
      <w:r>
        <w:rPr>
          <w:rFonts w:ascii="Times New Roman" w:hAnsi="Times New Roman" w:cs="Times New Roman"/>
          <w:sz w:val="24"/>
          <w:szCs w:val="24"/>
          <w:lang w:val="zh-CN"/>
        </w:rPr>
        <w:t>Proprietarului/deținătorului legal al autovehiculului i s-a adus la cunoștință, prin înștiințarea nr. ....../ ............... aplicată pe parbrizul/ușa conducătorului auto/ghidonul autovehiculului, faptul că a încălcat  dispozițiile legale în baza cărora s-a dispus blocarea roții, precum și pașii de urmat pentru efectuarea operațiunii de deblocare.</w:t>
      </w:r>
    </w:p>
    <w:p>
      <w:pPr>
        <w:spacing w:after="0" w:line="240" w:lineRule="auto"/>
        <w:ind w:firstLine="284"/>
        <w:jc w:val="both"/>
        <w:rPr>
          <w:rFonts w:ascii="Times New Roman" w:hAnsi="Times New Roman" w:cs="Times New Roman"/>
          <w:sz w:val="24"/>
          <w:szCs w:val="24"/>
          <w:lang w:val="zh-CN"/>
        </w:rPr>
      </w:pPr>
      <w:r>
        <w:rPr>
          <w:rFonts w:ascii="Times New Roman" w:hAnsi="Times New Roman" w:cs="Times New Roman"/>
          <w:sz w:val="24"/>
          <w:szCs w:val="24"/>
          <w:lang w:val="zh-CN"/>
        </w:rPr>
        <w:t>Prezentul proces-verbal a fost încheiat în 2(două) exemplare, din care un exemplar i se va înmâna proprietarului/deținătorului legal al autovehiculului/vehiculului, cu ocazia deblocării roții.</w:t>
      </w: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Direcția Generală Mobilitate Urbană </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(numele, prenumele și semnătura agentului constatator)</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Am primit un exemplar cu ocazia deblocării roții</w:t>
      </w:r>
    </w:p>
    <w:p>
      <w:pPr>
        <w:spacing w:after="0" w:line="240" w:lineRule="auto"/>
        <w:ind w:left="284" w:hanging="284"/>
        <w:jc w:val="both"/>
        <w:rPr>
          <w:rFonts w:ascii="Times New Roman" w:hAnsi="Times New Roman" w:cs="Times New Roman"/>
          <w:sz w:val="18"/>
          <w:szCs w:val="18"/>
          <w:lang w:val="zh-CN"/>
        </w:rPr>
      </w:pPr>
      <w:r>
        <w:rPr>
          <w:rFonts w:ascii="Times New Roman" w:hAnsi="Times New Roman" w:cs="Times New Roman"/>
          <w:sz w:val="18"/>
          <w:szCs w:val="18"/>
          <w:lang w:val="zh-CN"/>
        </w:rPr>
        <w:t>(numele, prenumele, data și semnătura proprietarului/deținătorului legal al autovehiculului/vehiculului)</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w:t>
      </w: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18"/>
          <w:szCs w:val="18"/>
          <w:lang w:val="zh-CN"/>
        </w:rPr>
      </w:pPr>
      <w:r>
        <w:rPr>
          <w:rFonts w:ascii="Times New Roman" w:hAnsi="Times New Roman" w:cs="Times New Roman"/>
          <w:sz w:val="18"/>
          <w:szCs w:val="18"/>
          <w:lang w:val="zh-CN"/>
        </w:rPr>
        <w:t xml:space="preserve">ANEXA nr. 3 </w:t>
      </w:r>
    </w:p>
    <w:p>
      <w:pPr>
        <w:spacing w:after="0" w:line="240" w:lineRule="auto"/>
        <w:jc w:val="both"/>
        <w:rPr>
          <w:rFonts w:ascii="Times New Roman" w:hAnsi="Times New Roman" w:cs="Times New Roman"/>
          <w:sz w:val="18"/>
          <w:szCs w:val="18"/>
          <w:lang w:val="zh-CN"/>
        </w:rPr>
      </w:pPr>
      <w:r>
        <w:rPr>
          <w:rFonts w:ascii="Times New Roman" w:hAnsi="Times New Roman" w:cs="Times New Roman"/>
          <w:sz w:val="18"/>
          <w:szCs w:val="18"/>
          <w:lang w:val="zh-CN"/>
        </w:rPr>
        <w:t xml:space="preserve">la Procedura de aplicare a măsurii </w:t>
      </w:r>
    </w:p>
    <w:p>
      <w:pPr>
        <w:spacing w:after="0" w:line="240" w:lineRule="auto"/>
        <w:jc w:val="both"/>
        <w:rPr>
          <w:rFonts w:ascii="Times New Roman" w:hAnsi="Times New Roman" w:cs="Times New Roman"/>
          <w:sz w:val="18"/>
          <w:szCs w:val="18"/>
          <w:lang w:val="zh-CN"/>
        </w:rPr>
      </w:pPr>
      <w:r>
        <w:rPr>
          <w:rFonts w:ascii="Times New Roman" w:hAnsi="Times New Roman" w:cs="Times New Roman"/>
          <w:sz w:val="18"/>
          <w:szCs w:val="18"/>
          <w:lang w:val="zh-CN"/>
        </w:rPr>
        <w:t>tehnico-administrative de blocare/</w:t>
      </w:r>
    </w:p>
    <w:p>
      <w:pPr>
        <w:spacing w:after="0" w:line="240" w:lineRule="auto"/>
        <w:ind w:left="284" w:hanging="284"/>
        <w:jc w:val="both"/>
        <w:rPr>
          <w:rFonts w:ascii="Times New Roman" w:hAnsi="Times New Roman" w:cs="Times New Roman"/>
          <w:sz w:val="18"/>
          <w:szCs w:val="18"/>
          <w:lang w:val="zh-CN"/>
        </w:rPr>
      </w:pPr>
      <w:r>
        <w:rPr>
          <w:rFonts w:ascii="Times New Roman" w:hAnsi="Times New Roman" w:cs="Times New Roman"/>
          <w:sz w:val="18"/>
          <w:szCs w:val="18"/>
          <w:lang w:val="zh-CN"/>
        </w:rPr>
        <w:t>deblocare a roților autovehiculelor</w:t>
      </w: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center"/>
        <w:rPr>
          <w:rFonts w:ascii="Times New Roman" w:hAnsi="Times New Roman" w:cs="Times New Roman"/>
          <w:sz w:val="24"/>
          <w:szCs w:val="24"/>
          <w:lang w:val="zh-CN"/>
        </w:rPr>
      </w:pPr>
      <w:r>
        <w:rPr>
          <w:rFonts w:ascii="Times New Roman" w:hAnsi="Times New Roman" w:cs="Times New Roman"/>
          <w:sz w:val="24"/>
          <w:szCs w:val="24"/>
          <w:lang w:val="zh-CN"/>
        </w:rPr>
        <w:t>MODEL</w:t>
      </w:r>
    </w:p>
    <w:p>
      <w:pPr>
        <w:spacing w:after="0" w:line="240" w:lineRule="auto"/>
        <w:ind w:left="284" w:hanging="284"/>
        <w:jc w:val="center"/>
        <w:rPr>
          <w:rFonts w:ascii="Times New Roman" w:hAnsi="Times New Roman" w:cs="Times New Roman"/>
          <w:sz w:val="24"/>
          <w:szCs w:val="24"/>
          <w:lang w:val="zh-CN"/>
        </w:rPr>
      </w:pPr>
    </w:p>
    <w:p>
      <w:pPr>
        <w:spacing w:after="0" w:line="240" w:lineRule="auto"/>
        <w:ind w:left="284" w:hanging="284"/>
        <w:jc w:val="center"/>
        <w:rPr>
          <w:rFonts w:ascii="Times New Roman" w:hAnsi="Times New Roman" w:cs="Times New Roman"/>
          <w:sz w:val="24"/>
          <w:szCs w:val="24"/>
          <w:lang w:val="zh-CN"/>
        </w:rPr>
      </w:pPr>
      <w:r>
        <w:rPr>
          <w:rFonts w:ascii="Times New Roman" w:hAnsi="Times New Roman" w:cs="Times New Roman"/>
          <w:sz w:val="24"/>
          <w:szCs w:val="24"/>
          <w:lang w:val="zh-CN"/>
        </w:rPr>
        <w:t>PROCES-VERBAL DE DEBLOCARE</w:t>
      </w:r>
    </w:p>
    <w:p>
      <w:pPr>
        <w:spacing w:after="0" w:line="240" w:lineRule="auto"/>
        <w:ind w:left="284" w:hanging="284"/>
        <w:jc w:val="center"/>
        <w:rPr>
          <w:rFonts w:ascii="Times New Roman" w:hAnsi="Times New Roman" w:cs="Times New Roman"/>
          <w:sz w:val="24"/>
          <w:szCs w:val="24"/>
          <w:lang w:val="zh-CN"/>
        </w:rPr>
      </w:pPr>
      <w:r>
        <w:rPr>
          <w:rFonts w:ascii="Times New Roman" w:hAnsi="Times New Roman" w:cs="Times New Roman"/>
          <w:sz w:val="24"/>
          <w:szCs w:val="24"/>
          <w:lang w:val="zh-CN"/>
        </w:rPr>
        <w:t>a roții autovehiculului</w:t>
      </w:r>
    </w:p>
    <w:p>
      <w:pPr>
        <w:spacing w:after="0" w:line="240" w:lineRule="auto"/>
        <w:ind w:left="284" w:hanging="284"/>
        <w:jc w:val="center"/>
        <w:rPr>
          <w:rFonts w:ascii="Times New Roman" w:hAnsi="Times New Roman" w:cs="Times New Roman"/>
          <w:sz w:val="24"/>
          <w:szCs w:val="24"/>
          <w:lang w:val="zh-CN"/>
        </w:rPr>
      </w:pPr>
    </w:p>
    <w:p>
      <w:pPr>
        <w:spacing w:after="0" w:line="240" w:lineRule="auto"/>
        <w:ind w:firstLine="284"/>
        <w:jc w:val="both"/>
        <w:rPr>
          <w:rFonts w:ascii="Times New Roman" w:hAnsi="Times New Roman" w:cs="Times New Roman"/>
          <w:sz w:val="24"/>
          <w:szCs w:val="24"/>
          <w:lang w:val="zh-CN"/>
        </w:rPr>
      </w:pPr>
      <w:r>
        <w:rPr>
          <w:rFonts w:ascii="Times New Roman" w:hAnsi="Times New Roman" w:cs="Times New Roman"/>
          <w:sz w:val="24"/>
          <w:szCs w:val="24"/>
          <w:lang w:val="zh-CN"/>
        </w:rPr>
        <w:t>Întocmit astăzi, ...................., ora ................., cu ocazia deblocării roții autovehiculului marca ..................., cu număr de înmatriculare ................, staționat/parcat în Chișinău, str. ................., nr. ..................., sectorul ___________, nr. (codul ID) al locului de parcare/parcaj ..................... .</w:t>
      </w:r>
    </w:p>
    <w:p>
      <w:pPr>
        <w:spacing w:after="0" w:line="240" w:lineRule="auto"/>
        <w:ind w:firstLine="284"/>
        <w:jc w:val="both"/>
        <w:rPr>
          <w:rFonts w:ascii="Times New Roman" w:hAnsi="Times New Roman" w:cs="Times New Roman"/>
          <w:sz w:val="24"/>
          <w:szCs w:val="24"/>
          <w:lang w:val="zh-CN"/>
        </w:rPr>
      </w:pPr>
      <w:r>
        <w:rPr>
          <w:rFonts w:ascii="Times New Roman" w:hAnsi="Times New Roman" w:cs="Times New Roman"/>
          <w:sz w:val="24"/>
          <w:szCs w:val="24"/>
          <w:lang w:val="zh-CN"/>
        </w:rPr>
        <w:t>Astăzi, (Nume și prenume agent constatator)..................................... din cadrul ___________________am procedat la deblocarea roții autovehiculului, în prezenta proprietarului/deținătorului legal al acestuia.</w:t>
      </w:r>
    </w:p>
    <w:p>
      <w:pPr>
        <w:spacing w:after="0" w:line="240" w:lineRule="auto"/>
        <w:ind w:left="284"/>
        <w:jc w:val="both"/>
        <w:rPr>
          <w:rFonts w:ascii="Times New Roman" w:hAnsi="Times New Roman" w:cs="Times New Roman"/>
          <w:sz w:val="24"/>
          <w:szCs w:val="24"/>
          <w:lang w:val="zh-CN"/>
        </w:rPr>
      </w:pPr>
      <w:r>
        <w:rPr>
          <w:rFonts w:ascii="Times New Roman" w:hAnsi="Times New Roman" w:cs="Times New Roman"/>
          <w:sz w:val="24"/>
          <w:szCs w:val="24"/>
          <w:lang w:val="zh-CN"/>
        </w:rPr>
        <w:t>Blocarea roții s-a executat conform procesului-verbal nr..../........., un exemplar al acestuia fiind</w:t>
      </w:r>
    </w:p>
    <w:p>
      <w:p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înmânat, în original, Domnului/Doamnei ................................., cu ocazia deblocării roții autovehiculului.</w:t>
      </w:r>
    </w:p>
    <w:p>
      <w:pPr>
        <w:spacing w:after="0" w:line="240" w:lineRule="auto"/>
        <w:ind w:firstLine="284"/>
        <w:jc w:val="both"/>
        <w:rPr>
          <w:rFonts w:ascii="Times New Roman" w:hAnsi="Times New Roman" w:cs="Times New Roman"/>
          <w:sz w:val="24"/>
          <w:szCs w:val="24"/>
          <w:lang w:val="zh-CN"/>
        </w:rPr>
      </w:pPr>
    </w:p>
    <w:p>
      <w:pPr>
        <w:spacing w:after="0" w:line="240" w:lineRule="auto"/>
        <w:jc w:val="both"/>
        <w:rPr>
          <w:rFonts w:ascii="Times New Roman" w:hAnsi="Times New Roman" w:cs="Times New Roman"/>
          <w:sz w:val="24"/>
          <w:szCs w:val="24"/>
          <w:lang w:val="zh-CN"/>
        </w:rPr>
      </w:pPr>
    </w:p>
    <w:p>
      <w:pPr>
        <w:spacing w:after="0" w:line="240" w:lineRule="auto"/>
        <w:ind w:firstLine="284"/>
        <w:jc w:val="both"/>
        <w:rPr>
          <w:rFonts w:ascii="Times New Roman" w:hAnsi="Times New Roman" w:cs="Times New Roman"/>
          <w:sz w:val="24"/>
          <w:szCs w:val="24"/>
          <w:lang w:val="zh-CN"/>
        </w:rPr>
      </w:pPr>
      <w:r>
        <w:rPr>
          <w:rFonts w:ascii="Times New Roman" w:hAnsi="Times New Roman" w:cs="Times New Roman"/>
          <w:sz w:val="24"/>
          <w:szCs w:val="24"/>
          <w:lang w:val="zh-CN"/>
        </w:rPr>
        <w:t>Domnul/Doamna .............................. a făcut dovada achitării sumei de ..................lei, document de plată nr. ......................., reprezentând contravaloarea tarifului:</w:t>
      </w:r>
    </w:p>
    <w:p>
      <w:pPr>
        <w:spacing w:after="0" w:line="240" w:lineRule="auto"/>
        <w:ind w:firstLine="284"/>
        <w:jc w:val="both"/>
        <w:rPr>
          <w:rFonts w:ascii="Times New Roman" w:hAnsi="Times New Roman" w:cs="Times New Roman"/>
          <w:sz w:val="24"/>
          <w:szCs w:val="24"/>
          <w:lang w:val="zh-CN"/>
        </w:rPr>
      </w:pPr>
      <w:bookmarkStart w:id="103" w:name="_Hlk169603926"/>
      <w:r>
        <w:rPr>
          <w:rFonts w:ascii="Times New Roman" w:hAnsi="Times New Roman" w:cs="Times New Roman"/>
          <w:sz w:val="24"/>
          <w:szCs w:val="24"/>
          <w:lang w:val="zh-CN"/>
        </w:rPr>
        <w:t xml:space="preserve">  </w:t>
      </w:r>
      <w:bookmarkEnd w:id="103"/>
      <w:r>
        <w:rPr>
          <w:rFonts w:ascii="Times New Roman" w:hAnsi="Times New Roman" w:cs="Times New Roman"/>
          <w:sz w:val="24"/>
          <w:szCs w:val="24"/>
          <w:lang w:val="zh-CN"/>
        </w:rPr>
        <w:t xml:space="preserve">de parcare/parcaj, </w:t>
      </w:r>
    </w:p>
    <w:p>
      <w:pPr>
        <w:spacing w:after="0" w:line="240" w:lineRule="auto"/>
        <w:ind w:firstLine="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  de blocare </w:t>
      </w:r>
    </w:p>
    <w:p>
      <w:pPr>
        <w:spacing w:after="0" w:line="240" w:lineRule="auto"/>
        <w:ind w:firstLine="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  de deblocare </w:t>
      </w:r>
    </w:p>
    <w:p>
      <w:pPr>
        <w:spacing w:after="0" w:line="240" w:lineRule="auto"/>
        <w:ind w:firstLine="284"/>
        <w:jc w:val="both"/>
        <w:rPr>
          <w:rFonts w:ascii="Times New Roman" w:hAnsi="Times New Roman" w:cs="Times New Roman"/>
          <w:sz w:val="24"/>
          <w:szCs w:val="24"/>
          <w:lang w:val="zh-CN"/>
        </w:rPr>
      </w:pPr>
      <w:r>
        <w:rPr>
          <w:rFonts w:ascii="Times New Roman" w:hAnsi="Times New Roman" w:cs="Times New Roman"/>
          <w:sz w:val="24"/>
          <w:szCs w:val="24"/>
          <w:lang w:val="zh-CN"/>
        </w:rPr>
        <w:t>conform Anexei la Decizia CMC nr. ......./............., plata fiind efectuată prin următoarea modalitate de plată :</w:t>
      </w:r>
    </w:p>
    <w:p>
      <w:pPr>
        <w:spacing w:after="0" w:line="240" w:lineRule="auto"/>
        <w:ind w:left="284" w:hanging="284"/>
        <w:jc w:val="both"/>
        <w:rPr>
          <w:rFonts w:ascii="Times New Roman" w:hAnsi="Times New Roman" w:cs="Times New Roman"/>
          <w:sz w:val="24"/>
          <w:szCs w:val="24"/>
          <w:lang w:val="zh-CN"/>
        </w:rPr>
      </w:pPr>
      <w:bookmarkStart w:id="104" w:name="_Hlk169603903"/>
      <w:r>
        <w:rPr>
          <w:rFonts w:ascii="Times New Roman" w:hAnsi="Times New Roman" w:cs="Times New Roman"/>
          <w:sz w:val="24"/>
          <w:szCs w:val="24"/>
          <w:lang w:val="zh-CN"/>
        </w:rPr>
        <w:t xml:space="preserve"> </w:t>
      </w:r>
      <w:bookmarkEnd w:id="104"/>
      <w:r>
        <w:rPr>
          <w:rFonts w:ascii="Times New Roman" w:hAnsi="Times New Roman" w:cs="Times New Roman"/>
          <w:sz w:val="24"/>
          <w:szCs w:val="24"/>
          <w:lang w:val="zh-CN"/>
        </w:rPr>
        <w:t>în numerar la automatele de plată din parcare/parcaj;</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 cu cardul la automatele de plată din parcare/parcaj;</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w:t>
      </w:r>
      <w:r>
        <w:rPr>
          <w:lang w:val="zh-CN"/>
        </w:rPr>
        <w:t xml:space="preserve"> </w:t>
      </w:r>
      <w:r>
        <w:rPr>
          <w:rFonts w:ascii="Times New Roman" w:hAnsi="Times New Roman" w:cs="Times New Roman"/>
          <w:sz w:val="24"/>
          <w:szCs w:val="24"/>
          <w:lang w:val="zh-CN"/>
        </w:rPr>
        <w:t>plata prin intermediul terminalelor de tip CASH-IN (operator:</w:t>
      </w:r>
      <w:r>
        <w:rPr>
          <w:rFonts w:ascii="Times New Roman" w:hAnsi="Times New Roman" w:cs="Times New Roman"/>
          <w:sz w:val="24"/>
          <w:szCs w:val="24"/>
          <w:u w:val="single"/>
          <w:lang w:val="zh-CN"/>
        </w:rPr>
        <w:t xml:space="preserve">                                         </w:t>
      </w:r>
      <w:r>
        <w:rPr>
          <w:rFonts w:ascii="Times New Roman" w:hAnsi="Times New Roman" w:cs="Times New Roman"/>
          <w:sz w:val="24"/>
          <w:szCs w:val="24"/>
          <w:lang w:val="zh-CN"/>
        </w:rPr>
        <w:t xml:space="preserve"> );</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 online, pe site-ul autorizat;_______________________;</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 prin aplicația mobilă;</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 prin aplicația mobila a băncii: _______________________(denumirea băncii);</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 </w:t>
      </w:r>
      <w:r>
        <w:rPr>
          <w:rFonts w:ascii="Times New Roman" w:hAnsi="Times New Roman" w:eastAsia="Calibri" w:cs="Times New Roman"/>
          <w:sz w:val="24"/>
          <w:szCs w:val="24"/>
          <w:lang w:val="zh-CN"/>
        </w:rPr>
        <w:t>plata prin transfer bancar</w:t>
      </w:r>
      <w:r>
        <w:rPr>
          <w:rFonts w:ascii="Times New Roman" w:hAnsi="Times New Roman" w:cs="Times New Roman"/>
          <w:sz w:val="24"/>
          <w:szCs w:val="24"/>
          <w:lang w:val="zh-CN"/>
        </w:rPr>
        <w:t>__________________ (denumirea băncii);</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w:t>
      </w:r>
      <w:r>
        <w:rPr>
          <w:rFonts w:ascii="Times New Roman" w:hAnsi="Times New Roman" w:eastAsia="Calibri" w:cs="Times New Roman"/>
          <w:sz w:val="24"/>
          <w:szCs w:val="24"/>
          <w:lang w:val="zh-CN"/>
        </w:rPr>
        <w:t xml:space="preserve"> </w:t>
      </w:r>
      <w:r>
        <w:rPr>
          <w:rFonts w:ascii="Times New Roman" w:hAnsi="Times New Roman" w:cs="Times New Roman"/>
          <w:sz w:val="24"/>
          <w:szCs w:val="24"/>
          <w:lang w:val="zh-CN"/>
        </w:rPr>
        <w:t>SMS.</w:t>
      </w:r>
    </w:p>
    <w:p>
      <w:pPr>
        <w:spacing w:after="0" w:line="240" w:lineRule="auto"/>
        <w:ind w:left="284" w:hanging="284"/>
        <w:jc w:val="both"/>
        <w:rPr>
          <w:rFonts w:ascii="Times New Roman" w:hAnsi="Times New Roman" w:cs="Times New Roman"/>
          <w:sz w:val="24"/>
          <w:szCs w:val="24"/>
          <w:lang w:val="zh-CN"/>
        </w:rPr>
      </w:pP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Domnul/Doamna ........................................................... are următoarele observații ...........................</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Am primit un exemplar</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(numele, prenumele și semnătura proprietarului/deținătorului legal al autovehiculului/vehiculului)</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Direcția Generală Mobilitate Urbană </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(numele, prenumele și semnătura agent constatator)</w:t>
      </w:r>
    </w:p>
    <w:p>
      <w:pPr>
        <w:spacing w:after="0" w:line="240" w:lineRule="auto"/>
        <w:ind w:left="284" w:hanging="284"/>
        <w:jc w:val="both"/>
        <w:rPr>
          <w:rFonts w:ascii="Times New Roman" w:hAnsi="Times New Roman" w:cs="Times New Roman"/>
          <w:sz w:val="24"/>
          <w:szCs w:val="24"/>
          <w:lang w:val="zh-CN"/>
        </w:rPr>
      </w:pPr>
      <w:r>
        <w:rPr>
          <w:rFonts w:ascii="Times New Roman" w:hAnsi="Times New Roman" w:cs="Times New Roman"/>
          <w:sz w:val="24"/>
          <w:szCs w:val="24"/>
          <w:lang w:val="zh-CN"/>
        </w:rPr>
        <w:t>.....................................................</w:t>
      </w:r>
    </w:p>
    <w:p>
      <w:pPr>
        <w:spacing w:after="0" w:line="240" w:lineRule="auto"/>
        <w:ind w:left="284" w:hanging="284"/>
        <w:jc w:val="both"/>
        <w:rPr>
          <w:rFonts w:ascii="Times New Roman" w:hAnsi="Times New Roman" w:cs="Times New Roman"/>
          <w:sz w:val="24"/>
          <w:szCs w:val="24"/>
          <w:lang w:val="zh-CN"/>
        </w:rPr>
      </w:pPr>
    </w:p>
    <w:p>
      <w:pPr>
        <w:ind w:right="140"/>
        <w:rPr>
          <w:i/>
          <w:sz w:val="28"/>
          <w:szCs w:val="28"/>
          <w:lang w:val="zh-CN"/>
        </w:rPr>
      </w:pPr>
    </w:p>
    <w:p>
      <w:pPr>
        <w:spacing w:after="0"/>
        <w:ind w:left="720"/>
        <w:jc w:val="right"/>
        <w:rPr>
          <w:rFonts w:ascii="Times" w:hAnsi="Times" w:eastAsia="Calibri" w:cs="Times New Roman"/>
          <w:b/>
          <w:sz w:val="24"/>
          <w:szCs w:val="24"/>
          <w:lang w:val="zh-CN"/>
        </w:rPr>
      </w:pPr>
      <w:bookmarkStart w:id="105" w:name="_Hlk171584956"/>
    </w:p>
    <w:p>
      <w:pPr>
        <w:spacing w:after="0"/>
        <w:ind w:left="720"/>
        <w:jc w:val="right"/>
        <w:rPr>
          <w:rFonts w:ascii="Times" w:hAnsi="Times" w:eastAsia="Calibri" w:cs="Times New Roman"/>
          <w:b/>
          <w:sz w:val="24"/>
          <w:szCs w:val="24"/>
          <w:lang w:val="zh-CN"/>
        </w:rPr>
      </w:pPr>
    </w:p>
    <w:p>
      <w:pPr>
        <w:spacing w:after="0"/>
        <w:ind w:left="720"/>
        <w:jc w:val="right"/>
        <w:rPr>
          <w:rFonts w:ascii="Times" w:hAnsi="Times" w:eastAsia="Calibri" w:cs="Times New Roman"/>
          <w:b/>
          <w:sz w:val="24"/>
          <w:szCs w:val="24"/>
          <w:lang w:val="zh-CN"/>
        </w:rPr>
      </w:pPr>
    </w:p>
    <w:p>
      <w:pPr>
        <w:spacing w:after="0"/>
        <w:ind w:left="720"/>
        <w:jc w:val="right"/>
        <w:rPr>
          <w:rFonts w:ascii="Times" w:hAnsi="Times" w:eastAsia="Calibri" w:cs="Times New Roman"/>
          <w:b/>
          <w:sz w:val="24"/>
          <w:szCs w:val="24"/>
          <w:lang w:val="zh-CN"/>
        </w:rPr>
      </w:pPr>
    </w:p>
    <w:p>
      <w:pPr>
        <w:spacing w:after="0"/>
        <w:ind w:left="720"/>
        <w:jc w:val="right"/>
        <w:rPr>
          <w:rFonts w:ascii="Times" w:hAnsi="Times" w:eastAsia="Calibri" w:cs="Times New Roman"/>
          <w:b/>
          <w:sz w:val="24"/>
          <w:szCs w:val="24"/>
          <w:lang w:val="zh-CN"/>
        </w:rPr>
      </w:pPr>
    </w:p>
    <w:p>
      <w:pPr>
        <w:spacing w:after="0"/>
        <w:ind w:left="720"/>
        <w:jc w:val="right"/>
        <w:rPr>
          <w:rFonts w:ascii="Times" w:hAnsi="Times" w:eastAsia="Calibri" w:cs="Times New Roman"/>
          <w:b/>
          <w:sz w:val="24"/>
          <w:szCs w:val="24"/>
          <w:lang w:val="zh-CN"/>
        </w:rPr>
      </w:pPr>
    </w:p>
    <w:p>
      <w:pPr>
        <w:spacing w:after="0"/>
        <w:ind w:left="720"/>
        <w:jc w:val="right"/>
        <w:rPr>
          <w:rFonts w:ascii="Times" w:hAnsi="Times" w:eastAsia="Calibri" w:cs="Times New Roman"/>
          <w:b/>
          <w:sz w:val="24"/>
          <w:szCs w:val="24"/>
          <w:lang w:val="zh-CN"/>
        </w:rPr>
      </w:pPr>
      <w:r>
        <w:rPr>
          <w:rFonts w:ascii="Times" w:hAnsi="Times" w:eastAsia="Calibri" w:cs="Times New Roman"/>
          <w:b/>
          <w:sz w:val="24"/>
          <w:szCs w:val="24"/>
          <w:lang w:val="zh-CN"/>
        </w:rPr>
        <w:t xml:space="preserve">Anexa nr. 2 la Decizia Consiliului </w:t>
      </w:r>
    </w:p>
    <w:p>
      <w:pPr>
        <w:spacing w:after="0"/>
        <w:ind w:left="720"/>
        <w:jc w:val="right"/>
        <w:rPr>
          <w:rFonts w:ascii="Times" w:hAnsi="Times" w:eastAsia="Calibri" w:cs="Times New Roman"/>
          <w:b/>
          <w:sz w:val="24"/>
          <w:szCs w:val="24"/>
          <w:lang w:val="zh-CN"/>
        </w:rPr>
      </w:pPr>
      <w:r>
        <w:rPr>
          <w:rFonts w:ascii="Times" w:hAnsi="Times" w:eastAsia="Calibri" w:cs="Times New Roman"/>
          <w:b/>
          <w:sz w:val="24"/>
          <w:szCs w:val="24"/>
          <w:lang w:val="zh-CN"/>
        </w:rPr>
        <w:t>municipal Chișinău nr._________</w:t>
      </w:r>
    </w:p>
    <w:p>
      <w:pPr>
        <w:spacing w:after="0"/>
        <w:ind w:left="720"/>
        <w:jc w:val="right"/>
        <w:rPr>
          <w:rFonts w:ascii="Times" w:hAnsi="Times" w:eastAsia="Calibri" w:cs="Times New Roman"/>
          <w:b/>
          <w:sz w:val="24"/>
          <w:szCs w:val="24"/>
          <w:lang w:val="zh-CN"/>
        </w:rPr>
      </w:pPr>
      <w:r>
        <w:rPr>
          <w:rFonts w:ascii="Times" w:hAnsi="Times" w:eastAsia="Calibri" w:cs="Times New Roman"/>
          <w:b/>
          <w:sz w:val="24"/>
          <w:szCs w:val="24"/>
          <w:lang w:val="zh-CN"/>
        </w:rPr>
        <w:t>din _____________________2024</w:t>
      </w:r>
    </w:p>
    <w:p>
      <w:pPr>
        <w:tabs>
          <w:tab w:val="left" w:pos="6330"/>
        </w:tabs>
        <w:spacing w:after="0"/>
        <w:jc w:val="center"/>
        <w:rPr>
          <w:rFonts w:ascii="Times New Roman" w:hAnsi="Times New Roman" w:cs="Times New Roman"/>
          <w:b/>
          <w:sz w:val="28"/>
          <w:szCs w:val="28"/>
          <w:lang w:val="zh-CN"/>
        </w:rPr>
      </w:pPr>
      <w:r>
        <w:rPr>
          <w:rFonts w:ascii="Times New Roman" w:hAnsi="Times New Roman" w:cs="Times New Roman"/>
          <w:b/>
          <w:sz w:val="28"/>
          <w:szCs w:val="28"/>
          <w:lang w:val="zh-CN"/>
        </w:rPr>
        <w:t>În funcție de zonele de parcare se stabilesc următoarele tarife:</w:t>
      </w:r>
    </w:p>
    <w:p>
      <w:pPr>
        <w:pStyle w:val="23"/>
        <w:numPr>
          <w:ilvl w:val="0"/>
          <w:numId w:val="29"/>
        </w:numPr>
        <w:tabs>
          <w:tab w:val="left" w:pos="6330"/>
        </w:tabs>
        <w:spacing w:after="0"/>
        <w:ind w:left="142"/>
        <w:rPr>
          <w:rFonts w:ascii="Times New Roman" w:hAnsi="Times New Roman" w:cs="Times New Roman"/>
          <w:b/>
          <w:sz w:val="24"/>
          <w:szCs w:val="24"/>
          <w:lang w:val="zh-CN"/>
        </w:rPr>
      </w:pPr>
      <w:r>
        <w:rPr>
          <w:rFonts w:ascii="Times New Roman" w:hAnsi="Times New Roman" w:cs="Times New Roman"/>
          <w:b/>
          <w:sz w:val="24"/>
          <w:szCs w:val="24"/>
          <w:lang w:val="zh-CN"/>
        </w:rPr>
        <w:t>Pentru Zona 1 se stabilesc următoarele tarife:</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Pentru o oră de parcare/parcaj – 20 lei;</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pentru abonament parcare/parcaj (7 zile)  – 560 lei.</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pentru abonament parcare/parcaj (30 zile) – 2400 lei </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pentru abonament parcare/parcaj (90 zile) – 7200 lei  </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pentru abonament parcare/parcaj (180 zile) – 14400 lei  </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pentru abonament parcare/parcaj (365 zile) – 28800 lei</w:t>
      </w:r>
    </w:p>
    <w:p>
      <w:pPr>
        <w:pStyle w:val="23"/>
        <w:numPr>
          <w:ilvl w:val="1"/>
          <w:numId w:val="29"/>
        </w:numPr>
        <w:tabs>
          <w:tab w:val="left" w:pos="6330"/>
        </w:tabs>
        <w:spacing w:after="0"/>
        <w:ind w:left="284"/>
        <w:jc w:val="both"/>
        <w:rPr>
          <w:rFonts w:ascii="Times New Roman" w:hAnsi="Times New Roman" w:cs="Times New Roman"/>
          <w:sz w:val="24"/>
          <w:szCs w:val="24"/>
          <w:lang w:val="zh-CN"/>
        </w:rPr>
      </w:pPr>
      <w:bookmarkStart w:id="106" w:name="_Hlk171583946"/>
      <w:r>
        <w:rPr>
          <w:rFonts w:ascii="Times New Roman" w:hAnsi="Times New Roman" w:cs="Times New Roman"/>
          <w:sz w:val="24"/>
          <w:szCs w:val="24"/>
          <w:lang w:val="zh-CN"/>
        </w:rPr>
        <w:t>pentru parcaj rezervat (365 zile) –   lei</w:t>
      </w:r>
    </w:p>
    <w:bookmarkEnd w:id="106"/>
    <w:p>
      <w:pPr>
        <w:pStyle w:val="23"/>
        <w:tabs>
          <w:tab w:val="left" w:pos="6330"/>
        </w:tabs>
        <w:spacing w:after="0"/>
        <w:ind w:left="284"/>
        <w:jc w:val="both"/>
        <w:rPr>
          <w:rFonts w:ascii="Times New Roman" w:hAnsi="Times New Roman" w:cs="Times New Roman"/>
          <w:sz w:val="24"/>
          <w:szCs w:val="24"/>
          <w:lang w:val="zh-CN"/>
        </w:rPr>
      </w:pPr>
    </w:p>
    <w:p>
      <w:pPr>
        <w:pStyle w:val="23"/>
        <w:numPr>
          <w:ilvl w:val="0"/>
          <w:numId w:val="29"/>
        </w:numPr>
        <w:tabs>
          <w:tab w:val="left" w:pos="6330"/>
        </w:tabs>
        <w:spacing w:after="0"/>
        <w:ind w:left="0"/>
        <w:rPr>
          <w:rFonts w:ascii="Times New Roman" w:hAnsi="Times New Roman" w:cs="Times New Roman"/>
          <w:b/>
          <w:sz w:val="24"/>
          <w:szCs w:val="24"/>
          <w:lang w:val="zh-CN"/>
        </w:rPr>
      </w:pPr>
      <w:r>
        <w:rPr>
          <w:rFonts w:ascii="Times New Roman" w:hAnsi="Times New Roman" w:cs="Times New Roman"/>
          <w:b/>
          <w:sz w:val="24"/>
          <w:szCs w:val="24"/>
          <w:lang w:val="zh-CN"/>
        </w:rPr>
        <w:t>Pentru Zona 2 se stabilesc următoarele tarife:</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o oră de parcare sau parcaj – 15 lei;</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abonament pentru parcare și parcaj (7 zile)  – 420 lei.</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abonament pentru parcare și parcaj (30 zile) – 1800 lei </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abonament pentru parcare și parcaj (90 zile) – 5400 lei  </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abonament pentru parcare și parcaj (180 zile) – 10800 lei  </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 pentru abonament parcare/parcaj/parcaj rezervat (365 zile) – 21600 lei  </w:t>
      </w:r>
    </w:p>
    <w:p>
      <w:pPr>
        <w:pStyle w:val="23"/>
        <w:numPr>
          <w:ilvl w:val="1"/>
          <w:numId w:val="29"/>
        </w:numPr>
        <w:tabs>
          <w:tab w:val="left" w:pos="6330"/>
        </w:tabs>
        <w:spacing w:after="0"/>
        <w:ind w:left="284"/>
        <w:jc w:val="both"/>
        <w:rPr>
          <w:rFonts w:ascii="Times New Roman" w:hAnsi="Times New Roman" w:cs="Times New Roman"/>
          <w:sz w:val="24"/>
          <w:szCs w:val="24"/>
          <w:lang w:val="zh-CN"/>
        </w:rPr>
      </w:pPr>
      <w:bookmarkStart w:id="107" w:name="_Hlk171583994"/>
      <w:r>
        <w:rPr>
          <w:rFonts w:ascii="Times New Roman" w:hAnsi="Times New Roman" w:cs="Times New Roman"/>
          <w:sz w:val="24"/>
          <w:szCs w:val="24"/>
          <w:lang w:val="zh-CN"/>
        </w:rPr>
        <w:t>pentru parcaj rezervat (365 zile) – 21600 lei</w:t>
      </w:r>
    </w:p>
    <w:bookmarkEnd w:id="107"/>
    <w:p>
      <w:pPr>
        <w:pStyle w:val="23"/>
        <w:tabs>
          <w:tab w:val="left" w:pos="6330"/>
        </w:tabs>
        <w:spacing w:after="0"/>
        <w:ind w:left="284"/>
        <w:jc w:val="both"/>
        <w:rPr>
          <w:rFonts w:ascii="Times New Roman" w:hAnsi="Times New Roman" w:cs="Times New Roman"/>
          <w:sz w:val="24"/>
          <w:szCs w:val="24"/>
          <w:lang w:val="zh-CN"/>
        </w:rPr>
      </w:pPr>
    </w:p>
    <w:p>
      <w:pPr>
        <w:pStyle w:val="23"/>
        <w:numPr>
          <w:ilvl w:val="0"/>
          <w:numId w:val="29"/>
        </w:numPr>
        <w:tabs>
          <w:tab w:val="left" w:pos="6330"/>
        </w:tabs>
        <w:spacing w:after="0"/>
        <w:ind w:left="0"/>
        <w:jc w:val="both"/>
        <w:rPr>
          <w:rFonts w:ascii="Times New Roman" w:hAnsi="Times New Roman" w:cs="Times New Roman"/>
          <w:sz w:val="24"/>
          <w:szCs w:val="24"/>
          <w:lang w:val="zh-CN"/>
        </w:rPr>
      </w:pPr>
      <w:r>
        <w:rPr>
          <w:rFonts w:ascii="Times New Roman" w:hAnsi="Times New Roman" w:cs="Times New Roman"/>
          <w:b/>
          <w:sz w:val="24"/>
          <w:szCs w:val="24"/>
          <w:lang w:val="zh-CN"/>
        </w:rPr>
        <w:t>Pentru Zona 3 se stabilesc următoarele tarife:</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o oră de parcare sau parcaj – 10 lei;</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abonament pentru parcare și parcaj (7 zile)  – 280 lei.</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abonament pentru parcare și parcaj (30 zile) – 1200 lei </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abonament pentru parcare și parcaj (90 zile) – 3600 lei  </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abonament pentru parcare și parcaj (180 zile) – 7200 lei  </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 pentru abonament parcare/parcaj/parcaj rezervat (365 zile) – 14400 lei</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pentru parcaj rezervat (365 zile) – 14400 lei</w:t>
      </w:r>
    </w:p>
    <w:p>
      <w:pPr>
        <w:pStyle w:val="23"/>
        <w:tabs>
          <w:tab w:val="left" w:pos="6330"/>
        </w:tabs>
        <w:spacing w:after="0"/>
        <w:ind w:left="284"/>
        <w:jc w:val="both"/>
        <w:rPr>
          <w:rFonts w:ascii="Times New Roman" w:hAnsi="Times New Roman" w:cs="Times New Roman"/>
          <w:sz w:val="24"/>
          <w:szCs w:val="24"/>
          <w:lang w:val="zh-CN"/>
        </w:rPr>
      </w:pPr>
    </w:p>
    <w:p>
      <w:pPr>
        <w:pStyle w:val="23"/>
        <w:numPr>
          <w:ilvl w:val="0"/>
          <w:numId w:val="29"/>
        </w:numPr>
        <w:tabs>
          <w:tab w:val="left" w:pos="6330"/>
        </w:tabs>
        <w:spacing w:after="0"/>
        <w:ind w:left="0"/>
        <w:rPr>
          <w:rFonts w:ascii="Times New Roman" w:hAnsi="Times New Roman" w:cs="Times New Roman"/>
          <w:b/>
          <w:sz w:val="24"/>
          <w:szCs w:val="24"/>
          <w:lang w:val="zh-CN"/>
        </w:rPr>
      </w:pPr>
      <w:r>
        <w:rPr>
          <w:rFonts w:ascii="Times New Roman" w:hAnsi="Times New Roman" w:cs="Times New Roman"/>
          <w:b/>
          <w:sz w:val="24"/>
          <w:szCs w:val="24"/>
          <w:lang w:val="zh-CN"/>
        </w:rPr>
        <w:t>Pentru parcările de tip PARK&amp;RIDE se stabilesc următoarele tarife:</w:t>
      </w:r>
    </w:p>
    <w:p>
      <w:pPr>
        <w:pStyle w:val="23"/>
        <w:numPr>
          <w:ilvl w:val="1"/>
          <w:numId w:val="29"/>
        </w:numPr>
        <w:tabs>
          <w:tab w:val="left" w:pos="6330"/>
        </w:tabs>
        <w:spacing w:after="0"/>
        <w:ind w:left="284"/>
        <w:jc w:val="both"/>
        <w:rPr>
          <w:rFonts w:ascii="Times New Roman" w:hAnsi="Times New Roman" w:cs="Times New Roman"/>
          <w:sz w:val="24"/>
          <w:szCs w:val="24"/>
          <w:lang w:val="zh-CN"/>
        </w:rPr>
      </w:pPr>
      <w:r>
        <w:rPr>
          <w:rFonts w:ascii="Times New Roman" w:hAnsi="Times New Roman" w:cs="Times New Roman"/>
          <w:sz w:val="24"/>
          <w:szCs w:val="24"/>
          <w:lang w:val="zh-CN"/>
        </w:rPr>
        <w:t>o oră de parcare – 5 lei;</w:t>
      </w:r>
    </w:p>
    <w:p>
      <w:pPr>
        <w:pStyle w:val="23"/>
        <w:tabs>
          <w:tab w:val="left" w:pos="6330"/>
        </w:tabs>
        <w:spacing w:after="0"/>
        <w:ind w:left="284"/>
        <w:jc w:val="both"/>
        <w:rPr>
          <w:rFonts w:ascii="Times New Roman" w:hAnsi="Times New Roman" w:cs="Times New Roman"/>
          <w:sz w:val="24"/>
          <w:szCs w:val="24"/>
          <w:lang w:val="zh-CN"/>
        </w:rPr>
      </w:pPr>
    </w:p>
    <w:p>
      <w:pPr>
        <w:pStyle w:val="23"/>
        <w:numPr>
          <w:ilvl w:val="0"/>
          <w:numId w:val="29"/>
        </w:numPr>
        <w:tabs>
          <w:tab w:val="left" w:pos="6330"/>
        </w:tabs>
        <w:spacing w:after="0"/>
        <w:ind w:left="0"/>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Pentru emiterea duplicatului tichetului de parcare - 5 lei (1 emitere)</w:t>
      </w:r>
    </w:p>
    <w:p>
      <w:pPr>
        <w:pStyle w:val="23"/>
        <w:tabs>
          <w:tab w:val="left" w:pos="6330"/>
        </w:tabs>
        <w:spacing w:after="0"/>
        <w:ind w:left="0"/>
        <w:jc w:val="both"/>
        <w:rPr>
          <w:rFonts w:ascii="Times New Roman" w:hAnsi="Times New Roman" w:cs="Times New Roman"/>
          <w:b/>
          <w:bCs/>
          <w:sz w:val="24"/>
          <w:szCs w:val="24"/>
          <w:lang w:val="zh-CN"/>
        </w:rPr>
      </w:pPr>
    </w:p>
    <w:p>
      <w:pPr>
        <w:pStyle w:val="23"/>
        <w:numPr>
          <w:ilvl w:val="0"/>
          <w:numId w:val="29"/>
        </w:numPr>
        <w:tabs>
          <w:tab w:val="left" w:pos="6330"/>
        </w:tabs>
        <w:spacing w:after="0"/>
        <w:ind w:left="0"/>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Pentru emiterea duplicatului abonamentului  - 20 lei (1 reemitere)</w:t>
      </w:r>
    </w:p>
    <w:p>
      <w:pPr>
        <w:pStyle w:val="23"/>
        <w:rPr>
          <w:rFonts w:ascii="Times New Roman" w:hAnsi="Times New Roman" w:cs="Times New Roman"/>
          <w:b/>
          <w:bCs/>
          <w:sz w:val="24"/>
          <w:szCs w:val="24"/>
          <w:lang w:val="zh-CN"/>
        </w:rPr>
      </w:pPr>
    </w:p>
    <w:p>
      <w:pPr>
        <w:pStyle w:val="23"/>
        <w:numPr>
          <w:ilvl w:val="0"/>
          <w:numId w:val="29"/>
        </w:numPr>
        <w:tabs>
          <w:tab w:val="left" w:pos="6330"/>
        </w:tabs>
        <w:spacing w:after="0"/>
        <w:ind w:left="0"/>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Pentru blocarea roții a autovehiculului – 200 lei</w:t>
      </w:r>
    </w:p>
    <w:p>
      <w:pPr>
        <w:pStyle w:val="23"/>
        <w:rPr>
          <w:rFonts w:ascii="Times New Roman" w:hAnsi="Times New Roman" w:cs="Times New Roman"/>
          <w:b/>
          <w:bCs/>
          <w:sz w:val="24"/>
          <w:szCs w:val="24"/>
          <w:lang w:val="zh-CN"/>
        </w:rPr>
      </w:pPr>
    </w:p>
    <w:p>
      <w:pPr>
        <w:pStyle w:val="23"/>
        <w:numPr>
          <w:ilvl w:val="0"/>
          <w:numId w:val="29"/>
        </w:numPr>
        <w:tabs>
          <w:tab w:val="left" w:pos="6330"/>
        </w:tabs>
        <w:spacing w:after="0"/>
        <w:ind w:left="0"/>
        <w:jc w:val="both"/>
        <w:rPr>
          <w:rFonts w:ascii="Times New Roman" w:hAnsi="Times New Roman" w:cs="Times New Roman"/>
          <w:b/>
          <w:bCs/>
          <w:sz w:val="24"/>
          <w:szCs w:val="24"/>
          <w:lang w:val="zh-CN"/>
        </w:rPr>
      </w:pPr>
      <w:bookmarkStart w:id="108" w:name="_Hlk169853032"/>
      <w:bookmarkStart w:id="109" w:name="_Hlk169853713"/>
      <w:r>
        <w:rPr>
          <w:rFonts w:ascii="Times New Roman" w:hAnsi="Times New Roman" w:cs="Times New Roman"/>
          <w:b/>
          <w:bCs/>
          <w:sz w:val="24"/>
          <w:szCs w:val="24"/>
          <w:lang w:val="zh-CN"/>
        </w:rPr>
        <w:t xml:space="preserve">Pentru </w:t>
      </w:r>
      <w:bookmarkEnd w:id="108"/>
      <w:r>
        <w:rPr>
          <w:rFonts w:ascii="Times New Roman" w:hAnsi="Times New Roman" w:cs="Times New Roman"/>
          <w:b/>
          <w:bCs/>
          <w:sz w:val="24"/>
          <w:szCs w:val="24"/>
          <w:lang w:val="zh-CN"/>
        </w:rPr>
        <w:t xml:space="preserve">deblocarea roții a autovehiculului </w:t>
      </w:r>
      <w:bookmarkEnd w:id="109"/>
      <w:r>
        <w:rPr>
          <w:rFonts w:ascii="Times New Roman" w:hAnsi="Times New Roman" w:cs="Times New Roman"/>
          <w:b/>
          <w:bCs/>
          <w:sz w:val="24"/>
          <w:szCs w:val="24"/>
          <w:lang w:val="zh-CN"/>
        </w:rPr>
        <w:t xml:space="preserve">– 500 lei </w:t>
      </w:r>
    </w:p>
    <w:p>
      <w:pPr>
        <w:pStyle w:val="23"/>
        <w:rPr>
          <w:rFonts w:ascii="Times New Roman" w:hAnsi="Times New Roman" w:cs="Times New Roman"/>
          <w:b/>
          <w:bCs/>
          <w:sz w:val="24"/>
          <w:szCs w:val="24"/>
          <w:lang w:val="zh-CN"/>
        </w:rPr>
      </w:pPr>
    </w:p>
    <w:p>
      <w:pPr>
        <w:pStyle w:val="23"/>
        <w:numPr>
          <w:ilvl w:val="0"/>
          <w:numId w:val="29"/>
        </w:numPr>
        <w:spacing w:after="0"/>
        <w:ind w:left="0"/>
        <w:jc w:val="both"/>
        <w:rPr>
          <w:rFonts w:ascii="Times New Roman" w:hAnsi="Times New Roman" w:cs="Times New Roman"/>
          <w:b/>
          <w:bCs/>
          <w:sz w:val="24"/>
          <w:szCs w:val="24"/>
          <w:lang w:val="zh-CN"/>
        </w:rPr>
      </w:pPr>
      <w:bookmarkStart w:id="110" w:name="_Hlk171421692"/>
      <w:r>
        <w:rPr>
          <w:rFonts w:ascii="Times New Roman" w:hAnsi="Times New Roman" w:cs="Times New Roman"/>
          <w:b/>
          <w:bCs/>
          <w:sz w:val="24"/>
          <w:szCs w:val="24"/>
          <w:lang w:val="zh-CN"/>
        </w:rPr>
        <w:t>Coeficientul pentru parcările și parcaje pentru care a fost stabilită plata progresivă – 50 % din tariful pentru o oră în zona respectivă, pentru fiecare 4 (patru) ore consecutive.</w:t>
      </w:r>
    </w:p>
    <w:bookmarkEnd w:id="110"/>
    <w:p>
      <w:pPr>
        <w:spacing w:after="0"/>
        <w:ind w:left="720"/>
        <w:jc w:val="right"/>
        <w:rPr>
          <w:rFonts w:ascii="Times" w:hAnsi="Times" w:eastAsia="Calibri" w:cs="Times New Roman"/>
          <w:b/>
          <w:sz w:val="24"/>
          <w:szCs w:val="24"/>
          <w:lang w:val="zh-CN"/>
        </w:rPr>
      </w:pPr>
    </w:p>
    <w:p>
      <w:pPr>
        <w:spacing w:after="0"/>
        <w:ind w:left="720"/>
        <w:jc w:val="right"/>
        <w:rPr>
          <w:rFonts w:ascii="Times" w:hAnsi="Times" w:eastAsia="Calibri" w:cs="Times New Roman"/>
          <w:b/>
          <w:sz w:val="24"/>
          <w:szCs w:val="24"/>
          <w:lang w:val="zh-CN"/>
        </w:rPr>
      </w:pPr>
    </w:p>
    <w:p>
      <w:pPr>
        <w:tabs>
          <w:tab w:val="left" w:pos="6330"/>
        </w:tabs>
        <w:spacing w:after="0"/>
        <w:jc w:val="center"/>
        <w:rPr>
          <w:rFonts w:ascii="Times" w:hAnsi="Times" w:eastAsia="Calibri" w:cs="Times New Roman"/>
          <w:b/>
          <w:sz w:val="24"/>
          <w:szCs w:val="24"/>
          <w:lang w:val="zh-CN"/>
        </w:rPr>
      </w:pPr>
    </w:p>
    <w:bookmarkEnd w:id="105"/>
    <w:p>
      <w:pPr>
        <w:spacing w:after="0"/>
        <w:ind w:firstLine="709"/>
        <w:jc w:val="both"/>
        <w:rPr>
          <w:lang w:val="zh-CN"/>
        </w:rPr>
      </w:pPr>
    </w:p>
    <w:p>
      <w:pPr>
        <w:spacing w:after="0"/>
        <w:rPr>
          <w:rFonts w:ascii="Times" w:hAnsi="Times" w:eastAsia="Calibri" w:cs="Times New Roman"/>
          <w:b/>
          <w:sz w:val="24"/>
          <w:szCs w:val="24"/>
          <w:lang w:val="zh-CN"/>
        </w:rPr>
      </w:pPr>
    </w:p>
    <w:sectPr>
      <w:pgSz w:w="11906" w:h="16838"/>
      <w:pgMar w:top="1418" w:right="851" w:bottom="568"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CC"/>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Segoe UI">
    <w:altName w:val="Helvetica Neue"/>
    <w:panose1 w:val="020B0502040204020203"/>
    <w:charset w:val="CC"/>
    <w:family w:val="swiss"/>
    <w:pitch w:val="default"/>
    <w:sig w:usb0="00000000" w:usb1="00000000" w:usb2="00000009" w:usb3="00000000" w:csb0="000001FF" w:csb1="00000000"/>
  </w:font>
  <w:font w:name="Times">
    <w:altName w:val="Helvetica Neue"/>
    <w:panose1 w:val="02020603050405020304"/>
    <w:charset w:val="CC"/>
    <w:family w:val="roman"/>
    <w:pitch w:val="default"/>
    <w:sig w:usb0="00000000" w:usb1="00000000" w:usb2="00000009" w:usb3="00000000" w:csb0="000001FF" w:csb1="00000000"/>
  </w:font>
  <w:font w:name="等线">
    <w:altName w:val="苹方-简"/>
    <w:panose1 w:val="00000000000000000000"/>
    <w:charset w:val="00"/>
    <w:family w:val="auto"/>
    <w:pitch w:val="default"/>
    <w:sig w:usb0="00000000" w:usb1="00000000" w:usb2="00000000" w:usb3="00000000" w:csb0="00000000" w:csb1="00000000"/>
  </w:font>
  <w:font w:name="Aharoni">
    <w:altName w:val="Thonburi"/>
    <w:panose1 w:val="00000000000000000000"/>
    <w:charset w:val="B1"/>
    <w:family w:val="auto"/>
    <w:pitch w:val="default"/>
    <w:sig w:usb0="00000000" w:usb1="00000000" w:usb2="00000000" w:usb3="00000000" w:csb0="00000021" w:csb1="00000000"/>
  </w:font>
  <w:font w:name="Thonburi">
    <w:panose1 w:val="00000400000000000000"/>
    <w:charset w:val="00"/>
    <w:family w:val="auto"/>
    <w:pitch w:val="default"/>
    <w:sig w:usb0="00000000" w:usb1="00000000" w:usb2="00000000" w:usb3="00000000" w:csb0="00000000" w:csb1="00000000"/>
  </w:font>
  <w:font w:name="Georgia">
    <w:panose1 w:val="02040502050405020303"/>
    <w:charset w:val="CC"/>
    <w:family w:val="roman"/>
    <w:pitch w:val="default"/>
    <w:sig w:usb0="00000000" w:usb1="00000000" w:usb2="00000000" w:usb3="00000000" w:csb0="00000000" w:csb1="00000000"/>
  </w:font>
  <w:font w:name="Bookman Old Style">
    <w:altName w:val="Helvetica Neue"/>
    <w:panose1 w:val="02050604050505020204"/>
    <w:charset w:val="CC"/>
    <w:family w:val="roman"/>
    <w:pitch w:val="default"/>
    <w:sig w:usb0="00000000" w:usb1="00000000" w:usb2="00000000" w:usb3="00000000" w:csb0="0000009F" w:csb1="00000000"/>
  </w:font>
  <w:font w:name="Hiragino Sans CNS">
    <w:panose1 w:val="020B0300000000000000"/>
    <w:charset w:val="86"/>
    <w:family w:val="auto"/>
    <w:pitch w:val="default"/>
    <w:sig w:usb0="00000000" w:usb1="00000000" w:usb2="00000000" w:usb3="00000000" w:csb0="0016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427DB"/>
    <w:multiLevelType w:val="multilevel"/>
    <w:tmpl w:val="077427DB"/>
    <w:lvl w:ilvl="0" w:tentative="0">
      <w:start w:val="1"/>
      <w:numFmt w:val="decimal"/>
      <w:lvlText w:val="(%1)"/>
      <w:lvlJc w:val="left"/>
      <w:pPr>
        <w:ind w:left="502" w:hanging="360"/>
      </w:pPr>
      <w:rPr>
        <w:rFonts w:hint="default"/>
      </w:rPr>
    </w:lvl>
    <w:lvl w:ilvl="1" w:tentative="0">
      <w:start w:val="1"/>
      <w:numFmt w:val="lowerLetter"/>
      <w:lvlText w:val="%2."/>
      <w:lvlJc w:val="left"/>
      <w:pPr>
        <w:ind w:left="1876" w:hanging="360"/>
      </w:pPr>
    </w:lvl>
    <w:lvl w:ilvl="2" w:tentative="0">
      <w:start w:val="1"/>
      <w:numFmt w:val="lowerRoman"/>
      <w:lvlText w:val="%3."/>
      <w:lvlJc w:val="right"/>
      <w:pPr>
        <w:ind w:left="2596" w:hanging="180"/>
      </w:pPr>
    </w:lvl>
    <w:lvl w:ilvl="3" w:tentative="0">
      <w:start w:val="1"/>
      <w:numFmt w:val="decimal"/>
      <w:lvlText w:val="%4."/>
      <w:lvlJc w:val="left"/>
      <w:pPr>
        <w:ind w:left="3316" w:hanging="360"/>
      </w:pPr>
    </w:lvl>
    <w:lvl w:ilvl="4" w:tentative="0">
      <w:start w:val="1"/>
      <w:numFmt w:val="lowerLetter"/>
      <w:lvlText w:val="%5."/>
      <w:lvlJc w:val="left"/>
      <w:pPr>
        <w:ind w:left="4036" w:hanging="360"/>
      </w:pPr>
    </w:lvl>
    <w:lvl w:ilvl="5" w:tentative="0">
      <w:start w:val="1"/>
      <w:numFmt w:val="lowerRoman"/>
      <w:lvlText w:val="%6."/>
      <w:lvlJc w:val="right"/>
      <w:pPr>
        <w:ind w:left="4756" w:hanging="180"/>
      </w:pPr>
    </w:lvl>
    <w:lvl w:ilvl="6" w:tentative="0">
      <w:start w:val="1"/>
      <w:numFmt w:val="decimal"/>
      <w:lvlText w:val="%7."/>
      <w:lvlJc w:val="left"/>
      <w:pPr>
        <w:ind w:left="5476" w:hanging="360"/>
      </w:pPr>
    </w:lvl>
    <w:lvl w:ilvl="7" w:tentative="0">
      <w:start w:val="1"/>
      <w:numFmt w:val="lowerLetter"/>
      <w:lvlText w:val="%8."/>
      <w:lvlJc w:val="left"/>
      <w:pPr>
        <w:ind w:left="6196" w:hanging="360"/>
      </w:pPr>
    </w:lvl>
    <w:lvl w:ilvl="8" w:tentative="0">
      <w:start w:val="1"/>
      <w:numFmt w:val="lowerRoman"/>
      <w:lvlText w:val="%9."/>
      <w:lvlJc w:val="right"/>
      <w:pPr>
        <w:ind w:left="6916" w:hanging="180"/>
      </w:pPr>
    </w:lvl>
  </w:abstractNum>
  <w:abstractNum w:abstractNumId="1">
    <w:nsid w:val="0B6B4861"/>
    <w:multiLevelType w:val="multilevel"/>
    <w:tmpl w:val="0B6B4861"/>
    <w:lvl w:ilvl="0" w:tentative="0">
      <w:start w:val="1"/>
      <w:numFmt w:val="lowerLetter"/>
      <w:lvlText w:val="%1)"/>
      <w:lvlJc w:val="left"/>
      <w:pPr>
        <w:ind w:left="1353" w:hanging="360"/>
      </w:pPr>
      <w:rPr>
        <w:rFonts w:hint="default"/>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2">
    <w:nsid w:val="0D582ACA"/>
    <w:multiLevelType w:val="multilevel"/>
    <w:tmpl w:val="0D582A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1CD13A1"/>
    <w:multiLevelType w:val="multilevel"/>
    <w:tmpl w:val="11CD13A1"/>
    <w:lvl w:ilvl="0" w:tentative="0">
      <w:start w:val="1"/>
      <w:numFmt w:val="lowerLetter"/>
      <w:lvlText w:val="%1)"/>
      <w:lvlJc w:val="left"/>
      <w:pPr>
        <w:ind w:left="1353" w:hanging="360"/>
      </w:pPr>
      <w:rPr>
        <w:rFonts w:hint="default"/>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4">
    <w:nsid w:val="12BE3C66"/>
    <w:multiLevelType w:val="multilevel"/>
    <w:tmpl w:val="12BE3C66"/>
    <w:lvl w:ilvl="0" w:tentative="0">
      <w:start w:val="26"/>
      <w:numFmt w:val="decimal"/>
      <w:lvlText w:val="%1."/>
      <w:lvlJc w:val="left"/>
      <w:pPr>
        <w:ind w:left="502" w:hanging="360"/>
      </w:pPr>
      <w:rPr>
        <w:rFonts w:hint="default"/>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7430CD0"/>
    <w:multiLevelType w:val="multilevel"/>
    <w:tmpl w:val="17430CD0"/>
    <w:lvl w:ilvl="0" w:tentative="0">
      <w:start w:val="1"/>
      <w:numFmt w:val="lowerLetter"/>
      <w:lvlText w:val="%1)"/>
      <w:lvlJc w:val="left"/>
      <w:pPr>
        <w:ind w:left="1353" w:hanging="360"/>
      </w:pPr>
      <w:rPr>
        <w:rFonts w:hint="default" w:eastAsia="Calibri"/>
      </w:rPr>
    </w:lvl>
    <w:lvl w:ilvl="1" w:tentative="0">
      <w:start w:val="1"/>
      <w:numFmt w:val="lowerLetter"/>
      <w:lvlText w:val="%2)"/>
      <w:lvlJc w:val="left"/>
      <w:pPr>
        <w:ind w:left="1353" w:hanging="360"/>
      </w:pPr>
      <w:rPr>
        <w:rFonts w:ascii="Times New Roman" w:hAnsi="Times New Roman" w:cs="Times New Roman" w:eastAsiaTheme="minorHAnsi"/>
      </w:rPr>
    </w:lvl>
    <w:lvl w:ilvl="2" w:tentative="0">
      <w:start w:val="17"/>
      <w:numFmt w:val="decimal"/>
      <w:lvlText w:val="%3."/>
      <w:lvlJc w:val="left"/>
      <w:pPr>
        <w:ind w:left="2973" w:hanging="360"/>
      </w:pPr>
      <w:rPr>
        <w:rFonts w:hint="default" w:eastAsia="Calibri"/>
        <w:b/>
      </w:r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6">
    <w:nsid w:val="1C896689"/>
    <w:multiLevelType w:val="multilevel"/>
    <w:tmpl w:val="1C896689"/>
    <w:lvl w:ilvl="0" w:tentative="0">
      <w:start w:val="1"/>
      <w:numFmt w:val="lowerLetter"/>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7">
    <w:nsid w:val="25295479"/>
    <w:multiLevelType w:val="multilevel"/>
    <w:tmpl w:val="25295479"/>
    <w:lvl w:ilvl="0" w:tentative="0">
      <w:start w:val="1"/>
      <w:numFmt w:val="low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8">
    <w:nsid w:val="264E4834"/>
    <w:multiLevelType w:val="multilevel"/>
    <w:tmpl w:val="264E4834"/>
    <w:lvl w:ilvl="0" w:tentative="0">
      <w:start w:val="1"/>
      <w:numFmt w:val="lowerLetter"/>
      <w:lvlText w:val="%1)"/>
      <w:lvlJc w:val="left"/>
      <w:pPr>
        <w:ind w:left="1069" w:hanging="360"/>
      </w:pPr>
      <w:rPr>
        <w:rFonts w:hint="default"/>
        <w:b w:val="0"/>
        <w:bCs/>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9">
    <w:nsid w:val="266D6A7A"/>
    <w:multiLevelType w:val="multilevel"/>
    <w:tmpl w:val="266D6A7A"/>
    <w:lvl w:ilvl="0" w:tentative="0">
      <w:start w:val="1"/>
      <w:numFmt w:val="lowerLetter"/>
      <w:lvlText w:val="%1)"/>
      <w:lvlJc w:val="left"/>
      <w:pPr>
        <w:ind w:left="4188"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0">
    <w:nsid w:val="26DA32F8"/>
    <w:multiLevelType w:val="multilevel"/>
    <w:tmpl w:val="26DA32F8"/>
    <w:lvl w:ilvl="0" w:tentative="0">
      <w:start w:val="1"/>
      <w:numFmt w:val="lowerLetter"/>
      <w:lvlText w:val="%1)"/>
      <w:lvlJc w:val="left"/>
      <w:pPr>
        <w:ind w:left="1353" w:hanging="360"/>
      </w:pPr>
      <w:rPr>
        <w:rFonts w:hint="default"/>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11">
    <w:nsid w:val="291E2E53"/>
    <w:multiLevelType w:val="multilevel"/>
    <w:tmpl w:val="291E2E53"/>
    <w:lvl w:ilvl="0" w:tentative="0">
      <w:start w:val="1"/>
      <w:numFmt w:val="lowerLetter"/>
      <w:lvlText w:val="%1)"/>
      <w:lvlJc w:val="left"/>
      <w:pPr>
        <w:ind w:left="1353" w:hanging="360"/>
      </w:pPr>
      <w:rPr>
        <w:rFonts w:hint="default"/>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12">
    <w:nsid w:val="2DA56160"/>
    <w:multiLevelType w:val="multilevel"/>
    <w:tmpl w:val="2DA56160"/>
    <w:lvl w:ilvl="0" w:tentative="0">
      <w:start w:val="1"/>
      <w:numFmt w:val="decimal"/>
      <w:lvlText w:val="(%1)"/>
      <w:lvlJc w:val="left"/>
      <w:pPr>
        <w:ind w:left="1647"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2E73250C"/>
    <w:multiLevelType w:val="multilevel"/>
    <w:tmpl w:val="2E73250C"/>
    <w:lvl w:ilvl="0" w:tentative="0">
      <w:start w:val="1"/>
      <w:numFmt w:val="decimal"/>
      <w:lvlText w:val="(%1)"/>
      <w:lvlJc w:val="left"/>
      <w:pPr>
        <w:ind w:left="1287" w:hanging="360"/>
      </w:pPr>
      <w:rPr>
        <w:rFonts w:ascii="Times New Roman" w:hAnsi="Times New Roman" w:cs="Times New Roman" w:eastAsiaTheme="minorHAnsi"/>
        <w:b w:val="0"/>
        <w:bCs/>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32ED777F"/>
    <w:multiLevelType w:val="multilevel"/>
    <w:tmpl w:val="32ED77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color w:val="auto"/>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C7D4EC7"/>
    <w:multiLevelType w:val="multilevel"/>
    <w:tmpl w:val="3C7D4EC7"/>
    <w:lvl w:ilvl="0" w:tentative="0">
      <w:start w:val="1"/>
      <w:numFmt w:val="decimal"/>
      <w:lvlText w:val="(%1)"/>
      <w:lvlJc w:val="left"/>
      <w:pPr>
        <w:ind w:left="720" w:hanging="360"/>
      </w:pPr>
      <w:rPr>
        <w:rFonts w:hint="default"/>
        <w:b w:val="0"/>
        <w:color w:val="auto"/>
      </w:rPr>
    </w:lvl>
    <w:lvl w:ilvl="1" w:tentative="0">
      <w:start w:val="1"/>
      <w:numFmt w:val="lowerLetter"/>
      <w:suff w:val="space"/>
      <w:lvlText w:val="%2)"/>
      <w:lvlJc w:val="left"/>
      <w:pPr>
        <w:ind w:left="0" w:firstLine="709"/>
      </w:pPr>
      <w:rPr>
        <w:rFonts w:ascii="Times New Roman" w:hAnsi="Times New Roman" w:cs="Times New Roman" w:eastAsiaTheme="minorHAnsi"/>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6">
    <w:nsid w:val="4F8B4204"/>
    <w:multiLevelType w:val="multilevel"/>
    <w:tmpl w:val="4F8B4204"/>
    <w:lvl w:ilvl="0" w:tentative="0">
      <w:start w:val="1"/>
      <w:numFmt w:val="lowerLetter"/>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7">
    <w:nsid w:val="50A045E1"/>
    <w:multiLevelType w:val="multilevel"/>
    <w:tmpl w:val="50A045E1"/>
    <w:lvl w:ilvl="0" w:tentative="0">
      <w:start w:val="1"/>
      <w:numFmt w:val="decimal"/>
      <w:suff w:val="space"/>
      <w:lvlText w:val="(%1)"/>
      <w:lvlJc w:val="left"/>
      <w:pPr>
        <w:ind w:left="1647" w:hanging="360"/>
      </w:pPr>
      <w:rPr>
        <w:rFonts w:hint="default"/>
        <w:b w:val="0"/>
        <w:bCs w:val="0"/>
        <w:i/>
        <w:iCs/>
      </w:rPr>
    </w:lvl>
    <w:lvl w:ilvl="1" w:tentative="0">
      <w:start w:val="1"/>
      <w:numFmt w:val="lowerLetter"/>
      <w:lvlText w:val="%2."/>
      <w:lvlJc w:val="left"/>
      <w:pPr>
        <w:ind w:left="2160" w:hanging="360"/>
      </w:pPr>
      <w:rPr>
        <w:rFonts w:hint="default"/>
      </w:rPr>
    </w:lvl>
    <w:lvl w:ilvl="2" w:tentative="0">
      <w:start w:val="1"/>
      <w:numFmt w:val="lowerRoman"/>
      <w:lvlText w:val="%3."/>
      <w:lvlJc w:val="right"/>
      <w:pPr>
        <w:ind w:left="2880" w:hanging="180"/>
      </w:pPr>
      <w:rPr>
        <w:rFonts w:hint="default"/>
      </w:rPr>
    </w:lvl>
    <w:lvl w:ilvl="3" w:tentative="0">
      <w:start w:val="1"/>
      <w:numFmt w:val="decimal"/>
      <w:lvlText w:val="%4."/>
      <w:lvlJc w:val="left"/>
      <w:pPr>
        <w:ind w:left="3600" w:hanging="360"/>
      </w:pPr>
      <w:rPr>
        <w:rFonts w:hint="default"/>
      </w:r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rPr>
        <w:rFonts w:hint="default"/>
      </w:rPr>
    </w:lvl>
    <w:lvl w:ilvl="6" w:tentative="0">
      <w:start w:val="1"/>
      <w:numFmt w:val="decimal"/>
      <w:lvlText w:val="%7."/>
      <w:lvlJc w:val="left"/>
      <w:pPr>
        <w:ind w:left="5760" w:hanging="360"/>
      </w:pPr>
      <w:rPr>
        <w:rFonts w:hint="default"/>
      </w:rPr>
    </w:lvl>
    <w:lvl w:ilvl="7" w:tentative="0">
      <w:start w:val="1"/>
      <w:numFmt w:val="lowerLetter"/>
      <w:lvlText w:val="%8."/>
      <w:lvlJc w:val="left"/>
      <w:pPr>
        <w:ind w:left="6480" w:hanging="360"/>
      </w:pPr>
      <w:rPr>
        <w:rFonts w:hint="default"/>
      </w:rPr>
    </w:lvl>
    <w:lvl w:ilvl="8" w:tentative="0">
      <w:start w:val="1"/>
      <w:numFmt w:val="lowerRoman"/>
      <w:lvlText w:val="%9."/>
      <w:lvlJc w:val="right"/>
      <w:pPr>
        <w:ind w:left="7200" w:hanging="180"/>
      </w:pPr>
      <w:rPr>
        <w:rFonts w:hint="default"/>
      </w:rPr>
    </w:lvl>
  </w:abstractNum>
  <w:abstractNum w:abstractNumId="18">
    <w:nsid w:val="52B22C79"/>
    <w:multiLevelType w:val="multilevel"/>
    <w:tmpl w:val="52B22C79"/>
    <w:lvl w:ilvl="0" w:tentative="0">
      <w:start w:val="2"/>
      <w:numFmt w:val="decimal"/>
      <w:lvlText w:val="%1."/>
      <w:lvlJc w:val="left"/>
      <w:pPr>
        <w:ind w:left="1069" w:hanging="360"/>
      </w:pPr>
      <w:rPr>
        <w:rFonts w:hint="default"/>
        <w:b/>
        <w:bCs/>
      </w:rPr>
    </w:lvl>
    <w:lvl w:ilvl="1" w:tentative="0">
      <w:start w:val="1"/>
      <w:numFmt w:val="lowerLetter"/>
      <w:lvlText w:val="%2."/>
      <w:lvlJc w:val="left"/>
      <w:pPr>
        <w:ind w:left="1789" w:hanging="360"/>
      </w:pPr>
    </w:lvl>
    <w:lvl w:ilvl="2" w:tentative="0">
      <w:start w:val="1"/>
      <w:numFmt w:val="lowerLetter"/>
      <w:lvlText w:val="%3)"/>
      <w:lvlJc w:val="left"/>
      <w:pPr>
        <w:ind w:left="1070" w:hanging="360"/>
      </w:pPr>
      <w:rPr>
        <w:rFonts w:hint="default"/>
      </w:r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9">
    <w:nsid w:val="554A2E68"/>
    <w:multiLevelType w:val="multilevel"/>
    <w:tmpl w:val="554A2E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6DC0BFD"/>
    <w:multiLevelType w:val="multilevel"/>
    <w:tmpl w:val="56DC0BFD"/>
    <w:lvl w:ilvl="0" w:tentative="0">
      <w:start w:val="1"/>
      <w:numFmt w:val="lowerLetter"/>
      <w:lvlText w:val="%1)"/>
      <w:lvlJc w:val="left"/>
      <w:pPr>
        <w:ind w:left="1353" w:hanging="360"/>
      </w:pPr>
      <w:rPr>
        <w:rFonts w:hint="default"/>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21">
    <w:nsid w:val="56F0774F"/>
    <w:multiLevelType w:val="multilevel"/>
    <w:tmpl w:val="56F0774F"/>
    <w:lvl w:ilvl="0" w:tentative="0">
      <w:start w:val="1"/>
      <w:numFmt w:val="lowerLetter"/>
      <w:lvlText w:val="%1)"/>
      <w:lvlJc w:val="left"/>
      <w:pPr>
        <w:ind w:left="1287"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2">
    <w:nsid w:val="57907F22"/>
    <w:multiLevelType w:val="multilevel"/>
    <w:tmpl w:val="57907F22"/>
    <w:lvl w:ilvl="0" w:tentative="0">
      <w:start w:val="1"/>
      <w:numFmt w:val="lowerLetter"/>
      <w:lvlText w:val="%1)"/>
      <w:lvlJc w:val="left"/>
      <w:pPr>
        <w:ind w:left="2689" w:hanging="360"/>
      </w:pPr>
      <w:rPr>
        <w:rFonts w:hint="default"/>
      </w:rPr>
    </w:lvl>
    <w:lvl w:ilvl="1" w:tentative="0">
      <w:start w:val="1"/>
      <w:numFmt w:val="lowerLetter"/>
      <w:lvlText w:val="%2."/>
      <w:lvlJc w:val="left"/>
      <w:pPr>
        <w:ind w:left="3409" w:hanging="360"/>
      </w:pPr>
    </w:lvl>
    <w:lvl w:ilvl="2" w:tentative="0">
      <w:start w:val="1"/>
      <w:numFmt w:val="lowerRoman"/>
      <w:lvlText w:val="%3."/>
      <w:lvlJc w:val="right"/>
      <w:pPr>
        <w:ind w:left="4129" w:hanging="180"/>
      </w:pPr>
    </w:lvl>
    <w:lvl w:ilvl="3" w:tentative="0">
      <w:start w:val="1"/>
      <w:numFmt w:val="decimal"/>
      <w:lvlText w:val="%4."/>
      <w:lvlJc w:val="left"/>
      <w:pPr>
        <w:ind w:left="4849" w:hanging="360"/>
      </w:pPr>
    </w:lvl>
    <w:lvl w:ilvl="4" w:tentative="0">
      <w:start w:val="1"/>
      <w:numFmt w:val="lowerLetter"/>
      <w:lvlText w:val="%5."/>
      <w:lvlJc w:val="left"/>
      <w:pPr>
        <w:ind w:left="5569" w:hanging="360"/>
      </w:pPr>
    </w:lvl>
    <w:lvl w:ilvl="5" w:tentative="0">
      <w:start w:val="1"/>
      <w:numFmt w:val="lowerRoman"/>
      <w:lvlText w:val="%6."/>
      <w:lvlJc w:val="right"/>
      <w:pPr>
        <w:ind w:left="6289" w:hanging="180"/>
      </w:pPr>
    </w:lvl>
    <w:lvl w:ilvl="6" w:tentative="0">
      <w:start w:val="1"/>
      <w:numFmt w:val="decimal"/>
      <w:lvlText w:val="%7."/>
      <w:lvlJc w:val="left"/>
      <w:pPr>
        <w:ind w:left="7009" w:hanging="360"/>
      </w:pPr>
    </w:lvl>
    <w:lvl w:ilvl="7" w:tentative="0">
      <w:start w:val="1"/>
      <w:numFmt w:val="lowerLetter"/>
      <w:lvlText w:val="%8."/>
      <w:lvlJc w:val="left"/>
      <w:pPr>
        <w:ind w:left="7729" w:hanging="360"/>
      </w:pPr>
    </w:lvl>
    <w:lvl w:ilvl="8" w:tentative="0">
      <w:start w:val="1"/>
      <w:numFmt w:val="lowerRoman"/>
      <w:lvlText w:val="%9."/>
      <w:lvlJc w:val="right"/>
      <w:pPr>
        <w:ind w:left="8449" w:hanging="180"/>
      </w:pPr>
    </w:lvl>
  </w:abstractNum>
  <w:abstractNum w:abstractNumId="23">
    <w:nsid w:val="59026B2E"/>
    <w:multiLevelType w:val="multilevel"/>
    <w:tmpl w:val="59026B2E"/>
    <w:lvl w:ilvl="0" w:tentative="0">
      <w:start w:val="1"/>
      <w:numFmt w:val="lowerLetter"/>
      <w:lvlText w:val="%1)"/>
      <w:lvlJc w:val="left"/>
      <w:pPr>
        <w:ind w:left="1636" w:hanging="360"/>
      </w:pPr>
      <w:rPr>
        <w:rFonts w:hint="default"/>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24">
    <w:nsid w:val="5BC97714"/>
    <w:multiLevelType w:val="multilevel"/>
    <w:tmpl w:val="5BC97714"/>
    <w:lvl w:ilvl="0" w:tentative="0">
      <w:start w:val="1"/>
      <w:numFmt w:val="lowerLetter"/>
      <w:lvlText w:val="%1)"/>
      <w:lvlJc w:val="left"/>
      <w:pPr>
        <w:ind w:left="2689" w:hanging="360"/>
      </w:pPr>
      <w:rPr>
        <w:rFonts w:hint="default"/>
      </w:rPr>
    </w:lvl>
    <w:lvl w:ilvl="1" w:tentative="0">
      <w:start w:val="1"/>
      <w:numFmt w:val="lowerLetter"/>
      <w:lvlText w:val="%2."/>
      <w:lvlJc w:val="left"/>
      <w:pPr>
        <w:ind w:left="3409" w:hanging="360"/>
      </w:pPr>
    </w:lvl>
    <w:lvl w:ilvl="2" w:tentative="0">
      <w:start w:val="1"/>
      <w:numFmt w:val="lowerRoman"/>
      <w:lvlText w:val="%3."/>
      <w:lvlJc w:val="right"/>
      <w:pPr>
        <w:ind w:left="4129" w:hanging="180"/>
      </w:pPr>
    </w:lvl>
    <w:lvl w:ilvl="3" w:tentative="0">
      <w:start w:val="1"/>
      <w:numFmt w:val="decimal"/>
      <w:lvlText w:val="%4."/>
      <w:lvlJc w:val="left"/>
      <w:pPr>
        <w:ind w:left="4849" w:hanging="360"/>
      </w:pPr>
    </w:lvl>
    <w:lvl w:ilvl="4" w:tentative="0">
      <w:start w:val="1"/>
      <w:numFmt w:val="lowerLetter"/>
      <w:lvlText w:val="%5."/>
      <w:lvlJc w:val="left"/>
      <w:pPr>
        <w:ind w:left="5569" w:hanging="360"/>
      </w:pPr>
    </w:lvl>
    <w:lvl w:ilvl="5" w:tentative="0">
      <w:start w:val="1"/>
      <w:numFmt w:val="lowerRoman"/>
      <w:lvlText w:val="%6."/>
      <w:lvlJc w:val="right"/>
      <w:pPr>
        <w:ind w:left="6289" w:hanging="180"/>
      </w:pPr>
    </w:lvl>
    <w:lvl w:ilvl="6" w:tentative="0">
      <w:start w:val="1"/>
      <w:numFmt w:val="decimal"/>
      <w:lvlText w:val="%7."/>
      <w:lvlJc w:val="left"/>
      <w:pPr>
        <w:ind w:left="7009" w:hanging="360"/>
      </w:pPr>
    </w:lvl>
    <w:lvl w:ilvl="7" w:tentative="0">
      <w:start w:val="1"/>
      <w:numFmt w:val="lowerLetter"/>
      <w:lvlText w:val="%8."/>
      <w:lvlJc w:val="left"/>
      <w:pPr>
        <w:ind w:left="7729" w:hanging="360"/>
      </w:pPr>
    </w:lvl>
    <w:lvl w:ilvl="8" w:tentative="0">
      <w:start w:val="1"/>
      <w:numFmt w:val="lowerRoman"/>
      <w:lvlText w:val="%9."/>
      <w:lvlJc w:val="right"/>
      <w:pPr>
        <w:ind w:left="8449" w:hanging="180"/>
      </w:pPr>
    </w:lvl>
  </w:abstractNum>
  <w:abstractNum w:abstractNumId="25">
    <w:nsid w:val="642B7F3F"/>
    <w:multiLevelType w:val="multilevel"/>
    <w:tmpl w:val="642B7F3F"/>
    <w:lvl w:ilvl="0" w:tentative="0">
      <w:start w:val="17"/>
      <w:numFmt w:val="decimal"/>
      <w:lvlText w:val="%1."/>
      <w:lvlJc w:val="left"/>
      <w:pPr>
        <w:ind w:left="1069" w:hanging="360"/>
      </w:pPr>
      <w:rPr>
        <w:rFonts w:hint="default"/>
        <w:b w:val="0"/>
        <w:bCs/>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6">
    <w:nsid w:val="6A365ADA"/>
    <w:multiLevelType w:val="multilevel"/>
    <w:tmpl w:val="6A365ADA"/>
    <w:lvl w:ilvl="0" w:tentative="0">
      <w:start w:val="1"/>
      <w:numFmt w:val="lowerLetter"/>
      <w:lvlText w:val="%1)"/>
      <w:lvlJc w:val="left"/>
      <w:pPr>
        <w:ind w:left="1287" w:hanging="360"/>
      </w:pPr>
      <w:rPr>
        <w:rFonts w:hint="default"/>
        <w:b w:val="0"/>
        <w:bCs/>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7">
    <w:nsid w:val="6CD20994"/>
    <w:multiLevelType w:val="multilevel"/>
    <w:tmpl w:val="6CD20994"/>
    <w:lvl w:ilvl="0" w:tentative="0">
      <w:start w:val="1"/>
      <w:numFmt w:val="lowerLetter"/>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28">
    <w:nsid w:val="6E201861"/>
    <w:multiLevelType w:val="multilevel"/>
    <w:tmpl w:val="6E201861"/>
    <w:lvl w:ilvl="0" w:tentative="0">
      <w:start w:val="1"/>
      <w:numFmt w:val="decimal"/>
      <w:suff w:val="space"/>
      <w:lvlText w:val="(%1)"/>
      <w:lvlJc w:val="left"/>
      <w:pPr>
        <w:ind w:left="0" w:firstLine="709"/>
      </w:pPr>
      <w:rPr>
        <w:rFonts w:hint="default" w:ascii="Times New Roman" w:hAnsi="Times New Roman" w:cs="Times New Roman" w:eastAsiaTheme="minorHAnsi"/>
      </w:rPr>
    </w:lvl>
    <w:lvl w:ilvl="1" w:tentative="0">
      <w:start w:val="1"/>
      <w:numFmt w:val="lowerLetter"/>
      <w:suff w:val="space"/>
      <w:lvlText w:val="%2)"/>
      <w:lvlJc w:val="left"/>
      <w:pPr>
        <w:ind w:left="142" w:firstLine="709"/>
      </w:pPr>
      <w:rPr>
        <w:rFonts w:hint="default"/>
        <w:b w:val="0"/>
        <w:bCs/>
      </w:rPr>
    </w:lvl>
    <w:lvl w:ilvl="2" w:tentative="0">
      <w:start w:val="1"/>
      <w:numFmt w:val="lowerRoman"/>
      <w:lvlText w:val="%3."/>
      <w:lvlJc w:val="right"/>
      <w:pPr>
        <w:ind w:left="2367" w:hanging="180"/>
      </w:pPr>
      <w:rPr>
        <w:rFonts w:hint="default"/>
      </w:rPr>
    </w:lvl>
    <w:lvl w:ilvl="3" w:tentative="0">
      <w:start w:val="1"/>
      <w:numFmt w:val="decimal"/>
      <w:lvlText w:val="%4."/>
      <w:lvlJc w:val="left"/>
      <w:pPr>
        <w:ind w:left="3087" w:hanging="360"/>
      </w:pPr>
      <w:rPr>
        <w:rFonts w:hint="default"/>
      </w:rPr>
    </w:lvl>
    <w:lvl w:ilvl="4" w:tentative="0">
      <w:start w:val="1"/>
      <w:numFmt w:val="lowerLetter"/>
      <w:lvlText w:val="%5."/>
      <w:lvlJc w:val="left"/>
      <w:pPr>
        <w:ind w:left="3807" w:hanging="360"/>
      </w:pPr>
      <w:rPr>
        <w:rFonts w:hint="default"/>
      </w:rPr>
    </w:lvl>
    <w:lvl w:ilvl="5" w:tentative="0">
      <w:start w:val="1"/>
      <w:numFmt w:val="lowerRoman"/>
      <w:lvlText w:val="%6."/>
      <w:lvlJc w:val="right"/>
      <w:pPr>
        <w:ind w:left="4527" w:hanging="180"/>
      </w:pPr>
      <w:rPr>
        <w:rFonts w:hint="default"/>
      </w:rPr>
    </w:lvl>
    <w:lvl w:ilvl="6" w:tentative="0">
      <w:start w:val="1"/>
      <w:numFmt w:val="decimal"/>
      <w:lvlText w:val="%7."/>
      <w:lvlJc w:val="left"/>
      <w:pPr>
        <w:ind w:left="5247" w:hanging="360"/>
      </w:pPr>
      <w:rPr>
        <w:rFonts w:hint="default"/>
      </w:rPr>
    </w:lvl>
    <w:lvl w:ilvl="7" w:tentative="0">
      <w:start w:val="1"/>
      <w:numFmt w:val="lowerLetter"/>
      <w:lvlText w:val="%8."/>
      <w:lvlJc w:val="left"/>
      <w:pPr>
        <w:ind w:left="5967" w:hanging="360"/>
      </w:pPr>
      <w:rPr>
        <w:rFonts w:hint="default"/>
      </w:rPr>
    </w:lvl>
    <w:lvl w:ilvl="8" w:tentative="0">
      <w:start w:val="1"/>
      <w:numFmt w:val="lowerRoman"/>
      <w:lvlText w:val="%9."/>
      <w:lvlJc w:val="right"/>
      <w:pPr>
        <w:ind w:left="6687" w:hanging="180"/>
      </w:pPr>
      <w:rPr>
        <w:rFonts w:hint="default"/>
      </w:rPr>
    </w:lvl>
  </w:abstractNum>
  <w:num w:numId="1">
    <w:abstractNumId w:val="28"/>
  </w:num>
  <w:num w:numId="2">
    <w:abstractNumId w:val="8"/>
  </w:num>
  <w:num w:numId="3">
    <w:abstractNumId w:val="25"/>
  </w:num>
  <w:num w:numId="4">
    <w:abstractNumId w:val="4"/>
  </w:num>
  <w:num w:numId="5">
    <w:abstractNumId w:val="5"/>
  </w:num>
  <w:num w:numId="6">
    <w:abstractNumId w:val="18"/>
  </w:num>
  <w:num w:numId="7">
    <w:abstractNumId w:val="11"/>
  </w:num>
  <w:num w:numId="8">
    <w:abstractNumId w:val="22"/>
  </w:num>
  <w:num w:numId="9">
    <w:abstractNumId w:val="10"/>
  </w:num>
  <w:num w:numId="10">
    <w:abstractNumId w:val="24"/>
  </w:num>
  <w:num w:numId="11">
    <w:abstractNumId w:val="23"/>
  </w:num>
  <w:num w:numId="12">
    <w:abstractNumId w:val="3"/>
  </w:num>
  <w:num w:numId="13">
    <w:abstractNumId w:val="20"/>
  </w:num>
  <w:num w:numId="14">
    <w:abstractNumId w:val="1"/>
  </w:num>
  <w:num w:numId="15">
    <w:abstractNumId w:val="27"/>
  </w:num>
  <w:num w:numId="16">
    <w:abstractNumId w:val="16"/>
  </w:num>
  <w:num w:numId="17">
    <w:abstractNumId w:val="6"/>
  </w:num>
  <w:num w:numId="18">
    <w:abstractNumId w:val="21"/>
  </w:num>
  <w:num w:numId="19">
    <w:abstractNumId w:val="9"/>
  </w:num>
  <w:num w:numId="20">
    <w:abstractNumId w:val="26"/>
  </w:num>
  <w:num w:numId="21">
    <w:abstractNumId w:val="15"/>
  </w:num>
  <w:num w:numId="22">
    <w:abstractNumId w:val="17"/>
  </w:num>
  <w:num w:numId="23">
    <w:abstractNumId w:val="12"/>
  </w:num>
  <w:num w:numId="24">
    <w:abstractNumId w:val="0"/>
  </w:num>
  <w:num w:numId="25">
    <w:abstractNumId w:val="2"/>
  </w:num>
  <w:num w:numId="26">
    <w:abstractNumId w:val="19"/>
  </w:num>
  <w:num w:numId="27">
    <w:abstractNumId w:val="14"/>
  </w:num>
  <w:num w:numId="28">
    <w:abstractNumId w:val="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70E"/>
    <w:rsid w:val="00032601"/>
    <w:rsid w:val="00063CF3"/>
    <w:rsid w:val="00087D0B"/>
    <w:rsid w:val="000A5C50"/>
    <w:rsid w:val="000B47A7"/>
    <w:rsid w:val="000D03F0"/>
    <w:rsid w:val="000D4B2E"/>
    <w:rsid w:val="001565DF"/>
    <w:rsid w:val="001C4906"/>
    <w:rsid w:val="001D6233"/>
    <w:rsid w:val="001F294F"/>
    <w:rsid w:val="001F76E9"/>
    <w:rsid w:val="00215AA9"/>
    <w:rsid w:val="002848EF"/>
    <w:rsid w:val="002B6508"/>
    <w:rsid w:val="002D56F7"/>
    <w:rsid w:val="002E7436"/>
    <w:rsid w:val="003020DE"/>
    <w:rsid w:val="003246C1"/>
    <w:rsid w:val="0038102E"/>
    <w:rsid w:val="00425CC1"/>
    <w:rsid w:val="004406E6"/>
    <w:rsid w:val="00444672"/>
    <w:rsid w:val="004724E8"/>
    <w:rsid w:val="0058015D"/>
    <w:rsid w:val="00617943"/>
    <w:rsid w:val="006C0B77"/>
    <w:rsid w:val="006C414F"/>
    <w:rsid w:val="007208C7"/>
    <w:rsid w:val="00726CF5"/>
    <w:rsid w:val="00745EAC"/>
    <w:rsid w:val="0079364A"/>
    <w:rsid w:val="007C52AE"/>
    <w:rsid w:val="007D3BD4"/>
    <w:rsid w:val="00805BEA"/>
    <w:rsid w:val="00816D0D"/>
    <w:rsid w:val="008242FF"/>
    <w:rsid w:val="008306E4"/>
    <w:rsid w:val="00870751"/>
    <w:rsid w:val="00922C48"/>
    <w:rsid w:val="00951606"/>
    <w:rsid w:val="00970ACC"/>
    <w:rsid w:val="0099070E"/>
    <w:rsid w:val="009B4F76"/>
    <w:rsid w:val="009F0484"/>
    <w:rsid w:val="00A02373"/>
    <w:rsid w:val="00A246B9"/>
    <w:rsid w:val="00AC17CD"/>
    <w:rsid w:val="00B140F5"/>
    <w:rsid w:val="00B7336F"/>
    <w:rsid w:val="00B915B7"/>
    <w:rsid w:val="00BE4BE6"/>
    <w:rsid w:val="00C17517"/>
    <w:rsid w:val="00C5688A"/>
    <w:rsid w:val="00C80E09"/>
    <w:rsid w:val="00C96AB8"/>
    <w:rsid w:val="00CB3EF0"/>
    <w:rsid w:val="00CD21CB"/>
    <w:rsid w:val="00CF48FA"/>
    <w:rsid w:val="00CF7F83"/>
    <w:rsid w:val="00D05498"/>
    <w:rsid w:val="00D10C06"/>
    <w:rsid w:val="00DA08C5"/>
    <w:rsid w:val="00E015E4"/>
    <w:rsid w:val="00E27A59"/>
    <w:rsid w:val="00EA2B71"/>
    <w:rsid w:val="00EA59DF"/>
    <w:rsid w:val="00EC1DB5"/>
    <w:rsid w:val="00EC7027"/>
    <w:rsid w:val="00EE4070"/>
    <w:rsid w:val="00F044DD"/>
    <w:rsid w:val="00F12C76"/>
    <w:rsid w:val="00F75A44"/>
    <w:rsid w:val="00FA3F0C"/>
    <w:rsid w:val="F7FF8E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ro-RO" w:eastAsia="en-US" w:bidi="ar-SA"/>
      <w14:ligatures w14:val="none"/>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1"/>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4"/>
    <w:basedOn w:val="1"/>
    <w:next w:val="1"/>
    <w:link w:val="22"/>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val="ru-RU" w:eastAsia="ru-RU"/>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6"/>
    <w:semiHidden/>
    <w:unhideWhenUsed/>
    <w:uiPriority w:val="99"/>
    <w:pPr>
      <w:spacing w:after="0" w:line="240" w:lineRule="auto"/>
    </w:pPr>
    <w:rPr>
      <w:rFonts w:ascii="Segoe UI" w:hAnsi="Segoe UI" w:cs="Segoe UI"/>
      <w:sz w:val="18"/>
      <w:szCs w:val="18"/>
    </w:rPr>
  </w:style>
  <w:style w:type="paragraph" w:styleId="8">
    <w:name w:val="caption"/>
    <w:basedOn w:val="1"/>
    <w:next w:val="1"/>
    <w:unhideWhenUsed/>
    <w:qFormat/>
    <w:uiPriority w:val="35"/>
    <w:pPr>
      <w:spacing w:after="200" w:line="240" w:lineRule="auto"/>
    </w:pPr>
    <w:rPr>
      <w:rFonts w:ascii="Times New Roman" w:hAnsi="Times New Roman" w:cs="Times New Roman"/>
      <w:i/>
      <w:iCs/>
      <w:color w:val="44546A" w:themeColor="text2"/>
      <w:sz w:val="18"/>
      <w:szCs w:val="18"/>
      <w:lang w:val="en-US"/>
      <w14:textFill>
        <w14:solidFill>
          <w14:schemeClr w14:val="tx2"/>
        </w14:solidFill>
      </w14:textFill>
    </w:rPr>
  </w:style>
  <w:style w:type="character" w:styleId="9">
    <w:name w:val="annotation reference"/>
    <w:basedOn w:val="5"/>
    <w:semiHidden/>
    <w:unhideWhenUsed/>
    <w:uiPriority w:val="99"/>
    <w:rPr>
      <w:sz w:val="16"/>
      <w:szCs w:val="16"/>
    </w:rPr>
  </w:style>
  <w:style w:type="paragraph" w:styleId="10">
    <w:name w:val="annotation text"/>
    <w:basedOn w:val="1"/>
    <w:link w:val="25"/>
    <w:semiHidden/>
    <w:unhideWhenUsed/>
    <w:uiPriority w:val="99"/>
    <w:pPr>
      <w:spacing w:line="240" w:lineRule="auto"/>
    </w:pPr>
    <w:rPr>
      <w:sz w:val="20"/>
      <w:szCs w:val="20"/>
    </w:rPr>
  </w:style>
  <w:style w:type="character" w:styleId="11">
    <w:name w:val="Emphasis"/>
    <w:basedOn w:val="5"/>
    <w:qFormat/>
    <w:uiPriority w:val="20"/>
    <w:rPr>
      <w:i/>
      <w:iCs/>
    </w:rPr>
  </w:style>
  <w:style w:type="paragraph" w:styleId="12">
    <w:name w:val="footer"/>
    <w:basedOn w:val="1"/>
    <w:link w:val="28"/>
    <w:unhideWhenUsed/>
    <w:uiPriority w:val="99"/>
    <w:pPr>
      <w:tabs>
        <w:tab w:val="center" w:pos="4677"/>
        <w:tab w:val="right" w:pos="9355"/>
      </w:tabs>
      <w:spacing w:after="0" w:line="240" w:lineRule="auto"/>
    </w:pPr>
  </w:style>
  <w:style w:type="paragraph" w:styleId="13">
    <w:name w:val="header"/>
    <w:basedOn w:val="1"/>
    <w:link w:val="27"/>
    <w:unhideWhenUsed/>
    <w:uiPriority w:val="99"/>
    <w:pPr>
      <w:tabs>
        <w:tab w:val="center" w:pos="4677"/>
        <w:tab w:val="right" w:pos="9355"/>
      </w:tabs>
      <w:spacing w:after="0" w:line="240" w:lineRule="auto"/>
    </w:pPr>
  </w:style>
  <w:style w:type="character" w:styleId="14">
    <w:name w:val="Hyperlink"/>
    <w:basedOn w:val="5"/>
    <w:unhideWhenUsed/>
    <w:uiPriority w:val="99"/>
    <w:rPr>
      <w:color w:val="0563C1" w:themeColor="hyperlink"/>
      <w:u w:val="single"/>
      <w14:textFill>
        <w14:solidFill>
          <w14:schemeClr w14:val="hlink"/>
        </w14:solidFill>
      </w14:textFill>
    </w:rPr>
  </w:style>
  <w:style w:type="character" w:styleId="15">
    <w:name w:val="Strong"/>
    <w:basedOn w:val="5"/>
    <w:qFormat/>
    <w:uiPriority w:val="22"/>
    <w:rPr>
      <w:b/>
      <w:bCs/>
    </w:rPr>
  </w:style>
  <w:style w:type="table" w:styleId="16">
    <w:name w:val="Table Grid"/>
    <w:basedOn w:val="6"/>
    <w:uiPriority w:val="59"/>
    <w:pPr>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oc 1"/>
    <w:basedOn w:val="1"/>
    <w:next w:val="1"/>
    <w:unhideWhenUsed/>
    <w:uiPriority w:val="39"/>
    <w:pPr>
      <w:tabs>
        <w:tab w:val="right" w:leader="dot" w:pos="9345"/>
      </w:tabs>
      <w:spacing w:after="100"/>
      <w:jc w:val="both"/>
    </w:pPr>
    <w:rPr>
      <w:rFonts w:ascii="Times" w:hAnsi="Times" w:cs="Times New Roman" w:eastAsiaTheme="minorEastAsia"/>
      <w:b/>
      <w:bCs/>
      <w:lang w:eastAsia="ru-RU"/>
    </w:rPr>
  </w:style>
  <w:style w:type="paragraph" w:styleId="18">
    <w:name w:val="toc 2"/>
    <w:basedOn w:val="1"/>
    <w:next w:val="1"/>
    <w:unhideWhenUsed/>
    <w:uiPriority w:val="39"/>
    <w:pPr>
      <w:tabs>
        <w:tab w:val="right" w:leader="dot" w:pos="9345"/>
      </w:tabs>
      <w:spacing w:after="100"/>
      <w:ind w:left="220"/>
    </w:pPr>
    <w:rPr>
      <w:rFonts w:ascii="Times New Roman" w:hAnsi="Times New Roman" w:eastAsia="Times New Roman" w:cs="Times New Roman"/>
      <w:b/>
      <w:bCs/>
      <w:color w:val="000000" w:themeColor="text1"/>
      <w:lang w:eastAsia="ru-RU"/>
      <w14:textFill>
        <w14:solidFill>
          <w14:schemeClr w14:val="tx1"/>
        </w14:solidFill>
      </w14:textFill>
    </w:rPr>
  </w:style>
  <w:style w:type="paragraph" w:styleId="19">
    <w:name w:val="toc 3"/>
    <w:basedOn w:val="1"/>
    <w:next w:val="1"/>
    <w:unhideWhenUsed/>
    <w:uiPriority w:val="39"/>
    <w:pPr>
      <w:spacing w:after="100"/>
      <w:ind w:left="440"/>
    </w:pPr>
    <w:rPr>
      <w:rFonts w:cs="Times New Roman" w:eastAsiaTheme="minorEastAsia"/>
      <w:lang w:val="ru-RU" w:eastAsia="ru-RU"/>
    </w:rPr>
  </w:style>
  <w:style w:type="character" w:customStyle="1" w:styleId="20">
    <w:name w:val="Заголовок 1 Знак"/>
    <w:basedOn w:val="5"/>
    <w:link w:val="2"/>
    <w:uiPriority w:val="9"/>
    <w:rPr>
      <w:rFonts w:asciiTheme="majorHAnsi" w:hAnsiTheme="majorHAnsi" w:eastAsiaTheme="majorEastAsia" w:cstheme="majorBidi"/>
      <w:color w:val="2E75B6" w:themeColor="accent1" w:themeShade="BF"/>
      <w:kern w:val="0"/>
      <w:sz w:val="32"/>
      <w:szCs w:val="32"/>
      <w:lang w:val="ro-RO"/>
      <w14:ligatures w14:val="none"/>
    </w:rPr>
  </w:style>
  <w:style w:type="character" w:customStyle="1" w:styleId="21">
    <w:name w:val="Заголовок 2 Знак"/>
    <w:basedOn w:val="5"/>
    <w:link w:val="3"/>
    <w:uiPriority w:val="9"/>
    <w:rPr>
      <w:rFonts w:asciiTheme="majorHAnsi" w:hAnsiTheme="majorHAnsi" w:eastAsiaTheme="majorEastAsia" w:cstheme="majorBidi"/>
      <w:color w:val="2E75B6" w:themeColor="accent1" w:themeShade="BF"/>
      <w:kern w:val="0"/>
      <w:sz w:val="26"/>
      <w:szCs w:val="26"/>
      <w:lang w:val="ro-RO"/>
      <w14:ligatures w14:val="none"/>
    </w:rPr>
  </w:style>
  <w:style w:type="character" w:customStyle="1" w:styleId="22">
    <w:name w:val="Заголовок 4 Знак"/>
    <w:basedOn w:val="5"/>
    <w:link w:val="4"/>
    <w:uiPriority w:val="9"/>
    <w:rPr>
      <w:rFonts w:ascii="Times New Roman" w:hAnsi="Times New Roman" w:eastAsia="Times New Roman" w:cs="Times New Roman"/>
      <w:b/>
      <w:bCs/>
      <w:kern w:val="0"/>
      <w:sz w:val="24"/>
      <w:szCs w:val="24"/>
      <w:lang w:eastAsia="ru-RU"/>
      <w14:ligatures w14:val="none"/>
    </w:rPr>
  </w:style>
  <w:style w:type="paragraph" w:styleId="23">
    <w:name w:val="List Paragraph"/>
    <w:basedOn w:val="1"/>
    <w:qFormat/>
    <w:uiPriority w:val="34"/>
    <w:pPr>
      <w:ind w:left="720"/>
      <w:contextualSpacing/>
    </w:pPr>
  </w:style>
  <w:style w:type="paragraph" w:styleId="24">
    <w:name w:val="No Spacing"/>
    <w:qFormat/>
    <w:uiPriority w:val="1"/>
    <w:pPr>
      <w:spacing w:after="0" w:line="240" w:lineRule="auto"/>
    </w:pPr>
    <w:rPr>
      <w:rFonts w:asciiTheme="minorHAnsi" w:hAnsiTheme="minorHAnsi" w:eastAsiaTheme="minorHAnsi" w:cstheme="minorBidi"/>
      <w:kern w:val="0"/>
      <w:sz w:val="22"/>
      <w:szCs w:val="22"/>
      <w:lang w:val="ru-RU" w:eastAsia="en-US" w:bidi="ar-SA"/>
      <w14:ligatures w14:val="none"/>
    </w:rPr>
  </w:style>
  <w:style w:type="character" w:customStyle="1" w:styleId="25">
    <w:name w:val="Текст примечания Знак"/>
    <w:basedOn w:val="5"/>
    <w:link w:val="10"/>
    <w:semiHidden/>
    <w:uiPriority w:val="99"/>
    <w:rPr>
      <w:kern w:val="0"/>
      <w:sz w:val="20"/>
      <w:szCs w:val="20"/>
      <w:lang w:val="ro-RO"/>
      <w14:ligatures w14:val="none"/>
    </w:rPr>
  </w:style>
  <w:style w:type="character" w:customStyle="1" w:styleId="26">
    <w:name w:val="Текст выноски Знак"/>
    <w:basedOn w:val="5"/>
    <w:link w:val="7"/>
    <w:semiHidden/>
    <w:uiPriority w:val="99"/>
    <w:rPr>
      <w:rFonts w:ascii="Segoe UI" w:hAnsi="Segoe UI" w:cs="Segoe UI"/>
      <w:kern w:val="0"/>
      <w:sz w:val="18"/>
      <w:szCs w:val="18"/>
      <w:lang w:val="ro-RO"/>
      <w14:ligatures w14:val="none"/>
    </w:rPr>
  </w:style>
  <w:style w:type="character" w:customStyle="1" w:styleId="27">
    <w:name w:val="Верхний колонтитул Знак"/>
    <w:basedOn w:val="5"/>
    <w:link w:val="13"/>
    <w:uiPriority w:val="99"/>
    <w:rPr>
      <w:kern w:val="0"/>
      <w:lang w:val="ro-RO"/>
      <w14:ligatures w14:val="none"/>
    </w:rPr>
  </w:style>
  <w:style w:type="character" w:customStyle="1" w:styleId="28">
    <w:name w:val="Нижний колонтитул Знак"/>
    <w:basedOn w:val="5"/>
    <w:link w:val="12"/>
    <w:uiPriority w:val="99"/>
    <w:rPr>
      <w:kern w:val="0"/>
      <w:lang w:val="ro-RO"/>
      <w14:ligatures w14:val="none"/>
    </w:rPr>
  </w:style>
  <w:style w:type="character" w:customStyle="1" w:styleId="29">
    <w:name w:val="font5"/>
    <w:basedOn w:val="5"/>
    <w:uiPriority w:val="0"/>
  </w:style>
  <w:style w:type="character" w:styleId="30">
    <w:name w:val="Placeholder Text"/>
    <w:basedOn w:val="5"/>
    <w:semiHidden/>
    <w:uiPriority w:val="99"/>
    <w:rPr>
      <w:color w:val="808080"/>
    </w:rPr>
  </w:style>
  <w:style w:type="paragraph" w:customStyle="1" w:styleId="31">
    <w:name w:val="Revision"/>
    <w:hidden/>
    <w:semiHidden/>
    <w:uiPriority w:val="99"/>
    <w:pPr>
      <w:spacing w:after="0" w:line="240" w:lineRule="auto"/>
    </w:pPr>
    <w:rPr>
      <w:rFonts w:asciiTheme="minorHAnsi" w:hAnsiTheme="minorHAnsi" w:eastAsiaTheme="minorHAnsi" w:cstheme="minorBidi"/>
      <w:kern w:val="0"/>
      <w:sz w:val="22"/>
      <w:szCs w:val="22"/>
      <w:lang w:val="ro-RO" w:eastAsia="en-US" w:bidi="ar-SA"/>
      <w14:ligatures w14:val="none"/>
    </w:rPr>
  </w:style>
  <w:style w:type="paragraph" w:customStyle="1" w:styleId="32">
    <w:name w:val="TOC Heading"/>
    <w:basedOn w:val="2"/>
    <w:next w:val="1"/>
    <w:unhideWhenUsed/>
    <w:qFormat/>
    <w:uiPriority w:val="39"/>
    <w:pPr>
      <w:outlineLvl w:val="9"/>
    </w:pPr>
    <w:rPr>
      <w:lang w:val="ru-RU"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15564</Words>
  <Characters>88720</Characters>
  <Lines>739</Lines>
  <Paragraphs>208</Paragraphs>
  <TotalTime>2</TotalTime>
  <ScaleCrop>false</ScaleCrop>
  <LinksUpToDate>false</LinksUpToDate>
  <CharactersWithSpaces>104076</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2024-07-11T10:57:00Z</dcterms:created>
  <dc:creator>User</dc:creator>
  <cp:lastModifiedBy>mihaicondur</cp:lastModifiedBy>
  <cp:lastPrinted>2024-07-03T08:51:00Z</cp:lastPrinted>
  <dcterms:modified xsi:type="dcterms:W3CDTF">2024-07-19T08:17:23Z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