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3" w:type="pct"/>
        <w:tblLayout w:type="fixed"/>
        <w:tblLook w:val="04A0" w:firstRow="1" w:lastRow="0" w:firstColumn="1" w:lastColumn="0" w:noHBand="0" w:noVBand="1"/>
      </w:tblPr>
      <w:tblGrid>
        <w:gridCol w:w="4919"/>
        <w:gridCol w:w="571"/>
        <w:gridCol w:w="1591"/>
        <w:gridCol w:w="1561"/>
        <w:gridCol w:w="1559"/>
      </w:tblGrid>
      <w:tr w:rsidR="00C16C9F" w:rsidRPr="00207783" w14:paraId="50814F6E" w14:textId="77777777" w:rsidTr="00585B1A">
        <w:trPr>
          <w:trHeight w:val="567"/>
        </w:trPr>
        <w:tc>
          <w:tcPr>
            <w:tcW w:w="5000" w:type="pct"/>
            <w:gridSpan w:val="5"/>
            <w:shd w:val="clear" w:color="auto" w:fill="DBE5F1" w:themeFill="accent1" w:themeFillTint="33"/>
            <w:vAlign w:val="center"/>
            <w:hideMark/>
          </w:tcPr>
          <w:p w14:paraId="0D109719" w14:textId="5B648BF6" w:rsidR="0091551C" w:rsidRPr="00207783" w:rsidRDefault="0014433C" w:rsidP="009221E1">
            <w:pPr>
              <w:pStyle w:val="cb"/>
              <w:rPr>
                <w:lang w:val="ro-MD"/>
              </w:rPr>
            </w:pPr>
            <w:bookmarkStart w:id="0" w:name="_GoBack"/>
            <w:bookmarkEnd w:id="0"/>
            <w:r w:rsidRPr="00207783">
              <w:rPr>
                <w:lang w:val="ro-MD"/>
              </w:rPr>
              <w:t>ANALIZA IMPACTULUI DE REGLEMENTARE (AIR)</w:t>
            </w:r>
          </w:p>
        </w:tc>
      </w:tr>
      <w:tr w:rsidR="00C16C9F" w:rsidRPr="00207783" w14:paraId="609C4C76" w14:textId="77777777" w:rsidTr="00772AD3">
        <w:tc>
          <w:tcPr>
            <w:tcW w:w="2411" w:type="pct"/>
            <w:hideMark/>
          </w:tcPr>
          <w:p w14:paraId="0BD11564" w14:textId="77777777" w:rsidR="00C16C9F" w:rsidRPr="00207783" w:rsidRDefault="00C16C9F" w:rsidP="009321D1">
            <w:pPr>
              <w:ind w:firstLine="0"/>
              <w:jc w:val="left"/>
              <w:rPr>
                <w:sz w:val="24"/>
                <w:szCs w:val="24"/>
                <w:lang w:val="ro-MD"/>
              </w:rPr>
            </w:pPr>
            <w:r w:rsidRPr="00207783">
              <w:rPr>
                <w:b/>
                <w:bCs/>
                <w:sz w:val="24"/>
                <w:szCs w:val="24"/>
                <w:lang w:val="ro-MD"/>
              </w:rPr>
              <w:t>Titlul analizei impactului</w:t>
            </w:r>
            <w:r w:rsidRPr="00207783">
              <w:rPr>
                <w:b/>
                <w:bCs/>
                <w:sz w:val="24"/>
                <w:szCs w:val="24"/>
                <w:lang w:val="ro-MD"/>
              </w:rPr>
              <w:br/>
            </w:r>
            <w:r w:rsidRPr="00207783">
              <w:rPr>
                <w:sz w:val="24"/>
                <w:szCs w:val="24"/>
                <w:lang w:val="ro-MD"/>
              </w:rPr>
              <w:t>(poate conţine titlul propunerii de act normativ):</w:t>
            </w:r>
          </w:p>
        </w:tc>
        <w:tc>
          <w:tcPr>
            <w:tcW w:w="2589" w:type="pct"/>
            <w:gridSpan w:val="4"/>
            <w:hideMark/>
          </w:tcPr>
          <w:p w14:paraId="6F2E5C6A" w14:textId="4B2D46A0" w:rsidR="00C16C9F" w:rsidRPr="00207783" w:rsidRDefault="002C21F5" w:rsidP="007D1689">
            <w:pPr>
              <w:ind w:left="57" w:right="57" w:firstLine="0"/>
              <w:rPr>
                <w:bCs/>
                <w:sz w:val="24"/>
                <w:szCs w:val="24"/>
                <w:lang w:val="ro-MD"/>
              </w:rPr>
            </w:pPr>
            <w:r w:rsidRPr="00207783">
              <w:rPr>
                <w:sz w:val="24"/>
                <w:szCs w:val="24"/>
                <w:lang w:val="ro-MD" w:eastAsia="ru-RU"/>
              </w:rPr>
              <w:t>Ana</w:t>
            </w:r>
            <w:r w:rsidR="002721D5" w:rsidRPr="00207783">
              <w:rPr>
                <w:sz w:val="24"/>
                <w:szCs w:val="24"/>
                <w:lang w:val="ro-MD" w:eastAsia="ru-RU"/>
              </w:rPr>
              <w:t xml:space="preserve">liza impactului de reglementare </w:t>
            </w:r>
            <w:r w:rsidRPr="00207783">
              <w:rPr>
                <w:sz w:val="24"/>
                <w:szCs w:val="24"/>
                <w:lang w:val="ro-MD" w:eastAsia="ru-RU"/>
              </w:rPr>
              <w:t xml:space="preserve">(AIR) </w:t>
            </w:r>
            <w:r w:rsidR="006436FB" w:rsidRPr="00207783">
              <w:rPr>
                <w:sz w:val="24"/>
                <w:szCs w:val="24"/>
                <w:lang w:val="ro-MD" w:eastAsia="ru-RU"/>
              </w:rPr>
              <w:t>la</w:t>
            </w:r>
            <w:r w:rsidR="0061496B" w:rsidRPr="00207783">
              <w:rPr>
                <w:sz w:val="24"/>
                <w:szCs w:val="24"/>
                <w:lang w:val="ro-MD"/>
              </w:rPr>
              <w:t xml:space="preserve"> proiectul </w:t>
            </w:r>
            <w:r w:rsidR="00D85A3F">
              <w:rPr>
                <w:sz w:val="24"/>
                <w:szCs w:val="24"/>
                <w:lang w:val="ro-MD" w:eastAsia="ru-RU"/>
              </w:rPr>
              <w:t>de lege</w:t>
            </w:r>
            <w:r w:rsidR="0061496B" w:rsidRPr="00207783">
              <w:rPr>
                <w:sz w:val="24"/>
                <w:szCs w:val="24"/>
                <w:lang w:val="ro-MD" w:eastAsia="ru-RU"/>
              </w:rPr>
              <w:t xml:space="preserve"> </w:t>
            </w:r>
            <w:r w:rsidR="007D1689">
              <w:rPr>
                <w:sz w:val="24"/>
                <w:szCs w:val="24"/>
                <w:lang w:val="ro-MD" w:eastAsia="ru-RU"/>
              </w:rPr>
              <w:t>privind</w:t>
            </w:r>
            <w:r w:rsidR="00060AC1" w:rsidRPr="00060AC1">
              <w:rPr>
                <w:sz w:val="24"/>
                <w:szCs w:val="24"/>
                <w:lang w:val="ro-MD" w:eastAsia="ru-RU"/>
              </w:rPr>
              <w:t xml:space="preserve"> Fondul național pentru dezvoltarea sistemului de documente normative în construcții</w:t>
            </w:r>
            <w:r w:rsidR="00BC6E18" w:rsidRPr="00060AC1">
              <w:rPr>
                <w:bCs/>
                <w:sz w:val="24"/>
                <w:szCs w:val="24"/>
                <w:lang w:val="ro-MD" w:eastAsia="ru-RU"/>
              </w:rPr>
              <w:t>.</w:t>
            </w:r>
          </w:p>
        </w:tc>
      </w:tr>
      <w:tr w:rsidR="00C16C9F" w:rsidRPr="00207783" w14:paraId="4A0FF8F6" w14:textId="77777777" w:rsidTr="00D27820">
        <w:trPr>
          <w:trHeight w:val="283"/>
        </w:trPr>
        <w:tc>
          <w:tcPr>
            <w:tcW w:w="2411" w:type="pct"/>
            <w:vAlign w:val="center"/>
            <w:hideMark/>
          </w:tcPr>
          <w:p w14:paraId="672E31BE" w14:textId="77777777" w:rsidR="00C16C9F" w:rsidRPr="00207783" w:rsidRDefault="00C16C9F" w:rsidP="00D27820">
            <w:pPr>
              <w:ind w:firstLine="0"/>
              <w:jc w:val="left"/>
              <w:rPr>
                <w:sz w:val="24"/>
                <w:szCs w:val="24"/>
                <w:lang w:val="ro-MD"/>
              </w:rPr>
            </w:pPr>
            <w:r w:rsidRPr="00207783">
              <w:rPr>
                <w:b/>
                <w:bCs/>
                <w:sz w:val="24"/>
                <w:szCs w:val="24"/>
                <w:lang w:val="ro-MD"/>
              </w:rPr>
              <w:t>Data:</w:t>
            </w:r>
          </w:p>
        </w:tc>
        <w:tc>
          <w:tcPr>
            <w:tcW w:w="2589" w:type="pct"/>
            <w:gridSpan w:val="4"/>
            <w:vAlign w:val="center"/>
            <w:hideMark/>
          </w:tcPr>
          <w:p w14:paraId="72372EEC" w14:textId="6FDB537A" w:rsidR="00C16C9F" w:rsidRPr="00207783" w:rsidRDefault="00C03812" w:rsidP="00D27820">
            <w:pPr>
              <w:ind w:left="57" w:right="57" w:firstLine="0"/>
              <w:jc w:val="left"/>
              <w:rPr>
                <w:sz w:val="24"/>
                <w:szCs w:val="24"/>
                <w:lang w:val="ro-MD"/>
              </w:rPr>
            </w:pPr>
            <w:r>
              <w:rPr>
                <w:sz w:val="24"/>
                <w:szCs w:val="24"/>
                <w:lang w:val="ro-MD"/>
              </w:rPr>
              <w:t>0</w:t>
            </w:r>
            <w:r w:rsidR="00017196">
              <w:rPr>
                <w:sz w:val="24"/>
                <w:szCs w:val="24"/>
                <w:lang w:val="ro-MD"/>
              </w:rPr>
              <w:t>4</w:t>
            </w:r>
            <w:r w:rsidR="005027C9" w:rsidRPr="004C28A3">
              <w:rPr>
                <w:sz w:val="24"/>
                <w:szCs w:val="24"/>
                <w:lang w:val="ro-MD"/>
              </w:rPr>
              <w:t>.</w:t>
            </w:r>
            <w:r w:rsidR="00060AC1" w:rsidRPr="004C28A3">
              <w:rPr>
                <w:sz w:val="24"/>
                <w:szCs w:val="24"/>
                <w:lang w:val="ro-MD"/>
              </w:rPr>
              <w:t>0</w:t>
            </w:r>
            <w:r>
              <w:rPr>
                <w:sz w:val="24"/>
                <w:szCs w:val="24"/>
                <w:lang w:val="ro-MD"/>
              </w:rPr>
              <w:t>7</w:t>
            </w:r>
            <w:r w:rsidR="005027C9" w:rsidRPr="004C28A3">
              <w:rPr>
                <w:sz w:val="24"/>
                <w:szCs w:val="24"/>
                <w:lang w:val="ro-MD"/>
              </w:rPr>
              <w:t>.202</w:t>
            </w:r>
            <w:r w:rsidR="00060AC1" w:rsidRPr="004C28A3">
              <w:rPr>
                <w:sz w:val="24"/>
                <w:szCs w:val="24"/>
                <w:lang w:val="ro-MD"/>
              </w:rPr>
              <w:t>5</w:t>
            </w:r>
          </w:p>
        </w:tc>
      </w:tr>
      <w:tr w:rsidR="00C16C9F" w:rsidRPr="00207783" w14:paraId="51D6C02E" w14:textId="77777777" w:rsidTr="00D27820">
        <w:trPr>
          <w:trHeight w:val="397"/>
        </w:trPr>
        <w:tc>
          <w:tcPr>
            <w:tcW w:w="2411" w:type="pct"/>
            <w:vAlign w:val="center"/>
            <w:hideMark/>
          </w:tcPr>
          <w:p w14:paraId="61CEDE7D" w14:textId="77777777" w:rsidR="00C16C9F" w:rsidRPr="00207783" w:rsidRDefault="00C16C9F" w:rsidP="00D27820">
            <w:pPr>
              <w:ind w:firstLine="0"/>
              <w:jc w:val="left"/>
              <w:rPr>
                <w:sz w:val="24"/>
                <w:szCs w:val="24"/>
                <w:lang w:val="ro-MD"/>
              </w:rPr>
            </w:pPr>
            <w:r w:rsidRPr="00207783">
              <w:rPr>
                <w:b/>
                <w:bCs/>
                <w:sz w:val="24"/>
                <w:szCs w:val="24"/>
                <w:lang w:val="ro-MD"/>
              </w:rPr>
              <w:t>Autoritatea administraţiei publice (autor):</w:t>
            </w:r>
          </w:p>
        </w:tc>
        <w:tc>
          <w:tcPr>
            <w:tcW w:w="2589" w:type="pct"/>
            <w:gridSpan w:val="4"/>
            <w:vAlign w:val="center"/>
            <w:hideMark/>
          </w:tcPr>
          <w:p w14:paraId="583A5B8B" w14:textId="77777777" w:rsidR="00C16C9F" w:rsidRPr="00207783" w:rsidRDefault="002C21F5" w:rsidP="00D27820">
            <w:pPr>
              <w:ind w:left="57" w:right="57" w:firstLine="0"/>
              <w:jc w:val="left"/>
              <w:rPr>
                <w:sz w:val="24"/>
                <w:szCs w:val="24"/>
                <w:lang w:val="ro-MD"/>
              </w:rPr>
            </w:pPr>
            <w:r w:rsidRPr="00207783">
              <w:rPr>
                <w:sz w:val="24"/>
                <w:szCs w:val="24"/>
                <w:lang w:val="ro-MD" w:eastAsia="ru-RU"/>
              </w:rPr>
              <w:t xml:space="preserve">Ministerul </w:t>
            </w:r>
            <w:r w:rsidR="00685A6A" w:rsidRPr="00207783">
              <w:rPr>
                <w:sz w:val="24"/>
                <w:szCs w:val="24"/>
                <w:lang w:val="ro-MD" w:eastAsia="ru-RU"/>
              </w:rPr>
              <w:t>Infrastructurii și</w:t>
            </w:r>
            <w:r w:rsidRPr="00207783">
              <w:rPr>
                <w:sz w:val="24"/>
                <w:szCs w:val="24"/>
                <w:lang w:val="ro-MD" w:eastAsia="ru-RU"/>
              </w:rPr>
              <w:t xml:space="preserve"> Dezvoltării Regionale </w:t>
            </w:r>
          </w:p>
        </w:tc>
      </w:tr>
      <w:tr w:rsidR="00C16C9F" w:rsidRPr="00207783" w14:paraId="468005FC" w14:textId="77777777" w:rsidTr="00D27820">
        <w:tc>
          <w:tcPr>
            <w:tcW w:w="2411" w:type="pct"/>
            <w:vAlign w:val="center"/>
            <w:hideMark/>
          </w:tcPr>
          <w:p w14:paraId="36979900" w14:textId="77777777" w:rsidR="00C16C9F" w:rsidRPr="00207783" w:rsidRDefault="00C16C9F" w:rsidP="00D27820">
            <w:pPr>
              <w:ind w:firstLine="0"/>
              <w:jc w:val="left"/>
              <w:rPr>
                <w:sz w:val="24"/>
                <w:szCs w:val="24"/>
                <w:lang w:val="ro-MD"/>
              </w:rPr>
            </w:pPr>
            <w:r w:rsidRPr="00207783">
              <w:rPr>
                <w:b/>
                <w:bCs/>
                <w:sz w:val="24"/>
                <w:szCs w:val="24"/>
                <w:lang w:val="ro-MD"/>
              </w:rPr>
              <w:t>Subdiviziunea:</w:t>
            </w:r>
          </w:p>
        </w:tc>
        <w:tc>
          <w:tcPr>
            <w:tcW w:w="2589" w:type="pct"/>
            <w:gridSpan w:val="4"/>
            <w:hideMark/>
          </w:tcPr>
          <w:p w14:paraId="70D56B3D" w14:textId="48A5F4E9" w:rsidR="00C16C9F" w:rsidRPr="00207783" w:rsidRDefault="007F1442" w:rsidP="002721D5">
            <w:pPr>
              <w:ind w:left="57" w:right="57" w:firstLine="0"/>
              <w:rPr>
                <w:sz w:val="24"/>
                <w:szCs w:val="24"/>
                <w:lang w:val="ro-MD"/>
              </w:rPr>
            </w:pPr>
            <w:r>
              <w:rPr>
                <w:sz w:val="24"/>
                <w:szCs w:val="24"/>
                <w:lang w:val="ro-MD"/>
              </w:rPr>
              <w:t>Direcția politici și reglementări în domeniul amenajării teritoriului, urbanismului, construcțiilor și locuințelor</w:t>
            </w:r>
          </w:p>
        </w:tc>
      </w:tr>
      <w:tr w:rsidR="00C16C9F" w:rsidRPr="00207783" w14:paraId="70E78AF1" w14:textId="77777777" w:rsidTr="00D27820">
        <w:tc>
          <w:tcPr>
            <w:tcW w:w="2411" w:type="pct"/>
            <w:vAlign w:val="center"/>
            <w:hideMark/>
          </w:tcPr>
          <w:p w14:paraId="38727415" w14:textId="77777777" w:rsidR="00C16C9F" w:rsidRPr="00207783" w:rsidRDefault="00C16C9F" w:rsidP="00D27820">
            <w:pPr>
              <w:ind w:firstLine="0"/>
              <w:jc w:val="left"/>
              <w:rPr>
                <w:sz w:val="24"/>
                <w:szCs w:val="24"/>
                <w:lang w:val="ro-MD"/>
              </w:rPr>
            </w:pPr>
            <w:r w:rsidRPr="00207783">
              <w:rPr>
                <w:b/>
                <w:bCs/>
                <w:sz w:val="24"/>
                <w:szCs w:val="24"/>
                <w:lang w:val="ro-MD"/>
              </w:rPr>
              <w:t>Persoana responsabilă şi datele de contact:</w:t>
            </w:r>
          </w:p>
        </w:tc>
        <w:tc>
          <w:tcPr>
            <w:tcW w:w="2589" w:type="pct"/>
            <w:gridSpan w:val="4"/>
            <w:hideMark/>
          </w:tcPr>
          <w:p w14:paraId="71FDB865" w14:textId="24509076" w:rsidR="007F1442" w:rsidRPr="00044651" w:rsidRDefault="00C51AFC" w:rsidP="007F1442">
            <w:pPr>
              <w:ind w:firstLine="0"/>
              <w:rPr>
                <w:sz w:val="24"/>
                <w:szCs w:val="24"/>
                <w:lang w:val="ro-RO"/>
              </w:rPr>
            </w:pPr>
            <w:r w:rsidRPr="00207783">
              <w:rPr>
                <w:sz w:val="24"/>
                <w:szCs w:val="24"/>
                <w:lang w:val="ro-MD"/>
              </w:rPr>
              <w:t xml:space="preserve"> </w:t>
            </w:r>
            <w:r w:rsidR="007F1442">
              <w:rPr>
                <w:sz w:val="24"/>
                <w:szCs w:val="24"/>
                <w:lang w:val="ro-RO"/>
              </w:rPr>
              <w:t>Alina Tagadiuc</w:t>
            </w:r>
            <w:r w:rsidR="007F1442" w:rsidRPr="00044651">
              <w:rPr>
                <w:sz w:val="24"/>
                <w:szCs w:val="24"/>
                <w:lang w:val="ro-RO"/>
              </w:rPr>
              <w:t xml:space="preserve">, </w:t>
            </w:r>
          </w:p>
          <w:p w14:paraId="2AF0BF4C" w14:textId="7D29D7F9" w:rsidR="002C21F5" w:rsidRPr="00207783" w:rsidRDefault="007F1442" w:rsidP="007F1442">
            <w:pPr>
              <w:ind w:left="57" w:right="57" w:firstLine="0"/>
              <w:rPr>
                <w:sz w:val="24"/>
                <w:szCs w:val="24"/>
                <w:lang w:val="ro-MD"/>
              </w:rPr>
            </w:pPr>
            <w:r w:rsidRPr="00044651">
              <w:rPr>
                <w:sz w:val="24"/>
                <w:szCs w:val="24"/>
                <w:lang w:val="ro-RO"/>
              </w:rPr>
              <w:t xml:space="preserve">email: </w:t>
            </w:r>
            <w:hyperlink r:id="rId8" w:history="1">
              <w:r w:rsidRPr="003E1D4B">
                <w:rPr>
                  <w:rStyle w:val="Hyperlink"/>
                  <w:sz w:val="24"/>
                  <w:szCs w:val="24"/>
                  <w:lang w:val="ro-RO"/>
                </w:rPr>
                <w:t>alina.tagadiuc@midr.gov.md</w:t>
              </w:r>
            </w:hyperlink>
          </w:p>
        </w:tc>
      </w:tr>
      <w:tr w:rsidR="00C16C9F" w:rsidRPr="00207783" w14:paraId="5102B79F" w14:textId="77777777" w:rsidTr="00D27820">
        <w:trPr>
          <w:trHeight w:val="397"/>
        </w:trPr>
        <w:tc>
          <w:tcPr>
            <w:tcW w:w="5000" w:type="pct"/>
            <w:gridSpan w:val="5"/>
            <w:vAlign w:val="center"/>
          </w:tcPr>
          <w:p w14:paraId="7DCA3290" w14:textId="77777777" w:rsidR="00C16C9F" w:rsidRPr="00207783" w:rsidRDefault="00C16C9F" w:rsidP="00D27820">
            <w:pPr>
              <w:ind w:firstLine="0"/>
              <w:jc w:val="left"/>
              <w:rPr>
                <w:b/>
                <w:bCs/>
                <w:sz w:val="24"/>
                <w:szCs w:val="24"/>
                <w:lang w:val="ro-MD"/>
              </w:rPr>
            </w:pPr>
            <w:r w:rsidRPr="00207783">
              <w:rPr>
                <w:b/>
                <w:bCs/>
                <w:sz w:val="24"/>
                <w:szCs w:val="24"/>
                <w:lang w:val="ro-MD"/>
              </w:rPr>
              <w:t>Compartimentele analizei impactului</w:t>
            </w:r>
          </w:p>
        </w:tc>
      </w:tr>
      <w:tr w:rsidR="00C16C9F" w:rsidRPr="00207783" w14:paraId="0ED46873" w14:textId="77777777" w:rsidTr="00344EB8">
        <w:trPr>
          <w:trHeight w:val="397"/>
        </w:trPr>
        <w:tc>
          <w:tcPr>
            <w:tcW w:w="5000" w:type="pct"/>
            <w:gridSpan w:val="5"/>
            <w:vAlign w:val="center"/>
            <w:hideMark/>
          </w:tcPr>
          <w:p w14:paraId="704B2B98" w14:textId="77777777" w:rsidR="0091551C" w:rsidRPr="00207783" w:rsidRDefault="00C16C9F" w:rsidP="00344EB8">
            <w:pPr>
              <w:ind w:firstLine="567"/>
              <w:jc w:val="left"/>
              <w:rPr>
                <w:sz w:val="24"/>
                <w:szCs w:val="24"/>
                <w:lang w:val="ro-MD"/>
              </w:rPr>
            </w:pPr>
            <w:r w:rsidRPr="00207783">
              <w:rPr>
                <w:b/>
                <w:bCs/>
                <w:sz w:val="24"/>
                <w:szCs w:val="24"/>
                <w:lang w:val="ro-MD"/>
              </w:rPr>
              <w:t>1. Definirea problemei</w:t>
            </w:r>
            <w:r w:rsidR="00507497" w:rsidRPr="00207783">
              <w:rPr>
                <w:b/>
                <w:bCs/>
                <w:sz w:val="24"/>
                <w:szCs w:val="24"/>
                <w:lang w:val="ro-MD"/>
              </w:rPr>
              <w:t>:</w:t>
            </w:r>
            <w:r w:rsidR="002C21F5" w:rsidRPr="00207783">
              <w:rPr>
                <w:b/>
                <w:bCs/>
                <w:sz w:val="24"/>
                <w:szCs w:val="24"/>
                <w:lang w:val="ro-MD"/>
              </w:rPr>
              <w:t xml:space="preserve"> </w:t>
            </w:r>
          </w:p>
        </w:tc>
      </w:tr>
      <w:tr w:rsidR="007B5797" w:rsidRPr="00207783" w14:paraId="723D9E75" w14:textId="77777777" w:rsidTr="00344EB8">
        <w:trPr>
          <w:trHeight w:val="397"/>
        </w:trPr>
        <w:tc>
          <w:tcPr>
            <w:tcW w:w="5000" w:type="pct"/>
            <w:gridSpan w:val="5"/>
            <w:vAlign w:val="center"/>
            <w:hideMark/>
          </w:tcPr>
          <w:p w14:paraId="05B7AB91" w14:textId="77777777" w:rsidR="007B5797" w:rsidRPr="00207783" w:rsidRDefault="007B5797" w:rsidP="00344EB8">
            <w:pPr>
              <w:ind w:firstLine="567"/>
              <w:jc w:val="left"/>
              <w:rPr>
                <w:sz w:val="24"/>
                <w:szCs w:val="24"/>
                <w:lang w:val="ro-MD"/>
              </w:rPr>
            </w:pPr>
            <w:r w:rsidRPr="00207783">
              <w:rPr>
                <w:i/>
                <w:sz w:val="24"/>
                <w:szCs w:val="24"/>
                <w:lang w:val="ro-MD"/>
              </w:rPr>
              <w:t>a) Determinați clar şi concis problema şi/sau problemele care urmează să fie soluţionate</w:t>
            </w:r>
          </w:p>
        </w:tc>
      </w:tr>
      <w:tr w:rsidR="00C16C9F" w:rsidRPr="00207783" w14:paraId="4F58B02A" w14:textId="77777777" w:rsidTr="00772AD3">
        <w:tc>
          <w:tcPr>
            <w:tcW w:w="5000" w:type="pct"/>
            <w:gridSpan w:val="5"/>
          </w:tcPr>
          <w:p w14:paraId="3E785002" w14:textId="5A9F6173" w:rsidR="00290811" w:rsidRPr="00290811" w:rsidRDefault="00032D38" w:rsidP="00290811">
            <w:pPr>
              <w:spacing w:before="120" w:after="120" w:line="276" w:lineRule="auto"/>
              <w:ind w:left="57" w:right="57" w:firstLine="380"/>
              <w:rPr>
                <w:bCs/>
                <w:iCs/>
                <w:sz w:val="24"/>
                <w:szCs w:val="24"/>
                <w:lang w:val="ro-RO"/>
              </w:rPr>
            </w:pPr>
            <w:r w:rsidRPr="00032D38">
              <w:rPr>
                <w:bCs/>
                <w:iCs/>
                <w:sz w:val="24"/>
                <w:szCs w:val="24"/>
                <w:lang w:val="ro-MD"/>
              </w:rPr>
              <w:t xml:space="preserve">Analiza preliminară a impactului de reglementare (în continuare - AIR) </w:t>
            </w:r>
            <w:r w:rsidR="00A95D83">
              <w:rPr>
                <w:bCs/>
                <w:iCs/>
                <w:sz w:val="24"/>
                <w:szCs w:val="24"/>
                <w:lang w:val="ro-MD"/>
              </w:rPr>
              <w:t>la</w:t>
            </w:r>
            <w:r w:rsidRPr="00032D38">
              <w:rPr>
                <w:bCs/>
                <w:iCs/>
                <w:sz w:val="24"/>
                <w:szCs w:val="24"/>
                <w:lang w:val="ro-RO"/>
              </w:rPr>
              <w:t xml:space="preserve"> proiectul de lege </w:t>
            </w:r>
            <w:r w:rsidR="00A43CD5">
              <w:rPr>
                <w:bCs/>
                <w:iCs/>
                <w:sz w:val="24"/>
                <w:szCs w:val="24"/>
                <w:lang w:val="ro-RO"/>
              </w:rPr>
              <w:t xml:space="preserve">privind </w:t>
            </w:r>
            <w:r w:rsidR="00340D45" w:rsidRPr="00340D45">
              <w:rPr>
                <w:bCs/>
                <w:iCs/>
                <w:sz w:val="24"/>
                <w:szCs w:val="24"/>
                <w:lang w:val="ro-RO"/>
              </w:rPr>
              <w:t xml:space="preserve">Fondul național pentru dezvoltarea sistemului de documente normative în construcții </w:t>
            </w:r>
            <w:r w:rsidRPr="00032D38">
              <w:rPr>
                <w:bCs/>
                <w:iCs/>
                <w:sz w:val="24"/>
                <w:szCs w:val="24"/>
                <w:lang w:val="ro-RO"/>
              </w:rPr>
              <w:t xml:space="preserve">este elaborată în vederea executării </w:t>
            </w:r>
            <w:r w:rsidR="004F2ED0">
              <w:rPr>
                <w:bCs/>
                <w:iCs/>
                <w:sz w:val="24"/>
                <w:szCs w:val="24"/>
                <w:lang w:val="ro-RO"/>
              </w:rPr>
              <w:t xml:space="preserve">acțiunii stabilite în </w:t>
            </w:r>
            <w:r w:rsidR="00DF735B">
              <w:rPr>
                <w:bCs/>
                <w:iCs/>
                <w:sz w:val="24"/>
                <w:szCs w:val="24"/>
                <w:lang w:val="ro-RO"/>
              </w:rPr>
              <w:t>pct.</w:t>
            </w:r>
            <w:r w:rsidR="004F2ED0">
              <w:rPr>
                <w:bCs/>
                <w:iCs/>
                <w:sz w:val="24"/>
                <w:szCs w:val="24"/>
                <w:lang w:val="ro-RO"/>
              </w:rPr>
              <w:t>297</w:t>
            </w:r>
            <w:r w:rsidR="004F2ED0" w:rsidRPr="00270716">
              <w:rPr>
                <w:bCs/>
                <w:iCs/>
                <w:sz w:val="24"/>
                <w:szCs w:val="24"/>
                <w:lang w:val="ro-RO"/>
              </w:rPr>
              <w:t xml:space="preserve"> din Planul de acțiuni al Guvernului pentru anul 202</w:t>
            </w:r>
            <w:r w:rsidR="004F2ED0">
              <w:rPr>
                <w:bCs/>
                <w:iCs/>
                <w:sz w:val="24"/>
                <w:szCs w:val="24"/>
                <w:lang w:val="ro-RO"/>
              </w:rPr>
              <w:t>4</w:t>
            </w:r>
            <w:r w:rsidR="004F2ED0" w:rsidRPr="00270716">
              <w:rPr>
                <w:bCs/>
                <w:iCs/>
                <w:sz w:val="24"/>
                <w:szCs w:val="24"/>
                <w:lang w:val="ro-RO"/>
              </w:rPr>
              <w:t>, aprobat prin Hotărârea Guvernului nr.</w:t>
            </w:r>
            <w:r w:rsidR="004F2ED0">
              <w:rPr>
                <w:bCs/>
                <w:iCs/>
                <w:sz w:val="24"/>
                <w:szCs w:val="24"/>
                <w:lang w:val="ro-RO"/>
              </w:rPr>
              <w:t>887</w:t>
            </w:r>
            <w:r w:rsidR="004F2ED0" w:rsidRPr="00270716">
              <w:rPr>
                <w:bCs/>
                <w:iCs/>
                <w:sz w:val="24"/>
                <w:szCs w:val="24"/>
                <w:lang w:val="ro-RO"/>
              </w:rPr>
              <w:t>/202</w:t>
            </w:r>
            <w:r w:rsidR="004F2ED0">
              <w:rPr>
                <w:bCs/>
                <w:iCs/>
                <w:sz w:val="24"/>
                <w:szCs w:val="24"/>
                <w:lang w:val="ro-RO"/>
              </w:rPr>
              <w:t>3, ajustării prevederilor legale la prevederile Codului Urbanismului și Construcțiilor nr.434/2023</w:t>
            </w:r>
            <w:r w:rsidR="00FA4197">
              <w:rPr>
                <w:bCs/>
                <w:iCs/>
                <w:sz w:val="24"/>
                <w:szCs w:val="24"/>
                <w:lang w:val="ro-RO"/>
              </w:rPr>
              <w:t xml:space="preserve">, în conformitate cu prevederile </w:t>
            </w:r>
            <w:r w:rsidRPr="00032D38">
              <w:rPr>
                <w:bCs/>
                <w:iCs/>
                <w:sz w:val="24"/>
                <w:szCs w:val="24"/>
                <w:lang w:val="ro-RO"/>
              </w:rPr>
              <w:t xml:space="preserve">art.13 din Legea nr.235/2006 cu privire la principiile de bază de reglementare a activităţii de întreprinzător, precum şi </w:t>
            </w:r>
            <w:r w:rsidR="00C70CBA">
              <w:rPr>
                <w:bCs/>
                <w:iCs/>
                <w:sz w:val="24"/>
                <w:szCs w:val="24"/>
                <w:lang w:val="ro-RO"/>
              </w:rPr>
              <w:t xml:space="preserve">cu </w:t>
            </w:r>
            <w:r w:rsidRPr="00032D38">
              <w:rPr>
                <w:bCs/>
                <w:iCs/>
                <w:sz w:val="24"/>
                <w:szCs w:val="24"/>
                <w:lang w:val="ro-RO"/>
              </w:rPr>
              <w:t>preve</w:t>
            </w:r>
            <w:r w:rsidR="0030022E">
              <w:rPr>
                <w:bCs/>
                <w:iCs/>
                <w:sz w:val="24"/>
                <w:szCs w:val="24"/>
                <w:lang w:val="ro-RO"/>
              </w:rPr>
              <w:t>derile Hotărîrii Guvernului nr.</w:t>
            </w:r>
            <w:r w:rsidRPr="00032D38">
              <w:rPr>
                <w:bCs/>
                <w:iCs/>
                <w:sz w:val="24"/>
                <w:szCs w:val="24"/>
                <w:lang w:val="ro-RO"/>
              </w:rPr>
              <w:t>23/20</w:t>
            </w:r>
            <w:r w:rsidR="0030022E">
              <w:rPr>
                <w:bCs/>
                <w:iCs/>
                <w:sz w:val="24"/>
                <w:szCs w:val="24"/>
                <w:lang w:val="ro-RO"/>
              </w:rPr>
              <w:t>19</w:t>
            </w:r>
            <w:r w:rsidRPr="00032D38">
              <w:rPr>
                <w:bCs/>
                <w:iCs/>
                <w:sz w:val="24"/>
                <w:szCs w:val="24"/>
                <w:lang w:val="ro-RO"/>
              </w:rPr>
              <w:t xml:space="preserve"> cu privire la aprobarea metodologiei de analiză a </w:t>
            </w:r>
            <w:r w:rsidR="00290811" w:rsidRPr="00290811">
              <w:rPr>
                <w:bCs/>
                <w:iCs/>
                <w:sz w:val="24"/>
                <w:szCs w:val="24"/>
                <w:lang w:val="ro-RO"/>
              </w:rPr>
              <w:t>impactului în procesul de fundamentare</w:t>
            </w:r>
            <w:r w:rsidR="00290811">
              <w:t xml:space="preserve"> </w:t>
            </w:r>
            <w:r w:rsidR="00290811" w:rsidRPr="00290811">
              <w:rPr>
                <w:bCs/>
                <w:iCs/>
                <w:sz w:val="24"/>
                <w:szCs w:val="24"/>
                <w:lang w:val="ro-RO"/>
              </w:rPr>
              <w:t>a proiectelor de acte normative</w:t>
            </w:r>
            <w:r w:rsidR="00A922FA">
              <w:rPr>
                <w:bCs/>
                <w:iCs/>
                <w:sz w:val="24"/>
                <w:szCs w:val="24"/>
                <w:lang w:val="ro-RO"/>
              </w:rPr>
              <w:t>.</w:t>
            </w:r>
          </w:p>
          <w:p w14:paraId="671E1A60" w14:textId="2C056990" w:rsidR="008810A6" w:rsidRDefault="000C2CF0" w:rsidP="000D0D92">
            <w:pPr>
              <w:spacing w:before="120" w:after="120" w:line="276" w:lineRule="auto"/>
              <w:ind w:left="57" w:right="57" w:firstLine="381"/>
              <w:rPr>
                <w:sz w:val="24"/>
                <w:szCs w:val="24"/>
                <w:lang w:val="ro-MD"/>
              </w:rPr>
            </w:pPr>
            <w:r w:rsidRPr="000C2CF0">
              <w:rPr>
                <w:sz w:val="24"/>
                <w:szCs w:val="24"/>
                <w:lang w:val="ro-MD"/>
              </w:rPr>
              <w:t xml:space="preserve">În prezent, finanţarea sistemului de documente normative în construcţii se efectuează </w:t>
            </w:r>
            <w:r w:rsidR="00216052" w:rsidRPr="005D2FA8">
              <w:rPr>
                <w:sz w:val="24"/>
                <w:szCs w:val="24"/>
                <w:lang w:val="ro-MD"/>
              </w:rPr>
              <w:t>din bugetul de stat</w:t>
            </w:r>
            <w:r w:rsidR="00216052">
              <w:rPr>
                <w:sz w:val="24"/>
                <w:szCs w:val="24"/>
                <w:lang w:val="ro-MD"/>
              </w:rPr>
              <w:t xml:space="preserve"> </w:t>
            </w:r>
            <w:r w:rsidR="005D2FA8" w:rsidRPr="005D2FA8">
              <w:rPr>
                <w:sz w:val="24"/>
                <w:szCs w:val="24"/>
                <w:lang w:val="ro-MD"/>
              </w:rPr>
              <w:t>conform prevederil</w:t>
            </w:r>
            <w:r w:rsidR="001E0784">
              <w:rPr>
                <w:sz w:val="24"/>
                <w:szCs w:val="24"/>
                <w:lang w:val="ro-MD"/>
              </w:rPr>
              <w:t>or</w:t>
            </w:r>
            <w:r w:rsidR="005D2FA8" w:rsidRPr="005D2FA8">
              <w:rPr>
                <w:sz w:val="24"/>
                <w:szCs w:val="24"/>
                <w:lang w:val="ro-MD"/>
              </w:rPr>
              <w:t xml:space="preserve"> art.37 al Legii nr.721/1996 privind calitatea în construcţii, </w:t>
            </w:r>
            <w:r w:rsidR="00911F3F">
              <w:rPr>
                <w:sz w:val="24"/>
                <w:szCs w:val="24"/>
                <w:lang w:val="ro-MD"/>
              </w:rPr>
              <w:t>conform cărora</w:t>
            </w:r>
            <w:r w:rsidR="005D2FA8" w:rsidRPr="005D2FA8">
              <w:rPr>
                <w:sz w:val="24"/>
                <w:szCs w:val="24"/>
                <w:lang w:val="ro-MD"/>
              </w:rPr>
              <w:t xml:space="preserve"> investitorii </w:t>
            </w:r>
            <w:r w:rsidR="000819BB" w:rsidRPr="000819BB">
              <w:rPr>
                <w:sz w:val="24"/>
                <w:szCs w:val="24"/>
                <w:lang w:val="ro-MD"/>
              </w:rPr>
              <w:t xml:space="preserve">sau proprietarii construcţiilor, indiferent de tipul de proprietate, </w:t>
            </w:r>
            <w:r w:rsidR="005D2FA8" w:rsidRPr="005D2FA8">
              <w:rPr>
                <w:sz w:val="24"/>
                <w:szCs w:val="24"/>
                <w:lang w:val="ro-MD"/>
              </w:rPr>
              <w:t xml:space="preserve">sunt obligaţi </w:t>
            </w:r>
            <w:r w:rsidR="00B9420F">
              <w:rPr>
                <w:sz w:val="24"/>
                <w:szCs w:val="24"/>
                <w:lang w:val="ro-MD"/>
              </w:rPr>
              <w:t xml:space="preserve">să </w:t>
            </w:r>
            <w:r w:rsidR="00B9420F" w:rsidRPr="00B9420F">
              <w:rPr>
                <w:sz w:val="24"/>
                <w:szCs w:val="24"/>
                <w:lang w:val="ro-MD"/>
              </w:rPr>
              <w:t>particip</w:t>
            </w:r>
            <w:r w:rsidR="00B9420F">
              <w:rPr>
                <w:sz w:val="24"/>
                <w:szCs w:val="24"/>
                <w:lang w:val="ro-MD"/>
              </w:rPr>
              <w:t>e</w:t>
            </w:r>
            <w:r w:rsidR="00B9420F" w:rsidRPr="00B9420F">
              <w:rPr>
                <w:sz w:val="24"/>
                <w:szCs w:val="24"/>
                <w:lang w:val="ro-MD"/>
              </w:rPr>
              <w:t xml:space="preserve"> la crearea mijloacelor pentru elaborarea documentelor normative în construcţii prin virarea la bugetul de stat a defalcărilor în mărime de 0,5 la sută din volumul investiţiilor în capitalul fix pentru obiectivele care nu sînt finanţate din bugetul public naţional, dar nu mai mult de 50 de mii lei la un obiect. </w:t>
            </w:r>
            <w:r w:rsidR="00CA65B3">
              <w:rPr>
                <w:sz w:val="24"/>
                <w:szCs w:val="24"/>
                <w:lang w:val="ro-MD"/>
              </w:rPr>
              <w:t>Iar, a</w:t>
            </w:r>
            <w:r w:rsidR="008810A6" w:rsidRPr="008810A6">
              <w:rPr>
                <w:sz w:val="24"/>
                <w:szCs w:val="24"/>
                <w:lang w:val="ro-MD"/>
              </w:rPr>
              <w:t>dministrarea mijloacelor pentru finanţarea sistemului de documente normative în construcţii</w:t>
            </w:r>
            <w:r w:rsidR="008810A6">
              <w:rPr>
                <w:sz w:val="24"/>
                <w:szCs w:val="24"/>
                <w:lang w:val="ro-MD"/>
              </w:rPr>
              <w:t xml:space="preserve"> se efe</w:t>
            </w:r>
            <w:r w:rsidR="00F7736D">
              <w:rPr>
                <w:sz w:val="24"/>
                <w:szCs w:val="24"/>
                <w:lang w:val="ro-MD"/>
              </w:rPr>
              <w:t>ctu</w:t>
            </w:r>
            <w:r w:rsidR="008B0207">
              <w:rPr>
                <w:sz w:val="24"/>
                <w:szCs w:val="24"/>
                <w:lang w:val="ro-MD"/>
              </w:rPr>
              <w:t>ează conform Regulamentului</w:t>
            </w:r>
            <w:r w:rsidR="008810A6" w:rsidRPr="001756F8">
              <w:rPr>
                <w:sz w:val="24"/>
                <w:szCs w:val="24"/>
                <w:lang w:val="ro-MD"/>
              </w:rPr>
              <w:t xml:space="preserve"> </w:t>
            </w:r>
            <w:r w:rsidR="000D0D92" w:rsidRPr="000D0D92">
              <w:rPr>
                <w:sz w:val="24"/>
                <w:szCs w:val="24"/>
                <w:lang w:val="ro-MD"/>
              </w:rPr>
              <w:t>cu privire la administrarea mijloacelor</w:t>
            </w:r>
            <w:r w:rsidR="000D0D92">
              <w:rPr>
                <w:sz w:val="24"/>
                <w:szCs w:val="24"/>
                <w:lang w:val="ro-MD"/>
              </w:rPr>
              <w:t xml:space="preserve"> </w:t>
            </w:r>
            <w:r w:rsidR="000D0D92" w:rsidRPr="000D0D92">
              <w:rPr>
                <w:sz w:val="24"/>
                <w:szCs w:val="24"/>
                <w:lang w:val="ro-MD"/>
              </w:rPr>
              <w:t>pentru finanţarea sistemului de</w:t>
            </w:r>
            <w:r w:rsidR="000D0D92">
              <w:rPr>
                <w:sz w:val="24"/>
                <w:szCs w:val="24"/>
                <w:lang w:val="ro-MD"/>
              </w:rPr>
              <w:t xml:space="preserve"> </w:t>
            </w:r>
            <w:r w:rsidR="000D0D92" w:rsidRPr="000D0D92">
              <w:rPr>
                <w:sz w:val="24"/>
                <w:szCs w:val="24"/>
                <w:lang w:val="ro-MD"/>
              </w:rPr>
              <w:t>documente normative în construcţii</w:t>
            </w:r>
            <w:r w:rsidR="008810A6" w:rsidRPr="001756F8">
              <w:rPr>
                <w:sz w:val="24"/>
                <w:szCs w:val="24"/>
                <w:lang w:val="ro-MD"/>
              </w:rPr>
              <w:t>aprobat prin Hotărîrea Guvernului nr.1436</w:t>
            </w:r>
            <w:r w:rsidR="008810A6">
              <w:rPr>
                <w:sz w:val="24"/>
                <w:szCs w:val="24"/>
                <w:lang w:val="ro-MD"/>
              </w:rPr>
              <w:t>/2008</w:t>
            </w:r>
            <w:r w:rsidR="008810A6" w:rsidRPr="001756F8">
              <w:rPr>
                <w:sz w:val="24"/>
                <w:szCs w:val="24"/>
                <w:lang w:val="ro-MD"/>
              </w:rPr>
              <w:t xml:space="preserve"> </w:t>
            </w:r>
            <w:r w:rsidR="008810A6">
              <w:rPr>
                <w:sz w:val="24"/>
                <w:szCs w:val="24"/>
                <w:lang w:val="ro-MD"/>
              </w:rPr>
              <w:t>cu modificările ulteri</w:t>
            </w:r>
            <w:r w:rsidR="00CA65B3">
              <w:rPr>
                <w:sz w:val="24"/>
                <w:szCs w:val="24"/>
                <w:lang w:val="ro-MD"/>
              </w:rPr>
              <w:t>o</w:t>
            </w:r>
            <w:r w:rsidR="008810A6">
              <w:rPr>
                <w:sz w:val="24"/>
                <w:szCs w:val="24"/>
                <w:lang w:val="ro-MD"/>
              </w:rPr>
              <w:t>are.</w:t>
            </w:r>
          </w:p>
          <w:p w14:paraId="5061E631" w14:textId="4368C363" w:rsidR="00422C73" w:rsidRDefault="00422C73" w:rsidP="00FE2C43">
            <w:pPr>
              <w:spacing w:before="120" w:after="120" w:line="276" w:lineRule="auto"/>
              <w:ind w:left="57" w:right="57" w:firstLine="381"/>
              <w:rPr>
                <w:sz w:val="24"/>
                <w:szCs w:val="24"/>
                <w:lang w:val="ro-MD"/>
              </w:rPr>
            </w:pPr>
            <w:r w:rsidRPr="00422C73">
              <w:rPr>
                <w:sz w:val="24"/>
                <w:szCs w:val="24"/>
                <w:lang w:val="ro-MD"/>
              </w:rPr>
              <w:t>Problem</w:t>
            </w:r>
            <w:r w:rsidR="001B0B80">
              <w:rPr>
                <w:sz w:val="24"/>
                <w:szCs w:val="24"/>
                <w:lang w:val="ro-MD"/>
              </w:rPr>
              <w:t>ele</w:t>
            </w:r>
            <w:r w:rsidR="00C25E68">
              <w:rPr>
                <w:sz w:val="24"/>
                <w:szCs w:val="24"/>
                <w:lang w:val="ro-MD"/>
              </w:rPr>
              <w:t xml:space="preserve"> care necesită intervenția </w:t>
            </w:r>
            <w:r w:rsidR="008F037D">
              <w:rPr>
                <w:sz w:val="24"/>
                <w:szCs w:val="24"/>
                <w:lang w:val="ro-MD"/>
              </w:rPr>
              <w:t xml:space="preserve">statului și elaborarea proiectului de lege </w:t>
            </w:r>
            <w:r w:rsidR="008F037D" w:rsidRPr="008F037D">
              <w:rPr>
                <w:sz w:val="24"/>
                <w:szCs w:val="24"/>
                <w:lang w:val="ro-MD"/>
              </w:rPr>
              <w:t xml:space="preserve">privind </w:t>
            </w:r>
            <w:r w:rsidR="008F037D">
              <w:rPr>
                <w:sz w:val="24"/>
                <w:szCs w:val="24"/>
                <w:lang w:val="ro-MD"/>
              </w:rPr>
              <w:t xml:space="preserve">crearea </w:t>
            </w:r>
            <w:r w:rsidR="008F037D" w:rsidRPr="008F037D">
              <w:rPr>
                <w:sz w:val="24"/>
                <w:szCs w:val="24"/>
                <w:lang w:val="ro-MD"/>
              </w:rPr>
              <w:t>Fondul</w:t>
            </w:r>
            <w:r w:rsidR="008F037D">
              <w:rPr>
                <w:sz w:val="24"/>
                <w:szCs w:val="24"/>
                <w:lang w:val="ro-MD"/>
              </w:rPr>
              <w:t>ui</w:t>
            </w:r>
            <w:r w:rsidR="008F037D" w:rsidRPr="008F037D">
              <w:rPr>
                <w:sz w:val="24"/>
                <w:szCs w:val="24"/>
                <w:lang w:val="ro-MD"/>
              </w:rPr>
              <w:t xml:space="preserve"> național pentru dezvoltarea sistemului de documente normative în construcții</w:t>
            </w:r>
            <w:r w:rsidR="00394113">
              <w:rPr>
                <w:sz w:val="24"/>
                <w:szCs w:val="24"/>
                <w:lang w:val="ro-MD"/>
              </w:rPr>
              <w:t>,</w:t>
            </w:r>
            <w:r w:rsidR="00C25E68">
              <w:rPr>
                <w:sz w:val="24"/>
                <w:szCs w:val="24"/>
                <w:lang w:val="ro-MD"/>
              </w:rPr>
              <w:t xml:space="preserve"> </w:t>
            </w:r>
            <w:r w:rsidR="001B0B80">
              <w:rPr>
                <w:sz w:val="24"/>
                <w:szCs w:val="24"/>
                <w:lang w:val="ro-MD"/>
              </w:rPr>
              <w:t>sunt</w:t>
            </w:r>
            <w:r w:rsidRPr="00422C73">
              <w:rPr>
                <w:sz w:val="24"/>
                <w:szCs w:val="24"/>
                <w:lang w:val="ro-MD"/>
              </w:rPr>
              <w:t xml:space="preserve"> determinat</w:t>
            </w:r>
            <w:r w:rsidR="001B0B80">
              <w:rPr>
                <w:sz w:val="24"/>
                <w:szCs w:val="24"/>
                <w:lang w:val="ro-MD"/>
              </w:rPr>
              <w:t>e</w:t>
            </w:r>
            <w:r w:rsidRPr="00422C73">
              <w:rPr>
                <w:sz w:val="24"/>
                <w:szCs w:val="24"/>
                <w:lang w:val="ro-MD"/>
              </w:rPr>
              <w:t xml:space="preserve"> de următorii factori principali</w:t>
            </w:r>
            <w:r>
              <w:rPr>
                <w:sz w:val="24"/>
                <w:szCs w:val="24"/>
                <w:lang w:val="ro-MD"/>
              </w:rPr>
              <w:t>:</w:t>
            </w:r>
          </w:p>
          <w:p w14:paraId="27FB57FF" w14:textId="4390C9EB" w:rsidR="008258B0" w:rsidRPr="007A10A5" w:rsidRDefault="008729D7" w:rsidP="004D799E">
            <w:pPr>
              <w:pStyle w:val="ListParagraph"/>
              <w:numPr>
                <w:ilvl w:val="0"/>
                <w:numId w:val="8"/>
              </w:numPr>
              <w:spacing w:before="120" w:line="276" w:lineRule="auto"/>
              <w:ind w:left="28" w:right="57" w:firstLine="408"/>
              <w:contextualSpacing w:val="0"/>
              <w:jc w:val="both"/>
              <w:rPr>
                <w:lang w:val="ro-MD"/>
              </w:rPr>
            </w:pPr>
            <w:r w:rsidRPr="007A10A5">
              <w:rPr>
                <w:lang w:val="ro-MD"/>
              </w:rPr>
              <w:t>C</w:t>
            </w:r>
            <w:r w:rsidR="005D2FA8" w:rsidRPr="007A10A5">
              <w:rPr>
                <w:lang w:val="ro-MD"/>
              </w:rPr>
              <w:t>u toate că</w:t>
            </w:r>
            <w:r w:rsidRPr="007A10A5">
              <w:rPr>
                <w:lang w:val="ro-MD"/>
              </w:rPr>
              <w:t>,</w:t>
            </w:r>
            <w:r w:rsidR="005D2FA8" w:rsidRPr="007A10A5">
              <w:rPr>
                <w:lang w:val="ro-MD"/>
              </w:rPr>
              <w:t xml:space="preserve"> bugetul de stat participă la finanţarea </w:t>
            </w:r>
            <w:r w:rsidR="0068136F" w:rsidRPr="007A10A5">
              <w:rPr>
                <w:lang w:val="ro-MD"/>
              </w:rPr>
              <w:t>S</w:t>
            </w:r>
            <w:r w:rsidR="005D2FA8" w:rsidRPr="007A10A5">
              <w:rPr>
                <w:lang w:val="ro-MD"/>
              </w:rPr>
              <w:t>istemului de documente normative în construcţii (</w:t>
            </w:r>
            <w:r w:rsidR="00B66D65" w:rsidRPr="007A10A5">
              <w:rPr>
                <w:lang w:val="ro-MD"/>
              </w:rPr>
              <w:t>din</w:t>
            </w:r>
            <w:r w:rsidR="00AD029F" w:rsidRPr="007A10A5">
              <w:rPr>
                <w:lang w:val="ro-MD"/>
              </w:rPr>
              <w:t>amica acumulărilor și alocărilor financiare</w:t>
            </w:r>
            <w:r w:rsidR="000008F6">
              <w:rPr>
                <w:lang w:val="ro-MD"/>
              </w:rPr>
              <w:t>,</w:t>
            </w:r>
            <w:r w:rsidR="005D2FA8" w:rsidRPr="007A10A5">
              <w:rPr>
                <w:lang w:val="ro-MD"/>
              </w:rPr>
              <w:t xml:space="preserve"> </w:t>
            </w:r>
            <w:r w:rsidR="00B66D65" w:rsidRPr="007A10A5">
              <w:rPr>
                <w:lang w:val="ro-MD"/>
              </w:rPr>
              <w:t>se prezintă</w:t>
            </w:r>
            <w:r w:rsidR="005D2FA8" w:rsidRPr="007A10A5">
              <w:rPr>
                <w:lang w:val="ro-MD"/>
              </w:rPr>
              <w:t xml:space="preserve"> în Tabelul 1), nu este respectat principiul echitabilităţii (proporţionalităţii) în raporturile dintre stat şi întreprinzător </w:t>
            </w:r>
            <w:r w:rsidR="008B0207" w:rsidRPr="007A10A5">
              <w:rPr>
                <w:lang w:val="ro-MD"/>
              </w:rPr>
              <w:t xml:space="preserve">conform art.4 </w:t>
            </w:r>
            <w:r w:rsidR="005D2FA8" w:rsidRPr="007A10A5">
              <w:rPr>
                <w:lang w:val="ro-MD"/>
              </w:rPr>
              <w:t>alin.</w:t>
            </w:r>
            <w:r w:rsidR="008B0207" w:rsidRPr="007A10A5">
              <w:rPr>
                <w:lang w:val="ro-MD"/>
              </w:rPr>
              <w:t>e)</w:t>
            </w:r>
            <w:r w:rsidR="005D2FA8" w:rsidRPr="007A10A5">
              <w:rPr>
                <w:lang w:val="ro-MD"/>
              </w:rPr>
              <w:t xml:space="preserve"> al Legii nr.235/2006 cu privire la principiile de bază de reglementare a activităţii de întreprinzător, deoarece suma mijloacelor alocată din bugetul de stat nu este corelată cu volumul investiţiilor capitale finanţate din bugetul de stat, adică beneficiarii de stat se află într-o poziţie mai favorabilă, decît cei privaţi.</w:t>
            </w:r>
          </w:p>
          <w:p w14:paraId="3C09AF85" w14:textId="5C2CEF54" w:rsidR="008E7F66" w:rsidRDefault="0087595F" w:rsidP="004D799E">
            <w:pPr>
              <w:pStyle w:val="ListParagraph"/>
              <w:numPr>
                <w:ilvl w:val="0"/>
                <w:numId w:val="8"/>
              </w:numPr>
              <w:spacing w:before="120" w:line="276" w:lineRule="auto"/>
              <w:ind w:left="28" w:right="57" w:firstLine="408"/>
              <w:contextualSpacing w:val="0"/>
              <w:jc w:val="both"/>
              <w:rPr>
                <w:lang w:val="ro-MD"/>
              </w:rPr>
            </w:pPr>
            <w:r>
              <w:rPr>
                <w:lang w:val="ro-MD"/>
              </w:rPr>
              <w:t>O</w:t>
            </w:r>
            <w:r w:rsidR="003E7B19" w:rsidRPr="0087595F">
              <w:rPr>
                <w:lang w:val="ro-MD"/>
              </w:rPr>
              <w:t>bligaţia privind virarea la bugetul de stat a acestor defalcări, în mărime de 0,5% din valoarea investiţiilor în capital fix, nu corespund esenţei şi scopului efectuării acestor defalcări, adică</w:t>
            </w:r>
            <w:r>
              <w:rPr>
                <w:lang w:val="ro-MD"/>
              </w:rPr>
              <w:t xml:space="preserve"> </w:t>
            </w:r>
            <w:r w:rsidR="003E7B19" w:rsidRPr="0087595F">
              <w:rPr>
                <w:lang w:val="ro-MD"/>
              </w:rPr>
              <w:t xml:space="preserve">investitorii </w:t>
            </w:r>
            <w:r w:rsidR="003E7B19" w:rsidRPr="0087595F">
              <w:rPr>
                <w:lang w:val="ro-MD"/>
              </w:rPr>
              <w:lastRenderedPageBreak/>
              <w:t>ar trebui să efectueze defalcări pentru un scop concret</w:t>
            </w:r>
            <w:r w:rsidR="00422C73" w:rsidRPr="0087595F">
              <w:rPr>
                <w:lang w:val="ro-MD"/>
              </w:rPr>
              <w:t xml:space="preserve"> </w:t>
            </w:r>
            <w:r w:rsidR="003E7B19" w:rsidRPr="0087595F">
              <w:rPr>
                <w:lang w:val="ro-MD"/>
              </w:rPr>
              <w:t xml:space="preserve">și anume pentru elaborarea documentelor normative în construcţii. Acest scop ar trebui să fie respectat şi în mecanismul de acumulare şi administrare a acestor mijloace, adică acumularea lor ar trebui să aibă loc în cadrul unui fond special, cont special, şi nicidecum aceste defalcări nu pot constituit sursele de venit ale bugetului de stat, deoarece astfel se denaturează esenţa efectuării defalcărilor. </w:t>
            </w:r>
            <w:r w:rsidR="008E7F66">
              <w:rPr>
                <w:lang w:val="ro-MD"/>
              </w:rPr>
              <w:t>Astfel,</w:t>
            </w:r>
            <w:r w:rsidR="00716E44">
              <w:rPr>
                <w:lang w:val="ro-MD"/>
              </w:rPr>
              <w:t xml:space="preserve"> în acest context, care este și o </w:t>
            </w:r>
            <w:r w:rsidR="00C66CAD">
              <w:rPr>
                <w:lang w:val="ro-MD"/>
              </w:rPr>
              <w:t xml:space="preserve">altă </w:t>
            </w:r>
            <w:r w:rsidR="00716E44">
              <w:rPr>
                <w:lang w:val="ro-MD"/>
              </w:rPr>
              <w:t xml:space="preserve">problemă majoră, </w:t>
            </w:r>
            <w:r w:rsidR="00E970B8">
              <w:rPr>
                <w:lang w:val="ro-MD"/>
              </w:rPr>
              <w:t>constă în</w:t>
            </w:r>
            <w:r w:rsidR="00716E44">
              <w:rPr>
                <w:lang w:val="ro-MD"/>
              </w:rPr>
              <w:t xml:space="preserve"> eschivarea investitorilor (dezvoltatorilor) de la viarea la bugetul de stat a defalcărilor în mărime de 0,5 din volumul investițiilor în capital fix pentru obiectele de construcție (pentru finanțarea SDNC)</w:t>
            </w:r>
            <w:r w:rsidR="00D95D62">
              <w:rPr>
                <w:lang w:val="ro-MD"/>
              </w:rPr>
              <w:t xml:space="preserve"> conform prevederilor art.37 alin.(2) din Legea nr.721/1996 privind calitatea în construcții</w:t>
            </w:r>
            <w:r w:rsidR="00164A53">
              <w:rPr>
                <w:lang w:val="ro-MD"/>
              </w:rPr>
              <w:t xml:space="preserve"> (în vigoare până la intrarea</w:t>
            </w:r>
            <w:r w:rsidR="00477EEF">
              <w:rPr>
                <w:lang w:val="ro-MD"/>
              </w:rPr>
              <w:t xml:space="preserve"> în vigoare</w:t>
            </w:r>
            <w:r w:rsidR="00164A53">
              <w:rPr>
                <w:lang w:val="ro-MD"/>
              </w:rPr>
              <w:t xml:space="preserve"> pe 30.01.2025 a Codului urbanismului și construcțiilor nr.434/2023), deoarece aceste defalcări nu se încadrează în categoria de taxe și</w:t>
            </w:r>
            <w:r w:rsidR="00477EEF">
              <w:rPr>
                <w:lang w:val="ro-MD"/>
              </w:rPr>
              <w:t xml:space="preserve"> </w:t>
            </w:r>
            <w:r w:rsidR="00164A53">
              <w:rPr>
                <w:lang w:val="ro-MD"/>
              </w:rPr>
              <w:t>impozite conform art.6 al Codului fiscal nr.1163/1997</w:t>
            </w:r>
            <w:r w:rsidR="00735F99">
              <w:rPr>
                <w:lang w:val="ro-MD"/>
              </w:rPr>
              <w:t xml:space="preserve">, dar și lipsa de control din partea statului </w:t>
            </w:r>
            <w:r w:rsidR="00FC015E">
              <w:rPr>
                <w:lang w:val="ro-MD"/>
              </w:rPr>
              <w:t xml:space="preserve">privind virarea </w:t>
            </w:r>
            <w:r w:rsidR="00735F99">
              <w:rPr>
                <w:lang w:val="ro-MD"/>
              </w:rPr>
              <w:t xml:space="preserve">defalcărilor și respectării prevederilor legale, precum și de către autoritățile administarțiilor </w:t>
            </w:r>
            <w:r w:rsidR="00FC015E">
              <w:rPr>
                <w:lang w:val="ro-MD"/>
              </w:rPr>
              <w:t xml:space="preserve">publice </w:t>
            </w:r>
            <w:r w:rsidR="00735F99">
              <w:rPr>
                <w:lang w:val="ro-MD"/>
              </w:rPr>
              <w:t>locale emitente a autorizațiilor de construire, deoarece aceste defalcări nu se virează în bugetele locale ale acestora.</w:t>
            </w:r>
          </w:p>
          <w:p w14:paraId="54DD7830" w14:textId="718EF837" w:rsidR="008378F4" w:rsidRPr="00207783" w:rsidRDefault="004D799E" w:rsidP="00CE321D">
            <w:pPr>
              <w:pStyle w:val="ListParagraph"/>
              <w:numPr>
                <w:ilvl w:val="0"/>
                <w:numId w:val="8"/>
              </w:numPr>
              <w:spacing w:before="120" w:line="276" w:lineRule="auto"/>
              <w:ind w:left="28" w:right="57" w:firstLine="408"/>
              <w:contextualSpacing w:val="0"/>
              <w:jc w:val="both"/>
              <w:rPr>
                <w:rFonts w:ascii="inherit" w:hAnsi="inherit"/>
                <w:lang w:val="ro-MD" w:eastAsia="ru-RU"/>
              </w:rPr>
            </w:pPr>
            <w:r>
              <w:rPr>
                <w:lang w:val="ro-MD"/>
              </w:rPr>
              <w:t>N</w:t>
            </w:r>
            <w:r w:rsidRPr="004D799E">
              <w:rPr>
                <w:lang w:val="ro-MD"/>
              </w:rPr>
              <w:t>econcordanțe între normele cadrului normativ național, Legea nr.721/1996 privind calitatea în construcții și Legea nr.181/2014 finanţelor publice şi responsabilităţii bugetar-fiscale (art.66), care au condus la nerecunoașterea contractelor multianuale</w:t>
            </w:r>
            <w:r w:rsidR="002C28E2">
              <w:rPr>
                <w:lang w:val="ro-MD"/>
              </w:rPr>
              <w:t xml:space="preserve"> încheiate</w:t>
            </w:r>
            <w:r w:rsidRPr="004D799E">
              <w:rPr>
                <w:lang w:val="ro-MD"/>
              </w:rPr>
              <w:t xml:space="preserve"> pentru elaborarea proiectelor de normative în construcții și neînregistrarea acestora de către Trezoreria de Stat</w:t>
            </w:r>
            <w:r w:rsidR="002C28E2">
              <w:rPr>
                <w:lang w:val="ro-MD"/>
              </w:rPr>
              <w:t>,</w:t>
            </w:r>
            <w:r>
              <w:rPr>
                <w:lang w:val="ro-MD"/>
              </w:rPr>
              <w:t xml:space="preserve"> în ultimii cinci ani</w:t>
            </w:r>
            <w:r w:rsidRPr="004D799E">
              <w:rPr>
                <w:lang w:val="ro-MD"/>
              </w:rPr>
              <w:t xml:space="preserve">. </w:t>
            </w:r>
          </w:p>
        </w:tc>
      </w:tr>
      <w:tr w:rsidR="00A90D9A" w:rsidRPr="00207783" w14:paraId="5F404FD0" w14:textId="77777777" w:rsidTr="00772AD3">
        <w:tc>
          <w:tcPr>
            <w:tcW w:w="5000" w:type="pct"/>
            <w:gridSpan w:val="5"/>
            <w:hideMark/>
          </w:tcPr>
          <w:p w14:paraId="186B1639" w14:textId="77777777" w:rsidR="00A90D9A" w:rsidRPr="00207783" w:rsidRDefault="00A90D9A" w:rsidP="00E837E5">
            <w:pPr>
              <w:ind w:firstLine="567"/>
              <w:rPr>
                <w:sz w:val="24"/>
                <w:szCs w:val="24"/>
                <w:lang w:val="ro-MD"/>
              </w:rPr>
            </w:pPr>
            <w:r w:rsidRPr="00207783">
              <w:rPr>
                <w:bCs/>
                <w:i/>
                <w:sz w:val="24"/>
                <w:szCs w:val="24"/>
                <w:lang w:val="ro-MD"/>
              </w:rPr>
              <w:lastRenderedPageBreak/>
              <w:t>b)</w:t>
            </w:r>
            <w:r w:rsidRPr="00207783">
              <w:rPr>
                <w:i/>
                <w:sz w:val="24"/>
                <w:szCs w:val="24"/>
                <w:lang w:val="ro-MD"/>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C16C9F" w:rsidRPr="00207783" w14:paraId="4A2E38E8" w14:textId="77777777" w:rsidTr="00772AD3">
        <w:tc>
          <w:tcPr>
            <w:tcW w:w="5000" w:type="pct"/>
            <w:gridSpan w:val="5"/>
          </w:tcPr>
          <w:p w14:paraId="550AD89B" w14:textId="40474B75" w:rsidR="00DD3CD2" w:rsidRDefault="00DD3CD2" w:rsidP="0011128E">
            <w:pPr>
              <w:spacing w:before="80" w:after="80" w:line="276" w:lineRule="auto"/>
              <w:ind w:left="96" w:right="91" w:firstLine="425"/>
              <w:rPr>
                <w:sz w:val="24"/>
                <w:szCs w:val="24"/>
                <w:lang w:val="ro-MD"/>
              </w:rPr>
            </w:pPr>
            <w:r>
              <w:rPr>
                <w:sz w:val="24"/>
                <w:szCs w:val="24"/>
                <w:lang w:val="ro-MD"/>
              </w:rPr>
              <w:t>Domeniul construcțiilor ocupă un loc esențial în dezvoltarea economiei naționale și formarea produsului intern brut.</w:t>
            </w:r>
            <w:r w:rsidR="006D71DA">
              <w:rPr>
                <w:sz w:val="24"/>
                <w:szCs w:val="24"/>
                <w:lang w:val="ro-MD"/>
              </w:rPr>
              <w:t xml:space="preserve"> Astfel, una din</w:t>
            </w:r>
            <w:r w:rsidR="00390E6B">
              <w:rPr>
                <w:sz w:val="24"/>
                <w:szCs w:val="24"/>
                <w:lang w:val="ro-MD"/>
              </w:rPr>
              <w:t xml:space="preserve"> </w:t>
            </w:r>
            <w:r w:rsidR="006D71DA">
              <w:rPr>
                <w:sz w:val="24"/>
                <w:szCs w:val="24"/>
                <w:lang w:val="ro-MD"/>
              </w:rPr>
              <w:t xml:space="preserve">prioritățile de bază a domeniului construcțiilor este </w:t>
            </w:r>
            <w:r w:rsidR="008D5B64">
              <w:rPr>
                <w:sz w:val="24"/>
                <w:szCs w:val="24"/>
                <w:lang w:val="ro-MD"/>
              </w:rPr>
              <w:t>d</w:t>
            </w:r>
            <w:r w:rsidR="008D5B64" w:rsidRPr="008D5B64">
              <w:rPr>
                <w:sz w:val="24"/>
                <w:szCs w:val="24"/>
                <w:lang w:val="ro-MD"/>
              </w:rPr>
              <w:t>ezvoltarea Sistemului național de documente normative în construcții (</w:t>
            </w:r>
            <w:r w:rsidR="00BA04E9" w:rsidRPr="00BA04E9">
              <w:rPr>
                <w:sz w:val="24"/>
                <w:szCs w:val="24"/>
                <w:lang w:val="ro-MD"/>
              </w:rPr>
              <w:t>în continuare – SDNC</w:t>
            </w:r>
            <w:r w:rsidR="008D5B64" w:rsidRPr="008D5B64">
              <w:rPr>
                <w:sz w:val="24"/>
                <w:szCs w:val="24"/>
                <w:lang w:val="ro-MD"/>
              </w:rPr>
              <w:t xml:space="preserve">) prin revizuirea reglementărilor tehnice existente în domeniu, elaborarea și aplicarea normativelor noi, inclusiv și elaborarea datelor pentru anexele naționale </w:t>
            </w:r>
            <w:r w:rsidR="0043791D">
              <w:rPr>
                <w:sz w:val="24"/>
                <w:szCs w:val="24"/>
                <w:lang w:val="ro-MD"/>
              </w:rPr>
              <w:t>în vederea</w:t>
            </w:r>
            <w:r w:rsidR="008D5B64" w:rsidRPr="008D5B64">
              <w:rPr>
                <w:sz w:val="24"/>
                <w:szCs w:val="24"/>
                <w:lang w:val="ro-MD"/>
              </w:rPr>
              <w:t xml:space="preserve"> implement</w:t>
            </w:r>
            <w:r w:rsidR="0043791D">
              <w:rPr>
                <w:sz w:val="24"/>
                <w:szCs w:val="24"/>
                <w:lang w:val="ro-MD"/>
              </w:rPr>
              <w:t>ării</w:t>
            </w:r>
            <w:r w:rsidR="008D5B64" w:rsidRPr="008D5B64">
              <w:rPr>
                <w:sz w:val="24"/>
                <w:szCs w:val="24"/>
                <w:lang w:val="ro-MD"/>
              </w:rPr>
              <w:t xml:space="preserve"> Eurocodurilor, </w:t>
            </w:r>
            <w:r w:rsidR="00B742AA">
              <w:rPr>
                <w:sz w:val="24"/>
                <w:szCs w:val="24"/>
                <w:lang w:val="ro-MD"/>
              </w:rPr>
              <w:t xml:space="preserve">precum </w:t>
            </w:r>
            <w:r w:rsidR="008D5B64">
              <w:rPr>
                <w:sz w:val="24"/>
                <w:szCs w:val="24"/>
                <w:lang w:val="ro-MD"/>
              </w:rPr>
              <w:t>și</w:t>
            </w:r>
            <w:r w:rsidR="008D5B64" w:rsidRPr="008D5B64">
              <w:rPr>
                <w:sz w:val="24"/>
                <w:szCs w:val="24"/>
                <w:lang w:val="ro-MD"/>
              </w:rPr>
              <w:t xml:space="preserve"> armoniza</w:t>
            </w:r>
            <w:r w:rsidR="008D5B64">
              <w:rPr>
                <w:sz w:val="24"/>
                <w:szCs w:val="24"/>
                <w:lang w:val="ro-MD"/>
              </w:rPr>
              <w:t>rea acestora</w:t>
            </w:r>
            <w:r w:rsidR="008D5B64" w:rsidRPr="008D5B64">
              <w:rPr>
                <w:sz w:val="24"/>
                <w:szCs w:val="24"/>
                <w:lang w:val="ro-MD"/>
              </w:rPr>
              <w:t xml:space="preserve"> cu reglementările și standardele europene.</w:t>
            </w:r>
            <w:r w:rsidR="006D71DA">
              <w:rPr>
                <w:sz w:val="24"/>
                <w:szCs w:val="24"/>
                <w:lang w:val="ro-MD"/>
              </w:rPr>
              <w:t xml:space="preserve"> </w:t>
            </w:r>
          </w:p>
          <w:p w14:paraId="09C70A99" w14:textId="1140549D" w:rsidR="00BA04E9" w:rsidRPr="00BA04E9" w:rsidRDefault="00F1120B" w:rsidP="00BA04E9">
            <w:pPr>
              <w:spacing w:before="80" w:after="80" w:line="276" w:lineRule="auto"/>
              <w:ind w:left="96" w:right="91" w:firstLine="425"/>
              <w:rPr>
                <w:sz w:val="24"/>
                <w:szCs w:val="24"/>
                <w:lang w:val="ro-MD"/>
              </w:rPr>
            </w:pPr>
            <w:r>
              <w:rPr>
                <w:sz w:val="24"/>
                <w:szCs w:val="24"/>
                <w:lang w:val="ro-MD"/>
              </w:rPr>
              <w:t xml:space="preserve">În acest context, menționăm că </w:t>
            </w:r>
            <w:r w:rsidR="00BA04E9">
              <w:rPr>
                <w:sz w:val="24"/>
                <w:szCs w:val="24"/>
                <w:lang w:val="ro-MD"/>
              </w:rPr>
              <w:t>SDNC</w:t>
            </w:r>
            <w:r w:rsidR="00DD1525">
              <w:rPr>
                <w:sz w:val="24"/>
                <w:szCs w:val="24"/>
                <w:lang w:val="ro-MD"/>
              </w:rPr>
              <w:t>, con</w:t>
            </w:r>
            <w:r w:rsidR="00F550A3">
              <w:rPr>
                <w:sz w:val="24"/>
                <w:szCs w:val="24"/>
                <w:lang w:val="ro-MD"/>
              </w:rPr>
              <w:t>f</w:t>
            </w:r>
            <w:r w:rsidR="00DD1525">
              <w:rPr>
                <w:sz w:val="24"/>
                <w:szCs w:val="24"/>
                <w:lang w:val="ro-MD"/>
              </w:rPr>
              <w:t>orm</w:t>
            </w:r>
            <w:r w:rsidR="00F550A3" w:rsidRPr="00F550A3">
              <w:rPr>
                <w:sz w:val="24"/>
                <w:szCs w:val="24"/>
                <w:lang w:val="ro-MD"/>
              </w:rPr>
              <w:t xml:space="preserve"> Regulamentului cu privire la administrarea mijloacelor pentru finanţarea sistemului de documente normative în construcţiiaprobat prin Hotărîrea Guvernului nr.1436/2008</w:t>
            </w:r>
            <w:r w:rsidR="00F550A3">
              <w:rPr>
                <w:sz w:val="24"/>
                <w:szCs w:val="24"/>
                <w:lang w:val="ro-MD"/>
              </w:rPr>
              <w:t>,</w:t>
            </w:r>
            <w:r w:rsidR="00DD1525">
              <w:rPr>
                <w:sz w:val="24"/>
                <w:szCs w:val="24"/>
                <w:lang w:val="ro-MD"/>
              </w:rPr>
              <w:t xml:space="preserve"> </w:t>
            </w:r>
            <w:r w:rsidR="00BA04E9" w:rsidRPr="00BA04E9">
              <w:rPr>
                <w:sz w:val="24"/>
                <w:szCs w:val="24"/>
                <w:lang w:val="ro-MD"/>
              </w:rPr>
              <w:t xml:space="preserve"> reprezintă totalitatea documentelor normative interdependente, corelate prin scopuri și sarcini comune privind asigurarea securității, sporirea eficienței și calității procesului de construcții, de </w:t>
            </w:r>
            <w:r w:rsidR="00DA7B85" w:rsidRPr="00BA04E9">
              <w:rPr>
                <w:sz w:val="24"/>
                <w:szCs w:val="24"/>
                <w:lang w:val="ro-MD"/>
              </w:rPr>
              <w:t xml:space="preserve">amenajare a teritoriului și </w:t>
            </w:r>
            <w:r w:rsidR="00BA04E9" w:rsidRPr="00BA04E9">
              <w:rPr>
                <w:sz w:val="24"/>
                <w:szCs w:val="24"/>
                <w:lang w:val="ro-MD"/>
              </w:rPr>
              <w:t>urbanism, precum și a documentelor utilizate la proiectarea (inclusiv prospecțiuni inginerești), construcția, modernizarea, consolidarea, reparația, exploatarea, dezafectarea și postutilizarea clădirilor și a construcțiilor. SDNC se formează de către organul central de specialitate al administrației publice în domeniul construcțiilor și se constituie din:</w:t>
            </w:r>
          </w:p>
          <w:p w14:paraId="55DD3023" w14:textId="77777777" w:rsidR="00BA04E9" w:rsidRPr="00BA04E9" w:rsidRDefault="00BA04E9" w:rsidP="00BA04E9">
            <w:pPr>
              <w:spacing w:before="80" w:after="80" w:line="276" w:lineRule="auto"/>
              <w:ind w:left="96" w:right="91" w:firstLine="425"/>
              <w:rPr>
                <w:sz w:val="24"/>
                <w:szCs w:val="24"/>
                <w:lang w:val="ro-MD"/>
              </w:rPr>
            </w:pPr>
            <w:r w:rsidRPr="00BA04E9">
              <w:rPr>
                <w:sz w:val="24"/>
                <w:szCs w:val="24"/>
                <w:lang w:val="ro-MD"/>
              </w:rPr>
              <w:t>a) acte normative în construcții – reglementări în construcții;</w:t>
            </w:r>
          </w:p>
          <w:p w14:paraId="2B19D653" w14:textId="77777777" w:rsidR="00BA04E9" w:rsidRPr="00BA04E9" w:rsidRDefault="00BA04E9" w:rsidP="00BA04E9">
            <w:pPr>
              <w:spacing w:before="80" w:after="80" w:line="276" w:lineRule="auto"/>
              <w:ind w:left="96" w:right="91" w:firstLine="425"/>
              <w:rPr>
                <w:sz w:val="24"/>
                <w:szCs w:val="24"/>
                <w:lang w:val="ro-MD"/>
              </w:rPr>
            </w:pPr>
            <w:r w:rsidRPr="00BA04E9">
              <w:rPr>
                <w:sz w:val="24"/>
                <w:szCs w:val="24"/>
                <w:lang w:val="ro-MD"/>
              </w:rPr>
              <w:t>b) normative în construcții moldovenești – NCM – reglementări tehnice;</w:t>
            </w:r>
          </w:p>
          <w:p w14:paraId="449CD9B1" w14:textId="77777777" w:rsidR="00BA04E9" w:rsidRPr="00BA04E9" w:rsidRDefault="00BA04E9" w:rsidP="00BA04E9">
            <w:pPr>
              <w:spacing w:before="80" w:after="80" w:line="276" w:lineRule="auto"/>
              <w:ind w:left="96" w:right="91" w:firstLine="425"/>
              <w:rPr>
                <w:sz w:val="24"/>
                <w:szCs w:val="24"/>
                <w:lang w:val="ro-MD"/>
              </w:rPr>
            </w:pPr>
            <w:r w:rsidRPr="00BA04E9">
              <w:rPr>
                <w:sz w:val="24"/>
                <w:szCs w:val="24"/>
                <w:lang w:val="ro-MD"/>
              </w:rPr>
              <w:t>c) coduri practice în construcții – CP;</w:t>
            </w:r>
          </w:p>
          <w:p w14:paraId="63E16D67" w14:textId="77777777" w:rsidR="00BA04E9" w:rsidRPr="00BA04E9" w:rsidRDefault="00BA04E9" w:rsidP="00BA04E9">
            <w:pPr>
              <w:spacing w:before="80" w:after="80" w:line="276" w:lineRule="auto"/>
              <w:ind w:left="96" w:right="91" w:firstLine="425"/>
              <w:rPr>
                <w:sz w:val="24"/>
                <w:szCs w:val="24"/>
                <w:lang w:val="ro-MD"/>
              </w:rPr>
            </w:pPr>
            <w:r w:rsidRPr="00BA04E9">
              <w:rPr>
                <w:sz w:val="24"/>
                <w:szCs w:val="24"/>
                <w:lang w:val="ro-MD"/>
              </w:rPr>
              <w:t>d) profiluri ocupaționale și standarde ocupaționale – PO, SO;</w:t>
            </w:r>
          </w:p>
          <w:p w14:paraId="55EF7586" w14:textId="77777777" w:rsidR="00BA04E9" w:rsidRPr="00BA04E9" w:rsidRDefault="00BA04E9" w:rsidP="00BA04E9">
            <w:pPr>
              <w:spacing w:before="80" w:after="80" w:line="276" w:lineRule="auto"/>
              <w:ind w:left="96" w:right="91" w:firstLine="425"/>
              <w:rPr>
                <w:sz w:val="24"/>
                <w:szCs w:val="24"/>
                <w:lang w:val="ro-MD"/>
              </w:rPr>
            </w:pPr>
            <w:r w:rsidRPr="00BA04E9">
              <w:rPr>
                <w:sz w:val="24"/>
                <w:szCs w:val="24"/>
                <w:lang w:val="ro-MD"/>
              </w:rPr>
              <w:t>e) documente normative în construcții europene și internaționale adoptate în calitate de documente naționale;</w:t>
            </w:r>
          </w:p>
          <w:p w14:paraId="0D38C407" w14:textId="68787FD9" w:rsidR="00BA04E9" w:rsidRDefault="00BA04E9" w:rsidP="00BA04E9">
            <w:pPr>
              <w:spacing w:before="80" w:after="80" w:line="276" w:lineRule="auto"/>
              <w:ind w:left="96" w:right="91" w:firstLine="425"/>
              <w:rPr>
                <w:sz w:val="24"/>
                <w:szCs w:val="24"/>
                <w:lang w:val="ro-MD"/>
              </w:rPr>
            </w:pPr>
            <w:r w:rsidRPr="00BA04E9">
              <w:rPr>
                <w:sz w:val="24"/>
                <w:szCs w:val="24"/>
                <w:lang w:val="ro-MD"/>
              </w:rPr>
              <w:t>f) reguli tehnice recunoscute (linii directoare, metodologii, regulamente, instrucțiuni, proceduri, norme de deviz, manuale, ghiduri, îndrumătoare etc.), conform EN 45020.</w:t>
            </w:r>
          </w:p>
          <w:p w14:paraId="2D5B12BA" w14:textId="72418221" w:rsidR="004353EF" w:rsidRDefault="004353EF" w:rsidP="004353EF">
            <w:pPr>
              <w:spacing w:before="80" w:after="80" w:line="276" w:lineRule="auto"/>
              <w:ind w:left="96" w:right="91" w:firstLine="425"/>
              <w:rPr>
                <w:sz w:val="24"/>
                <w:szCs w:val="24"/>
                <w:lang w:val="ro-MD"/>
              </w:rPr>
            </w:pPr>
            <w:r w:rsidRPr="004353EF">
              <w:rPr>
                <w:sz w:val="24"/>
                <w:szCs w:val="24"/>
                <w:lang w:val="ro-MD"/>
              </w:rPr>
              <w:t xml:space="preserve">În prezent, pentru proiectarea și realizarea construcțiilor în Republica Moldova se mai utilizează peste 250 de СНиП-uri și peste 160 norme ex-sovietice, precum și, aproximativ 500 de normative moldovenești, care fac referințe la </w:t>
            </w:r>
            <w:r w:rsidR="005365D3">
              <w:rPr>
                <w:sz w:val="24"/>
                <w:szCs w:val="24"/>
                <w:lang w:val="ro-MD"/>
              </w:rPr>
              <w:t xml:space="preserve">standarde de tip </w:t>
            </w:r>
            <w:r w:rsidRPr="004353EF">
              <w:rPr>
                <w:sz w:val="24"/>
                <w:szCs w:val="24"/>
                <w:lang w:val="ro-MD"/>
              </w:rPr>
              <w:t xml:space="preserve">GOST care în prezent sunt anulate. De asemenea, </w:t>
            </w:r>
            <w:r w:rsidRPr="004353EF">
              <w:rPr>
                <w:sz w:val="24"/>
                <w:szCs w:val="24"/>
                <w:lang w:val="ro-MD"/>
              </w:rPr>
              <w:lastRenderedPageBreak/>
              <w:t>sunt menținute peste 700 de documente cu caracter de recomandare</w:t>
            </w:r>
            <w:r w:rsidR="0088165E">
              <w:rPr>
                <w:sz w:val="24"/>
                <w:szCs w:val="24"/>
                <w:lang w:val="ro-MD"/>
              </w:rPr>
              <w:t xml:space="preserve"> sovietice</w:t>
            </w:r>
            <w:r w:rsidRPr="004353EF">
              <w:rPr>
                <w:sz w:val="24"/>
                <w:szCs w:val="24"/>
                <w:lang w:val="ro-MD"/>
              </w:rPr>
              <w:t>, elaborate în anii 70-90 al secolului trecut. Documentele menționate, nu mai reflectă acțiunile și sarcinile actuale în mediile agresive, efectele schimbărilor climatice, fenomenele meteorologice extreme și riscurile seismice ridicate de azi, care trebuie luate în calcul prin normativele în construcții.</w:t>
            </w:r>
          </w:p>
          <w:p w14:paraId="024449A2" w14:textId="6A70A499" w:rsidR="00D819FB" w:rsidRPr="008907C4" w:rsidRDefault="00D819FB" w:rsidP="008907C4">
            <w:pPr>
              <w:spacing w:before="80" w:after="80" w:line="276" w:lineRule="auto"/>
              <w:ind w:left="96" w:right="91" w:firstLine="425"/>
              <w:rPr>
                <w:sz w:val="24"/>
                <w:szCs w:val="24"/>
                <w:lang w:val="ro-MD"/>
              </w:rPr>
            </w:pPr>
            <w:r>
              <w:rPr>
                <w:sz w:val="24"/>
                <w:szCs w:val="24"/>
                <w:lang w:val="ro-MD"/>
              </w:rPr>
              <w:t xml:space="preserve">Urmare a situației actuale existente deducem o dezvoltare incoerentă a SDNC al RM. </w:t>
            </w:r>
            <w:r w:rsidRPr="008907C4">
              <w:rPr>
                <w:sz w:val="24"/>
                <w:szCs w:val="24"/>
                <w:lang w:val="ro-MD"/>
              </w:rPr>
              <w:t>Actualmente, sistemul de documente normative în construcţii (SDNC) al Republicii Moldova constă din 2615 documente normative (a se vedea Figura 1). Majoritatea documentelor normative în construcţii sînt normative ale fostelor U.R.S.S. şi R.S.S.M., aplicarea cărora pe teritoriul Republicii Moldova a fost permisă prin scrisoarea Ministerului Arhitecturii şi Construcţiilor al Republicii Moldova nr. 03-05/340 din 01.04.1993 "Referitor la funcţionarea normativelor în construcţie pe teritoriul Republicii Moldova". Prin această scrisoare s-a autorizat aplicarea documentelor normative ale fostelor U.R.S.S. şi R.S.S.M., pînă la anularea sau precizarea lor.</w:t>
            </w:r>
          </w:p>
          <w:p w14:paraId="10C98759" w14:textId="77777777" w:rsidR="00D819FB" w:rsidRPr="008907C4" w:rsidRDefault="00D819FB" w:rsidP="00D819FB">
            <w:pPr>
              <w:rPr>
                <w:sz w:val="24"/>
                <w:szCs w:val="24"/>
                <w:lang w:val="ro-MD"/>
              </w:rPr>
            </w:pPr>
          </w:p>
          <w:p w14:paraId="1E5A1D5B" w14:textId="77777777" w:rsidR="00D819FB" w:rsidRPr="008907C4" w:rsidRDefault="00D819FB" w:rsidP="00D819FB">
            <w:pPr>
              <w:rPr>
                <w:sz w:val="24"/>
                <w:szCs w:val="24"/>
                <w:lang w:val="ro-MD"/>
              </w:rPr>
            </w:pPr>
            <w:r w:rsidRPr="008907C4">
              <w:rPr>
                <w:noProof/>
                <w:sz w:val="24"/>
                <w:szCs w:val="24"/>
              </w:rPr>
              <w:drawing>
                <wp:inline distT="0" distB="0" distL="0" distR="0" wp14:anchorId="620BB32D" wp14:editId="75E5C326">
                  <wp:extent cx="5697016" cy="3482492"/>
                  <wp:effectExtent l="19050" t="0" r="17984" b="3658"/>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24E323" w14:textId="77777777" w:rsidR="00D819FB" w:rsidRPr="008907C4" w:rsidRDefault="00D819FB" w:rsidP="00D819FB">
            <w:pPr>
              <w:rPr>
                <w:sz w:val="24"/>
                <w:szCs w:val="24"/>
                <w:lang w:val="ro-MD"/>
              </w:rPr>
            </w:pPr>
          </w:p>
          <w:p w14:paraId="5C2A563B" w14:textId="77777777" w:rsidR="00D819FB" w:rsidRPr="008907C4" w:rsidRDefault="00D819FB" w:rsidP="00D819FB">
            <w:pPr>
              <w:jc w:val="center"/>
              <w:rPr>
                <w:sz w:val="24"/>
                <w:szCs w:val="24"/>
                <w:lang w:val="ro-MD"/>
              </w:rPr>
            </w:pPr>
            <w:r w:rsidRPr="008907C4">
              <w:rPr>
                <w:b/>
                <w:sz w:val="24"/>
                <w:szCs w:val="24"/>
                <w:lang w:val="ro-MD"/>
              </w:rPr>
              <w:t>Figura 1 – Structura documentelor normative în construcţii în vigoare în Republica Moldova</w:t>
            </w:r>
          </w:p>
          <w:p w14:paraId="5F3B0F31" w14:textId="77777777" w:rsidR="00D819FB" w:rsidRPr="008907C4" w:rsidRDefault="00D819FB" w:rsidP="00D819FB">
            <w:pPr>
              <w:rPr>
                <w:sz w:val="24"/>
                <w:szCs w:val="24"/>
                <w:lang w:val="ro-MD"/>
              </w:rPr>
            </w:pPr>
          </w:p>
          <w:p w14:paraId="77C2C202" w14:textId="336FB3F1" w:rsidR="00D819FB" w:rsidRPr="008907C4" w:rsidRDefault="00D819FB">
            <w:pPr>
              <w:rPr>
                <w:sz w:val="24"/>
                <w:szCs w:val="24"/>
                <w:lang w:val="ro-MD"/>
              </w:rPr>
            </w:pPr>
            <w:r w:rsidRPr="008907C4">
              <w:rPr>
                <w:sz w:val="24"/>
                <w:szCs w:val="24"/>
                <w:lang w:val="ro-MD"/>
              </w:rPr>
              <w:t>Această modalitate de dezvoltare a SDNC a fost determinată de următorii factori:</w:t>
            </w:r>
          </w:p>
          <w:p w14:paraId="0599C68F" w14:textId="77777777" w:rsidR="00D819FB" w:rsidRPr="008907C4" w:rsidRDefault="00D819FB">
            <w:pPr>
              <w:rPr>
                <w:sz w:val="24"/>
                <w:szCs w:val="24"/>
                <w:lang w:val="ro-MD"/>
              </w:rPr>
            </w:pPr>
          </w:p>
          <w:p w14:paraId="77630AED" w14:textId="737F0D2D" w:rsidR="00D819FB" w:rsidRPr="008907C4" w:rsidRDefault="00D819FB" w:rsidP="008907C4">
            <w:pPr>
              <w:pStyle w:val="ListParagraph"/>
              <w:numPr>
                <w:ilvl w:val="0"/>
                <w:numId w:val="16"/>
              </w:numPr>
              <w:tabs>
                <w:tab w:val="left" w:pos="397"/>
              </w:tabs>
              <w:rPr>
                <w:lang w:val="ro-MD"/>
              </w:rPr>
            </w:pPr>
            <w:r w:rsidRPr="008907C4">
              <w:rPr>
                <w:lang w:val="ro-MD"/>
              </w:rPr>
              <w:t>similaritatea sistemelor de documente normative în construcţii, determinată de o bază normativă istorică comună (documente normative ale fostei U.R.S.S.);</w:t>
            </w:r>
          </w:p>
          <w:p w14:paraId="2DA72208" w14:textId="77777777" w:rsidR="00D819FB" w:rsidRPr="008907C4" w:rsidRDefault="00D819FB">
            <w:pPr>
              <w:tabs>
                <w:tab w:val="left" w:pos="397"/>
              </w:tabs>
              <w:rPr>
                <w:sz w:val="24"/>
                <w:szCs w:val="24"/>
                <w:lang w:val="ro-MD"/>
              </w:rPr>
            </w:pPr>
          </w:p>
          <w:p w14:paraId="7FD1512A" w14:textId="37DD9951" w:rsidR="00D819FB" w:rsidRPr="008907C4" w:rsidRDefault="00D819FB" w:rsidP="008907C4">
            <w:pPr>
              <w:pStyle w:val="ListParagraph"/>
              <w:numPr>
                <w:ilvl w:val="0"/>
                <w:numId w:val="16"/>
              </w:numPr>
              <w:tabs>
                <w:tab w:val="left" w:pos="397"/>
              </w:tabs>
              <w:rPr>
                <w:lang w:val="ro-MD"/>
              </w:rPr>
            </w:pPr>
            <w:r w:rsidRPr="008907C4">
              <w:rPr>
                <w:lang w:val="ro-MD"/>
              </w:rPr>
              <w:t>accesibilitatea documentelor normative ale Federaţiei Ruse, Belarusei, Ucrainei (existenţa relaţiilor de colaborare şi acordurilor cu aceste ţări care permit adoptarea documentelor normative ale acestora în calitate de naţionale; simplitatea relativă de utilizare şi înţelegere a normativelor acestor ţări, deoarece ele există în limba rusă);</w:t>
            </w:r>
          </w:p>
          <w:p w14:paraId="1C23A44F" w14:textId="77777777" w:rsidR="00D819FB" w:rsidRPr="008907C4" w:rsidRDefault="00D819FB">
            <w:pPr>
              <w:tabs>
                <w:tab w:val="left" w:pos="397"/>
              </w:tabs>
              <w:rPr>
                <w:sz w:val="24"/>
                <w:szCs w:val="24"/>
                <w:lang w:val="ro-MD"/>
              </w:rPr>
            </w:pPr>
          </w:p>
          <w:p w14:paraId="1E631B7B" w14:textId="3E7538FB" w:rsidR="00D819FB" w:rsidRPr="008907C4" w:rsidRDefault="00D819FB" w:rsidP="008907C4">
            <w:pPr>
              <w:pStyle w:val="ListParagraph"/>
              <w:numPr>
                <w:ilvl w:val="0"/>
                <w:numId w:val="16"/>
              </w:numPr>
              <w:tabs>
                <w:tab w:val="left" w:pos="397"/>
              </w:tabs>
              <w:rPr>
                <w:lang w:val="ro-MD"/>
              </w:rPr>
            </w:pPr>
            <w:r w:rsidRPr="008907C4">
              <w:rPr>
                <w:lang w:val="ro-MD"/>
              </w:rPr>
              <w:t>posibilităţile reduse de accesare a standardelor europene şi internaţionale în domeniul construcţiilor;</w:t>
            </w:r>
          </w:p>
          <w:p w14:paraId="165E84F5" w14:textId="77777777" w:rsidR="00D819FB" w:rsidRDefault="00D819FB" w:rsidP="008907C4">
            <w:pPr>
              <w:tabs>
                <w:tab w:val="left" w:pos="397"/>
              </w:tabs>
              <w:ind w:firstLine="0"/>
              <w:rPr>
                <w:sz w:val="24"/>
                <w:szCs w:val="24"/>
                <w:lang w:val="ro-MD"/>
              </w:rPr>
            </w:pPr>
          </w:p>
          <w:p w14:paraId="419A9324" w14:textId="29A2D661" w:rsidR="00D819FB" w:rsidRPr="008907C4" w:rsidRDefault="00D819FB" w:rsidP="008907C4">
            <w:pPr>
              <w:pStyle w:val="ListParagraph"/>
              <w:numPr>
                <w:ilvl w:val="0"/>
                <w:numId w:val="16"/>
              </w:numPr>
              <w:tabs>
                <w:tab w:val="left" w:pos="397"/>
              </w:tabs>
              <w:rPr>
                <w:lang w:val="ro-MD"/>
              </w:rPr>
            </w:pPr>
            <w:r w:rsidRPr="008907C4">
              <w:rPr>
                <w:lang w:val="ro-MD"/>
              </w:rPr>
              <w:t>ambiguitatea viziunii şi concepţiei naţionale privind dezvoltarea SDNC.</w:t>
            </w:r>
          </w:p>
          <w:p w14:paraId="26627C7F" w14:textId="77777777" w:rsidR="00D819FB" w:rsidRPr="004353EF" w:rsidRDefault="00D819FB" w:rsidP="004353EF">
            <w:pPr>
              <w:spacing w:before="80" w:after="80" w:line="276" w:lineRule="auto"/>
              <w:ind w:left="96" w:right="91" w:firstLine="425"/>
              <w:rPr>
                <w:sz w:val="24"/>
                <w:szCs w:val="24"/>
                <w:lang w:val="ro-MD"/>
              </w:rPr>
            </w:pPr>
          </w:p>
          <w:p w14:paraId="19EA34BA" w14:textId="2EB23B74" w:rsidR="004353EF" w:rsidRPr="004353EF" w:rsidRDefault="004353EF" w:rsidP="004353EF">
            <w:pPr>
              <w:spacing w:before="80" w:after="80" w:line="276" w:lineRule="auto"/>
              <w:ind w:left="96" w:right="91" w:firstLine="425"/>
              <w:rPr>
                <w:sz w:val="24"/>
                <w:szCs w:val="24"/>
                <w:lang w:val="ro-MD"/>
              </w:rPr>
            </w:pPr>
            <w:r w:rsidRPr="004353EF">
              <w:rPr>
                <w:sz w:val="24"/>
                <w:szCs w:val="24"/>
                <w:lang w:val="ro-MD"/>
              </w:rPr>
              <w:lastRenderedPageBreak/>
              <w:t xml:space="preserve">Această situație creează dificultăți considerabile în aplicarea acestor normative și a standardelor europene în construcții de către proiectanți, dezvoltatori, producători, importatori și distribuitori de materiale de construcții și se răsfrânge catastrofic asupra calității construcțiilor, securității cetățenilor și mediului. Deși, până în prezent, au fost adoptate în calitate de standarde naționale peste 3700 de standarde europene EN și internaționale ISO, care servesc drept bază pentru elaborarea/actualizarea normativelor în construcții (NCM) și codurilor practice în construcții (CP), acestea în prezent nici nu substituie GOST-urile și prevederile depășite din majoritatea normativelor în construcții în vigoare, și anume, din cauza multiplelor probleme apărute, care stau ca bariere în valorificarea și a celor mizere surse financiare alocate de bugetul public pentru elaborarea și actualizarea normativelor în construcții. De fapt, în ultimii 5 ani, nu au fost elaborate normative și nu au fost valorificate sursele financiare alocate anual, din cauza neînregistrării contractelor pentru elaborarea normativelor în construcții de către Trezorăria de stat, și nerecunoașterea contractelor cu executare mai mare de un an. Astfel, acestea conducând inclusiv și la nerealizarea angajamentelor luate de stat privind armonizarea </w:t>
            </w:r>
            <w:r w:rsidR="00F34D82">
              <w:rPr>
                <w:sz w:val="24"/>
                <w:szCs w:val="24"/>
                <w:lang w:val="ro-MD"/>
              </w:rPr>
              <w:t>reglementărilor tehnice naționale</w:t>
            </w:r>
            <w:r w:rsidRPr="004353EF">
              <w:rPr>
                <w:sz w:val="24"/>
                <w:szCs w:val="24"/>
                <w:lang w:val="ro-MD"/>
              </w:rPr>
              <w:t xml:space="preserve"> cu cele ale UE, precum și de elaborare a anexelor naționale la Eurocod-uri. </w:t>
            </w:r>
          </w:p>
          <w:p w14:paraId="3EE0CB70" w14:textId="77777777" w:rsidR="00B15AD1" w:rsidRPr="00B15AD1" w:rsidRDefault="00B15AD1" w:rsidP="00B15AD1">
            <w:pPr>
              <w:spacing w:before="80" w:after="80" w:line="276" w:lineRule="auto"/>
              <w:ind w:left="96" w:right="91" w:firstLine="425"/>
              <w:rPr>
                <w:sz w:val="24"/>
                <w:szCs w:val="24"/>
                <w:lang w:val="ro-MD"/>
              </w:rPr>
            </w:pPr>
            <w:r w:rsidRPr="00B15AD1">
              <w:rPr>
                <w:sz w:val="24"/>
                <w:szCs w:val="24"/>
                <w:lang w:val="ro-MD"/>
              </w:rPr>
              <w:t>Eurocodurile reprezintă o serie de standarde europene, care prevăd metode de proiectare și calcul a rezistenței mecanice a elementelor structurale pentru construcții spațiale. Aceste metode permit proiectarea și verificarea stabilității structurilor pentru construcții sau a unor părți ale acestora și dimensionarea adecvată a elementelor structurale pentru construcții.</w:t>
            </w:r>
          </w:p>
          <w:p w14:paraId="50E96233" w14:textId="333256A2" w:rsidR="00B15AD1" w:rsidRPr="00B15AD1" w:rsidRDefault="00B15AD1" w:rsidP="00B15AD1">
            <w:pPr>
              <w:spacing w:before="80" w:after="80" w:line="276" w:lineRule="auto"/>
              <w:ind w:left="96" w:right="91" w:firstLine="425"/>
              <w:rPr>
                <w:sz w:val="24"/>
                <w:szCs w:val="24"/>
                <w:lang w:val="ro-MD"/>
              </w:rPr>
            </w:pPr>
            <w:r w:rsidRPr="00B15AD1">
              <w:rPr>
                <w:sz w:val="24"/>
                <w:szCs w:val="24"/>
                <w:lang w:val="ro-MD"/>
              </w:rPr>
              <w:t>Întârzierea implementării Eurocodurilor are efecte</w:t>
            </w:r>
            <w:r w:rsidR="00A27E91">
              <w:rPr>
                <w:sz w:val="24"/>
                <w:szCs w:val="24"/>
                <w:lang w:val="ro-MD"/>
              </w:rPr>
              <w:t xml:space="preserve"> deosebit de</w:t>
            </w:r>
            <w:r w:rsidRPr="00B15AD1">
              <w:rPr>
                <w:sz w:val="24"/>
                <w:szCs w:val="24"/>
                <w:lang w:val="ro-MD"/>
              </w:rPr>
              <w:t xml:space="preserve"> negative asupra activității de construcții, care se manifestă prin următoarele:</w:t>
            </w:r>
          </w:p>
          <w:p w14:paraId="2469288E" w14:textId="5BE2B456" w:rsidR="00B15AD1" w:rsidRPr="00B15AD1" w:rsidRDefault="00B15AD1" w:rsidP="00B15AD1">
            <w:pPr>
              <w:spacing w:before="80" w:after="80" w:line="276" w:lineRule="auto"/>
              <w:ind w:left="96" w:right="91" w:firstLine="425"/>
              <w:rPr>
                <w:sz w:val="24"/>
                <w:szCs w:val="24"/>
                <w:lang w:val="ro-MD"/>
              </w:rPr>
            </w:pPr>
            <w:r w:rsidRPr="00B15AD1">
              <w:rPr>
                <w:sz w:val="24"/>
                <w:szCs w:val="24"/>
                <w:lang w:val="ro-MD"/>
              </w:rPr>
              <w:t>-</w:t>
            </w:r>
            <w:r w:rsidRPr="00B15AD1">
              <w:rPr>
                <w:sz w:val="24"/>
                <w:szCs w:val="24"/>
                <w:lang w:val="ro-MD"/>
              </w:rPr>
              <w:tab/>
              <w:t>imposibilitatea armonizării documentelor normative cu standardele europene. Aceasta reprezintă o provocare majoră pentru Republica Moldova, în contextul adoptării şi implementării unui număr mare de standarde europene şi internaționale în domeniul construcțiilor (până în prezent au fost adoptate peste 3800 de standarde europene și internaționale);</w:t>
            </w:r>
          </w:p>
          <w:p w14:paraId="714583E2" w14:textId="77777777" w:rsidR="00B15AD1" w:rsidRPr="00B15AD1" w:rsidRDefault="00B15AD1" w:rsidP="00B15AD1">
            <w:pPr>
              <w:spacing w:before="80" w:after="80" w:line="276" w:lineRule="auto"/>
              <w:ind w:left="96" w:right="91" w:firstLine="425"/>
              <w:rPr>
                <w:sz w:val="24"/>
                <w:szCs w:val="24"/>
                <w:lang w:val="ro-MD"/>
              </w:rPr>
            </w:pPr>
            <w:r w:rsidRPr="00B15AD1">
              <w:rPr>
                <w:sz w:val="24"/>
                <w:szCs w:val="24"/>
                <w:lang w:val="ro-MD"/>
              </w:rPr>
              <w:t>-</w:t>
            </w:r>
            <w:r w:rsidRPr="00B15AD1">
              <w:rPr>
                <w:sz w:val="24"/>
                <w:szCs w:val="24"/>
                <w:lang w:val="ro-MD"/>
              </w:rPr>
              <w:tab/>
              <w:t>gradul scăzut de aplicare a tehnologiilor şi materialelor noi în construcții. Existența şi aplicarea documentelor normative depășite moral creează dificultăți pentru implementarea şi utilizarea materialelor şi tehnologiilor noi în domeniul construcțiilor;</w:t>
            </w:r>
          </w:p>
          <w:p w14:paraId="12E16D11" w14:textId="084C9BD2" w:rsidR="00B15AD1" w:rsidRPr="00B15AD1" w:rsidRDefault="00B15AD1" w:rsidP="00B15AD1">
            <w:pPr>
              <w:spacing w:before="80" w:after="80" w:line="276" w:lineRule="auto"/>
              <w:ind w:left="96" w:right="91" w:firstLine="425"/>
              <w:rPr>
                <w:sz w:val="24"/>
                <w:szCs w:val="24"/>
                <w:lang w:val="ro-MD"/>
              </w:rPr>
            </w:pPr>
            <w:r w:rsidRPr="00B15AD1">
              <w:rPr>
                <w:sz w:val="24"/>
                <w:szCs w:val="24"/>
                <w:lang w:val="ro-MD"/>
              </w:rPr>
              <w:t>-</w:t>
            </w:r>
            <w:r w:rsidRPr="00B15AD1">
              <w:rPr>
                <w:sz w:val="24"/>
                <w:szCs w:val="24"/>
                <w:lang w:val="ro-MD"/>
              </w:rPr>
              <w:tab/>
              <w:t>bariere tehnice în calea comerțului. Existența documentelor normative în construcții care nu sunt armonizate cu standardele europene (respectiv, conțin cerințe nearmonizate cu standardele europene) creează bariere pentru utilizarea produ</w:t>
            </w:r>
            <w:r w:rsidR="00ED645D">
              <w:rPr>
                <w:sz w:val="24"/>
                <w:szCs w:val="24"/>
                <w:lang w:val="ro-MD"/>
              </w:rPr>
              <w:t>selor</w:t>
            </w:r>
            <w:r w:rsidRPr="00B15AD1">
              <w:rPr>
                <w:sz w:val="24"/>
                <w:szCs w:val="24"/>
                <w:lang w:val="ro-MD"/>
              </w:rPr>
              <w:t xml:space="preserve"> </w:t>
            </w:r>
            <w:r w:rsidR="00ED645D">
              <w:rPr>
                <w:sz w:val="24"/>
                <w:szCs w:val="24"/>
                <w:lang w:val="ro-MD"/>
              </w:rPr>
              <w:t>pentru</w:t>
            </w:r>
            <w:r w:rsidRPr="00B15AD1">
              <w:rPr>
                <w:sz w:val="24"/>
                <w:szCs w:val="24"/>
                <w:lang w:val="ro-MD"/>
              </w:rPr>
              <w:t xml:space="preserve"> construcții fabricate conform standardelor europene inclusiv şi celei importate în </w:t>
            </w:r>
            <w:r w:rsidR="00ED645D">
              <w:rPr>
                <w:sz w:val="24"/>
                <w:szCs w:val="24"/>
                <w:lang w:val="ro-MD"/>
              </w:rPr>
              <w:t>țară</w:t>
            </w:r>
            <w:r w:rsidRPr="00B15AD1">
              <w:rPr>
                <w:sz w:val="24"/>
                <w:szCs w:val="24"/>
                <w:lang w:val="ro-MD"/>
              </w:rPr>
              <w:t>;</w:t>
            </w:r>
          </w:p>
          <w:p w14:paraId="6D21D14E" w14:textId="77777777" w:rsidR="00B15AD1" w:rsidRPr="00B15AD1" w:rsidRDefault="00B15AD1" w:rsidP="00B15AD1">
            <w:pPr>
              <w:spacing w:before="80" w:after="80" w:line="276" w:lineRule="auto"/>
              <w:ind w:left="96" w:right="91" w:firstLine="425"/>
              <w:rPr>
                <w:sz w:val="24"/>
                <w:szCs w:val="24"/>
                <w:lang w:val="ro-MD"/>
              </w:rPr>
            </w:pPr>
            <w:r w:rsidRPr="00B15AD1">
              <w:rPr>
                <w:sz w:val="24"/>
                <w:szCs w:val="24"/>
                <w:lang w:val="ro-MD"/>
              </w:rPr>
              <w:t>-</w:t>
            </w:r>
            <w:r w:rsidRPr="00B15AD1">
              <w:rPr>
                <w:sz w:val="24"/>
                <w:szCs w:val="24"/>
                <w:lang w:val="ro-MD"/>
              </w:rPr>
              <w:tab/>
              <w:t>bariere administrative pentru activitatea de construcții. În cazul în care documentele normative în construcții nu sunt suficient de flexibile şi nu oferă agenților economici (proiectanților şi antreprenorilor) posibilitatea să aplice unele soluții tehnice, documentele normative pot crea bariere administrative pentru implementarea unui proiect de construcții cu finanțare externă, ceea ce presupune investiții (de exemplu, la etapa de expertizare a documentației de proiect);</w:t>
            </w:r>
          </w:p>
          <w:p w14:paraId="56454468" w14:textId="0C7B9909" w:rsidR="00FF0FDD" w:rsidRDefault="00B15AD1" w:rsidP="00B15AD1">
            <w:pPr>
              <w:spacing w:before="80" w:after="80" w:line="276" w:lineRule="auto"/>
              <w:ind w:left="96" w:right="91" w:firstLine="425"/>
              <w:rPr>
                <w:sz w:val="24"/>
                <w:szCs w:val="24"/>
                <w:lang w:val="ro-MD"/>
              </w:rPr>
            </w:pPr>
            <w:r w:rsidRPr="00B15AD1">
              <w:rPr>
                <w:sz w:val="24"/>
                <w:szCs w:val="24"/>
                <w:lang w:val="ro-MD"/>
              </w:rPr>
              <w:t>-</w:t>
            </w:r>
            <w:r w:rsidRPr="00B15AD1">
              <w:rPr>
                <w:sz w:val="24"/>
                <w:szCs w:val="24"/>
                <w:lang w:val="ro-MD"/>
              </w:rPr>
              <w:tab/>
              <w:t>încrederea redusă în documentele normative în construcții. Neîncrederea agenților economici şi a cetățenilor în documentele normative în construcții apare atunci când sistemul nu este eficient şi nu asigură nivelul necesar de protecție şi securitate, atât de important pentru Rep</w:t>
            </w:r>
            <w:r w:rsidR="007F5DB8">
              <w:rPr>
                <w:sz w:val="24"/>
                <w:szCs w:val="24"/>
                <w:lang w:val="ro-MD"/>
              </w:rPr>
              <w:t>ublica</w:t>
            </w:r>
            <w:r w:rsidRPr="00B15AD1">
              <w:rPr>
                <w:sz w:val="24"/>
                <w:szCs w:val="24"/>
                <w:lang w:val="ro-MD"/>
              </w:rPr>
              <w:t xml:space="preserve"> Moldova, aflată în zona seismică</w:t>
            </w:r>
            <w:r w:rsidR="007F5DB8">
              <w:rPr>
                <w:sz w:val="24"/>
                <w:szCs w:val="24"/>
                <w:lang w:val="ro-MD"/>
              </w:rPr>
              <w:t xml:space="preserve"> cu intensitate </w:t>
            </w:r>
            <w:r w:rsidR="0042223D">
              <w:rPr>
                <w:sz w:val="24"/>
                <w:szCs w:val="24"/>
                <w:lang w:val="ro-MD"/>
              </w:rPr>
              <w:t>înaltă</w:t>
            </w:r>
            <w:r w:rsidR="0044497F">
              <w:rPr>
                <w:sz w:val="24"/>
                <w:szCs w:val="24"/>
                <w:lang w:val="ro-MD"/>
              </w:rPr>
              <w:t>;</w:t>
            </w:r>
          </w:p>
          <w:p w14:paraId="7CAAB094" w14:textId="7DC6F9DC" w:rsidR="0044497F" w:rsidRDefault="0044497F" w:rsidP="00B15AD1">
            <w:pPr>
              <w:spacing w:before="80" w:after="80" w:line="276" w:lineRule="auto"/>
              <w:ind w:left="96" w:right="91" w:firstLine="425"/>
              <w:rPr>
                <w:sz w:val="24"/>
                <w:szCs w:val="24"/>
                <w:lang w:val="ro-MD"/>
              </w:rPr>
            </w:pPr>
            <w:r>
              <w:rPr>
                <w:sz w:val="24"/>
                <w:szCs w:val="24"/>
                <w:lang w:val="ro-MD"/>
              </w:rPr>
              <w:t>- lipsa planificării pe termen mediu și lung</w:t>
            </w:r>
            <w:r w:rsidR="00477BCE">
              <w:rPr>
                <w:sz w:val="24"/>
                <w:szCs w:val="24"/>
                <w:lang w:val="ro-MD"/>
              </w:rPr>
              <w:t xml:space="preserve"> (multianuală)</w:t>
            </w:r>
            <w:r>
              <w:rPr>
                <w:sz w:val="24"/>
                <w:szCs w:val="24"/>
                <w:lang w:val="ro-MD"/>
              </w:rPr>
              <w:t xml:space="preserve"> a</w:t>
            </w:r>
            <w:r w:rsidR="00335007">
              <w:rPr>
                <w:sz w:val="24"/>
                <w:szCs w:val="24"/>
                <w:lang w:val="ro-MD"/>
              </w:rPr>
              <w:t xml:space="preserve"> </w:t>
            </w:r>
            <w:r>
              <w:rPr>
                <w:sz w:val="24"/>
                <w:szCs w:val="24"/>
                <w:lang w:val="ro-MD"/>
              </w:rPr>
              <w:t>dezvoltării sistemului de documente normative în construcții</w:t>
            </w:r>
            <w:r w:rsidR="00335007">
              <w:rPr>
                <w:sz w:val="24"/>
                <w:szCs w:val="24"/>
                <w:lang w:val="ro-MD"/>
              </w:rPr>
              <w:t xml:space="preserve"> (SDNC)</w:t>
            </w:r>
            <w:r w:rsidR="002462C6">
              <w:rPr>
                <w:sz w:val="24"/>
                <w:szCs w:val="24"/>
                <w:lang w:val="ro-MD"/>
              </w:rPr>
              <w:t>, care</w:t>
            </w:r>
            <w:r w:rsidR="00AE3BF5">
              <w:rPr>
                <w:sz w:val="24"/>
                <w:szCs w:val="24"/>
                <w:lang w:val="ro-MD"/>
              </w:rPr>
              <w:t xml:space="preserve"> actualmente</w:t>
            </w:r>
            <w:r w:rsidR="002462C6">
              <w:rPr>
                <w:sz w:val="24"/>
                <w:szCs w:val="24"/>
                <w:lang w:val="ro-MD"/>
              </w:rPr>
              <w:t xml:space="preserve"> </w:t>
            </w:r>
            <w:r w:rsidR="00AE3BF5" w:rsidRPr="00AE3BF5">
              <w:rPr>
                <w:sz w:val="24"/>
                <w:szCs w:val="24"/>
                <w:u w:val="single"/>
                <w:lang w:val="ro-MD"/>
              </w:rPr>
              <w:t>nu</w:t>
            </w:r>
            <w:r w:rsidR="002462C6" w:rsidRPr="00AE3BF5">
              <w:rPr>
                <w:sz w:val="24"/>
                <w:szCs w:val="24"/>
                <w:u w:val="single"/>
                <w:lang w:val="ro-MD"/>
              </w:rPr>
              <w:t xml:space="preserve"> permite</w:t>
            </w:r>
            <w:r w:rsidR="002462C6">
              <w:rPr>
                <w:sz w:val="24"/>
                <w:szCs w:val="24"/>
                <w:lang w:val="ro-MD"/>
              </w:rPr>
              <w:t xml:space="preserve"> </w:t>
            </w:r>
            <w:r w:rsidR="00AE3BF5">
              <w:rPr>
                <w:sz w:val="24"/>
                <w:szCs w:val="24"/>
                <w:lang w:val="ro-MD"/>
              </w:rPr>
              <w:t xml:space="preserve">de a </w:t>
            </w:r>
            <w:r w:rsidR="002462C6">
              <w:rPr>
                <w:sz w:val="24"/>
                <w:szCs w:val="24"/>
                <w:lang w:val="ro-MD"/>
              </w:rPr>
              <w:t>eficientiza procesul de planificare</w:t>
            </w:r>
            <w:r w:rsidR="00AE3BF5">
              <w:rPr>
                <w:sz w:val="24"/>
                <w:szCs w:val="24"/>
                <w:lang w:val="ro-MD"/>
              </w:rPr>
              <w:t xml:space="preserve"> </w:t>
            </w:r>
            <w:r w:rsidR="002462C6">
              <w:rPr>
                <w:sz w:val="24"/>
                <w:szCs w:val="24"/>
                <w:lang w:val="ro-MD"/>
              </w:rPr>
              <w:t>și utilizare</w:t>
            </w:r>
            <w:r w:rsidR="00AE3BF5">
              <w:rPr>
                <w:sz w:val="24"/>
                <w:szCs w:val="24"/>
                <w:lang w:val="ro-MD"/>
              </w:rPr>
              <w:t xml:space="preserve"> </w:t>
            </w:r>
            <w:r w:rsidR="002462C6">
              <w:rPr>
                <w:sz w:val="24"/>
                <w:szCs w:val="24"/>
                <w:lang w:val="ro-MD"/>
              </w:rPr>
              <w:t>a bugetului pentru elaborarea documentelor normative în construcții, precum și</w:t>
            </w:r>
            <w:r w:rsidR="00AE3BF5">
              <w:rPr>
                <w:sz w:val="24"/>
                <w:szCs w:val="24"/>
                <w:lang w:val="ro-MD"/>
              </w:rPr>
              <w:t xml:space="preserve"> pentru</w:t>
            </w:r>
            <w:r w:rsidR="002462C6">
              <w:rPr>
                <w:sz w:val="24"/>
                <w:szCs w:val="24"/>
                <w:lang w:val="ro-MD"/>
              </w:rPr>
              <w:t xml:space="preserve"> ajustarea mai rapidă a acestora la reglementările tehnice în construcții ale UE.</w:t>
            </w:r>
          </w:p>
          <w:p w14:paraId="14C436DB" w14:textId="13CCC9CB" w:rsidR="00B11F25" w:rsidRDefault="004353EF" w:rsidP="004353EF">
            <w:pPr>
              <w:spacing w:before="80" w:after="80" w:line="276" w:lineRule="auto"/>
              <w:ind w:left="96" w:right="91" w:firstLine="425"/>
              <w:rPr>
                <w:sz w:val="24"/>
                <w:szCs w:val="24"/>
                <w:lang w:val="ro-MD"/>
              </w:rPr>
            </w:pPr>
            <w:r w:rsidRPr="004353EF">
              <w:rPr>
                <w:sz w:val="24"/>
                <w:szCs w:val="24"/>
                <w:lang w:val="ro-MD"/>
              </w:rPr>
              <w:t>Eurocod-urile (58 de părți</w:t>
            </w:r>
            <w:r w:rsidR="008A4910">
              <w:rPr>
                <w:sz w:val="24"/>
                <w:szCs w:val="24"/>
                <w:lang w:val="ro-MD"/>
              </w:rPr>
              <w:t>, expuse pe 2350 pagini</w:t>
            </w:r>
            <w:r w:rsidRPr="004353EF">
              <w:rPr>
                <w:sz w:val="24"/>
                <w:szCs w:val="24"/>
                <w:lang w:val="ro-MD"/>
              </w:rPr>
              <w:t xml:space="preserve">), adoptate în prezent în calitate de standarde naționale, pentru aplicarea cărora trebuie elaborate Anexe naționale precum și aduse în conformitate </w:t>
            </w:r>
            <w:r w:rsidRPr="004353EF">
              <w:rPr>
                <w:sz w:val="24"/>
                <w:szCs w:val="24"/>
                <w:lang w:val="ro-MD"/>
              </w:rPr>
              <w:lastRenderedPageBreak/>
              <w:t xml:space="preserve">cu acestea toate normativele </w:t>
            </w:r>
            <w:r w:rsidR="004555CE" w:rsidRPr="004353EF">
              <w:rPr>
                <w:sz w:val="24"/>
                <w:szCs w:val="24"/>
                <w:lang w:val="ro-MD"/>
              </w:rPr>
              <w:t xml:space="preserve">naționale </w:t>
            </w:r>
            <w:r w:rsidRPr="004353EF">
              <w:rPr>
                <w:sz w:val="24"/>
                <w:szCs w:val="24"/>
                <w:lang w:val="ro-MD"/>
              </w:rPr>
              <w:t>în construcții actuale.</w:t>
            </w:r>
            <w:r w:rsidR="008A4910">
              <w:rPr>
                <w:sz w:val="24"/>
                <w:szCs w:val="24"/>
                <w:lang w:val="ro-MD"/>
              </w:rPr>
              <w:t xml:space="preserve"> La ziua de azi, au mai rămas de elaborat 16 anexe naționale din totalul de 5</w:t>
            </w:r>
            <w:r w:rsidR="00DC3AAD">
              <w:rPr>
                <w:sz w:val="24"/>
                <w:szCs w:val="24"/>
                <w:lang w:val="ro-MD"/>
              </w:rPr>
              <w:t>9</w:t>
            </w:r>
            <w:r w:rsidR="00E24626">
              <w:rPr>
                <w:sz w:val="24"/>
                <w:szCs w:val="24"/>
                <w:lang w:val="ro-MD"/>
              </w:rPr>
              <w:t xml:space="preserve"> anexe</w:t>
            </w:r>
            <w:r w:rsidR="008A4910">
              <w:rPr>
                <w:sz w:val="24"/>
                <w:szCs w:val="24"/>
                <w:lang w:val="ro-MD"/>
              </w:rPr>
              <w:t>, dar și de actualizat</w:t>
            </w:r>
            <w:r w:rsidR="009B3980">
              <w:rPr>
                <w:sz w:val="24"/>
                <w:szCs w:val="24"/>
                <w:lang w:val="ro-MD"/>
              </w:rPr>
              <w:t xml:space="preserve"> (calibrat) toate</w:t>
            </w:r>
            <w:r w:rsidR="008A4910">
              <w:rPr>
                <w:sz w:val="24"/>
                <w:szCs w:val="24"/>
                <w:lang w:val="ro-MD"/>
              </w:rPr>
              <w:t xml:space="preserve"> cele elaborate anterior, avînd ân vedere că acestea au fost elaborate în perioada anilor 2012-201</w:t>
            </w:r>
            <w:r w:rsidR="004E11FB">
              <w:rPr>
                <w:sz w:val="24"/>
                <w:szCs w:val="24"/>
                <w:lang w:val="ro-MD"/>
              </w:rPr>
              <w:t>8</w:t>
            </w:r>
            <w:r w:rsidR="004F3D77">
              <w:rPr>
                <w:sz w:val="24"/>
                <w:szCs w:val="24"/>
                <w:lang w:val="ro-MD"/>
              </w:rPr>
              <w:t xml:space="preserve"> și </w:t>
            </w:r>
            <w:r w:rsidR="009166E9">
              <w:rPr>
                <w:sz w:val="24"/>
                <w:szCs w:val="24"/>
                <w:lang w:val="ro-MD"/>
              </w:rPr>
              <w:t xml:space="preserve">pentru </w:t>
            </w:r>
            <w:r w:rsidR="004F3D77">
              <w:rPr>
                <w:sz w:val="24"/>
                <w:szCs w:val="24"/>
                <w:lang w:val="ro-MD"/>
              </w:rPr>
              <w:t>a evita contradicțiile dintre prevederi</w:t>
            </w:r>
            <w:r w:rsidR="007A308E">
              <w:rPr>
                <w:sz w:val="24"/>
                <w:szCs w:val="24"/>
                <w:lang w:val="ro-MD"/>
              </w:rPr>
              <w:t>, de ex. anexa națională la Eurocod 1 adoptată în 2018, deja necesită actualizarea datelor climatice din ultimii 5 ani</w:t>
            </w:r>
            <w:r w:rsidR="00CE0148">
              <w:rPr>
                <w:sz w:val="24"/>
                <w:szCs w:val="24"/>
                <w:lang w:val="ro-MD"/>
              </w:rPr>
              <w:t>, iar aceste date trebuie achiziționate de la Serviciul Hidrometeorologic de Stat, conform Hotărârii Guvernului nr.330/2006 pentru aprobarea nomenclatoarelor serviciilor prestate gratuit și contra plată de către Serviciul Hidrometeorologic de Stat</w:t>
            </w:r>
            <w:r w:rsidR="008872D9">
              <w:rPr>
                <w:sz w:val="24"/>
                <w:szCs w:val="24"/>
                <w:lang w:val="ro-MD"/>
              </w:rPr>
              <w:t xml:space="preserve"> și a modului de utilizare a mijloacelor speciale ale </w:t>
            </w:r>
            <w:r w:rsidR="008872D9" w:rsidRPr="008872D9">
              <w:rPr>
                <w:sz w:val="24"/>
                <w:szCs w:val="24"/>
                <w:lang w:val="ro-MD"/>
              </w:rPr>
              <w:t>Serviciul Hidrometeorologic de Stat</w:t>
            </w:r>
            <w:r w:rsidR="008872D9">
              <w:rPr>
                <w:sz w:val="24"/>
                <w:szCs w:val="24"/>
                <w:lang w:val="ro-MD"/>
              </w:rPr>
              <w:t>, ceea ce de asemenea presupune o evaluare a efortului financiar în acest sens</w:t>
            </w:r>
            <w:r w:rsidR="008A4910">
              <w:rPr>
                <w:sz w:val="24"/>
                <w:szCs w:val="24"/>
                <w:lang w:val="ro-MD"/>
              </w:rPr>
              <w:t>.</w:t>
            </w:r>
            <w:r w:rsidR="000428A9">
              <w:rPr>
                <w:sz w:val="24"/>
                <w:szCs w:val="24"/>
                <w:lang w:val="ro-MD"/>
              </w:rPr>
              <w:t xml:space="preserve"> </w:t>
            </w:r>
            <w:r w:rsidR="00B11F25">
              <w:rPr>
                <w:sz w:val="24"/>
                <w:szCs w:val="24"/>
                <w:lang w:val="ro-MD"/>
              </w:rPr>
              <w:t xml:space="preserve">Totodată, </w:t>
            </w:r>
            <w:r w:rsidR="00802DCB">
              <w:rPr>
                <w:sz w:val="24"/>
                <w:szCs w:val="24"/>
                <w:lang w:val="ro-MD"/>
              </w:rPr>
              <w:t xml:space="preserve">de </w:t>
            </w:r>
            <w:r w:rsidR="00F76D8D">
              <w:rPr>
                <w:sz w:val="24"/>
                <w:szCs w:val="24"/>
                <w:lang w:val="ro-MD"/>
              </w:rPr>
              <w:t>conștientizat</w:t>
            </w:r>
            <w:r w:rsidR="00802DCB">
              <w:rPr>
                <w:sz w:val="24"/>
                <w:szCs w:val="24"/>
                <w:lang w:val="ro-MD"/>
              </w:rPr>
              <w:t xml:space="preserve"> că actualmente Eurocodurile sunt în curs</w:t>
            </w:r>
            <w:r w:rsidR="00014EC9">
              <w:rPr>
                <w:sz w:val="24"/>
                <w:szCs w:val="24"/>
                <w:lang w:val="ro-MD"/>
              </w:rPr>
              <w:t xml:space="preserve"> </w:t>
            </w:r>
            <w:r w:rsidR="00802DCB">
              <w:rPr>
                <w:sz w:val="24"/>
                <w:szCs w:val="24"/>
                <w:lang w:val="ro-MD"/>
              </w:rPr>
              <w:t>de revizuire de către Comitetul European de Standartizare CEN/TC 250 Structural Eurocodes</w:t>
            </w:r>
            <w:r w:rsidR="00F76D8D">
              <w:rPr>
                <w:sz w:val="24"/>
                <w:szCs w:val="24"/>
                <w:lang w:val="ro-MD"/>
              </w:rPr>
              <w:t xml:space="preserve"> și această ecțiune va conduce la apariția unor standarde structurale suplimentare și anume Eurocod</w:t>
            </w:r>
            <w:r w:rsidR="005A51AA">
              <w:rPr>
                <w:sz w:val="24"/>
                <w:szCs w:val="24"/>
                <w:lang w:val="ro-MD"/>
              </w:rPr>
              <w:t>-</w:t>
            </w:r>
            <w:r w:rsidR="00F76D8D">
              <w:rPr>
                <w:sz w:val="24"/>
                <w:szCs w:val="24"/>
                <w:lang w:val="ro-MD"/>
              </w:rPr>
              <w:t>uri noi</w:t>
            </w:r>
            <w:r w:rsidR="005A51AA">
              <w:rPr>
                <w:sz w:val="24"/>
                <w:szCs w:val="24"/>
                <w:lang w:val="ro-MD"/>
              </w:rPr>
              <w:t xml:space="preserve">i generații </w:t>
            </w:r>
            <w:r w:rsidR="00F76D8D">
              <w:rPr>
                <w:sz w:val="24"/>
                <w:szCs w:val="24"/>
                <w:lang w:val="ro-MD"/>
              </w:rPr>
              <w:t xml:space="preserve"> de ex. pentru sticlă, po</w:t>
            </w:r>
            <w:r w:rsidR="00EA4109">
              <w:rPr>
                <w:sz w:val="24"/>
                <w:szCs w:val="24"/>
                <w:lang w:val="ro-MD"/>
              </w:rPr>
              <w:t>l</w:t>
            </w:r>
            <w:r w:rsidR="00F76D8D">
              <w:rPr>
                <w:sz w:val="24"/>
                <w:szCs w:val="24"/>
                <w:lang w:val="ro-MD"/>
              </w:rPr>
              <w:t>imeri armați cu fibre sau pentru membrane</w:t>
            </w:r>
            <w:r w:rsidR="0050795E">
              <w:rPr>
                <w:sz w:val="24"/>
                <w:szCs w:val="24"/>
                <w:lang w:val="ro-MD"/>
              </w:rPr>
              <w:t>.</w:t>
            </w:r>
            <w:r w:rsidR="00BC5FDF">
              <w:rPr>
                <w:sz w:val="24"/>
                <w:szCs w:val="24"/>
                <w:lang w:val="ro-MD"/>
              </w:rPr>
              <w:t xml:space="preserve"> </w:t>
            </w:r>
            <w:r w:rsidR="005A51AA">
              <w:rPr>
                <w:sz w:val="24"/>
                <w:szCs w:val="24"/>
                <w:lang w:val="ro-MD"/>
              </w:rPr>
              <w:t>Câteva probleme pe care se va pune accentul în Eurocod-urile noi, sunt:</w:t>
            </w:r>
            <w:r w:rsidR="00E756F8">
              <w:rPr>
                <w:sz w:val="24"/>
                <w:szCs w:val="24"/>
                <w:lang w:val="ro-MD"/>
              </w:rPr>
              <w:t xml:space="preserve"> </w:t>
            </w:r>
            <w:r w:rsidR="00DD54BF">
              <w:rPr>
                <w:sz w:val="24"/>
                <w:szCs w:val="24"/>
                <w:lang w:val="ro-MD"/>
              </w:rPr>
              <w:t>evaluarea și întreținerea clădirilor existente, precum și rezilienț</w:t>
            </w:r>
            <w:r w:rsidR="00014EC9">
              <w:rPr>
                <w:sz w:val="24"/>
                <w:szCs w:val="24"/>
                <w:lang w:val="ro-MD"/>
              </w:rPr>
              <w:t>a</w:t>
            </w:r>
            <w:r w:rsidR="00DD54BF">
              <w:rPr>
                <w:sz w:val="24"/>
                <w:szCs w:val="24"/>
                <w:lang w:val="ro-MD"/>
              </w:rPr>
              <w:t xml:space="preserve"> la </w:t>
            </w:r>
            <w:r w:rsidR="00D9603C">
              <w:rPr>
                <w:sz w:val="24"/>
                <w:szCs w:val="24"/>
                <w:lang w:val="ro-MD"/>
              </w:rPr>
              <w:t>efectele schimbărilor climatice și</w:t>
            </w:r>
            <w:r w:rsidR="00E756F8">
              <w:rPr>
                <w:sz w:val="24"/>
                <w:szCs w:val="24"/>
                <w:lang w:val="ro-MD"/>
              </w:rPr>
              <w:t>,</w:t>
            </w:r>
            <w:r w:rsidR="00D9603C">
              <w:rPr>
                <w:sz w:val="24"/>
                <w:szCs w:val="24"/>
                <w:lang w:val="ro-MD"/>
              </w:rPr>
              <w:t xml:space="preserve"> se presupune implementarea noilor părți ale Eurocod-urilor de către toate statele membre UE, precum și de cele în curs de aderare.</w:t>
            </w:r>
            <w:r w:rsidR="005A51AA">
              <w:rPr>
                <w:sz w:val="24"/>
                <w:szCs w:val="24"/>
                <w:lang w:val="ro-MD"/>
              </w:rPr>
              <w:t xml:space="preserve">  </w:t>
            </w:r>
            <w:r w:rsidR="0050795E">
              <w:rPr>
                <w:sz w:val="24"/>
                <w:szCs w:val="24"/>
                <w:lang w:val="ro-MD"/>
              </w:rPr>
              <w:t xml:space="preserve">Astfel, </w:t>
            </w:r>
            <w:r w:rsidR="00BC5FDF">
              <w:rPr>
                <w:sz w:val="24"/>
                <w:szCs w:val="24"/>
                <w:lang w:val="ro-MD"/>
              </w:rPr>
              <w:t xml:space="preserve">menținerea </w:t>
            </w:r>
            <w:r w:rsidR="000C418C">
              <w:rPr>
                <w:sz w:val="24"/>
                <w:szCs w:val="24"/>
                <w:lang w:val="ro-MD"/>
              </w:rPr>
              <w:t xml:space="preserve">și </w:t>
            </w:r>
            <w:r w:rsidR="00BC5FDF">
              <w:rPr>
                <w:sz w:val="24"/>
                <w:szCs w:val="24"/>
                <w:lang w:val="ro-MD"/>
              </w:rPr>
              <w:t xml:space="preserve">în continuare a situației </w:t>
            </w:r>
            <w:r w:rsidR="00BA1015">
              <w:rPr>
                <w:sz w:val="24"/>
                <w:szCs w:val="24"/>
                <w:lang w:val="ro-MD"/>
              </w:rPr>
              <w:t>curente</w:t>
            </w:r>
            <w:r w:rsidR="00014EC9">
              <w:rPr>
                <w:sz w:val="24"/>
                <w:szCs w:val="24"/>
                <w:lang w:val="ro-MD"/>
              </w:rPr>
              <w:t xml:space="preserve"> și a modului de finanțare și gestionare a acestora,</w:t>
            </w:r>
            <w:r w:rsidR="00BC5FDF">
              <w:rPr>
                <w:sz w:val="24"/>
                <w:szCs w:val="24"/>
                <w:lang w:val="ro-MD"/>
              </w:rPr>
              <w:t xml:space="preserve"> </w:t>
            </w:r>
            <w:r w:rsidR="0024250A">
              <w:rPr>
                <w:sz w:val="24"/>
                <w:szCs w:val="24"/>
                <w:lang w:val="ro-MD"/>
              </w:rPr>
              <w:t xml:space="preserve">nu </w:t>
            </w:r>
            <w:r w:rsidR="00BC5FDF">
              <w:rPr>
                <w:sz w:val="24"/>
                <w:szCs w:val="24"/>
                <w:lang w:val="ro-MD"/>
              </w:rPr>
              <w:t xml:space="preserve">va </w:t>
            </w:r>
            <w:r w:rsidR="0024250A">
              <w:rPr>
                <w:sz w:val="24"/>
                <w:szCs w:val="24"/>
                <w:lang w:val="ro-MD"/>
              </w:rPr>
              <w:t xml:space="preserve">permite </w:t>
            </w:r>
            <w:r w:rsidR="000A61AA">
              <w:rPr>
                <w:sz w:val="24"/>
                <w:szCs w:val="24"/>
                <w:lang w:val="ro-MD"/>
              </w:rPr>
              <w:t>îndeplinirea obligațiilor asumate de Republica Moldova față de UE</w:t>
            </w:r>
            <w:r w:rsidR="00802DCB">
              <w:rPr>
                <w:sz w:val="24"/>
                <w:szCs w:val="24"/>
                <w:lang w:val="ro-MD"/>
              </w:rPr>
              <w:t>.</w:t>
            </w:r>
          </w:p>
          <w:p w14:paraId="48F57E2A" w14:textId="43811D00" w:rsidR="004353EF" w:rsidRDefault="000428A9" w:rsidP="004353EF">
            <w:pPr>
              <w:spacing w:before="80" w:after="80" w:line="276" w:lineRule="auto"/>
              <w:ind w:left="96" w:right="91" w:firstLine="425"/>
              <w:rPr>
                <w:sz w:val="24"/>
                <w:szCs w:val="24"/>
                <w:lang w:val="ro-MD"/>
              </w:rPr>
            </w:pPr>
            <w:r>
              <w:rPr>
                <w:sz w:val="24"/>
                <w:szCs w:val="24"/>
                <w:lang w:val="ro-MD"/>
              </w:rPr>
              <w:t>Concomitent cu implementarea Eurocod-urilor</w:t>
            </w:r>
            <w:r w:rsidR="004353EF" w:rsidRPr="004353EF">
              <w:rPr>
                <w:sz w:val="24"/>
                <w:szCs w:val="24"/>
                <w:lang w:val="ro-MD"/>
              </w:rPr>
              <w:t xml:space="preserve"> </w:t>
            </w:r>
            <w:r w:rsidR="00592A1E">
              <w:rPr>
                <w:sz w:val="24"/>
                <w:szCs w:val="24"/>
                <w:lang w:val="ro-MD"/>
              </w:rPr>
              <w:t xml:space="preserve">și armonizarea reglementărilor tehnice în construcții </w:t>
            </w:r>
            <w:r w:rsidR="00AC0AB0">
              <w:rPr>
                <w:sz w:val="24"/>
                <w:szCs w:val="24"/>
                <w:lang w:val="ro-MD"/>
              </w:rPr>
              <w:t>cu cele ale UE, conform art.173 al Acordului de asociere</w:t>
            </w:r>
            <w:r w:rsidR="00DC0C71">
              <w:rPr>
                <w:sz w:val="24"/>
                <w:szCs w:val="24"/>
                <w:lang w:val="ro-MD"/>
              </w:rPr>
              <w:t xml:space="preserve"> între Republica Moldova cu UE (ratificat prin Legea nr.112/2014)</w:t>
            </w:r>
            <w:r w:rsidR="00BF2AB0">
              <w:rPr>
                <w:sz w:val="24"/>
                <w:szCs w:val="24"/>
                <w:lang w:val="ro-MD"/>
              </w:rPr>
              <w:t xml:space="preserve">, </w:t>
            </w:r>
            <w:r w:rsidR="000F26FF">
              <w:rPr>
                <w:sz w:val="24"/>
                <w:szCs w:val="24"/>
                <w:lang w:val="ro-MD"/>
              </w:rPr>
              <w:t>va fi necesară</w:t>
            </w:r>
            <w:r w:rsidR="00BF2AB0">
              <w:rPr>
                <w:sz w:val="24"/>
                <w:szCs w:val="24"/>
                <w:lang w:val="ro-MD"/>
              </w:rPr>
              <w:t xml:space="preserve"> revizuirea programelor de învățământ de specialitate, pregătirea  și perfecționarea inginerilor din domeniile de proiectare, execuție și pregătire profesională, măsuri care vor facilita creșterea nivelului de calitate în construcții și sporirea gradului de securitate în exploatare</w:t>
            </w:r>
            <w:r w:rsidR="00015A9F">
              <w:rPr>
                <w:sz w:val="24"/>
                <w:szCs w:val="24"/>
                <w:lang w:val="ro-MD"/>
              </w:rPr>
              <w:t xml:space="preserve"> a construcțiilor</w:t>
            </w:r>
            <w:r w:rsidR="00BF2AB0">
              <w:rPr>
                <w:sz w:val="24"/>
                <w:szCs w:val="24"/>
                <w:lang w:val="ro-MD"/>
              </w:rPr>
              <w:t>.</w:t>
            </w:r>
            <w:r w:rsidR="00AC0AB0">
              <w:rPr>
                <w:sz w:val="24"/>
                <w:szCs w:val="24"/>
                <w:lang w:val="ro-MD"/>
              </w:rPr>
              <w:t xml:space="preserve"> </w:t>
            </w:r>
            <w:r w:rsidR="00534220">
              <w:rPr>
                <w:sz w:val="24"/>
                <w:szCs w:val="24"/>
                <w:lang w:val="ro-MD"/>
              </w:rPr>
              <w:t>Totodată, r</w:t>
            </w:r>
            <w:r w:rsidR="00C33A5B">
              <w:rPr>
                <w:sz w:val="24"/>
                <w:szCs w:val="24"/>
                <w:lang w:val="ro-MD"/>
              </w:rPr>
              <w:t>eglementările tehnice</w:t>
            </w:r>
            <w:r w:rsidR="004353EF" w:rsidRPr="004353EF">
              <w:rPr>
                <w:sz w:val="24"/>
                <w:szCs w:val="24"/>
                <w:lang w:val="ro-MD"/>
              </w:rPr>
              <w:t xml:space="preserve"> în construcții, trebuie realizate inclusiv și cu implementarea standardelor internaționale și europene actualizate în calitate de metode de verificare a performanțelor. </w:t>
            </w:r>
            <w:r w:rsidR="00534220">
              <w:rPr>
                <w:sz w:val="24"/>
                <w:szCs w:val="24"/>
                <w:lang w:val="ro-MD"/>
              </w:rPr>
              <w:t>P</w:t>
            </w:r>
            <w:r w:rsidR="004353EF" w:rsidRPr="004353EF">
              <w:rPr>
                <w:sz w:val="24"/>
                <w:szCs w:val="24"/>
                <w:lang w:val="ro-MD"/>
              </w:rPr>
              <w:t>roiectarea, verificarea, expertizarea, realizarea unei construcții fără respectarea normativelor în construcții sau proiectarea și realizarea construcțiilor în baza unor norm</w:t>
            </w:r>
            <w:r w:rsidR="006E56EB">
              <w:rPr>
                <w:sz w:val="24"/>
                <w:szCs w:val="24"/>
                <w:lang w:val="ro-MD"/>
              </w:rPr>
              <w:t>e tehnice</w:t>
            </w:r>
            <w:r w:rsidR="004353EF" w:rsidRPr="004353EF">
              <w:rPr>
                <w:sz w:val="24"/>
                <w:szCs w:val="24"/>
                <w:lang w:val="ro-MD"/>
              </w:rPr>
              <w:t xml:space="preserve"> depășite sau în lipsa acestora are un impact negativ major nu doar economic.</w:t>
            </w:r>
          </w:p>
          <w:p w14:paraId="1D41B7E4" w14:textId="3FCEDF9D" w:rsidR="001B5DA4" w:rsidRPr="004353EF" w:rsidRDefault="00242B59" w:rsidP="004353EF">
            <w:pPr>
              <w:spacing w:before="80" w:after="80" w:line="276" w:lineRule="auto"/>
              <w:ind w:left="96" w:right="91" w:firstLine="425"/>
              <w:rPr>
                <w:sz w:val="24"/>
                <w:szCs w:val="24"/>
                <w:lang w:val="ro-MD"/>
              </w:rPr>
            </w:pPr>
            <w:r>
              <w:rPr>
                <w:sz w:val="24"/>
                <w:szCs w:val="24"/>
                <w:lang w:val="ro-MD"/>
              </w:rPr>
              <w:t>Înclusiv și î</w:t>
            </w:r>
            <w:r w:rsidR="00BC28EC">
              <w:rPr>
                <w:sz w:val="24"/>
                <w:szCs w:val="24"/>
                <w:lang w:val="ro-MD"/>
              </w:rPr>
              <w:t>n acest context, informăm că t</w:t>
            </w:r>
            <w:r w:rsidR="00BC28EC" w:rsidRPr="00BC28EC">
              <w:rPr>
                <w:sz w:val="24"/>
                <w:szCs w:val="24"/>
                <w:lang w:val="ro-MD"/>
              </w:rPr>
              <w:t>impul necesar realizării etapelor conexe procedurii de elaborare a unui document normativ, presupune o perioadă de circa 5-6 luni de la inițierea colectării propunerilor de teme până la aprobarea proiectului Planului tematic și,  2-3 luni cuprinde perioada dintre aprobarea Planului de achiziții (pe minister), a Planului tematic pentru anul curent, publicarea anunțului de intenție, lansarea achiziției publice, semnarea și înregistrarea contractelor, ce nu permite realizarea în cursul unui singur an a acțiunilor</w:t>
            </w:r>
            <w:r w:rsidR="00FA1262">
              <w:rPr>
                <w:sz w:val="24"/>
                <w:szCs w:val="24"/>
                <w:lang w:val="ro-MD"/>
              </w:rPr>
              <w:t xml:space="preserve">, </w:t>
            </w:r>
            <w:r w:rsidR="00BF5061">
              <w:rPr>
                <w:sz w:val="24"/>
                <w:szCs w:val="24"/>
                <w:lang w:val="ro-MD"/>
              </w:rPr>
              <w:t xml:space="preserve">care includ inclusiv </w:t>
            </w:r>
            <w:r w:rsidR="00150505">
              <w:rPr>
                <w:sz w:val="24"/>
                <w:szCs w:val="24"/>
                <w:lang w:val="ro-MD"/>
              </w:rPr>
              <w:t xml:space="preserve">și </w:t>
            </w:r>
            <w:r w:rsidR="00BF5061" w:rsidRPr="004613CF">
              <w:rPr>
                <w:sz w:val="24"/>
                <w:szCs w:val="24"/>
                <w:lang w:val="ro-MD"/>
              </w:rPr>
              <w:t>consultarea, avizarea și aprobarea unui document normativ.</w:t>
            </w:r>
            <w:r w:rsidR="00AD352E">
              <w:rPr>
                <w:sz w:val="24"/>
                <w:szCs w:val="24"/>
                <w:lang w:val="ro-MD"/>
              </w:rPr>
              <w:t xml:space="preserve"> </w:t>
            </w:r>
            <w:r w:rsidR="00BC28EC" w:rsidRPr="00BC28EC">
              <w:rPr>
                <w:sz w:val="24"/>
                <w:szCs w:val="24"/>
                <w:lang w:val="ro-MD"/>
              </w:rPr>
              <w:t xml:space="preserve">Totodată și elaborarea datelor pentru </w:t>
            </w:r>
            <w:r w:rsidR="00AD352E">
              <w:rPr>
                <w:sz w:val="24"/>
                <w:szCs w:val="24"/>
                <w:lang w:val="ro-MD"/>
              </w:rPr>
              <w:t xml:space="preserve">elaborarea </w:t>
            </w:r>
            <w:r w:rsidR="00BC28EC" w:rsidRPr="00BC28EC">
              <w:rPr>
                <w:sz w:val="24"/>
                <w:szCs w:val="24"/>
                <w:lang w:val="ro-MD"/>
              </w:rPr>
              <w:t>anexel</w:t>
            </w:r>
            <w:r w:rsidR="00AD352E">
              <w:rPr>
                <w:sz w:val="24"/>
                <w:szCs w:val="24"/>
                <w:lang w:val="ro-MD"/>
              </w:rPr>
              <w:t>or</w:t>
            </w:r>
            <w:r w:rsidR="00BC28EC" w:rsidRPr="00BC28EC">
              <w:rPr>
                <w:sz w:val="24"/>
                <w:szCs w:val="24"/>
                <w:lang w:val="ro-MD"/>
              </w:rPr>
              <w:t xml:space="preserve"> naționale pentru implementarea Eurocodurilor, este de asemenea o acțiune complexă și de durată, cu implicarea unor resurse financiare și umane considerabile, precum și antrenarea în acest proces a mai multor instituții și specialiști din străinătate, care au experiență în acest domeniu.</w:t>
            </w:r>
            <w:r w:rsidR="00663812">
              <w:rPr>
                <w:sz w:val="24"/>
                <w:szCs w:val="24"/>
                <w:lang w:val="ro-MD"/>
              </w:rPr>
              <w:t xml:space="preserve"> Suplimentar, </w:t>
            </w:r>
            <w:r w:rsidR="00663812" w:rsidRPr="00663812">
              <w:rPr>
                <w:sz w:val="24"/>
                <w:szCs w:val="24"/>
                <w:lang w:val="ro-MD"/>
              </w:rPr>
              <w:t xml:space="preserve">caietele de sarcini </w:t>
            </w:r>
            <w:r w:rsidR="00663812">
              <w:rPr>
                <w:sz w:val="24"/>
                <w:szCs w:val="24"/>
                <w:lang w:val="ro-MD"/>
              </w:rPr>
              <w:t xml:space="preserve">pentru elaborarea normativelor în construcții </w:t>
            </w:r>
            <w:r w:rsidR="00663812" w:rsidRPr="00663812">
              <w:rPr>
                <w:sz w:val="24"/>
                <w:szCs w:val="24"/>
                <w:lang w:val="ro-MD"/>
              </w:rPr>
              <w:t xml:space="preserve">pot prevedea </w:t>
            </w:r>
            <w:r w:rsidR="00663812">
              <w:rPr>
                <w:sz w:val="24"/>
                <w:szCs w:val="24"/>
                <w:lang w:val="ro-MD"/>
              </w:rPr>
              <w:t xml:space="preserve">și </w:t>
            </w:r>
            <w:r w:rsidR="00663812" w:rsidRPr="00663812">
              <w:rPr>
                <w:sz w:val="24"/>
                <w:szCs w:val="24"/>
                <w:lang w:val="ro-MD"/>
              </w:rPr>
              <w:t>elaborarea un</w:t>
            </w:r>
            <w:r w:rsidR="00663812">
              <w:rPr>
                <w:sz w:val="24"/>
                <w:szCs w:val="24"/>
                <w:lang w:val="ro-MD"/>
              </w:rPr>
              <w:t>or</w:t>
            </w:r>
            <w:r w:rsidR="00663812" w:rsidRPr="00663812">
              <w:rPr>
                <w:sz w:val="24"/>
                <w:szCs w:val="24"/>
                <w:lang w:val="ro-MD"/>
              </w:rPr>
              <w:t xml:space="preserve"> studi</w:t>
            </w:r>
            <w:r w:rsidR="00663812">
              <w:rPr>
                <w:sz w:val="24"/>
                <w:szCs w:val="24"/>
                <w:lang w:val="ro-MD"/>
              </w:rPr>
              <w:t>i</w:t>
            </w:r>
            <w:r w:rsidR="00663812" w:rsidRPr="00663812">
              <w:rPr>
                <w:sz w:val="24"/>
                <w:szCs w:val="24"/>
                <w:lang w:val="ro-MD"/>
              </w:rPr>
              <w:t xml:space="preserve"> de fezabilitate sub aspectul aplicării unor tehnologii și materiale de construcții pe baza standardelor europene la proiectarea, execuția şi exploatarea construcțiilor, precum și cercetări și încercări de laborator a tehnologiilor și materialelor noi.</w:t>
            </w:r>
            <w:r w:rsidR="00663812">
              <w:rPr>
                <w:sz w:val="24"/>
                <w:szCs w:val="24"/>
                <w:lang w:val="ro-MD"/>
              </w:rPr>
              <w:t xml:space="preserve"> </w:t>
            </w:r>
            <w:r w:rsidR="00AE10C9">
              <w:rPr>
                <w:sz w:val="24"/>
                <w:szCs w:val="24"/>
                <w:lang w:val="ro-MD"/>
              </w:rPr>
              <w:t>Totodată, și n</w:t>
            </w:r>
            <w:r w:rsidR="00AE10C9" w:rsidRPr="00AE10C9">
              <w:rPr>
                <w:sz w:val="24"/>
                <w:szCs w:val="24"/>
                <w:lang w:val="ro-MD"/>
              </w:rPr>
              <w:t>umărul specialiștilor în domeniul normării tehnice şi standardizării europene în construcții este insuficient pentru a acoperi toate temele, care se prezintă la licitație, ceea ce generează o încărcare a specialiștilor existenți în domeniu și o durată mai lungă de execuție a contractelor.</w:t>
            </w:r>
          </w:p>
          <w:p w14:paraId="186A9040" w14:textId="406ABEA2" w:rsidR="00B6633B" w:rsidRDefault="00AB47E0" w:rsidP="004353EF">
            <w:pPr>
              <w:spacing w:before="80" w:after="80" w:line="276" w:lineRule="auto"/>
              <w:ind w:left="96" w:right="91" w:firstLine="425"/>
              <w:rPr>
                <w:sz w:val="24"/>
                <w:szCs w:val="24"/>
                <w:lang w:val="ro-MD"/>
              </w:rPr>
            </w:pPr>
            <w:r>
              <w:rPr>
                <w:sz w:val="24"/>
                <w:szCs w:val="24"/>
                <w:lang w:val="ro-MD"/>
              </w:rPr>
              <w:t>În contextul celor menționate supra, și în continuarea problemelor indicate la pct. 2 din cap</w:t>
            </w:r>
            <w:r w:rsidR="00385E67">
              <w:rPr>
                <w:sz w:val="24"/>
                <w:szCs w:val="24"/>
                <w:lang w:val="ro-MD"/>
              </w:rPr>
              <w:t>itolul 1 „Definirea problemelor” litera a),</w:t>
            </w:r>
            <w:r>
              <w:rPr>
                <w:sz w:val="24"/>
                <w:szCs w:val="24"/>
                <w:lang w:val="ro-MD"/>
              </w:rPr>
              <w:t xml:space="preserve"> o problemă</w:t>
            </w:r>
            <w:r w:rsidR="00587762">
              <w:rPr>
                <w:sz w:val="24"/>
                <w:szCs w:val="24"/>
                <w:lang w:val="ro-MD"/>
              </w:rPr>
              <w:t xml:space="preserve">, care are </w:t>
            </w:r>
            <w:r w:rsidR="00D57FF8">
              <w:rPr>
                <w:sz w:val="24"/>
                <w:szCs w:val="24"/>
                <w:lang w:val="ro-MD"/>
              </w:rPr>
              <w:t xml:space="preserve">și </w:t>
            </w:r>
            <w:r w:rsidR="00587762">
              <w:rPr>
                <w:sz w:val="24"/>
                <w:szCs w:val="24"/>
                <w:lang w:val="ro-MD"/>
              </w:rPr>
              <w:t>un impact major asupra dezvoltării SDNC,</w:t>
            </w:r>
            <w:r>
              <w:rPr>
                <w:sz w:val="24"/>
                <w:szCs w:val="24"/>
                <w:lang w:val="ro-MD"/>
              </w:rPr>
              <w:t xml:space="preserve"> const</w:t>
            </w:r>
            <w:r w:rsidR="00587762">
              <w:rPr>
                <w:sz w:val="24"/>
                <w:szCs w:val="24"/>
                <w:lang w:val="ro-MD"/>
              </w:rPr>
              <w:t xml:space="preserve">ă în </w:t>
            </w:r>
            <w:r w:rsidR="00F51899">
              <w:rPr>
                <w:sz w:val="24"/>
                <w:szCs w:val="24"/>
                <w:lang w:val="ro-MD"/>
              </w:rPr>
              <w:t xml:space="preserve">volumul insuficient acumulat din defalcări în raport cu valoarea și volumul lucrărilor de </w:t>
            </w:r>
            <w:r w:rsidR="00F51899">
              <w:rPr>
                <w:sz w:val="24"/>
                <w:szCs w:val="24"/>
                <w:lang w:val="ro-MD"/>
              </w:rPr>
              <w:lastRenderedPageBreak/>
              <w:t>construcții realizate</w:t>
            </w:r>
            <w:r w:rsidR="00D57FF8">
              <w:rPr>
                <w:sz w:val="24"/>
                <w:szCs w:val="24"/>
                <w:lang w:val="ro-MD"/>
              </w:rPr>
              <w:t>, surselor alocate din bugetul de stat</w:t>
            </w:r>
            <w:r w:rsidR="00703416">
              <w:rPr>
                <w:sz w:val="24"/>
                <w:szCs w:val="24"/>
                <w:lang w:val="ro-MD"/>
              </w:rPr>
              <w:t xml:space="preserve">, insuficiența de specialiști pentru acordarea serviciilor de elaborare a reglementărilor tehnice în construcții, precum și </w:t>
            </w:r>
            <w:r w:rsidR="008B067E">
              <w:rPr>
                <w:sz w:val="24"/>
                <w:szCs w:val="24"/>
                <w:lang w:val="ro-MD"/>
              </w:rPr>
              <w:t>neconcordanț</w:t>
            </w:r>
            <w:r w:rsidR="000E4F2C">
              <w:rPr>
                <w:sz w:val="24"/>
                <w:szCs w:val="24"/>
                <w:lang w:val="ro-MD"/>
              </w:rPr>
              <w:t>ele</w:t>
            </w:r>
            <w:r w:rsidR="008B067E">
              <w:rPr>
                <w:sz w:val="24"/>
                <w:szCs w:val="24"/>
                <w:lang w:val="ro-MD"/>
              </w:rPr>
              <w:t xml:space="preserve"> </w:t>
            </w:r>
            <w:r w:rsidR="000E4F2C" w:rsidRPr="000E4F2C">
              <w:rPr>
                <w:sz w:val="24"/>
                <w:szCs w:val="24"/>
                <w:lang w:val="ro-MD"/>
              </w:rPr>
              <w:t>între normele cadrului normativ național</w:t>
            </w:r>
            <w:r w:rsidR="000E4F2C">
              <w:rPr>
                <w:sz w:val="24"/>
                <w:szCs w:val="24"/>
                <w:lang w:val="ro-MD"/>
              </w:rPr>
              <w:t xml:space="preserve">, </w:t>
            </w:r>
            <w:r w:rsidR="008B067E">
              <w:rPr>
                <w:sz w:val="24"/>
                <w:szCs w:val="24"/>
                <w:lang w:val="ro-MD"/>
              </w:rPr>
              <w:t xml:space="preserve">care conduc la nevalorificarea chiar și a celor foarte mici surse financiare alocate </w:t>
            </w:r>
            <w:r w:rsidR="000E4F2C">
              <w:rPr>
                <w:sz w:val="24"/>
                <w:szCs w:val="24"/>
                <w:lang w:val="ro-MD"/>
              </w:rPr>
              <w:t xml:space="preserve">anual </w:t>
            </w:r>
            <w:r w:rsidR="008B067E">
              <w:rPr>
                <w:sz w:val="24"/>
                <w:szCs w:val="24"/>
                <w:lang w:val="ro-MD"/>
              </w:rPr>
              <w:t>din bugetul de stat.</w:t>
            </w:r>
          </w:p>
          <w:p w14:paraId="0BD619F2" w14:textId="4EBF1C7D" w:rsidR="00E34324" w:rsidRDefault="00E34324" w:rsidP="00E34324">
            <w:pPr>
              <w:spacing w:before="80" w:after="80" w:line="276" w:lineRule="auto"/>
              <w:ind w:left="97" w:right="90" w:firstLine="425"/>
              <w:rPr>
                <w:sz w:val="24"/>
                <w:szCs w:val="24"/>
                <w:highlight w:val="yellow"/>
                <w:lang w:val="ro-MD"/>
              </w:rPr>
            </w:pPr>
            <w:r>
              <w:rPr>
                <w:sz w:val="24"/>
                <w:szCs w:val="24"/>
                <w:lang w:val="ro-MD"/>
              </w:rPr>
              <w:t xml:space="preserve">Dinamica acumulărilor pentru finanţarea </w:t>
            </w:r>
            <w:r w:rsidRPr="00E34324">
              <w:rPr>
                <w:sz w:val="24"/>
                <w:szCs w:val="24"/>
                <w:lang w:val="ro-MD"/>
              </w:rPr>
              <w:t>sistemului de documente normative în construcţii</w:t>
            </w:r>
            <w:r w:rsidR="0046088C">
              <w:rPr>
                <w:sz w:val="24"/>
                <w:szCs w:val="24"/>
                <w:lang w:val="ro-MD"/>
              </w:rPr>
              <w:t xml:space="preserve"> și valorificării acestoraeste reprezentată în tabelul nr.1</w:t>
            </w:r>
            <w:r w:rsidR="0089326D">
              <w:rPr>
                <w:sz w:val="24"/>
                <w:szCs w:val="24"/>
                <w:lang w:val="ro-MD"/>
              </w:rPr>
              <w:t>, iar valoarea lucrărilor de construcții execuate în perioada anilor 2015-2023 în tabelul nr.2</w:t>
            </w:r>
          </w:p>
          <w:p w14:paraId="10E8229D" w14:textId="77777777" w:rsidR="006818E5" w:rsidRPr="006443E8" w:rsidRDefault="006818E5" w:rsidP="00344EB8">
            <w:pPr>
              <w:spacing w:line="276" w:lineRule="auto"/>
              <w:ind w:right="113" w:firstLine="380"/>
              <w:jc w:val="right"/>
              <w:rPr>
                <w:b/>
                <w:sz w:val="24"/>
                <w:szCs w:val="24"/>
                <w:lang w:val="ro-MD"/>
              </w:rPr>
            </w:pPr>
            <w:r w:rsidRPr="006443E8">
              <w:rPr>
                <w:b/>
                <w:sz w:val="24"/>
                <w:szCs w:val="24"/>
                <w:lang w:val="ro-MD"/>
              </w:rPr>
              <w:t>Tabelul nr. 1</w:t>
            </w:r>
          </w:p>
          <w:p w14:paraId="34849842" w14:textId="77777777" w:rsidR="006818E5" w:rsidRPr="006443E8" w:rsidRDefault="006818E5" w:rsidP="006818E5">
            <w:pPr>
              <w:ind w:right="114" w:firstLine="380"/>
              <w:jc w:val="right"/>
              <w:rPr>
                <w:i/>
                <w:sz w:val="24"/>
                <w:szCs w:val="24"/>
                <w:lang w:val="ro-MD"/>
              </w:rPr>
            </w:pPr>
            <w:r w:rsidRPr="006443E8">
              <w:rPr>
                <w:i/>
                <w:sz w:val="24"/>
                <w:szCs w:val="24"/>
                <w:lang w:val="ro-MD"/>
              </w:rPr>
              <w:t xml:space="preserve">Dinamica acumulărilor pentru finanţarea </w:t>
            </w:r>
          </w:p>
          <w:p w14:paraId="5DD1F0CB" w14:textId="77777777" w:rsidR="006818E5" w:rsidRPr="006443E8" w:rsidRDefault="006818E5" w:rsidP="006818E5">
            <w:pPr>
              <w:ind w:right="114" w:firstLine="380"/>
              <w:jc w:val="right"/>
              <w:rPr>
                <w:b/>
                <w:sz w:val="24"/>
                <w:szCs w:val="24"/>
                <w:lang w:val="ro-MD"/>
              </w:rPr>
            </w:pPr>
            <w:r w:rsidRPr="006443E8">
              <w:rPr>
                <w:i/>
                <w:sz w:val="24"/>
                <w:szCs w:val="24"/>
                <w:lang w:val="ro-MD"/>
              </w:rPr>
              <w:t>sistemului de documente normative în construcţii</w:t>
            </w:r>
          </w:p>
          <w:p w14:paraId="5A0F8D43" w14:textId="77777777" w:rsidR="006818E5" w:rsidRPr="006443E8" w:rsidRDefault="006818E5" w:rsidP="006818E5">
            <w:pPr>
              <w:ind w:right="114" w:firstLine="380"/>
              <w:jc w:val="right"/>
              <w:rPr>
                <w:sz w:val="24"/>
                <w:szCs w:val="24"/>
                <w:lang w:val="ro-MD"/>
              </w:rPr>
            </w:pPr>
            <w:r w:rsidRPr="006443E8">
              <w:rPr>
                <w:sz w:val="24"/>
                <w:szCs w:val="24"/>
                <w:lang w:val="ro-MD"/>
              </w:rPr>
              <w:t>mii lei</w:t>
            </w:r>
          </w:p>
          <w:tbl>
            <w:tblPr>
              <w:tblStyle w:val="TableGrid"/>
              <w:tblW w:w="9956" w:type="dxa"/>
              <w:tblLayout w:type="fixed"/>
              <w:tblLook w:val="04A0" w:firstRow="1" w:lastRow="0" w:firstColumn="1" w:lastColumn="0" w:noHBand="0" w:noVBand="1"/>
            </w:tblPr>
            <w:tblGrid>
              <w:gridCol w:w="1028"/>
              <w:gridCol w:w="911"/>
              <w:gridCol w:w="938"/>
              <w:gridCol w:w="857"/>
              <w:gridCol w:w="857"/>
              <w:gridCol w:w="857"/>
              <w:gridCol w:w="857"/>
              <w:gridCol w:w="857"/>
              <w:gridCol w:w="857"/>
              <w:gridCol w:w="963"/>
              <w:gridCol w:w="974"/>
            </w:tblGrid>
            <w:tr w:rsidR="006818E5" w:rsidRPr="006443E8" w14:paraId="3B28C51F" w14:textId="77777777" w:rsidTr="000913BC">
              <w:trPr>
                <w:trHeight w:val="452"/>
              </w:trPr>
              <w:tc>
                <w:tcPr>
                  <w:tcW w:w="1028" w:type="dxa"/>
                  <w:shd w:val="clear" w:color="auto" w:fill="DBE5F1" w:themeFill="accent1" w:themeFillTint="33"/>
                </w:tcPr>
                <w:p w14:paraId="21AB244D" w14:textId="77777777" w:rsidR="006818E5" w:rsidRPr="006443E8" w:rsidRDefault="006818E5" w:rsidP="006818E5">
                  <w:pPr>
                    <w:ind w:firstLine="0"/>
                    <w:rPr>
                      <w:b/>
                      <w:lang w:val="ro-MD"/>
                    </w:rPr>
                  </w:pPr>
                </w:p>
              </w:tc>
              <w:tc>
                <w:tcPr>
                  <w:tcW w:w="911" w:type="dxa"/>
                  <w:shd w:val="clear" w:color="auto" w:fill="DBE5F1" w:themeFill="accent1" w:themeFillTint="33"/>
                  <w:vAlign w:val="center"/>
                </w:tcPr>
                <w:p w14:paraId="3D9C5319" w14:textId="77777777" w:rsidR="006818E5" w:rsidRPr="006443E8" w:rsidRDefault="006818E5" w:rsidP="006818E5">
                  <w:pPr>
                    <w:spacing w:before="80" w:after="80"/>
                    <w:ind w:firstLine="0"/>
                    <w:jc w:val="center"/>
                    <w:rPr>
                      <w:b/>
                      <w:lang w:val="ro-MD"/>
                    </w:rPr>
                  </w:pPr>
                  <w:r w:rsidRPr="006443E8">
                    <w:rPr>
                      <w:b/>
                      <w:lang w:val="ro-MD"/>
                    </w:rPr>
                    <w:t>2015</w:t>
                  </w:r>
                </w:p>
              </w:tc>
              <w:tc>
                <w:tcPr>
                  <w:tcW w:w="938" w:type="dxa"/>
                  <w:shd w:val="clear" w:color="auto" w:fill="DBE5F1" w:themeFill="accent1" w:themeFillTint="33"/>
                  <w:vAlign w:val="center"/>
                </w:tcPr>
                <w:p w14:paraId="312CB79B" w14:textId="77777777" w:rsidR="006818E5" w:rsidRPr="006443E8" w:rsidRDefault="006818E5" w:rsidP="006818E5">
                  <w:pPr>
                    <w:spacing w:before="80" w:after="80"/>
                    <w:ind w:firstLine="0"/>
                    <w:jc w:val="center"/>
                    <w:rPr>
                      <w:b/>
                      <w:lang w:val="ro-MD"/>
                    </w:rPr>
                  </w:pPr>
                  <w:r w:rsidRPr="006443E8">
                    <w:rPr>
                      <w:b/>
                      <w:lang w:val="ro-MD"/>
                    </w:rPr>
                    <w:t>2016</w:t>
                  </w:r>
                </w:p>
              </w:tc>
              <w:tc>
                <w:tcPr>
                  <w:tcW w:w="857" w:type="dxa"/>
                  <w:shd w:val="clear" w:color="auto" w:fill="DBE5F1" w:themeFill="accent1" w:themeFillTint="33"/>
                  <w:vAlign w:val="center"/>
                </w:tcPr>
                <w:p w14:paraId="1B8C80C4" w14:textId="77777777" w:rsidR="006818E5" w:rsidRPr="006443E8" w:rsidRDefault="006818E5" w:rsidP="006818E5">
                  <w:pPr>
                    <w:spacing w:before="80" w:after="80"/>
                    <w:ind w:firstLine="0"/>
                    <w:jc w:val="center"/>
                    <w:rPr>
                      <w:b/>
                      <w:lang w:val="ro-MD"/>
                    </w:rPr>
                  </w:pPr>
                  <w:r w:rsidRPr="006443E8">
                    <w:rPr>
                      <w:b/>
                      <w:lang w:val="ro-MD"/>
                    </w:rPr>
                    <w:t>2017</w:t>
                  </w:r>
                </w:p>
              </w:tc>
              <w:tc>
                <w:tcPr>
                  <w:tcW w:w="857" w:type="dxa"/>
                  <w:shd w:val="clear" w:color="auto" w:fill="DBE5F1" w:themeFill="accent1" w:themeFillTint="33"/>
                  <w:vAlign w:val="center"/>
                </w:tcPr>
                <w:p w14:paraId="78348F4E" w14:textId="77777777" w:rsidR="006818E5" w:rsidRPr="006443E8" w:rsidRDefault="006818E5" w:rsidP="006818E5">
                  <w:pPr>
                    <w:spacing w:before="80" w:after="80"/>
                    <w:ind w:firstLine="0"/>
                    <w:jc w:val="center"/>
                    <w:rPr>
                      <w:b/>
                      <w:lang w:val="ro-MD"/>
                    </w:rPr>
                  </w:pPr>
                  <w:r w:rsidRPr="006443E8">
                    <w:rPr>
                      <w:b/>
                      <w:lang w:val="ro-MD"/>
                    </w:rPr>
                    <w:t>2018</w:t>
                  </w:r>
                </w:p>
              </w:tc>
              <w:tc>
                <w:tcPr>
                  <w:tcW w:w="857" w:type="dxa"/>
                  <w:shd w:val="clear" w:color="auto" w:fill="DBE5F1" w:themeFill="accent1" w:themeFillTint="33"/>
                  <w:vAlign w:val="center"/>
                </w:tcPr>
                <w:p w14:paraId="136A94B5" w14:textId="77777777" w:rsidR="006818E5" w:rsidRPr="006443E8" w:rsidRDefault="006818E5" w:rsidP="006818E5">
                  <w:pPr>
                    <w:spacing w:before="80" w:after="80"/>
                    <w:ind w:firstLine="0"/>
                    <w:jc w:val="center"/>
                    <w:rPr>
                      <w:b/>
                      <w:lang w:val="ro-MD"/>
                    </w:rPr>
                  </w:pPr>
                  <w:r w:rsidRPr="006443E8">
                    <w:rPr>
                      <w:b/>
                      <w:lang w:val="ro-MD"/>
                    </w:rPr>
                    <w:t>2019</w:t>
                  </w:r>
                </w:p>
              </w:tc>
              <w:tc>
                <w:tcPr>
                  <w:tcW w:w="857" w:type="dxa"/>
                  <w:shd w:val="clear" w:color="auto" w:fill="DBE5F1" w:themeFill="accent1" w:themeFillTint="33"/>
                  <w:vAlign w:val="center"/>
                </w:tcPr>
                <w:p w14:paraId="7AD7907C" w14:textId="77777777" w:rsidR="006818E5" w:rsidRPr="006443E8" w:rsidRDefault="006818E5" w:rsidP="006818E5">
                  <w:pPr>
                    <w:spacing w:before="80" w:after="80"/>
                    <w:ind w:firstLine="0"/>
                    <w:jc w:val="center"/>
                    <w:rPr>
                      <w:b/>
                      <w:lang w:val="ro-MD"/>
                    </w:rPr>
                  </w:pPr>
                  <w:r w:rsidRPr="006443E8">
                    <w:rPr>
                      <w:b/>
                      <w:lang w:val="ro-MD"/>
                    </w:rPr>
                    <w:t>2020</w:t>
                  </w:r>
                </w:p>
              </w:tc>
              <w:tc>
                <w:tcPr>
                  <w:tcW w:w="857" w:type="dxa"/>
                  <w:shd w:val="clear" w:color="auto" w:fill="DBE5F1" w:themeFill="accent1" w:themeFillTint="33"/>
                  <w:vAlign w:val="center"/>
                </w:tcPr>
                <w:p w14:paraId="3ACECFBF" w14:textId="77777777" w:rsidR="006818E5" w:rsidRPr="006443E8" w:rsidRDefault="006818E5" w:rsidP="006818E5">
                  <w:pPr>
                    <w:spacing w:before="80" w:after="80"/>
                    <w:ind w:firstLine="0"/>
                    <w:jc w:val="center"/>
                    <w:rPr>
                      <w:b/>
                      <w:lang w:val="ro-MD"/>
                    </w:rPr>
                  </w:pPr>
                  <w:r w:rsidRPr="006443E8">
                    <w:rPr>
                      <w:b/>
                      <w:lang w:val="ro-MD"/>
                    </w:rPr>
                    <w:t>2021</w:t>
                  </w:r>
                </w:p>
              </w:tc>
              <w:tc>
                <w:tcPr>
                  <w:tcW w:w="857" w:type="dxa"/>
                  <w:shd w:val="clear" w:color="auto" w:fill="DBE5F1" w:themeFill="accent1" w:themeFillTint="33"/>
                  <w:vAlign w:val="center"/>
                </w:tcPr>
                <w:p w14:paraId="2B049F0A" w14:textId="77777777" w:rsidR="006818E5" w:rsidRPr="006443E8" w:rsidRDefault="006818E5" w:rsidP="006818E5">
                  <w:pPr>
                    <w:spacing w:before="80" w:after="80"/>
                    <w:ind w:firstLine="0"/>
                    <w:jc w:val="center"/>
                    <w:rPr>
                      <w:b/>
                      <w:lang w:val="ro-MD"/>
                    </w:rPr>
                  </w:pPr>
                  <w:r w:rsidRPr="006443E8">
                    <w:rPr>
                      <w:b/>
                      <w:lang w:val="ro-MD"/>
                    </w:rPr>
                    <w:t>2022</w:t>
                  </w:r>
                </w:p>
              </w:tc>
              <w:tc>
                <w:tcPr>
                  <w:tcW w:w="963" w:type="dxa"/>
                  <w:shd w:val="clear" w:color="auto" w:fill="DBE5F1" w:themeFill="accent1" w:themeFillTint="33"/>
                  <w:vAlign w:val="center"/>
                </w:tcPr>
                <w:p w14:paraId="6B561580" w14:textId="77777777" w:rsidR="006818E5" w:rsidRPr="006443E8" w:rsidRDefault="006818E5" w:rsidP="006818E5">
                  <w:pPr>
                    <w:spacing w:before="80" w:after="80"/>
                    <w:ind w:firstLine="0"/>
                    <w:jc w:val="center"/>
                    <w:rPr>
                      <w:b/>
                      <w:lang w:val="ro-MD"/>
                    </w:rPr>
                  </w:pPr>
                  <w:r w:rsidRPr="006443E8">
                    <w:rPr>
                      <w:b/>
                      <w:lang w:val="ro-MD"/>
                    </w:rPr>
                    <w:t>2023</w:t>
                  </w:r>
                </w:p>
              </w:tc>
              <w:tc>
                <w:tcPr>
                  <w:tcW w:w="974" w:type="dxa"/>
                  <w:shd w:val="clear" w:color="auto" w:fill="DBE5F1" w:themeFill="accent1" w:themeFillTint="33"/>
                </w:tcPr>
                <w:p w14:paraId="6083CBA8" w14:textId="77777777" w:rsidR="006818E5" w:rsidRPr="006443E8" w:rsidRDefault="006818E5" w:rsidP="006818E5">
                  <w:pPr>
                    <w:spacing w:before="80" w:after="80"/>
                    <w:ind w:firstLine="0"/>
                    <w:jc w:val="center"/>
                    <w:rPr>
                      <w:b/>
                      <w:lang w:val="ro-MD"/>
                    </w:rPr>
                  </w:pPr>
                  <w:r w:rsidRPr="006443E8">
                    <w:rPr>
                      <w:b/>
                      <w:lang w:val="ro-MD"/>
                    </w:rPr>
                    <w:t>2024</w:t>
                  </w:r>
                </w:p>
              </w:tc>
            </w:tr>
            <w:tr w:rsidR="006818E5" w:rsidRPr="006443E8" w14:paraId="64563A9E" w14:textId="77777777" w:rsidTr="000913BC">
              <w:trPr>
                <w:trHeight w:val="1136"/>
              </w:trPr>
              <w:tc>
                <w:tcPr>
                  <w:tcW w:w="1028" w:type="dxa"/>
                </w:tcPr>
                <w:p w14:paraId="261F0EFB" w14:textId="77777777" w:rsidR="006818E5" w:rsidRPr="006443E8" w:rsidRDefault="006818E5" w:rsidP="006818E5">
                  <w:pPr>
                    <w:ind w:firstLine="0"/>
                    <w:rPr>
                      <w:b/>
                      <w:lang w:val="ro-MD"/>
                    </w:rPr>
                  </w:pPr>
                  <w:r w:rsidRPr="006443E8">
                    <w:rPr>
                      <w:b/>
                      <w:lang w:val="ro-MD"/>
                    </w:rPr>
                    <w:t>Acumulări din defalcări pentru SDNC</w:t>
                  </w:r>
                  <w:r w:rsidRPr="006443E8">
                    <w:rPr>
                      <w:b/>
                      <w:vertAlign w:val="superscript"/>
                      <w:lang w:val="ro-MD"/>
                    </w:rPr>
                    <w:footnoteReference w:id="1"/>
                  </w:r>
                </w:p>
              </w:tc>
              <w:tc>
                <w:tcPr>
                  <w:tcW w:w="911" w:type="dxa"/>
                </w:tcPr>
                <w:p w14:paraId="108E690F" w14:textId="77777777" w:rsidR="006818E5" w:rsidRPr="006443E8" w:rsidRDefault="006818E5" w:rsidP="006818E5">
                  <w:pPr>
                    <w:spacing w:before="80" w:after="80"/>
                    <w:ind w:firstLine="0"/>
                    <w:jc w:val="center"/>
                    <w:rPr>
                      <w:lang w:val="ro-MD"/>
                    </w:rPr>
                  </w:pPr>
                  <w:r w:rsidRPr="006443E8">
                    <w:rPr>
                      <w:lang w:val="ro-MD"/>
                    </w:rPr>
                    <w:t>10726,6</w:t>
                  </w:r>
                </w:p>
              </w:tc>
              <w:tc>
                <w:tcPr>
                  <w:tcW w:w="938" w:type="dxa"/>
                </w:tcPr>
                <w:p w14:paraId="42612EEE" w14:textId="77777777" w:rsidR="006818E5" w:rsidRPr="006443E8" w:rsidRDefault="006818E5" w:rsidP="006818E5">
                  <w:pPr>
                    <w:spacing w:before="80" w:after="80"/>
                    <w:ind w:left="-57" w:right="-57" w:firstLine="0"/>
                    <w:jc w:val="center"/>
                    <w:rPr>
                      <w:lang w:val="ro-MD"/>
                    </w:rPr>
                  </w:pPr>
                  <w:r w:rsidRPr="006443E8">
                    <w:rPr>
                      <w:lang w:val="ro-MD"/>
                    </w:rPr>
                    <w:t>11740,29</w:t>
                  </w:r>
                </w:p>
              </w:tc>
              <w:tc>
                <w:tcPr>
                  <w:tcW w:w="857" w:type="dxa"/>
                </w:tcPr>
                <w:p w14:paraId="25522912" w14:textId="77777777" w:rsidR="006818E5" w:rsidRPr="006443E8" w:rsidRDefault="006818E5" w:rsidP="006818E5">
                  <w:pPr>
                    <w:spacing w:before="80" w:after="80"/>
                    <w:ind w:left="-57" w:right="-57" w:firstLine="0"/>
                    <w:jc w:val="center"/>
                    <w:rPr>
                      <w:lang w:val="ro-MD"/>
                    </w:rPr>
                  </w:pPr>
                  <w:r w:rsidRPr="006443E8">
                    <w:rPr>
                      <w:lang w:val="ro-MD"/>
                    </w:rPr>
                    <w:t>8658,41</w:t>
                  </w:r>
                </w:p>
              </w:tc>
              <w:tc>
                <w:tcPr>
                  <w:tcW w:w="857" w:type="dxa"/>
                </w:tcPr>
                <w:p w14:paraId="5BFE4B63" w14:textId="77777777" w:rsidR="006818E5" w:rsidRPr="006443E8" w:rsidRDefault="006818E5" w:rsidP="006818E5">
                  <w:pPr>
                    <w:spacing w:before="80" w:after="80"/>
                    <w:ind w:left="-57" w:right="-57" w:firstLine="0"/>
                    <w:jc w:val="center"/>
                    <w:rPr>
                      <w:lang w:val="ro-MD"/>
                    </w:rPr>
                  </w:pPr>
                  <w:r w:rsidRPr="006443E8">
                    <w:rPr>
                      <w:lang w:val="ro-MD"/>
                    </w:rPr>
                    <w:t>9441,18</w:t>
                  </w:r>
                </w:p>
              </w:tc>
              <w:tc>
                <w:tcPr>
                  <w:tcW w:w="857" w:type="dxa"/>
                </w:tcPr>
                <w:p w14:paraId="459F097A" w14:textId="77777777" w:rsidR="006818E5" w:rsidRPr="006443E8" w:rsidRDefault="006818E5" w:rsidP="006818E5">
                  <w:pPr>
                    <w:spacing w:before="80" w:after="80"/>
                    <w:ind w:left="-57" w:right="-57" w:firstLine="0"/>
                    <w:jc w:val="center"/>
                    <w:rPr>
                      <w:lang w:val="ro-MD"/>
                    </w:rPr>
                  </w:pPr>
                  <w:r w:rsidRPr="006443E8">
                    <w:rPr>
                      <w:lang w:val="ro-MD"/>
                    </w:rPr>
                    <w:t>7649,86</w:t>
                  </w:r>
                </w:p>
              </w:tc>
              <w:tc>
                <w:tcPr>
                  <w:tcW w:w="857" w:type="dxa"/>
                </w:tcPr>
                <w:p w14:paraId="013B7879" w14:textId="77777777" w:rsidR="006818E5" w:rsidRPr="006443E8" w:rsidRDefault="006818E5" w:rsidP="006818E5">
                  <w:pPr>
                    <w:spacing w:before="80" w:after="80"/>
                    <w:ind w:left="-57" w:right="-57" w:firstLine="0"/>
                    <w:jc w:val="center"/>
                    <w:rPr>
                      <w:lang w:val="ro-MD"/>
                    </w:rPr>
                  </w:pPr>
                  <w:r w:rsidRPr="006443E8">
                    <w:rPr>
                      <w:lang w:val="ro-MD"/>
                    </w:rPr>
                    <w:t>5804,69</w:t>
                  </w:r>
                </w:p>
              </w:tc>
              <w:tc>
                <w:tcPr>
                  <w:tcW w:w="857" w:type="dxa"/>
                </w:tcPr>
                <w:p w14:paraId="618963B1" w14:textId="77777777" w:rsidR="006818E5" w:rsidRPr="006443E8" w:rsidRDefault="006818E5" w:rsidP="006818E5">
                  <w:pPr>
                    <w:spacing w:before="80" w:after="80"/>
                    <w:ind w:left="-57" w:right="-57" w:firstLine="0"/>
                    <w:jc w:val="center"/>
                    <w:rPr>
                      <w:lang w:val="ro-MD"/>
                    </w:rPr>
                  </w:pPr>
                  <w:r w:rsidRPr="006443E8">
                    <w:rPr>
                      <w:lang w:val="ro-MD"/>
                    </w:rPr>
                    <w:t>8482,77</w:t>
                  </w:r>
                </w:p>
              </w:tc>
              <w:tc>
                <w:tcPr>
                  <w:tcW w:w="857" w:type="dxa"/>
                </w:tcPr>
                <w:p w14:paraId="6EC25DCF" w14:textId="77777777" w:rsidR="006818E5" w:rsidRPr="006443E8" w:rsidRDefault="006818E5" w:rsidP="006818E5">
                  <w:pPr>
                    <w:spacing w:before="80" w:after="80"/>
                    <w:ind w:left="-57" w:right="-57" w:firstLine="0"/>
                    <w:jc w:val="center"/>
                    <w:rPr>
                      <w:lang w:val="ro-MD"/>
                    </w:rPr>
                  </w:pPr>
                  <w:r w:rsidRPr="006443E8">
                    <w:rPr>
                      <w:lang w:val="ro-MD"/>
                    </w:rPr>
                    <w:t>8129,47</w:t>
                  </w:r>
                </w:p>
              </w:tc>
              <w:tc>
                <w:tcPr>
                  <w:tcW w:w="963" w:type="dxa"/>
                </w:tcPr>
                <w:p w14:paraId="3195B1B5" w14:textId="77777777" w:rsidR="006818E5" w:rsidRPr="006443E8" w:rsidRDefault="006818E5" w:rsidP="006818E5">
                  <w:pPr>
                    <w:spacing w:before="80" w:after="80"/>
                    <w:ind w:left="-57" w:right="-57" w:firstLine="0"/>
                    <w:jc w:val="center"/>
                    <w:rPr>
                      <w:lang w:val="ro-MD"/>
                    </w:rPr>
                  </w:pPr>
                  <w:r w:rsidRPr="006443E8">
                    <w:rPr>
                      <w:lang w:val="ro-MD"/>
                    </w:rPr>
                    <w:t>11504,35</w:t>
                  </w:r>
                </w:p>
              </w:tc>
              <w:tc>
                <w:tcPr>
                  <w:tcW w:w="974" w:type="dxa"/>
                </w:tcPr>
                <w:p w14:paraId="56CF289F" w14:textId="77777777" w:rsidR="006818E5" w:rsidRPr="006443E8" w:rsidRDefault="006818E5" w:rsidP="006818E5">
                  <w:pPr>
                    <w:spacing w:before="80" w:after="80"/>
                    <w:ind w:firstLine="0"/>
                    <w:jc w:val="center"/>
                    <w:rPr>
                      <w:lang w:val="ro-MD"/>
                    </w:rPr>
                  </w:pPr>
                  <w:r w:rsidRPr="006443E8">
                    <w:rPr>
                      <w:lang w:val="ro-MD"/>
                    </w:rPr>
                    <w:t>8700,0 (planificat)</w:t>
                  </w:r>
                </w:p>
              </w:tc>
            </w:tr>
            <w:tr w:rsidR="006818E5" w:rsidRPr="006443E8" w14:paraId="0B65A876" w14:textId="77777777" w:rsidTr="000913BC">
              <w:trPr>
                <w:trHeight w:val="1077"/>
              </w:trPr>
              <w:tc>
                <w:tcPr>
                  <w:tcW w:w="1028" w:type="dxa"/>
                </w:tcPr>
                <w:p w14:paraId="5B13BDF3" w14:textId="77777777" w:rsidR="006818E5" w:rsidRPr="006443E8" w:rsidRDefault="006818E5" w:rsidP="006818E5">
                  <w:pPr>
                    <w:ind w:firstLine="0"/>
                    <w:rPr>
                      <w:b/>
                      <w:lang w:val="ro-MD"/>
                    </w:rPr>
                  </w:pPr>
                  <w:r w:rsidRPr="006443E8">
                    <w:rPr>
                      <w:b/>
                      <w:lang w:val="ro-MD"/>
                    </w:rPr>
                    <w:t>Bugetul aprobat pentru SDNC</w:t>
                  </w:r>
                </w:p>
              </w:tc>
              <w:tc>
                <w:tcPr>
                  <w:tcW w:w="911" w:type="dxa"/>
                </w:tcPr>
                <w:p w14:paraId="1F6B0B77" w14:textId="77777777" w:rsidR="006818E5" w:rsidRPr="006443E8" w:rsidRDefault="006818E5" w:rsidP="006818E5">
                  <w:pPr>
                    <w:spacing w:before="80" w:after="80"/>
                    <w:ind w:firstLine="0"/>
                    <w:jc w:val="center"/>
                    <w:rPr>
                      <w:lang w:val="ro-MD"/>
                    </w:rPr>
                  </w:pPr>
                  <w:r w:rsidRPr="006443E8">
                    <w:rPr>
                      <w:lang w:val="ro-MD"/>
                    </w:rPr>
                    <w:t>12566,6</w:t>
                  </w:r>
                </w:p>
                <w:p w14:paraId="68A39531" w14:textId="77777777" w:rsidR="006818E5" w:rsidRPr="006443E8" w:rsidRDefault="006818E5" w:rsidP="006818E5">
                  <w:pPr>
                    <w:spacing w:before="80"/>
                    <w:ind w:firstLine="0"/>
                    <w:jc w:val="center"/>
                    <w:rPr>
                      <w:lang w:val="ro-MD"/>
                    </w:rPr>
                  </w:pPr>
                  <w:r w:rsidRPr="006443E8">
                    <w:rPr>
                      <w:lang w:val="ro-MD"/>
                    </w:rPr>
                    <w:t>(sistat prin scr. MF)</w:t>
                  </w:r>
                </w:p>
              </w:tc>
              <w:tc>
                <w:tcPr>
                  <w:tcW w:w="938" w:type="dxa"/>
                </w:tcPr>
                <w:p w14:paraId="669F6525" w14:textId="77777777" w:rsidR="006818E5" w:rsidRPr="006443E8" w:rsidRDefault="006818E5" w:rsidP="006818E5">
                  <w:pPr>
                    <w:spacing w:before="80" w:after="80"/>
                    <w:ind w:firstLine="0"/>
                    <w:jc w:val="center"/>
                    <w:rPr>
                      <w:lang w:val="ro-MD"/>
                    </w:rPr>
                  </w:pPr>
                  <w:r w:rsidRPr="006443E8">
                    <w:rPr>
                      <w:lang w:val="ro-MD"/>
                    </w:rPr>
                    <w:t>13975,6</w:t>
                  </w:r>
                </w:p>
              </w:tc>
              <w:tc>
                <w:tcPr>
                  <w:tcW w:w="857" w:type="dxa"/>
                </w:tcPr>
                <w:p w14:paraId="0BF82F4F" w14:textId="77777777" w:rsidR="006818E5" w:rsidRPr="006443E8" w:rsidRDefault="006818E5" w:rsidP="006818E5">
                  <w:pPr>
                    <w:spacing w:before="80" w:after="80"/>
                    <w:ind w:firstLine="0"/>
                    <w:jc w:val="center"/>
                    <w:rPr>
                      <w:lang w:val="ro-MD"/>
                    </w:rPr>
                  </w:pPr>
                  <w:r w:rsidRPr="006443E8">
                    <w:rPr>
                      <w:lang w:val="ro-MD"/>
                    </w:rPr>
                    <w:t>6422,9</w:t>
                  </w:r>
                </w:p>
              </w:tc>
              <w:tc>
                <w:tcPr>
                  <w:tcW w:w="857" w:type="dxa"/>
                </w:tcPr>
                <w:p w14:paraId="4B3BAEA2" w14:textId="77777777" w:rsidR="006818E5" w:rsidRPr="006443E8" w:rsidRDefault="006818E5" w:rsidP="006818E5">
                  <w:pPr>
                    <w:spacing w:before="80" w:after="80"/>
                    <w:ind w:left="-57" w:right="-57" w:firstLine="0"/>
                    <w:jc w:val="center"/>
                    <w:rPr>
                      <w:lang w:val="ro-MD"/>
                    </w:rPr>
                  </w:pPr>
                  <w:r w:rsidRPr="006443E8">
                    <w:rPr>
                      <w:lang w:val="ro-MD"/>
                    </w:rPr>
                    <w:t>12604,2</w:t>
                  </w:r>
                </w:p>
              </w:tc>
              <w:tc>
                <w:tcPr>
                  <w:tcW w:w="857" w:type="dxa"/>
                </w:tcPr>
                <w:p w14:paraId="4BA75AE3" w14:textId="77777777" w:rsidR="006818E5" w:rsidRPr="006443E8" w:rsidRDefault="006818E5" w:rsidP="006818E5">
                  <w:pPr>
                    <w:spacing w:before="80" w:after="80"/>
                    <w:ind w:left="-57" w:right="-57" w:firstLine="0"/>
                    <w:jc w:val="center"/>
                    <w:rPr>
                      <w:lang w:val="ro-MD"/>
                    </w:rPr>
                  </w:pPr>
                  <w:r w:rsidRPr="006443E8">
                    <w:rPr>
                      <w:lang w:val="ro-MD"/>
                    </w:rPr>
                    <w:t>12604,2</w:t>
                  </w:r>
                </w:p>
              </w:tc>
              <w:tc>
                <w:tcPr>
                  <w:tcW w:w="857" w:type="dxa"/>
                </w:tcPr>
                <w:p w14:paraId="6E568EBA" w14:textId="77777777" w:rsidR="006818E5" w:rsidRPr="006443E8" w:rsidRDefault="006818E5" w:rsidP="006818E5">
                  <w:pPr>
                    <w:spacing w:before="80" w:after="80"/>
                    <w:ind w:left="-57" w:right="-57" w:firstLine="0"/>
                    <w:jc w:val="center"/>
                    <w:rPr>
                      <w:lang w:val="ro-MD"/>
                    </w:rPr>
                  </w:pPr>
                  <w:r w:rsidRPr="006443E8">
                    <w:rPr>
                      <w:lang w:val="ro-MD"/>
                    </w:rPr>
                    <w:t>17604,2</w:t>
                  </w:r>
                </w:p>
              </w:tc>
              <w:tc>
                <w:tcPr>
                  <w:tcW w:w="857" w:type="dxa"/>
                </w:tcPr>
                <w:p w14:paraId="09AE74BA" w14:textId="77777777" w:rsidR="006818E5" w:rsidRPr="006443E8" w:rsidRDefault="006818E5" w:rsidP="006818E5">
                  <w:pPr>
                    <w:spacing w:before="80" w:after="80"/>
                    <w:ind w:left="-57" w:right="-57" w:firstLine="0"/>
                    <w:jc w:val="center"/>
                    <w:rPr>
                      <w:lang w:val="ro-MD"/>
                    </w:rPr>
                  </w:pPr>
                  <w:r w:rsidRPr="006443E8">
                    <w:rPr>
                      <w:lang w:val="ro-MD"/>
                    </w:rPr>
                    <w:t>15604,2</w:t>
                  </w:r>
                </w:p>
              </w:tc>
              <w:tc>
                <w:tcPr>
                  <w:tcW w:w="857" w:type="dxa"/>
                </w:tcPr>
                <w:p w14:paraId="04C0C07E" w14:textId="77777777" w:rsidR="006818E5" w:rsidRPr="006443E8" w:rsidRDefault="006818E5" w:rsidP="006818E5">
                  <w:pPr>
                    <w:spacing w:before="80" w:after="80"/>
                    <w:ind w:left="-57" w:right="-57" w:firstLine="0"/>
                    <w:jc w:val="center"/>
                    <w:rPr>
                      <w:lang w:val="ro-MD"/>
                    </w:rPr>
                  </w:pPr>
                  <w:r w:rsidRPr="006443E8">
                    <w:rPr>
                      <w:lang w:val="ro-MD"/>
                    </w:rPr>
                    <w:t>17314,6</w:t>
                  </w:r>
                </w:p>
              </w:tc>
              <w:tc>
                <w:tcPr>
                  <w:tcW w:w="963" w:type="dxa"/>
                </w:tcPr>
                <w:p w14:paraId="71A548BC" w14:textId="77777777" w:rsidR="006818E5" w:rsidRPr="006443E8" w:rsidRDefault="006818E5" w:rsidP="006818E5">
                  <w:pPr>
                    <w:spacing w:before="80" w:after="80"/>
                    <w:ind w:firstLine="0"/>
                    <w:jc w:val="center"/>
                    <w:rPr>
                      <w:lang w:val="ro-MD"/>
                    </w:rPr>
                  </w:pPr>
                  <w:r w:rsidRPr="006443E8">
                    <w:rPr>
                      <w:lang w:val="ro-MD"/>
                    </w:rPr>
                    <w:t>6604,2</w:t>
                  </w:r>
                </w:p>
              </w:tc>
              <w:tc>
                <w:tcPr>
                  <w:tcW w:w="974" w:type="dxa"/>
                </w:tcPr>
                <w:p w14:paraId="6CE43F84" w14:textId="77777777" w:rsidR="006818E5" w:rsidRPr="006443E8" w:rsidRDefault="006818E5" w:rsidP="006818E5">
                  <w:pPr>
                    <w:spacing w:before="80" w:after="80"/>
                    <w:ind w:firstLine="0"/>
                    <w:jc w:val="center"/>
                    <w:rPr>
                      <w:lang w:val="ro-MD"/>
                    </w:rPr>
                  </w:pPr>
                  <w:r w:rsidRPr="006443E8">
                    <w:rPr>
                      <w:lang w:val="ro-MD"/>
                    </w:rPr>
                    <w:t>10000,0</w:t>
                  </w:r>
                </w:p>
              </w:tc>
            </w:tr>
            <w:tr w:rsidR="006818E5" w:rsidRPr="006443E8" w14:paraId="522DE2AE" w14:textId="77777777" w:rsidTr="000913BC">
              <w:trPr>
                <w:trHeight w:val="673"/>
              </w:trPr>
              <w:tc>
                <w:tcPr>
                  <w:tcW w:w="1028" w:type="dxa"/>
                  <w:vAlign w:val="center"/>
                </w:tcPr>
                <w:p w14:paraId="55FC73EF" w14:textId="77777777" w:rsidR="006818E5" w:rsidRPr="006443E8" w:rsidRDefault="006818E5" w:rsidP="006818E5">
                  <w:pPr>
                    <w:ind w:left="-57" w:right="-57" w:firstLine="0"/>
                    <w:rPr>
                      <w:b/>
                      <w:lang w:val="ro-MD"/>
                    </w:rPr>
                  </w:pPr>
                  <w:r w:rsidRPr="006443E8">
                    <w:rPr>
                      <w:b/>
                      <w:lang w:val="ro-MD"/>
                    </w:rPr>
                    <w:t>Valorificat pentru SDNC</w:t>
                  </w:r>
                </w:p>
              </w:tc>
              <w:tc>
                <w:tcPr>
                  <w:tcW w:w="911" w:type="dxa"/>
                </w:tcPr>
                <w:p w14:paraId="50F87316" w14:textId="77777777" w:rsidR="006818E5" w:rsidRPr="006443E8" w:rsidRDefault="006818E5" w:rsidP="006818E5">
                  <w:pPr>
                    <w:spacing w:before="80" w:after="80"/>
                    <w:ind w:firstLine="0"/>
                    <w:jc w:val="center"/>
                    <w:rPr>
                      <w:lang w:val="ro-MD"/>
                    </w:rPr>
                  </w:pPr>
                  <w:r w:rsidRPr="006443E8">
                    <w:rPr>
                      <w:lang w:val="ro-MD"/>
                    </w:rPr>
                    <w:t>1052.14</w:t>
                  </w:r>
                </w:p>
              </w:tc>
              <w:tc>
                <w:tcPr>
                  <w:tcW w:w="938" w:type="dxa"/>
                </w:tcPr>
                <w:p w14:paraId="6663F5F8" w14:textId="77777777" w:rsidR="006818E5" w:rsidRPr="006443E8" w:rsidRDefault="006818E5" w:rsidP="006818E5">
                  <w:pPr>
                    <w:spacing w:before="80" w:after="80"/>
                    <w:ind w:firstLine="0"/>
                    <w:jc w:val="center"/>
                    <w:rPr>
                      <w:lang w:val="ro-MD"/>
                    </w:rPr>
                  </w:pPr>
                  <w:r>
                    <w:rPr>
                      <w:lang w:val="ro-MD"/>
                    </w:rPr>
                    <w:t>6145,15</w:t>
                  </w:r>
                </w:p>
              </w:tc>
              <w:tc>
                <w:tcPr>
                  <w:tcW w:w="857" w:type="dxa"/>
                </w:tcPr>
                <w:p w14:paraId="23E02946" w14:textId="77777777" w:rsidR="006818E5" w:rsidRPr="006443E8" w:rsidRDefault="006818E5" w:rsidP="006818E5">
                  <w:pPr>
                    <w:spacing w:before="80" w:after="80"/>
                    <w:ind w:firstLine="0"/>
                    <w:jc w:val="center"/>
                    <w:rPr>
                      <w:lang w:val="ro-MD"/>
                    </w:rPr>
                  </w:pPr>
                  <w:r w:rsidRPr="006443E8">
                    <w:rPr>
                      <w:lang w:val="ro-MD"/>
                    </w:rPr>
                    <w:t>4135,0</w:t>
                  </w:r>
                </w:p>
              </w:tc>
              <w:tc>
                <w:tcPr>
                  <w:tcW w:w="857" w:type="dxa"/>
                </w:tcPr>
                <w:p w14:paraId="699C37C5" w14:textId="77777777" w:rsidR="006818E5" w:rsidRPr="006443E8" w:rsidRDefault="006818E5" w:rsidP="006818E5">
                  <w:pPr>
                    <w:spacing w:before="80" w:after="80"/>
                    <w:ind w:firstLine="0"/>
                    <w:jc w:val="center"/>
                    <w:rPr>
                      <w:lang w:val="ro-MD"/>
                    </w:rPr>
                  </w:pPr>
                  <w:r w:rsidRPr="006443E8">
                    <w:rPr>
                      <w:lang w:val="ro-MD"/>
                    </w:rPr>
                    <w:t>6477,4</w:t>
                  </w:r>
                </w:p>
              </w:tc>
              <w:tc>
                <w:tcPr>
                  <w:tcW w:w="857" w:type="dxa"/>
                </w:tcPr>
                <w:p w14:paraId="29147C80" w14:textId="77777777" w:rsidR="006818E5" w:rsidRPr="006443E8" w:rsidRDefault="006818E5" w:rsidP="006818E5">
                  <w:pPr>
                    <w:spacing w:before="80" w:after="80"/>
                    <w:ind w:firstLine="0"/>
                    <w:jc w:val="center"/>
                    <w:rPr>
                      <w:lang w:val="ro-MD"/>
                    </w:rPr>
                  </w:pPr>
                  <w:r w:rsidRPr="006443E8">
                    <w:rPr>
                      <w:lang w:val="ro-MD"/>
                    </w:rPr>
                    <w:t>4793,1</w:t>
                  </w:r>
                </w:p>
              </w:tc>
              <w:tc>
                <w:tcPr>
                  <w:tcW w:w="857" w:type="dxa"/>
                </w:tcPr>
                <w:p w14:paraId="11F8FE9D" w14:textId="77777777" w:rsidR="006818E5" w:rsidRPr="006443E8" w:rsidRDefault="006818E5" w:rsidP="006818E5">
                  <w:pPr>
                    <w:spacing w:before="80" w:after="80"/>
                    <w:ind w:firstLine="0"/>
                    <w:jc w:val="center"/>
                    <w:rPr>
                      <w:lang w:val="ro-MD"/>
                    </w:rPr>
                  </w:pPr>
                  <w:r w:rsidRPr="006443E8">
                    <w:rPr>
                      <w:lang w:val="ro-MD"/>
                    </w:rPr>
                    <w:t>699,7</w:t>
                  </w:r>
                </w:p>
              </w:tc>
              <w:tc>
                <w:tcPr>
                  <w:tcW w:w="857" w:type="dxa"/>
                </w:tcPr>
                <w:p w14:paraId="184C84C9" w14:textId="77777777" w:rsidR="006818E5" w:rsidRPr="006443E8" w:rsidRDefault="006818E5" w:rsidP="006818E5">
                  <w:pPr>
                    <w:spacing w:before="80" w:after="80"/>
                    <w:ind w:firstLine="0"/>
                    <w:jc w:val="center"/>
                    <w:rPr>
                      <w:lang w:val="ro-MD"/>
                    </w:rPr>
                  </w:pPr>
                  <w:r w:rsidRPr="006443E8">
                    <w:rPr>
                      <w:lang w:val="ro-MD"/>
                    </w:rPr>
                    <w:t>444,80</w:t>
                  </w:r>
                </w:p>
              </w:tc>
              <w:tc>
                <w:tcPr>
                  <w:tcW w:w="857" w:type="dxa"/>
                </w:tcPr>
                <w:p w14:paraId="4A8ECBE4" w14:textId="77777777" w:rsidR="006818E5" w:rsidRPr="006443E8" w:rsidRDefault="006818E5" w:rsidP="006818E5">
                  <w:pPr>
                    <w:spacing w:before="80" w:after="80"/>
                    <w:ind w:left="-57" w:right="-57" w:firstLine="0"/>
                    <w:jc w:val="center"/>
                    <w:rPr>
                      <w:lang w:val="ro-MD"/>
                    </w:rPr>
                  </w:pPr>
                  <w:r w:rsidRPr="006443E8">
                    <w:rPr>
                      <w:lang w:val="ro-MD"/>
                    </w:rPr>
                    <w:t>486,248</w:t>
                  </w:r>
                </w:p>
              </w:tc>
              <w:tc>
                <w:tcPr>
                  <w:tcW w:w="963" w:type="dxa"/>
                </w:tcPr>
                <w:p w14:paraId="6330BE7F" w14:textId="77777777" w:rsidR="006818E5" w:rsidRPr="006443E8" w:rsidRDefault="006818E5" w:rsidP="006818E5">
                  <w:pPr>
                    <w:spacing w:before="80" w:after="80"/>
                    <w:ind w:firstLine="0"/>
                    <w:jc w:val="center"/>
                    <w:rPr>
                      <w:lang w:val="ro-MD"/>
                    </w:rPr>
                  </w:pPr>
                  <w:r w:rsidRPr="006443E8">
                    <w:rPr>
                      <w:lang w:val="ro-MD"/>
                    </w:rPr>
                    <w:t>538,60</w:t>
                  </w:r>
                </w:p>
              </w:tc>
              <w:tc>
                <w:tcPr>
                  <w:tcW w:w="974" w:type="dxa"/>
                </w:tcPr>
                <w:p w14:paraId="6008F1B7" w14:textId="77777777" w:rsidR="006818E5" w:rsidRPr="006443E8" w:rsidRDefault="006818E5" w:rsidP="006818E5">
                  <w:pPr>
                    <w:spacing w:before="80" w:after="80"/>
                    <w:ind w:firstLine="0"/>
                    <w:jc w:val="center"/>
                    <w:rPr>
                      <w:lang w:val="ro-MD"/>
                    </w:rPr>
                  </w:pPr>
                  <w:r w:rsidRPr="006443E8">
                    <w:rPr>
                      <w:lang w:val="ro-MD"/>
                    </w:rPr>
                    <w:t>-</w:t>
                  </w:r>
                </w:p>
              </w:tc>
            </w:tr>
          </w:tbl>
          <w:p w14:paraId="455E07F3" w14:textId="77777777" w:rsidR="006818E5" w:rsidRPr="006443E8" w:rsidRDefault="006818E5" w:rsidP="00AB42B6">
            <w:pPr>
              <w:spacing w:before="240"/>
              <w:ind w:right="113" w:firstLine="0"/>
              <w:jc w:val="right"/>
              <w:rPr>
                <w:b/>
                <w:sz w:val="24"/>
                <w:szCs w:val="24"/>
                <w:lang w:val="ro-MD"/>
              </w:rPr>
            </w:pPr>
            <w:r w:rsidRPr="006443E8">
              <w:rPr>
                <w:b/>
                <w:sz w:val="24"/>
                <w:szCs w:val="24"/>
                <w:lang w:val="ro-MD"/>
              </w:rPr>
              <w:t>Tabelul nr. 2</w:t>
            </w:r>
          </w:p>
          <w:p w14:paraId="4363CDD8" w14:textId="77777777" w:rsidR="006818E5" w:rsidRPr="006443E8" w:rsidRDefault="006818E5" w:rsidP="006818E5">
            <w:pPr>
              <w:ind w:right="114" w:firstLine="380"/>
              <w:jc w:val="right"/>
              <w:rPr>
                <w:i/>
                <w:sz w:val="24"/>
                <w:szCs w:val="24"/>
                <w:lang w:val="ro-MD"/>
              </w:rPr>
            </w:pPr>
            <w:r w:rsidRPr="006443E8">
              <w:rPr>
                <w:i/>
                <w:sz w:val="24"/>
                <w:szCs w:val="24"/>
                <w:lang w:val="ro-MD"/>
              </w:rPr>
              <w:t xml:space="preserve">Valoarea lucrărilor de construcții, </w:t>
            </w:r>
          </w:p>
          <w:p w14:paraId="66DCA5C4" w14:textId="77777777" w:rsidR="006818E5" w:rsidRPr="006443E8" w:rsidRDefault="006818E5" w:rsidP="006818E5">
            <w:pPr>
              <w:ind w:right="114" w:firstLine="380"/>
              <w:jc w:val="right"/>
              <w:rPr>
                <w:sz w:val="24"/>
                <w:szCs w:val="24"/>
                <w:lang w:val="ro-MD"/>
              </w:rPr>
            </w:pPr>
            <w:r w:rsidRPr="006443E8">
              <w:rPr>
                <w:i/>
                <w:sz w:val="24"/>
                <w:szCs w:val="24"/>
                <w:lang w:val="ro-MD"/>
              </w:rPr>
              <w:t>perioada 2015-2023</w:t>
            </w:r>
          </w:p>
          <w:p w14:paraId="39D0494A" w14:textId="77777777" w:rsidR="006818E5" w:rsidRPr="006443E8" w:rsidRDefault="006818E5" w:rsidP="006818E5">
            <w:pPr>
              <w:spacing w:before="80"/>
              <w:ind w:right="113" w:firstLine="380"/>
              <w:jc w:val="right"/>
              <w:rPr>
                <w:sz w:val="24"/>
                <w:szCs w:val="24"/>
                <w:lang w:val="ro-MD"/>
              </w:rPr>
            </w:pPr>
            <w:r w:rsidRPr="006443E8">
              <w:rPr>
                <w:sz w:val="24"/>
                <w:szCs w:val="24"/>
                <w:lang w:val="ro-MD"/>
              </w:rPr>
              <w:t>milioane lei</w:t>
            </w:r>
          </w:p>
          <w:tbl>
            <w:tblPr>
              <w:tblStyle w:val="TableGrid"/>
              <w:tblW w:w="10059" w:type="dxa"/>
              <w:tblLayout w:type="fixed"/>
              <w:tblLook w:val="04A0" w:firstRow="1" w:lastRow="0" w:firstColumn="1" w:lastColumn="0" w:noHBand="0" w:noVBand="1"/>
            </w:tblPr>
            <w:tblGrid>
              <w:gridCol w:w="2117"/>
              <w:gridCol w:w="909"/>
              <w:gridCol w:w="936"/>
              <w:gridCol w:w="856"/>
              <w:gridCol w:w="856"/>
              <w:gridCol w:w="856"/>
              <w:gridCol w:w="856"/>
              <w:gridCol w:w="856"/>
              <w:gridCol w:w="856"/>
              <w:gridCol w:w="961"/>
            </w:tblGrid>
            <w:tr w:rsidR="006818E5" w:rsidRPr="006443E8" w14:paraId="2D9EBD3E" w14:textId="77777777" w:rsidTr="000913BC">
              <w:trPr>
                <w:trHeight w:val="428"/>
              </w:trPr>
              <w:tc>
                <w:tcPr>
                  <w:tcW w:w="2117" w:type="dxa"/>
                  <w:shd w:val="clear" w:color="auto" w:fill="DBE5F1" w:themeFill="accent1" w:themeFillTint="33"/>
                </w:tcPr>
                <w:p w14:paraId="069863BE" w14:textId="77777777" w:rsidR="006818E5" w:rsidRPr="006443E8" w:rsidRDefault="006818E5" w:rsidP="006818E5">
                  <w:pPr>
                    <w:ind w:firstLine="0"/>
                    <w:rPr>
                      <w:b/>
                      <w:lang w:val="ro-MD"/>
                    </w:rPr>
                  </w:pPr>
                </w:p>
              </w:tc>
              <w:tc>
                <w:tcPr>
                  <w:tcW w:w="909" w:type="dxa"/>
                  <w:shd w:val="clear" w:color="auto" w:fill="DBE5F1" w:themeFill="accent1" w:themeFillTint="33"/>
                  <w:vAlign w:val="center"/>
                </w:tcPr>
                <w:p w14:paraId="1F372AEB" w14:textId="77777777" w:rsidR="006818E5" w:rsidRPr="006443E8" w:rsidRDefault="006818E5" w:rsidP="006818E5">
                  <w:pPr>
                    <w:spacing w:before="80" w:after="80" w:line="276" w:lineRule="auto"/>
                    <w:ind w:firstLine="0"/>
                    <w:jc w:val="center"/>
                    <w:rPr>
                      <w:b/>
                      <w:lang w:val="ro-MD"/>
                    </w:rPr>
                  </w:pPr>
                  <w:r w:rsidRPr="006443E8">
                    <w:rPr>
                      <w:b/>
                      <w:lang w:val="ro-MD"/>
                    </w:rPr>
                    <w:t>2015</w:t>
                  </w:r>
                </w:p>
              </w:tc>
              <w:tc>
                <w:tcPr>
                  <w:tcW w:w="936" w:type="dxa"/>
                  <w:shd w:val="clear" w:color="auto" w:fill="DBE5F1" w:themeFill="accent1" w:themeFillTint="33"/>
                  <w:vAlign w:val="center"/>
                </w:tcPr>
                <w:p w14:paraId="22764A5F" w14:textId="77777777" w:rsidR="006818E5" w:rsidRPr="006443E8" w:rsidRDefault="006818E5" w:rsidP="006818E5">
                  <w:pPr>
                    <w:spacing w:before="80" w:after="80" w:line="276" w:lineRule="auto"/>
                    <w:ind w:firstLine="0"/>
                    <w:jc w:val="center"/>
                    <w:rPr>
                      <w:b/>
                      <w:lang w:val="ro-MD"/>
                    </w:rPr>
                  </w:pPr>
                  <w:r w:rsidRPr="006443E8">
                    <w:rPr>
                      <w:b/>
                      <w:lang w:val="ro-MD"/>
                    </w:rPr>
                    <w:t>2016</w:t>
                  </w:r>
                </w:p>
              </w:tc>
              <w:tc>
                <w:tcPr>
                  <w:tcW w:w="856" w:type="dxa"/>
                  <w:shd w:val="clear" w:color="auto" w:fill="DBE5F1" w:themeFill="accent1" w:themeFillTint="33"/>
                  <w:vAlign w:val="center"/>
                </w:tcPr>
                <w:p w14:paraId="2F0FDF8D" w14:textId="77777777" w:rsidR="006818E5" w:rsidRPr="006443E8" w:rsidRDefault="006818E5" w:rsidP="006818E5">
                  <w:pPr>
                    <w:spacing w:before="80" w:after="80" w:line="276" w:lineRule="auto"/>
                    <w:ind w:firstLine="0"/>
                    <w:jc w:val="center"/>
                    <w:rPr>
                      <w:b/>
                      <w:lang w:val="ro-MD"/>
                    </w:rPr>
                  </w:pPr>
                  <w:r w:rsidRPr="006443E8">
                    <w:rPr>
                      <w:b/>
                      <w:lang w:val="ro-MD"/>
                    </w:rPr>
                    <w:t>2017</w:t>
                  </w:r>
                </w:p>
              </w:tc>
              <w:tc>
                <w:tcPr>
                  <w:tcW w:w="856" w:type="dxa"/>
                  <w:shd w:val="clear" w:color="auto" w:fill="DBE5F1" w:themeFill="accent1" w:themeFillTint="33"/>
                  <w:vAlign w:val="center"/>
                </w:tcPr>
                <w:p w14:paraId="0EFFF12D" w14:textId="77777777" w:rsidR="006818E5" w:rsidRPr="006443E8" w:rsidRDefault="006818E5" w:rsidP="006818E5">
                  <w:pPr>
                    <w:spacing w:before="80" w:after="80" w:line="276" w:lineRule="auto"/>
                    <w:ind w:firstLine="0"/>
                    <w:jc w:val="center"/>
                    <w:rPr>
                      <w:b/>
                      <w:lang w:val="ro-MD"/>
                    </w:rPr>
                  </w:pPr>
                  <w:r w:rsidRPr="006443E8">
                    <w:rPr>
                      <w:b/>
                      <w:lang w:val="ro-MD"/>
                    </w:rPr>
                    <w:t>2018</w:t>
                  </w:r>
                </w:p>
              </w:tc>
              <w:tc>
                <w:tcPr>
                  <w:tcW w:w="856" w:type="dxa"/>
                  <w:shd w:val="clear" w:color="auto" w:fill="DBE5F1" w:themeFill="accent1" w:themeFillTint="33"/>
                  <w:vAlign w:val="center"/>
                </w:tcPr>
                <w:p w14:paraId="0BD413BB" w14:textId="77777777" w:rsidR="006818E5" w:rsidRPr="006443E8" w:rsidRDefault="006818E5" w:rsidP="006818E5">
                  <w:pPr>
                    <w:spacing w:before="80" w:after="80" w:line="276" w:lineRule="auto"/>
                    <w:ind w:firstLine="0"/>
                    <w:jc w:val="center"/>
                    <w:rPr>
                      <w:b/>
                      <w:lang w:val="ro-MD"/>
                    </w:rPr>
                  </w:pPr>
                  <w:r w:rsidRPr="006443E8">
                    <w:rPr>
                      <w:b/>
                      <w:lang w:val="ro-MD"/>
                    </w:rPr>
                    <w:t>2019</w:t>
                  </w:r>
                </w:p>
              </w:tc>
              <w:tc>
                <w:tcPr>
                  <w:tcW w:w="856" w:type="dxa"/>
                  <w:shd w:val="clear" w:color="auto" w:fill="DBE5F1" w:themeFill="accent1" w:themeFillTint="33"/>
                  <w:vAlign w:val="center"/>
                </w:tcPr>
                <w:p w14:paraId="6205B23E" w14:textId="77777777" w:rsidR="006818E5" w:rsidRPr="006443E8" w:rsidRDefault="006818E5" w:rsidP="006818E5">
                  <w:pPr>
                    <w:spacing w:before="80" w:after="80" w:line="276" w:lineRule="auto"/>
                    <w:ind w:firstLine="0"/>
                    <w:jc w:val="center"/>
                    <w:rPr>
                      <w:b/>
                      <w:lang w:val="ro-MD"/>
                    </w:rPr>
                  </w:pPr>
                  <w:r w:rsidRPr="006443E8">
                    <w:rPr>
                      <w:b/>
                      <w:lang w:val="ro-MD"/>
                    </w:rPr>
                    <w:t>2020</w:t>
                  </w:r>
                </w:p>
              </w:tc>
              <w:tc>
                <w:tcPr>
                  <w:tcW w:w="856" w:type="dxa"/>
                  <w:shd w:val="clear" w:color="auto" w:fill="DBE5F1" w:themeFill="accent1" w:themeFillTint="33"/>
                  <w:vAlign w:val="center"/>
                </w:tcPr>
                <w:p w14:paraId="0F93CF0A" w14:textId="77777777" w:rsidR="006818E5" w:rsidRPr="006443E8" w:rsidRDefault="006818E5" w:rsidP="006818E5">
                  <w:pPr>
                    <w:spacing w:before="80" w:after="80" w:line="276" w:lineRule="auto"/>
                    <w:ind w:firstLine="0"/>
                    <w:jc w:val="center"/>
                    <w:rPr>
                      <w:b/>
                      <w:lang w:val="ro-MD"/>
                    </w:rPr>
                  </w:pPr>
                  <w:r w:rsidRPr="006443E8">
                    <w:rPr>
                      <w:b/>
                      <w:lang w:val="ro-MD"/>
                    </w:rPr>
                    <w:t>2021</w:t>
                  </w:r>
                </w:p>
              </w:tc>
              <w:tc>
                <w:tcPr>
                  <w:tcW w:w="856" w:type="dxa"/>
                  <w:shd w:val="clear" w:color="auto" w:fill="DBE5F1" w:themeFill="accent1" w:themeFillTint="33"/>
                  <w:vAlign w:val="center"/>
                </w:tcPr>
                <w:p w14:paraId="347A764B" w14:textId="77777777" w:rsidR="006818E5" w:rsidRPr="006443E8" w:rsidRDefault="006818E5" w:rsidP="006818E5">
                  <w:pPr>
                    <w:spacing w:before="80" w:after="80" w:line="276" w:lineRule="auto"/>
                    <w:ind w:firstLine="0"/>
                    <w:jc w:val="center"/>
                    <w:rPr>
                      <w:b/>
                      <w:lang w:val="ro-MD"/>
                    </w:rPr>
                  </w:pPr>
                  <w:r w:rsidRPr="006443E8">
                    <w:rPr>
                      <w:b/>
                      <w:lang w:val="ro-MD"/>
                    </w:rPr>
                    <w:t>2022</w:t>
                  </w:r>
                </w:p>
              </w:tc>
              <w:tc>
                <w:tcPr>
                  <w:tcW w:w="961" w:type="dxa"/>
                  <w:shd w:val="clear" w:color="auto" w:fill="DBE5F1" w:themeFill="accent1" w:themeFillTint="33"/>
                  <w:vAlign w:val="center"/>
                </w:tcPr>
                <w:p w14:paraId="5918F5E8" w14:textId="77777777" w:rsidR="006818E5" w:rsidRPr="006443E8" w:rsidRDefault="006818E5" w:rsidP="006818E5">
                  <w:pPr>
                    <w:spacing w:before="80" w:after="80" w:line="276" w:lineRule="auto"/>
                    <w:ind w:firstLine="0"/>
                    <w:jc w:val="center"/>
                    <w:rPr>
                      <w:b/>
                      <w:lang w:val="ro-MD"/>
                    </w:rPr>
                  </w:pPr>
                  <w:r w:rsidRPr="006443E8">
                    <w:rPr>
                      <w:b/>
                      <w:lang w:val="ro-MD"/>
                    </w:rPr>
                    <w:t>2023</w:t>
                  </w:r>
                </w:p>
              </w:tc>
            </w:tr>
            <w:tr w:rsidR="006818E5" w:rsidRPr="006443E8" w14:paraId="083C6470" w14:textId="77777777" w:rsidTr="000913BC">
              <w:trPr>
                <w:trHeight w:val="865"/>
              </w:trPr>
              <w:tc>
                <w:tcPr>
                  <w:tcW w:w="2117" w:type="dxa"/>
                </w:tcPr>
                <w:p w14:paraId="3DCEC5F2" w14:textId="77777777" w:rsidR="006818E5" w:rsidRPr="006443E8" w:rsidRDefault="006818E5" w:rsidP="006818E5">
                  <w:pPr>
                    <w:ind w:firstLine="0"/>
                    <w:rPr>
                      <w:b/>
                      <w:lang w:val="ro-MD"/>
                    </w:rPr>
                  </w:pPr>
                  <w:r w:rsidRPr="006443E8">
                    <w:rPr>
                      <w:b/>
                      <w:lang w:val="ro-MD"/>
                    </w:rPr>
                    <w:t>Valoarea lucrărilor de construcții,</w:t>
                  </w:r>
                  <w:r w:rsidRPr="006443E8">
                    <w:t xml:space="preserve"> </w:t>
                  </w:r>
                  <w:r w:rsidRPr="006443E8">
                    <w:rPr>
                      <w:b/>
                      <w:lang w:val="ro-MD"/>
                    </w:rPr>
                    <w:t>pe forme de proprietate, publică</w:t>
                  </w:r>
                  <w:r w:rsidRPr="006443E8">
                    <w:t xml:space="preserve"> </w:t>
                  </w:r>
                </w:p>
              </w:tc>
              <w:tc>
                <w:tcPr>
                  <w:tcW w:w="909" w:type="dxa"/>
                </w:tcPr>
                <w:p w14:paraId="408CA743" w14:textId="77777777" w:rsidR="006818E5" w:rsidRPr="006443E8" w:rsidRDefault="006818E5" w:rsidP="006818E5">
                  <w:pPr>
                    <w:spacing w:before="80" w:after="80" w:line="276" w:lineRule="auto"/>
                    <w:ind w:firstLine="0"/>
                    <w:jc w:val="center"/>
                    <w:rPr>
                      <w:lang w:val="ro-MD"/>
                    </w:rPr>
                  </w:pPr>
                  <w:r w:rsidRPr="006443E8">
                    <w:rPr>
                      <w:lang w:val="ro-MD"/>
                    </w:rPr>
                    <w:t>130,3</w:t>
                  </w:r>
                </w:p>
              </w:tc>
              <w:tc>
                <w:tcPr>
                  <w:tcW w:w="936" w:type="dxa"/>
                </w:tcPr>
                <w:p w14:paraId="6EF980B7" w14:textId="77777777" w:rsidR="006818E5" w:rsidRPr="006443E8" w:rsidRDefault="006818E5" w:rsidP="006818E5">
                  <w:pPr>
                    <w:spacing w:before="80" w:after="80" w:line="276" w:lineRule="auto"/>
                    <w:ind w:firstLine="0"/>
                    <w:jc w:val="center"/>
                    <w:rPr>
                      <w:lang w:val="ro-MD"/>
                    </w:rPr>
                  </w:pPr>
                  <w:r w:rsidRPr="006443E8">
                    <w:rPr>
                      <w:lang w:val="ro-MD"/>
                    </w:rPr>
                    <w:t>126,4</w:t>
                  </w:r>
                </w:p>
              </w:tc>
              <w:tc>
                <w:tcPr>
                  <w:tcW w:w="856" w:type="dxa"/>
                </w:tcPr>
                <w:p w14:paraId="74CBE257" w14:textId="77777777" w:rsidR="006818E5" w:rsidRPr="006443E8" w:rsidRDefault="006818E5" w:rsidP="006818E5">
                  <w:pPr>
                    <w:spacing w:before="80" w:after="80" w:line="276" w:lineRule="auto"/>
                    <w:ind w:firstLine="0"/>
                    <w:jc w:val="center"/>
                    <w:rPr>
                      <w:lang w:val="ro-MD"/>
                    </w:rPr>
                  </w:pPr>
                  <w:r w:rsidRPr="006443E8">
                    <w:rPr>
                      <w:lang w:val="ro-MD"/>
                    </w:rPr>
                    <w:t>160,8</w:t>
                  </w:r>
                </w:p>
              </w:tc>
              <w:tc>
                <w:tcPr>
                  <w:tcW w:w="856" w:type="dxa"/>
                </w:tcPr>
                <w:p w14:paraId="4CB7192B" w14:textId="77777777" w:rsidR="006818E5" w:rsidRPr="006443E8" w:rsidRDefault="006818E5" w:rsidP="006818E5">
                  <w:pPr>
                    <w:spacing w:before="80" w:after="80" w:line="276" w:lineRule="auto"/>
                    <w:ind w:firstLine="0"/>
                    <w:jc w:val="center"/>
                    <w:rPr>
                      <w:lang w:val="ro-MD"/>
                    </w:rPr>
                  </w:pPr>
                  <w:r w:rsidRPr="006443E8">
                    <w:t>111,8</w:t>
                  </w:r>
                </w:p>
              </w:tc>
              <w:tc>
                <w:tcPr>
                  <w:tcW w:w="856" w:type="dxa"/>
                </w:tcPr>
                <w:p w14:paraId="274D6050" w14:textId="77777777" w:rsidR="006818E5" w:rsidRPr="006443E8" w:rsidRDefault="006818E5" w:rsidP="006818E5">
                  <w:pPr>
                    <w:spacing w:before="80" w:after="80" w:line="276" w:lineRule="auto"/>
                    <w:ind w:firstLine="0"/>
                    <w:jc w:val="center"/>
                    <w:rPr>
                      <w:lang w:val="ro-MD"/>
                    </w:rPr>
                  </w:pPr>
                  <w:r w:rsidRPr="006443E8">
                    <w:rPr>
                      <w:lang w:val="ro-MD"/>
                    </w:rPr>
                    <w:t>168,9</w:t>
                  </w:r>
                </w:p>
              </w:tc>
              <w:tc>
                <w:tcPr>
                  <w:tcW w:w="856" w:type="dxa"/>
                </w:tcPr>
                <w:p w14:paraId="5E74A0CC" w14:textId="77777777" w:rsidR="006818E5" w:rsidRPr="006443E8" w:rsidRDefault="006818E5" w:rsidP="006818E5">
                  <w:pPr>
                    <w:spacing w:before="80" w:after="80" w:line="276" w:lineRule="auto"/>
                    <w:ind w:firstLine="0"/>
                    <w:jc w:val="center"/>
                    <w:rPr>
                      <w:lang w:val="ro-MD"/>
                    </w:rPr>
                  </w:pPr>
                  <w:r w:rsidRPr="006443E8">
                    <w:rPr>
                      <w:lang w:val="ro-MD"/>
                    </w:rPr>
                    <w:t>165,6</w:t>
                  </w:r>
                </w:p>
              </w:tc>
              <w:tc>
                <w:tcPr>
                  <w:tcW w:w="856" w:type="dxa"/>
                </w:tcPr>
                <w:p w14:paraId="3B4993BE" w14:textId="77777777" w:rsidR="006818E5" w:rsidRPr="006443E8" w:rsidRDefault="006818E5" w:rsidP="006818E5">
                  <w:pPr>
                    <w:spacing w:before="80" w:after="80" w:line="276" w:lineRule="auto"/>
                    <w:ind w:firstLine="0"/>
                    <w:jc w:val="center"/>
                    <w:rPr>
                      <w:lang w:val="ro-MD"/>
                    </w:rPr>
                  </w:pPr>
                  <w:r w:rsidRPr="006443E8">
                    <w:rPr>
                      <w:lang w:val="ro-MD"/>
                    </w:rPr>
                    <w:t>197,1</w:t>
                  </w:r>
                </w:p>
              </w:tc>
              <w:tc>
                <w:tcPr>
                  <w:tcW w:w="856" w:type="dxa"/>
                </w:tcPr>
                <w:p w14:paraId="10B5AD81" w14:textId="77777777" w:rsidR="006818E5" w:rsidRPr="006443E8" w:rsidRDefault="006818E5" w:rsidP="006818E5">
                  <w:pPr>
                    <w:spacing w:before="80" w:after="80" w:line="276" w:lineRule="auto"/>
                    <w:ind w:firstLine="0"/>
                    <w:jc w:val="center"/>
                    <w:rPr>
                      <w:lang w:val="ro-MD"/>
                    </w:rPr>
                  </w:pPr>
                  <w:r w:rsidRPr="006443E8">
                    <w:t>278,1</w:t>
                  </w:r>
                </w:p>
              </w:tc>
              <w:tc>
                <w:tcPr>
                  <w:tcW w:w="961" w:type="dxa"/>
                </w:tcPr>
                <w:p w14:paraId="24CDDA4C" w14:textId="2EFA62F8" w:rsidR="006818E5" w:rsidRPr="006443E8" w:rsidRDefault="00CE0AB3" w:rsidP="006818E5">
                  <w:pPr>
                    <w:spacing w:before="80" w:after="80" w:line="276" w:lineRule="auto"/>
                    <w:ind w:firstLine="0"/>
                    <w:jc w:val="center"/>
                    <w:rPr>
                      <w:lang w:val="ro-MD"/>
                    </w:rPr>
                  </w:pPr>
                  <w:r w:rsidRPr="00CE0AB3">
                    <w:rPr>
                      <w:lang w:val="ro-MD"/>
                    </w:rPr>
                    <w:t>Lipsa datelor la BNS</w:t>
                  </w:r>
                </w:p>
              </w:tc>
            </w:tr>
            <w:tr w:rsidR="006818E5" w:rsidRPr="006443E8" w14:paraId="2D508342" w14:textId="77777777" w:rsidTr="000913BC">
              <w:trPr>
                <w:trHeight w:val="865"/>
              </w:trPr>
              <w:tc>
                <w:tcPr>
                  <w:tcW w:w="2117" w:type="dxa"/>
                </w:tcPr>
                <w:p w14:paraId="0FE5D377" w14:textId="77777777" w:rsidR="006818E5" w:rsidRPr="006443E8" w:rsidRDefault="006818E5" w:rsidP="006818E5">
                  <w:pPr>
                    <w:ind w:firstLine="0"/>
                    <w:rPr>
                      <w:b/>
                      <w:lang w:val="ro-MD"/>
                    </w:rPr>
                  </w:pPr>
                  <w:r w:rsidRPr="006443E8">
                    <w:rPr>
                      <w:b/>
                      <w:lang w:val="ro-MD"/>
                    </w:rPr>
                    <w:t>Valoarea lucrărilor de construcții,</w:t>
                  </w:r>
                  <w:r w:rsidRPr="006443E8">
                    <w:rPr>
                      <w:b/>
                    </w:rPr>
                    <w:t xml:space="preserve"> </w:t>
                  </w:r>
                  <w:r w:rsidRPr="006443E8">
                    <w:rPr>
                      <w:b/>
                      <w:lang w:val="ro-MD"/>
                    </w:rPr>
                    <w:t>pe forme de proprietate, privată</w:t>
                  </w:r>
                </w:p>
              </w:tc>
              <w:tc>
                <w:tcPr>
                  <w:tcW w:w="909" w:type="dxa"/>
                </w:tcPr>
                <w:p w14:paraId="7EEE273C" w14:textId="77777777" w:rsidR="006818E5" w:rsidRPr="006443E8" w:rsidRDefault="006818E5" w:rsidP="00B66D8A">
                  <w:pPr>
                    <w:spacing w:before="80" w:after="80" w:line="276" w:lineRule="auto"/>
                    <w:ind w:left="-57" w:right="-57" w:firstLine="0"/>
                    <w:jc w:val="center"/>
                    <w:rPr>
                      <w:lang w:val="ro-MD"/>
                    </w:rPr>
                  </w:pPr>
                  <w:r w:rsidRPr="006443E8">
                    <w:t>6 680,1</w:t>
                  </w:r>
                </w:p>
              </w:tc>
              <w:tc>
                <w:tcPr>
                  <w:tcW w:w="936" w:type="dxa"/>
                </w:tcPr>
                <w:p w14:paraId="1164330B" w14:textId="77777777" w:rsidR="006818E5" w:rsidRPr="006443E8" w:rsidRDefault="006818E5" w:rsidP="00B66D8A">
                  <w:pPr>
                    <w:spacing w:before="80" w:after="80" w:line="276" w:lineRule="auto"/>
                    <w:ind w:left="-57" w:right="-57" w:firstLine="0"/>
                    <w:jc w:val="center"/>
                    <w:rPr>
                      <w:lang w:val="ro-MD"/>
                    </w:rPr>
                  </w:pPr>
                  <w:r w:rsidRPr="006443E8">
                    <w:t>6 906,9</w:t>
                  </w:r>
                </w:p>
              </w:tc>
              <w:tc>
                <w:tcPr>
                  <w:tcW w:w="856" w:type="dxa"/>
                </w:tcPr>
                <w:p w14:paraId="4C06E56B" w14:textId="77777777" w:rsidR="006818E5" w:rsidRPr="006443E8" w:rsidRDefault="006818E5" w:rsidP="00B66D8A">
                  <w:pPr>
                    <w:spacing w:before="80" w:after="80" w:line="276" w:lineRule="auto"/>
                    <w:ind w:left="-57" w:right="-57" w:firstLine="0"/>
                    <w:jc w:val="center"/>
                    <w:rPr>
                      <w:lang w:val="ro-MD"/>
                    </w:rPr>
                  </w:pPr>
                  <w:r w:rsidRPr="006443E8">
                    <w:t>7 614,3</w:t>
                  </w:r>
                </w:p>
              </w:tc>
              <w:tc>
                <w:tcPr>
                  <w:tcW w:w="856" w:type="dxa"/>
                </w:tcPr>
                <w:p w14:paraId="3F9C0B18" w14:textId="77777777" w:rsidR="006818E5" w:rsidRPr="006443E8" w:rsidRDefault="006818E5" w:rsidP="00B66D8A">
                  <w:pPr>
                    <w:spacing w:before="80" w:after="80" w:line="276" w:lineRule="auto"/>
                    <w:ind w:left="-57" w:right="-57" w:firstLine="0"/>
                    <w:jc w:val="center"/>
                    <w:rPr>
                      <w:lang w:val="ro-MD"/>
                    </w:rPr>
                  </w:pPr>
                  <w:r w:rsidRPr="006443E8">
                    <w:t>9 655,1</w:t>
                  </w:r>
                </w:p>
              </w:tc>
              <w:tc>
                <w:tcPr>
                  <w:tcW w:w="856" w:type="dxa"/>
                </w:tcPr>
                <w:p w14:paraId="60626DA9" w14:textId="77777777" w:rsidR="006818E5" w:rsidRPr="006443E8" w:rsidRDefault="006818E5" w:rsidP="00B66D8A">
                  <w:pPr>
                    <w:spacing w:before="80" w:after="80" w:line="276" w:lineRule="auto"/>
                    <w:ind w:left="-57" w:right="-57" w:firstLine="0"/>
                    <w:jc w:val="center"/>
                    <w:rPr>
                      <w:lang w:val="ro-MD"/>
                    </w:rPr>
                  </w:pPr>
                  <w:r w:rsidRPr="006443E8">
                    <w:t>11 036,3</w:t>
                  </w:r>
                </w:p>
              </w:tc>
              <w:tc>
                <w:tcPr>
                  <w:tcW w:w="856" w:type="dxa"/>
                </w:tcPr>
                <w:p w14:paraId="3B15D359" w14:textId="77777777" w:rsidR="006818E5" w:rsidRPr="006443E8" w:rsidRDefault="006818E5" w:rsidP="00B66D8A">
                  <w:pPr>
                    <w:spacing w:before="80" w:after="80" w:line="276" w:lineRule="auto"/>
                    <w:ind w:left="-57" w:right="-57" w:firstLine="0"/>
                    <w:jc w:val="center"/>
                    <w:rPr>
                      <w:lang w:val="ro-MD"/>
                    </w:rPr>
                  </w:pPr>
                  <w:r w:rsidRPr="006443E8">
                    <w:t>12 898,8</w:t>
                  </w:r>
                </w:p>
              </w:tc>
              <w:tc>
                <w:tcPr>
                  <w:tcW w:w="856" w:type="dxa"/>
                </w:tcPr>
                <w:p w14:paraId="4F59C6D6" w14:textId="77777777" w:rsidR="006818E5" w:rsidRPr="006443E8" w:rsidRDefault="006818E5" w:rsidP="00B66D8A">
                  <w:pPr>
                    <w:spacing w:before="80" w:after="80" w:line="276" w:lineRule="auto"/>
                    <w:ind w:left="-57" w:right="-57" w:firstLine="0"/>
                    <w:jc w:val="center"/>
                    <w:rPr>
                      <w:lang w:val="ro-MD"/>
                    </w:rPr>
                  </w:pPr>
                  <w:r w:rsidRPr="006443E8">
                    <w:t>14 829,0</w:t>
                  </w:r>
                </w:p>
              </w:tc>
              <w:tc>
                <w:tcPr>
                  <w:tcW w:w="856" w:type="dxa"/>
                </w:tcPr>
                <w:p w14:paraId="422DE0D9" w14:textId="77777777" w:rsidR="006818E5" w:rsidRPr="006443E8" w:rsidRDefault="006818E5" w:rsidP="00B66D8A">
                  <w:pPr>
                    <w:spacing w:before="80" w:after="80" w:line="276" w:lineRule="auto"/>
                    <w:ind w:left="-57" w:right="-57" w:firstLine="0"/>
                    <w:jc w:val="center"/>
                    <w:rPr>
                      <w:lang w:val="ro-MD"/>
                    </w:rPr>
                  </w:pPr>
                  <w:r w:rsidRPr="006443E8">
                    <w:rPr>
                      <w:lang w:val="ro-MD"/>
                    </w:rPr>
                    <w:t>15 063,2</w:t>
                  </w:r>
                </w:p>
              </w:tc>
              <w:tc>
                <w:tcPr>
                  <w:tcW w:w="961" w:type="dxa"/>
                </w:tcPr>
                <w:p w14:paraId="7517CE41" w14:textId="655B8315" w:rsidR="006818E5" w:rsidRPr="006443E8" w:rsidRDefault="00CE0AB3" w:rsidP="006818E5">
                  <w:pPr>
                    <w:spacing w:before="80" w:after="80" w:line="276" w:lineRule="auto"/>
                    <w:ind w:firstLine="0"/>
                    <w:jc w:val="center"/>
                    <w:rPr>
                      <w:lang w:val="ro-MD"/>
                    </w:rPr>
                  </w:pPr>
                  <w:r w:rsidRPr="00CE0AB3">
                    <w:rPr>
                      <w:lang w:val="ro-MD"/>
                    </w:rPr>
                    <w:t>Lipsa datelor la BNS</w:t>
                  </w:r>
                </w:p>
              </w:tc>
            </w:tr>
            <w:tr w:rsidR="006818E5" w:rsidRPr="006443E8" w14:paraId="2E4DE275" w14:textId="77777777" w:rsidTr="000913BC">
              <w:trPr>
                <w:trHeight w:val="638"/>
              </w:trPr>
              <w:tc>
                <w:tcPr>
                  <w:tcW w:w="2117" w:type="dxa"/>
                </w:tcPr>
                <w:p w14:paraId="04C84755" w14:textId="77777777" w:rsidR="006818E5" w:rsidRPr="006443E8" w:rsidRDefault="006818E5" w:rsidP="006818E5">
                  <w:pPr>
                    <w:ind w:firstLine="0"/>
                    <w:rPr>
                      <w:b/>
                      <w:lang w:val="ro-MD"/>
                    </w:rPr>
                  </w:pPr>
                  <w:r w:rsidRPr="006443E8">
                    <w:rPr>
                      <w:b/>
                      <w:lang w:val="ro-MD"/>
                    </w:rPr>
                    <w:t>Valoarea lucrărilor de construcții, Totală:</w:t>
                  </w:r>
                </w:p>
              </w:tc>
              <w:tc>
                <w:tcPr>
                  <w:tcW w:w="909" w:type="dxa"/>
                </w:tcPr>
                <w:p w14:paraId="12653EE1" w14:textId="77777777" w:rsidR="006818E5" w:rsidRPr="006443E8" w:rsidRDefault="006818E5" w:rsidP="00B66D8A">
                  <w:pPr>
                    <w:spacing w:before="80" w:after="80" w:line="276" w:lineRule="auto"/>
                    <w:ind w:left="-57" w:right="-57" w:firstLine="0"/>
                    <w:jc w:val="center"/>
                  </w:pPr>
                  <w:r w:rsidRPr="006443E8">
                    <w:t>8 212,8</w:t>
                  </w:r>
                </w:p>
              </w:tc>
              <w:tc>
                <w:tcPr>
                  <w:tcW w:w="936" w:type="dxa"/>
                </w:tcPr>
                <w:p w14:paraId="5129FDA7" w14:textId="77777777" w:rsidR="006818E5" w:rsidRPr="006443E8" w:rsidRDefault="006818E5" w:rsidP="00B66D8A">
                  <w:pPr>
                    <w:spacing w:before="80" w:after="80" w:line="276" w:lineRule="auto"/>
                    <w:ind w:left="-57" w:right="-57" w:firstLine="0"/>
                    <w:jc w:val="center"/>
                  </w:pPr>
                  <w:r w:rsidRPr="006443E8">
                    <w:t>8 200,0</w:t>
                  </w:r>
                </w:p>
              </w:tc>
              <w:tc>
                <w:tcPr>
                  <w:tcW w:w="856" w:type="dxa"/>
                </w:tcPr>
                <w:p w14:paraId="52F4C72F" w14:textId="77777777" w:rsidR="006818E5" w:rsidRPr="006443E8" w:rsidRDefault="006818E5" w:rsidP="00B66D8A">
                  <w:pPr>
                    <w:spacing w:before="80" w:after="80" w:line="276" w:lineRule="auto"/>
                    <w:ind w:left="-57" w:right="-57" w:firstLine="0"/>
                    <w:jc w:val="center"/>
                  </w:pPr>
                  <w:r w:rsidRPr="006443E8">
                    <w:t>9 100,1</w:t>
                  </w:r>
                </w:p>
              </w:tc>
              <w:tc>
                <w:tcPr>
                  <w:tcW w:w="856" w:type="dxa"/>
                </w:tcPr>
                <w:p w14:paraId="138A35E9" w14:textId="77777777" w:rsidR="006818E5" w:rsidRPr="006443E8" w:rsidRDefault="006818E5" w:rsidP="00B66D8A">
                  <w:pPr>
                    <w:spacing w:before="80" w:after="80" w:line="276" w:lineRule="auto"/>
                    <w:ind w:left="-57" w:right="-57" w:firstLine="0"/>
                    <w:jc w:val="center"/>
                  </w:pPr>
                  <w:r w:rsidRPr="006443E8">
                    <w:t>11 356,4</w:t>
                  </w:r>
                </w:p>
              </w:tc>
              <w:tc>
                <w:tcPr>
                  <w:tcW w:w="856" w:type="dxa"/>
                </w:tcPr>
                <w:p w14:paraId="3842EB56" w14:textId="77777777" w:rsidR="006818E5" w:rsidRPr="006443E8" w:rsidRDefault="006818E5" w:rsidP="00B66D8A">
                  <w:pPr>
                    <w:spacing w:before="80" w:after="80" w:line="276" w:lineRule="auto"/>
                    <w:ind w:left="-57" w:right="-57" w:firstLine="0"/>
                    <w:jc w:val="center"/>
                  </w:pPr>
                  <w:r w:rsidRPr="006443E8">
                    <w:t>13 408,5</w:t>
                  </w:r>
                </w:p>
              </w:tc>
              <w:tc>
                <w:tcPr>
                  <w:tcW w:w="856" w:type="dxa"/>
                </w:tcPr>
                <w:p w14:paraId="7A4B04DA" w14:textId="77777777" w:rsidR="006818E5" w:rsidRPr="006443E8" w:rsidRDefault="006818E5" w:rsidP="00B66D8A">
                  <w:pPr>
                    <w:spacing w:before="80" w:after="80" w:line="276" w:lineRule="auto"/>
                    <w:ind w:left="-57" w:right="-57" w:firstLine="0"/>
                    <w:jc w:val="center"/>
                  </w:pPr>
                  <w:r w:rsidRPr="006443E8">
                    <w:t>15 090,9</w:t>
                  </w:r>
                </w:p>
              </w:tc>
              <w:tc>
                <w:tcPr>
                  <w:tcW w:w="856" w:type="dxa"/>
                </w:tcPr>
                <w:p w14:paraId="2B060B65" w14:textId="77777777" w:rsidR="006818E5" w:rsidRPr="006443E8" w:rsidRDefault="006818E5" w:rsidP="00B66D8A">
                  <w:pPr>
                    <w:spacing w:before="80" w:after="80" w:line="276" w:lineRule="auto"/>
                    <w:ind w:left="-57" w:right="-57" w:firstLine="0"/>
                    <w:jc w:val="center"/>
                  </w:pPr>
                  <w:r w:rsidRPr="006443E8">
                    <w:t>16 914,1</w:t>
                  </w:r>
                </w:p>
              </w:tc>
              <w:tc>
                <w:tcPr>
                  <w:tcW w:w="856" w:type="dxa"/>
                </w:tcPr>
                <w:p w14:paraId="21EFE042" w14:textId="77777777" w:rsidR="006818E5" w:rsidRPr="006443E8" w:rsidRDefault="006818E5" w:rsidP="00B66D8A">
                  <w:pPr>
                    <w:spacing w:before="80" w:after="80" w:line="276" w:lineRule="auto"/>
                    <w:ind w:left="-57" w:right="-57" w:firstLine="0"/>
                    <w:jc w:val="center"/>
                    <w:rPr>
                      <w:lang w:val="ro-MD"/>
                    </w:rPr>
                  </w:pPr>
                  <w:r w:rsidRPr="006443E8">
                    <w:t>17 348,5</w:t>
                  </w:r>
                </w:p>
              </w:tc>
              <w:tc>
                <w:tcPr>
                  <w:tcW w:w="961" w:type="dxa"/>
                </w:tcPr>
                <w:p w14:paraId="0A7B1128" w14:textId="77777777" w:rsidR="006818E5" w:rsidRPr="006443E8" w:rsidRDefault="006818E5" w:rsidP="006818E5">
                  <w:pPr>
                    <w:spacing w:before="80" w:after="80" w:line="276" w:lineRule="auto"/>
                    <w:ind w:firstLine="0"/>
                    <w:jc w:val="center"/>
                    <w:rPr>
                      <w:lang w:val="ro-MD"/>
                    </w:rPr>
                  </w:pPr>
                  <w:r w:rsidRPr="006443E8">
                    <w:rPr>
                      <w:lang w:val="ro-MD"/>
                    </w:rPr>
                    <w:t>16 594,3</w:t>
                  </w:r>
                </w:p>
              </w:tc>
            </w:tr>
          </w:tbl>
          <w:p w14:paraId="212A776B" w14:textId="3C092498" w:rsidR="005552ED" w:rsidRDefault="00570A1F" w:rsidP="008F259F">
            <w:pPr>
              <w:spacing w:before="120" w:after="80" w:line="276" w:lineRule="auto"/>
              <w:ind w:firstLine="380"/>
              <w:rPr>
                <w:sz w:val="24"/>
                <w:szCs w:val="24"/>
                <w:lang w:val="ro-MD"/>
              </w:rPr>
            </w:pPr>
            <w:r>
              <w:rPr>
                <w:sz w:val="24"/>
                <w:szCs w:val="24"/>
                <w:lang w:val="ro-MD"/>
              </w:rPr>
              <w:t xml:space="preserve">Astfel, </w:t>
            </w:r>
            <w:r w:rsidR="00422098">
              <w:rPr>
                <w:sz w:val="24"/>
                <w:szCs w:val="24"/>
                <w:lang w:val="ro-MD"/>
              </w:rPr>
              <w:t>urmare examinării raportului dintre sursele alocate</w:t>
            </w:r>
            <w:r w:rsidR="00B941AA">
              <w:rPr>
                <w:sz w:val="24"/>
                <w:szCs w:val="24"/>
                <w:lang w:val="ro-MD"/>
              </w:rPr>
              <w:t xml:space="preserve"> și sursele financiare acumulate anual din defalcări,</w:t>
            </w:r>
            <w:r w:rsidR="00422098">
              <w:rPr>
                <w:sz w:val="24"/>
                <w:szCs w:val="24"/>
                <w:lang w:val="ro-MD"/>
              </w:rPr>
              <w:t xml:space="preserve"> pentru dezvoltarea SDNC</w:t>
            </w:r>
            <w:r w:rsidR="00B941AA">
              <w:rPr>
                <w:sz w:val="24"/>
                <w:szCs w:val="24"/>
                <w:lang w:val="ro-MD"/>
              </w:rPr>
              <w:t xml:space="preserve"> în raport cu</w:t>
            </w:r>
            <w:r w:rsidR="00422098">
              <w:rPr>
                <w:sz w:val="24"/>
                <w:szCs w:val="24"/>
                <w:lang w:val="ro-MD"/>
              </w:rPr>
              <w:t xml:space="preserve"> valoarea lucrărilor de construcții executate,</w:t>
            </w:r>
            <w:r w:rsidR="0005401B">
              <w:rPr>
                <w:sz w:val="24"/>
                <w:szCs w:val="24"/>
                <w:lang w:val="ro-MD"/>
              </w:rPr>
              <w:t xml:space="preserve"> pe forma de proprietate privată,</w:t>
            </w:r>
            <w:r w:rsidR="00422098">
              <w:rPr>
                <w:sz w:val="24"/>
                <w:szCs w:val="24"/>
                <w:lang w:val="ro-MD"/>
              </w:rPr>
              <w:t xml:space="preserve"> pentru perioada 2015-2024, putem constata</w:t>
            </w:r>
            <w:r w:rsidR="00B50081">
              <w:rPr>
                <w:sz w:val="24"/>
                <w:szCs w:val="24"/>
                <w:lang w:val="ro-MD"/>
              </w:rPr>
              <w:t xml:space="preserve"> conform datelor din tabelul nr. 1 și nr.2,</w:t>
            </w:r>
            <w:r w:rsidR="00422098">
              <w:rPr>
                <w:sz w:val="24"/>
                <w:szCs w:val="24"/>
                <w:lang w:val="ro-MD"/>
              </w:rPr>
              <w:t xml:space="preserve"> că </w:t>
            </w:r>
            <w:r w:rsidR="0005401B">
              <w:rPr>
                <w:sz w:val="24"/>
                <w:szCs w:val="24"/>
                <w:lang w:val="ro-MD"/>
              </w:rPr>
              <w:t xml:space="preserve">au constituit în mediu </w:t>
            </w:r>
            <w:r w:rsidR="003C6176">
              <w:rPr>
                <w:sz w:val="24"/>
                <w:szCs w:val="24"/>
                <w:lang w:val="ro-MD"/>
              </w:rPr>
              <w:t>de la 0,06 – 0,19</w:t>
            </w:r>
            <w:r w:rsidR="0005401B">
              <w:rPr>
                <w:sz w:val="24"/>
                <w:szCs w:val="24"/>
                <w:lang w:val="ro-MD"/>
              </w:rPr>
              <w:t>%</w:t>
            </w:r>
            <w:r w:rsidR="00866D33">
              <w:rPr>
                <w:sz w:val="24"/>
                <w:szCs w:val="24"/>
                <w:lang w:val="ro-MD"/>
              </w:rPr>
              <w:t xml:space="preserve">, </w:t>
            </w:r>
            <w:r w:rsidR="00B50081">
              <w:rPr>
                <w:sz w:val="24"/>
                <w:szCs w:val="24"/>
                <w:lang w:val="ro-MD"/>
              </w:rPr>
              <w:t>inclusiv</w:t>
            </w:r>
            <w:r w:rsidR="00B941AA">
              <w:rPr>
                <w:sz w:val="24"/>
                <w:szCs w:val="24"/>
                <w:lang w:val="ro-MD"/>
              </w:rPr>
              <w:t xml:space="preserve"> și raportat la</w:t>
            </w:r>
            <w:r w:rsidR="00866D33">
              <w:rPr>
                <w:sz w:val="24"/>
                <w:szCs w:val="24"/>
                <w:lang w:val="ro-MD"/>
              </w:rPr>
              <w:t xml:space="preserve"> valoarea totală a lucrărilor de construcții, ceia ce este cu mult mai mică în comparație cu cele 0,5% stabilite </w:t>
            </w:r>
            <w:r w:rsidR="0042208F">
              <w:rPr>
                <w:sz w:val="24"/>
                <w:szCs w:val="24"/>
                <w:lang w:val="ro-MD"/>
              </w:rPr>
              <w:t>pentru virarea</w:t>
            </w:r>
            <w:r w:rsidR="009456DA">
              <w:t xml:space="preserve"> </w:t>
            </w:r>
            <w:r w:rsidR="009456DA" w:rsidRPr="009456DA">
              <w:rPr>
                <w:sz w:val="24"/>
                <w:szCs w:val="24"/>
                <w:lang w:val="ro-MD"/>
              </w:rPr>
              <w:t>la bugetul de stat a defalcărilor</w:t>
            </w:r>
            <w:r w:rsidR="009456DA">
              <w:rPr>
                <w:sz w:val="24"/>
                <w:szCs w:val="24"/>
                <w:lang w:val="ro-MD"/>
              </w:rPr>
              <w:t xml:space="preserve"> </w:t>
            </w:r>
            <w:r w:rsidR="009456DA" w:rsidRPr="009456DA">
              <w:rPr>
                <w:sz w:val="24"/>
                <w:szCs w:val="24"/>
                <w:lang w:val="ro-MD"/>
              </w:rPr>
              <w:t>din volumul investiţiilor în capitalul fix pentru obiectivele care nu sînt finanţate din bugetul public naţional</w:t>
            </w:r>
            <w:r w:rsidR="009456DA">
              <w:rPr>
                <w:sz w:val="24"/>
                <w:szCs w:val="24"/>
                <w:lang w:val="ro-MD"/>
              </w:rPr>
              <w:t xml:space="preserve">, </w:t>
            </w:r>
            <w:r w:rsidR="00866D33">
              <w:rPr>
                <w:sz w:val="24"/>
                <w:szCs w:val="24"/>
                <w:lang w:val="ro-MD"/>
              </w:rPr>
              <w:t xml:space="preserve">de către </w:t>
            </w:r>
            <w:r w:rsidR="009456DA">
              <w:rPr>
                <w:sz w:val="24"/>
                <w:szCs w:val="24"/>
                <w:lang w:val="ro-MD"/>
              </w:rPr>
              <w:t>Legea nr.721/1996 privind calitatea în construcții</w:t>
            </w:r>
            <w:r w:rsidR="00866D33">
              <w:rPr>
                <w:sz w:val="24"/>
                <w:szCs w:val="24"/>
                <w:lang w:val="ro-MD"/>
              </w:rPr>
              <w:t>.</w:t>
            </w:r>
          </w:p>
          <w:p w14:paraId="5716C7EA" w14:textId="6CA38256" w:rsidR="008F259F" w:rsidRDefault="00866D33" w:rsidP="008F259F">
            <w:pPr>
              <w:spacing w:before="120" w:after="80" w:line="276" w:lineRule="auto"/>
              <w:ind w:firstLine="380"/>
              <w:rPr>
                <w:sz w:val="24"/>
                <w:szCs w:val="24"/>
                <w:lang w:val="ro-MD"/>
              </w:rPr>
            </w:pPr>
            <w:r>
              <w:rPr>
                <w:sz w:val="24"/>
                <w:szCs w:val="24"/>
                <w:lang w:val="ro-MD"/>
              </w:rPr>
              <w:t>Totodată, menționăm că î</w:t>
            </w:r>
            <w:r w:rsidR="008F259F" w:rsidRPr="008F259F">
              <w:rPr>
                <w:sz w:val="24"/>
                <w:szCs w:val="24"/>
                <w:lang w:val="ro-MD"/>
              </w:rPr>
              <w:t>n ultimii ani, și anume în perioada 2018-2023 au fost valorificate sursele financiare alocate d</w:t>
            </w:r>
            <w:r w:rsidR="00641738">
              <w:rPr>
                <w:sz w:val="24"/>
                <w:szCs w:val="24"/>
                <w:lang w:val="ro-MD"/>
              </w:rPr>
              <w:t>in</w:t>
            </w:r>
            <w:r w:rsidR="008F259F" w:rsidRPr="008F259F">
              <w:rPr>
                <w:sz w:val="24"/>
                <w:szCs w:val="24"/>
                <w:lang w:val="ro-MD"/>
              </w:rPr>
              <w:t xml:space="preserve"> bugetul </w:t>
            </w:r>
            <w:r w:rsidR="00F55D75">
              <w:rPr>
                <w:sz w:val="24"/>
                <w:szCs w:val="24"/>
                <w:lang w:val="ro-MD"/>
              </w:rPr>
              <w:t>de stat</w:t>
            </w:r>
            <w:r w:rsidR="008F259F" w:rsidRPr="008F259F">
              <w:rPr>
                <w:sz w:val="24"/>
                <w:szCs w:val="24"/>
                <w:lang w:val="ro-MD"/>
              </w:rPr>
              <w:t xml:space="preserve"> pentru dezvoltarea SDNC (</w:t>
            </w:r>
            <w:r w:rsidR="00807EE7">
              <w:rPr>
                <w:sz w:val="24"/>
                <w:szCs w:val="24"/>
                <w:lang w:val="ro-MD"/>
              </w:rPr>
              <w:t>a se vedea</w:t>
            </w:r>
            <w:r w:rsidR="008F259F" w:rsidRPr="008F259F">
              <w:rPr>
                <w:sz w:val="24"/>
                <w:szCs w:val="24"/>
                <w:lang w:val="ro-MD"/>
              </w:rPr>
              <w:t xml:space="preserve"> tabelul nr.1), doar pentru serviciile de administrare tehnică și menținere a Sistemului Informațional e-Documente Normative în </w:t>
            </w:r>
            <w:r w:rsidR="008F259F" w:rsidRPr="008F259F">
              <w:rPr>
                <w:sz w:val="24"/>
                <w:szCs w:val="24"/>
                <w:lang w:val="ro-MD"/>
              </w:rPr>
              <w:lastRenderedPageBreak/>
              <w:t xml:space="preserve">Construcții de către STISC, serviciile de gestionare a portalului de documente normative în construcții www.ednc.gov.md și serviciile de elaborare și publicare a versiunii electronice „Catalogul de prețuri medii pentru materiale de construcții” acordate de către </w:t>
            </w:r>
            <w:r w:rsidR="006F61C0">
              <w:rPr>
                <w:sz w:val="24"/>
                <w:szCs w:val="24"/>
                <w:lang w:val="ro-MD"/>
              </w:rPr>
              <w:t xml:space="preserve">fostul </w:t>
            </w:r>
            <w:r w:rsidR="008F259F" w:rsidRPr="008F259F">
              <w:rPr>
                <w:sz w:val="24"/>
                <w:szCs w:val="24"/>
                <w:lang w:val="ro-MD"/>
              </w:rPr>
              <w:t>Institut de Cercetări Științifice în Construcții ”INCERCOM” ÎS.</w:t>
            </w:r>
          </w:p>
          <w:p w14:paraId="14A321C0" w14:textId="56D617CA" w:rsidR="004A7785" w:rsidRDefault="002F6284" w:rsidP="008F259F">
            <w:pPr>
              <w:spacing w:before="120" w:after="80" w:line="276" w:lineRule="auto"/>
              <w:ind w:firstLine="380"/>
              <w:rPr>
                <w:sz w:val="24"/>
                <w:szCs w:val="24"/>
                <w:lang w:val="ro-MD"/>
              </w:rPr>
            </w:pPr>
            <w:r>
              <w:rPr>
                <w:sz w:val="24"/>
                <w:szCs w:val="24"/>
                <w:lang w:val="ro-MD"/>
              </w:rPr>
              <w:t xml:space="preserve">Subsidiar, relefăm faptul că elaborarea unui document normativ necesită surse financiare considerabile. </w:t>
            </w:r>
            <w:r w:rsidR="006C131C">
              <w:rPr>
                <w:sz w:val="24"/>
                <w:szCs w:val="24"/>
                <w:lang w:val="ro-MD"/>
              </w:rPr>
              <w:t>Actualmente</w:t>
            </w:r>
            <w:r>
              <w:rPr>
                <w:sz w:val="24"/>
                <w:szCs w:val="24"/>
                <w:lang w:val="ro-MD"/>
              </w:rPr>
              <w:t xml:space="preserve">, ținînd cont de faptul că, conform situației privind documentele normative în construcții în Republica Moldova, în contextul </w:t>
            </w:r>
            <w:r w:rsidR="004A7785">
              <w:rPr>
                <w:sz w:val="24"/>
                <w:szCs w:val="24"/>
                <w:lang w:val="ro-MD"/>
              </w:rPr>
              <w:t>utilizării a circa 1260 de documente învechite, care în mod urgent trebuie abrogate și elaborate o serie de docume</w:t>
            </w:r>
            <w:r w:rsidR="00573536">
              <w:rPr>
                <w:sz w:val="24"/>
                <w:szCs w:val="24"/>
                <w:lang w:val="ro-MD"/>
              </w:rPr>
              <w:t xml:space="preserve">nte noi, </w:t>
            </w:r>
            <w:r w:rsidR="004A7785">
              <w:rPr>
                <w:sz w:val="24"/>
                <w:szCs w:val="24"/>
                <w:lang w:val="ro-MD"/>
              </w:rPr>
              <w:t>vom efectua un calcul estimativ a sumei necesare.</w:t>
            </w:r>
            <w:r w:rsidR="006C131C">
              <w:rPr>
                <w:sz w:val="24"/>
                <w:szCs w:val="24"/>
                <w:lang w:val="ro-MD"/>
              </w:rPr>
              <w:t xml:space="preserve"> Prețul final pentru elaborare a unui document normativ se formează conform</w:t>
            </w:r>
            <w:r w:rsidR="00573536">
              <w:rPr>
                <w:sz w:val="24"/>
                <w:szCs w:val="24"/>
                <w:lang w:val="ro-MD"/>
              </w:rPr>
              <w:t xml:space="preserve"> prevederilor</w:t>
            </w:r>
            <w:r w:rsidR="006C131C">
              <w:rPr>
                <w:sz w:val="24"/>
                <w:szCs w:val="24"/>
                <w:lang w:val="ro-MD"/>
              </w:rPr>
              <w:t xml:space="preserve"> NCM A.01.08:2013 ,,Modul de determinare a costului elaborării documentelor normative în construcții”. Dar pentru a putea ilustra </w:t>
            </w:r>
            <w:r w:rsidR="00573536">
              <w:rPr>
                <w:sz w:val="24"/>
                <w:szCs w:val="24"/>
                <w:lang w:val="ro-MD"/>
              </w:rPr>
              <w:t>sumele de rigoare vom utiliza informația din licitația pentru anul 2024, după cum urmează.</w:t>
            </w:r>
          </w:p>
          <w:p w14:paraId="4E9473CE" w14:textId="315C410F" w:rsidR="002F6284" w:rsidRDefault="004A7785" w:rsidP="008F259F">
            <w:pPr>
              <w:spacing w:before="120" w:after="80" w:line="276" w:lineRule="auto"/>
              <w:ind w:firstLine="380"/>
              <w:rPr>
                <w:sz w:val="24"/>
                <w:szCs w:val="24"/>
                <w:lang w:val="ro-MD"/>
              </w:rPr>
            </w:pPr>
            <w:r>
              <w:rPr>
                <w:sz w:val="24"/>
                <w:szCs w:val="24"/>
                <w:lang w:val="ro-MD"/>
              </w:rPr>
              <w:t xml:space="preserve">Conform </w:t>
            </w:r>
            <w:r w:rsidR="00580038">
              <w:rPr>
                <w:sz w:val="24"/>
                <w:szCs w:val="24"/>
                <w:lang w:val="ro-MD"/>
              </w:rPr>
              <w:t xml:space="preserve">informației preluate din </w:t>
            </w:r>
            <w:r w:rsidR="006C131C">
              <w:rPr>
                <w:sz w:val="24"/>
                <w:szCs w:val="24"/>
                <w:lang w:val="ro-MD"/>
              </w:rPr>
              <w:t xml:space="preserve">licitația desfașurate anul curent </w:t>
            </w:r>
            <w:r w:rsidR="00580038">
              <w:rPr>
                <w:sz w:val="24"/>
                <w:szCs w:val="24"/>
                <w:lang w:val="ro-MD"/>
              </w:rPr>
              <w:t xml:space="preserve">prin intermediul mtender.gov.md </w:t>
            </w:r>
            <w:r w:rsidR="006C131C">
              <w:rPr>
                <w:sz w:val="24"/>
                <w:szCs w:val="24"/>
                <w:lang w:val="ro-MD"/>
              </w:rPr>
              <w:t xml:space="preserve">cu privire la contractarea </w:t>
            </w:r>
            <w:r w:rsidR="00580038">
              <w:rPr>
                <w:sz w:val="24"/>
                <w:szCs w:val="24"/>
                <w:lang w:val="ro-MD"/>
              </w:rPr>
              <w:t xml:space="preserve">serviciilor de elaborare, modificare și actualizare a documentelor normative în domeniul construcțiilor </w:t>
            </w:r>
            <w:r w:rsidR="002F6284">
              <w:rPr>
                <w:sz w:val="24"/>
                <w:szCs w:val="24"/>
                <w:lang w:val="ro-MD"/>
              </w:rPr>
              <w:t xml:space="preserve"> </w:t>
            </w:r>
            <w:r w:rsidR="00580038">
              <w:rPr>
                <w:sz w:val="24"/>
                <w:szCs w:val="24"/>
                <w:lang w:val="ro-MD"/>
              </w:rPr>
              <w:t>descriem următoarea situație, drept exemplu.</w:t>
            </w:r>
          </w:p>
          <w:p w14:paraId="02874445" w14:textId="2DCF262F" w:rsidR="008E6D03" w:rsidRDefault="008E6D03" w:rsidP="008F259F">
            <w:pPr>
              <w:spacing w:before="120" w:after="80" w:line="276" w:lineRule="auto"/>
              <w:ind w:firstLine="380"/>
              <w:rPr>
                <w:sz w:val="24"/>
                <w:szCs w:val="24"/>
                <w:lang w:val="ro-MD"/>
              </w:rPr>
            </w:pPr>
            <w:r>
              <w:rPr>
                <w:sz w:val="24"/>
                <w:szCs w:val="24"/>
                <w:lang w:val="ro-MD"/>
              </w:rPr>
              <w:t xml:space="preserve">Se vor elabora 16 </w:t>
            </w:r>
            <w:r w:rsidRPr="00BA04E9">
              <w:rPr>
                <w:sz w:val="24"/>
                <w:szCs w:val="24"/>
                <w:lang w:val="ro-MD"/>
              </w:rPr>
              <w:t>normative în construcții moldovenești</w:t>
            </w:r>
            <w:r>
              <w:rPr>
                <w:sz w:val="24"/>
                <w:szCs w:val="24"/>
                <w:lang w:val="ro-MD"/>
              </w:rPr>
              <w:t xml:space="preserve"> (NCM) cu costul (fară TVA) constituit între 135</w:t>
            </w:r>
            <w:r w:rsidR="00F318D3">
              <w:rPr>
                <w:sz w:val="24"/>
                <w:szCs w:val="24"/>
                <w:lang w:val="ro-MD"/>
              </w:rPr>
              <w:t>.816,</w:t>
            </w:r>
            <w:r>
              <w:rPr>
                <w:sz w:val="24"/>
                <w:szCs w:val="24"/>
                <w:lang w:val="ro-MD"/>
              </w:rPr>
              <w:t xml:space="preserve">67 </w:t>
            </w:r>
            <w:r w:rsidR="00F318D3">
              <w:rPr>
                <w:sz w:val="24"/>
                <w:szCs w:val="24"/>
                <w:lang w:val="ro-MD"/>
              </w:rPr>
              <w:t>lei</w:t>
            </w:r>
            <w:r>
              <w:rPr>
                <w:sz w:val="24"/>
                <w:szCs w:val="24"/>
                <w:lang w:val="ro-MD"/>
              </w:rPr>
              <w:t xml:space="preserve"> și 489</w:t>
            </w:r>
            <w:r w:rsidR="00F318D3">
              <w:rPr>
                <w:sz w:val="24"/>
                <w:szCs w:val="24"/>
                <w:lang w:val="ro-MD"/>
              </w:rPr>
              <w:t>.750,</w:t>
            </w:r>
            <w:r>
              <w:rPr>
                <w:sz w:val="24"/>
                <w:szCs w:val="24"/>
                <w:lang w:val="ro-MD"/>
              </w:rPr>
              <w:t>00 lei, în mediu obținîndu-se în medie suma de 299</w:t>
            </w:r>
            <w:r w:rsidR="00F318D3">
              <w:rPr>
                <w:sz w:val="24"/>
                <w:szCs w:val="24"/>
                <w:lang w:val="ro-MD"/>
              </w:rPr>
              <w:t>.</w:t>
            </w:r>
            <w:r>
              <w:rPr>
                <w:sz w:val="24"/>
                <w:szCs w:val="24"/>
                <w:lang w:val="ro-MD"/>
              </w:rPr>
              <w:t>046,41 lei (fară TVA) estimativ necesare pentru elaborarea unui NCM.</w:t>
            </w:r>
          </w:p>
          <w:p w14:paraId="48D95A21" w14:textId="32615A36" w:rsidR="00580038" w:rsidRDefault="008E6D03">
            <w:pPr>
              <w:spacing w:before="120" w:after="80" w:line="276" w:lineRule="auto"/>
              <w:ind w:firstLine="380"/>
              <w:rPr>
                <w:sz w:val="24"/>
                <w:szCs w:val="24"/>
                <w:lang w:val="ro-MD"/>
              </w:rPr>
            </w:pPr>
            <w:r>
              <w:rPr>
                <w:sz w:val="24"/>
                <w:szCs w:val="24"/>
                <w:lang w:val="ro-MD"/>
              </w:rPr>
              <w:t>Totodată, s</w:t>
            </w:r>
            <w:r w:rsidR="00580038">
              <w:rPr>
                <w:sz w:val="24"/>
                <w:szCs w:val="24"/>
                <w:lang w:val="ro-MD"/>
              </w:rPr>
              <w:t xml:space="preserve">e vor elabora 5 Coduri practice cu costul (fară TVA) </w:t>
            </w:r>
            <w:r>
              <w:rPr>
                <w:sz w:val="24"/>
                <w:szCs w:val="24"/>
                <w:lang w:val="ro-MD"/>
              </w:rPr>
              <w:t>constituit între</w:t>
            </w:r>
            <w:r w:rsidR="00580038">
              <w:rPr>
                <w:sz w:val="24"/>
                <w:szCs w:val="24"/>
                <w:lang w:val="ro-MD"/>
              </w:rPr>
              <w:t xml:space="preserve"> </w:t>
            </w:r>
            <w:r>
              <w:rPr>
                <w:sz w:val="24"/>
                <w:szCs w:val="24"/>
                <w:lang w:val="ro-MD"/>
              </w:rPr>
              <w:t>305</w:t>
            </w:r>
            <w:r w:rsidR="00F318D3">
              <w:rPr>
                <w:sz w:val="24"/>
                <w:szCs w:val="24"/>
                <w:lang w:val="ro-MD"/>
              </w:rPr>
              <w:t>.</w:t>
            </w:r>
            <w:r>
              <w:rPr>
                <w:sz w:val="24"/>
                <w:szCs w:val="24"/>
                <w:lang w:val="ro-MD"/>
              </w:rPr>
              <w:t>734,50 lei și 831</w:t>
            </w:r>
            <w:r w:rsidR="00F318D3">
              <w:rPr>
                <w:sz w:val="24"/>
                <w:szCs w:val="24"/>
                <w:lang w:val="ro-MD"/>
              </w:rPr>
              <w:t>.</w:t>
            </w:r>
            <w:r>
              <w:rPr>
                <w:sz w:val="24"/>
                <w:szCs w:val="24"/>
                <w:lang w:val="ro-MD"/>
              </w:rPr>
              <w:t>186,67 lei, în mediu obținînd-se suma de 472</w:t>
            </w:r>
            <w:r w:rsidR="00F318D3">
              <w:rPr>
                <w:sz w:val="24"/>
                <w:szCs w:val="24"/>
                <w:lang w:val="ro-MD"/>
              </w:rPr>
              <w:t>.</w:t>
            </w:r>
            <w:r>
              <w:rPr>
                <w:sz w:val="24"/>
                <w:szCs w:val="24"/>
                <w:lang w:val="ro-MD"/>
              </w:rPr>
              <w:t xml:space="preserve">968,60 lei </w:t>
            </w:r>
            <w:r w:rsidR="00524442">
              <w:rPr>
                <w:sz w:val="24"/>
                <w:szCs w:val="24"/>
                <w:lang w:val="ro-MD"/>
              </w:rPr>
              <w:t>(fară</w:t>
            </w:r>
            <w:r>
              <w:rPr>
                <w:sz w:val="24"/>
                <w:szCs w:val="24"/>
                <w:lang w:val="ro-MD"/>
              </w:rPr>
              <w:t xml:space="preserve"> TVA), ca considerîndu-se estimativ necesare pentru elaborarea unui Cod practic în construcții.</w:t>
            </w:r>
          </w:p>
          <w:p w14:paraId="70E79A6E" w14:textId="5939EF6A" w:rsidR="00524442" w:rsidRDefault="008E6D03">
            <w:pPr>
              <w:spacing w:before="120" w:after="80" w:line="276" w:lineRule="auto"/>
              <w:ind w:firstLine="380"/>
              <w:rPr>
                <w:sz w:val="24"/>
                <w:szCs w:val="24"/>
                <w:lang w:val="ro-MD"/>
              </w:rPr>
            </w:pPr>
            <w:r>
              <w:rPr>
                <w:sz w:val="24"/>
                <w:szCs w:val="24"/>
                <w:lang w:val="ro-MD"/>
              </w:rPr>
              <w:t>Deoarece la momentul actual nu se poate spune cu certitudine câte dintre cele 1260 de documente învechite vor fi elaborate c</w:t>
            </w:r>
            <w:r w:rsidR="00524442">
              <w:rPr>
                <w:sz w:val="24"/>
                <w:szCs w:val="24"/>
                <w:lang w:val="ro-MD"/>
              </w:rPr>
              <w:t>u statut de</w:t>
            </w:r>
            <w:r>
              <w:rPr>
                <w:sz w:val="24"/>
                <w:szCs w:val="24"/>
                <w:lang w:val="ro-MD"/>
              </w:rPr>
              <w:t xml:space="preserve"> NCM și câte </w:t>
            </w:r>
            <w:r w:rsidR="00524442">
              <w:rPr>
                <w:sz w:val="24"/>
                <w:szCs w:val="24"/>
                <w:lang w:val="ro-MD"/>
              </w:rPr>
              <w:t>vor fi Coduri practice</w:t>
            </w:r>
            <w:r w:rsidR="00682D18">
              <w:rPr>
                <w:sz w:val="24"/>
                <w:szCs w:val="24"/>
                <w:lang w:val="ro-MD"/>
              </w:rPr>
              <w:t xml:space="preserve">, pentru a primi suma </w:t>
            </w:r>
            <w:r w:rsidR="00524442">
              <w:rPr>
                <w:sz w:val="24"/>
                <w:szCs w:val="24"/>
                <w:lang w:val="ro-MD"/>
              </w:rPr>
              <w:t>de</w:t>
            </w:r>
            <w:r w:rsidR="00682D18">
              <w:rPr>
                <w:sz w:val="24"/>
                <w:szCs w:val="24"/>
                <w:lang w:val="ro-MD"/>
              </w:rPr>
              <w:t xml:space="preserve"> reper pentru elaborarea unui document normativ</w:t>
            </w:r>
            <w:r w:rsidR="00524442">
              <w:rPr>
                <w:sz w:val="24"/>
                <w:szCs w:val="24"/>
                <w:lang w:val="ro-MD"/>
              </w:rPr>
              <w:t xml:space="preserve"> se va calcula media aritmetică a acestor 2, asfel (299</w:t>
            </w:r>
            <w:r w:rsidR="00F318D3">
              <w:rPr>
                <w:sz w:val="24"/>
                <w:szCs w:val="24"/>
                <w:lang w:val="ro-MD"/>
              </w:rPr>
              <w:t>.</w:t>
            </w:r>
            <w:r w:rsidR="00524442">
              <w:rPr>
                <w:sz w:val="24"/>
                <w:szCs w:val="24"/>
                <w:lang w:val="ro-MD"/>
              </w:rPr>
              <w:t>046,4+472</w:t>
            </w:r>
            <w:r w:rsidR="00F318D3">
              <w:rPr>
                <w:sz w:val="24"/>
                <w:szCs w:val="24"/>
                <w:lang w:val="ro-MD"/>
              </w:rPr>
              <w:t>.</w:t>
            </w:r>
            <w:r w:rsidR="00524442">
              <w:rPr>
                <w:sz w:val="24"/>
                <w:szCs w:val="24"/>
                <w:lang w:val="ro-MD"/>
              </w:rPr>
              <w:t>968,60)</w:t>
            </w:r>
            <w:r w:rsidR="00F318D3">
              <w:rPr>
                <w:sz w:val="24"/>
                <w:szCs w:val="24"/>
                <w:lang w:val="ro-MD"/>
              </w:rPr>
              <w:t xml:space="preserve"> </w:t>
            </w:r>
            <w:r w:rsidR="00524442">
              <w:rPr>
                <w:sz w:val="24"/>
                <w:szCs w:val="24"/>
                <w:lang w:val="ro-MD"/>
              </w:rPr>
              <w:t>/</w:t>
            </w:r>
            <w:r w:rsidR="00F318D3">
              <w:rPr>
                <w:sz w:val="24"/>
                <w:szCs w:val="24"/>
                <w:lang w:val="ro-MD"/>
              </w:rPr>
              <w:t xml:space="preserve"> </w:t>
            </w:r>
            <w:r w:rsidR="00524442">
              <w:rPr>
                <w:sz w:val="24"/>
                <w:szCs w:val="24"/>
                <w:lang w:val="ro-MD"/>
              </w:rPr>
              <w:t>2 = 386</w:t>
            </w:r>
            <w:r w:rsidR="00F318D3">
              <w:rPr>
                <w:sz w:val="24"/>
                <w:szCs w:val="24"/>
                <w:lang w:val="ro-MD"/>
              </w:rPr>
              <w:t>.</w:t>
            </w:r>
            <w:r w:rsidR="00524442">
              <w:rPr>
                <w:sz w:val="24"/>
                <w:szCs w:val="24"/>
                <w:lang w:val="ro-MD"/>
              </w:rPr>
              <w:t>007,51 lei (fară TVA), va fi considerată suma estimativă necesară pentru elaborarea unui document. Deci 1260 * 386</w:t>
            </w:r>
            <w:r w:rsidR="00F318D3">
              <w:rPr>
                <w:sz w:val="24"/>
                <w:szCs w:val="24"/>
                <w:lang w:val="ro-MD"/>
              </w:rPr>
              <w:t>.</w:t>
            </w:r>
            <w:r w:rsidR="00524442">
              <w:rPr>
                <w:sz w:val="24"/>
                <w:szCs w:val="24"/>
                <w:lang w:val="ro-MD"/>
              </w:rPr>
              <w:t>007,51 = 486</w:t>
            </w:r>
            <w:r w:rsidR="00582B8E">
              <w:rPr>
                <w:sz w:val="24"/>
                <w:szCs w:val="24"/>
                <w:lang w:val="ro-MD"/>
              </w:rPr>
              <w:t>.</w:t>
            </w:r>
            <w:r w:rsidR="00524442">
              <w:rPr>
                <w:sz w:val="24"/>
                <w:szCs w:val="24"/>
                <w:lang w:val="ro-MD"/>
              </w:rPr>
              <w:t>369</w:t>
            </w:r>
            <w:r w:rsidR="00582B8E">
              <w:rPr>
                <w:sz w:val="24"/>
                <w:szCs w:val="24"/>
                <w:lang w:val="ro-MD"/>
              </w:rPr>
              <w:t>.</w:t>
            </w:r>
            <w:r w:rsidR="00524442">
              <w:rPr>
                <w:sz w:val="24"/>
                <w:szCs w:val="24"/>
                <w:lang w:val="ro-MD"/>
              </w:rPr>
              <w:t>463</w:t>
            </w:r>
            <w:r w:rsidR="00582B8E">
              <w:rPr>
                <w:sz w:val="24"/>
                <w:szCs w:val="24"/>
                <w:lang w:val="ro-MD"/>
              </w:rPr>
              <w:t>,00 lei (fară TVA) este suma necesară pentru actualizarea documentelor normative, ca acestea sa poată asigura calitatea în aplicarea prevederilor.</w:t>
            </w:r>
            <w:r w:rsidR="00B47D28">
              <w:rPr>
                <w:sz w:val="24"/>
                <w:szCs w:val="24"/>
                <w:lang w:val="ro-MD"/>
              </w:rPr>
              <w:t xml:space="preserve"> Totodată ramîine în vigoare și necesitatea alocării financiare anuale anuale pentru elabor</w:t>
            </w:r>
            <w:r w:rsidR="00987149">
              <w:rPr>
                <w:sz w:val="24"/>
                <w:szCs w:val="24"/>
                <w:lang w:val="ro-MD"/>
              </w:rPr>
              <w:t>area documentelor normative noi, care conform Planului tematic de elaborare a documentelor normative în construcții pentru anul 2024 constituie 9.390.000 lei.</w:t>
            </w:r>
          </w:p>
          <w:p w14:paraId="220ECE17" w14:textId="69E17065" w:rsidR="00B47D28" w:rsidRPr="008F259F" w:rsidRDefault="00B47D28">
            <w:pPr>
              <w:spacing w:before="120" w:after="80" w:line="276" w:lineRule="auto"/>
              <w:ind w:firstLine="380"/>
              <w:rPr>
                <w:sz w:val="24"/>
                <w:szCs w:val="24"/>
                <w:lang w:val="ro-MD"/>
              </w:rPr>
            </w:pPr>
            <w:r>
              <w:rPr>
                <w:sz w:val="24"/>
                <w:szCs w:val="24"/>
                <w:lang w:val="ro-MD"/>
              </w:rPr>
              <w:t xml:space="preserve">Astfel, analizînd </w:t>
            </w:r>
            <w:r w:rsidR="00886F8C">
              <w:rPr>
                <w:sz w:val="24"/>
                <w:szCs w:val="24"/>
                <w:lang w:val="ro-MD"/>
              </w:rPr>
              <w:t xml:space="preserve">atât informația prezentată referitor situației actuale privind situația documentelor normative cât </w:t>
            </w:r>
            <w:r>
              <w:rPr>
                <w:sz w:val="24"/>
                <w:szCs w:val="24"/>
                <w:lang w:val="ro-MD"/>
              </w:rPr>
              <w:t>și tabelul nr.1 în raport cu necesitățile de finațare pentru dezvoltarea SNDC,</w:t>
            </w:r>
            <w:r w:rsidR="00454E33">
              <w:rPr>
                <w:sz w:val="24"/>
                <w:szCs w:val="24"/>
                <w:lang w:val="ro-MD"/>
              </w:rPr>
              <w:t xml:space="preserve"> raportate la consec</w:t>
            </w:r>
            <w:r w:rsidR="00005C2D">
              <w:rPr>
                <w:sz w:val="24"/>
                <w:szCs w:val="24"/>
                <w:lang w:val="ro-MD"/>
              </w:rPr>
              <w:t>ințele nerealizării acțiunilor pentru îmbunătățirea situației existente,</w:t>
            </w:r>
            <w:r>
              <w:rPr>
                <w:sz w:val="24"/>
                <w:szCs w:val="24"/>
                <w:lang w:val="ro-MD"/>
              </w:rPr>
              <w:t xml:space="preserve"> se relefează tot mai clar necesitatea existenței fondului destinat pentru dezvoltarea</w:t>
            </w:r>
            <w:r w:rsidR="00454E33">
              <w:rPr>
                <w:sz w:val="24"/>
                <w:szCs w:val="24"/>
                <w:lang w:val="ro-MD"/>
              </w:rPr>
              <w:t xml:space="preserve"> SNDC.</w:t>
            </w:r>
          </w:p>
          <w:p w14:paraId="6ED4A251" w14:textId="2542337C" w:rsidR="004A43DE" w:rsidRDefault="001C5087" w:rsidP="008907C4">
            <w:pPr>
              <w:spacing w:before="120" w:line="276" w:lineRule="auto"/>
              <w:ind w:firstLine="380"/>
              <w:rPr>
                <w:sz w:val="24"/>
                <w:szCs w:val="24"/>
                <w:lang w:val="ro-MD"/>
              </w:rPr>
            </w:pPr>
            <w:r>
              <w:rPr>
                <w:sz w:val="24"/>
                <w:szCs w:val="24"/>
                <w:lang w:val="ro-MD"/>
              </w:rPr>
              <w:t xml:space="preserve">Cu privire la acel plafon de 50.000 lei care s-a propus de a fi exclus, atragem atenția asupra faptului că menținerea acestuia reprezintă de fapt o inechitate </w:t>
            </w:r>
            <w:r w:rsidR="00461D79">
              <w:rPr>
                <w:sz w:val="24"/>
                <w:szCs w:val="24"/>
                <w:lang w:val="ro-MD"/>
              </w:rPr>
              <w:t xml:space="preserve">majoră </w:t>
            </w:r>
            <w:r>
              <w:rPr>
                <w:sz w:val="24"/>
                <w:szCs w:val="24"/>
                <w:lang w:val="ro-MD"/>
              </w:rPr>
              <w:t xml:space="preserve">pentru părțile implicate din domeniu. </w:t>
            </w:r>
            <w:r w:rsidR="00DC7C4E">
              <w:rPr>
                <w:sz w:val="24"/>
                <w:szCs w:val="24"/>
                <w:lang w:val="ro-MD"/>
              </w:rPr>
              <w:t xml:space="preserve">Acest fapt poate fi ușor constatat printr-un calcul simplu </w:t>
            </w:r>
            <w:r w:rsidR="004A43DE">
              <w:rPr>
                <w:sz w:val="24"/>
                <w:szCs w:val="24"/>
                <w:lang w:val="ro-MD"/>
              </w:rPr>
              <w:t xml:space="preserve">descris mai jos, </w:t>
            </w:r>
            <w:r w:rsidR="00DC7C4E">
              <w:rPr>
                <w:sz w:val="24"/>
                <w:szCs w:val="24"/>
                <w:lang w:val="ro-MD"/>
              </w:rPr>
              <w:t xml:space="preserve">drept exemplu. </w:t>
            </w:r>
          </w:p>
          <w:p w14:paraId="5111192D" w14:textId="100AB9F0" w:rsidR="00461D79" w:rsidRDefault="00DC7C4E" w:rsidP="008907C4">
            <w:pPr>
              <w:spacing w:before="120" w:line="276" w:lineRule="auto"/>
              <w:ind w:firstLine="380"/>
              <w:rPr>
                <w:sz w:val="24"/>
                <w:szCs w:val="24"/>
                <w:lang w:val="ro-MD"/>
              </w:rPr>
            </w:pPr>
            <w:r>
              <w:rPr>
                <w:sz w:val="24"/>
                <w:szCs w:val="24"/>
                <w:lang w:val="ro-MD"/>
              </w:rPr>
              <w:t>Astfel, un agent economic care construiește un bloc locativ cu 10 etaje, de dimensiuni relativ mici - 60m x 15m x 30m (Lxlxh), cu 3 scări</w:t>
            </w:r>
            <w:r w:rsidR="009D2BD8">
              <w:rPr>
                <w:sz w:val="24"/>
                <w:szCs w:val="24"/>
                <w:lang w:val="ro-MD"/>
              </w:rPr>
              <w:t xml:space="preserve">, </w:t>
            </w:r>
            <w:r w:rsidR="005A2D40">
              <w:rPr>
                <w:sz w:val="24"/>
                <w:szCs w:val="24"/>
                <w:lang w:val="ro-MD"/>
              </w:rPr>
              <w:t xml:space="preserve">un total de 90 apartamente, </w:t>
            </w:r>
            <w:r w:rsidR="009D2BD8">
              <w:rPr>
                <w:sz w:val="24"/>
                <w:szCs w:val="24"/>
                <w:lang w:val="ro-MD"/>
              </w:rPr>
              <w:t>respectiv cu o suprafață de 9</w:t>
            </w:r>
            <w:r w:rsidR="005564D2">
              <w:rPr>
                <w:sz w:val="24"/>
                <w:szCs w:val="24"/>
                <w:lang w:val="ro-MD"/>
              </w:rPr>
              <w:t>.</w:t>
            </w:r>
            <w:r w:rsidR="009D2BD8">
              <w:rPr>
                <w:sz w:val="24"/>
                <w:szCs w:val="24"/>
                <w:lang w:val="ro-MD"/>
              </w:rPr>
              <w:t>000 m</w:t>
            </w:r>
            <w:r w:rsidR="009D2BD8">
              <w:rPr>
                <w:sz w:val="24"/>
                <w:szCs w:val="24"/>
                <w:vertAlign w:val="superscript"/>
                <w:lang w:val="ro-MD"/>
              </w:rPr>
              <w:t>2</w:t>
            </w:r>
            <w:r w:rsidR="009D2BD8">
              <w:rPr>
                <w:sz w:val="24"/>
                <w:szCs w:val="24"/>
                <w:lang w:val="ro-MD"/>
              </w:rPr>
              <w:t>, la un preț de 500 euro/m</w:t>
            </w:r>
            <w:r w:rsidR="009D2BD8">
              <w:rPr>
                <w:sz w:val="24"/>
                <w:szCs w:val="24"/>
                <w:vertAlign w:val="superscript"/>
                <w:lang w:val="ro-MD"/>
              </w:rPr>
              <w:t>2</w:t>
            </w:r>
            <w:r w:rsidR="009D2BD8">
              <w:rPr>
                <w:sz w:val="24"/>
                <w:szCs w:val="24"/>
                <w:lang w:val="ro-MD"/>
              </w:rPr>
              <w:t>, ar acumula o sumă de 9</w:t>
            </w:r>
            <w:r w:rsidR="005564D2">
              <w:rPr>
                <w:sz w:val="24"/>
                <w:szCs w:val="24"/>
                <w:lang w:val="ro-MD"/>
              </w:rPr>
              <w:t>.</w:t>
            </w:r>
            <w:r w:rsidR="009D2BD8">
              <w:rPr>
                <w:sz w:val="24"/>
                <w:szCs w:val="24"/>
                <w:lang w:val="ro-MD"/>
              </w:rPr>
              <w:t>000*500 = 4.500.000,00 euro</w:t>
            </w:r>
            <w:r w:rsidR="008D544E">
              <w:rPr>
                <w:sz w:val="24"/>
                <w:szCs w:val="24"/>
                <w:lang w:val="ro-MD"/>
              </w:rPr>
              <w:t xml:space="preserve"> care la un curs de </w:t>
            </w:r>
            <w:r w:rsidR="002778E5">
              <w:rPr>
                <w:sz w:val="24"/>
                <w:szCs w:val="24"/>
                <w:lang w:val="ro-MD"/>
              </w:rPr>
              <w:t xml:space="preserve">            </w:t>
            </w:r>
            <w:r w:rsidR="008D544E">
              <w:rPr>
                <w:sz w:val="24"/>
                <w:szCs w:val="24"/>
                <w:lang w:val="ro-MD"/>
              </w:rPr>
              <w:t>20 lei/1 euro, ar reprezenta 90.000.000,00 lei. Acele 0,5% din această sumă constituie 450.000 lei. Respectiv, în acest caz agentul economic ar achita acele 50.000 lei plafon.</w:t>
            </w:r>
            <w:r w:rsidR="00CC07CA">
              <w:rPr>
                <w:sz w:val="24"/>
                <w:szCs w:val="24"/>
                <w:lang w:val="ro-MD"/>
              </w:rPr>
              <w:t xml:space="preserve"> </w:t>
            </w:r>
            <w:r w:rsidR="005564D2">
              <w:rPr>
                <w:sz w:val="24"/>
                <w:szCs w:val="24"/>
                <w:lang w:val="ro-MD"/>
              </w:rPr>
              <w:t xml:space="preserve">În cazul altui agent economic care construiește un întreg complex locativ, cu mai multe blocuri, evident că aceste valori sunt cu mult mai mari. Dacă să analizăm </w:t>
            </w:r>
            <w:r w:rsidR="00461D79">
              <w:rPr>
                <w:sz w:val="24"/>
                <w:szCs w:val="24"/>
                <w:lang w:val="ro-MD"/>
              </w:rPr>
              <w:t>ca exemplu cazul când</w:t>
            </w:r>
            <w:r w:rsidR="005564D2">
              <w:rPr>
                <w:sz w:val="24"/>
                <w:szCs w:val="24"/>
                <w:lang w:val="ro-MD"/>
              </w:rPr>
              <w:t xml:space="preserve"> complexul locativ este format d</w:t>
            </w:r>
            <w:r w:rsidR="004A43DE">
              <w:rPr>
                <w:sz w:val="24"/>
                <w:szCs w:val="24"/>
                <w:lang w:val="ro-MD"/>
              </w:rPr>
              <w:t>in</w:t>
            </w:r>
            <w:r w:rsidR="005564D2">
              <w:rPr>
                <w:sz w:val="24"/>
                <w:szCs w:val="24"/>
                <w:lang w:val="ro-MD"/>
              </w:rPr>
              <w:t xml:space="preserve"> 5 blocuri identice cazului de mai sus, suprafața construită de acest agent economic este de   9.000 * 5 = 45.000 m</w:t>
            </w:r>
            <w:r w:rsidR="005564D2">
              <w:rPr>
                <w:sz w:val="24"/>
                <w:szCs w:val="24"/>
                <w:vertAlign w:val="superscript"/>
                <w:lang w:val="ro-MD"/>
              </w:rPr>
              <w:t>2</w:t>
            </w:r>
            <w:r w:rsidR="005564D2">
              <w:rPr>
                <w:sz w:val="24"/>
                <w:szCs w:val="24"/>
                <w:lang w:val="ro-MD"/>
              </w:rPr>
              <w:t xml:space="preserve">. Aplicând </w:t>
            </w:r>
            <w:r w:rsidR="005564D2">
              <w:rPr>
                <w:sz w:val="24"/>
                <w:szCs w:val="24"/>
                <w:lang w:val="ro-MD"/>
              </w:rPr>
              <w:lastRenderedPageBreak/>
              <w:t>același cost de 500 euro/m</w:t>
            </w:r>
            <w:r w:rsidR="005564D2">
              <w:rPr>
                <w:sz w:val="24"/>
                <w:szCs w:val="24"/>
                <w:vertAlign w:val="superscript"/>
                <w:lang w:val="ro-MD"/>
              </w:rPr>
              <w:t>2</w:t>
            </w:r>
            <w:r w:rsidR="005564D2">
              <w:rPr>
                <w:sz w:val="24"/>
                <w:szCs w:val="24"/>
                <w:lang w:val="ro-MD"/>
              </w:rPr>
              <w:t xml:space="preserve">, s-ar acumula o sumă de 45.000*500 = </w:t>
            </w:r>
            <w:r w:rsidR="00827C10">
              <w:rPr>
                <w:sz w:val="24"/>
                <w:szCs w:val="24"/>
                <w:lang w:val="ro-MD"/>
              </w:rPr>
              <w:t>22.500.000</w:t>
            </w:r>
            <w:r w:rsidR="005564D2">
              <w:rPr>
                <w:sz w:val="24"/>
                <w:szCs w:val="24"/>
                <w:lang w:val="ro-MD"/>
              </w:rPr>
              <w:t xml:space="preserve">,00 euro care la un curs de 20 lei/1 euro, ar reprezenta </w:t>
            </w:r>
            <w:r w:rsidR="00827C10">
              <w:rPr>
                <w:sz w:val="24"/>
                <w:szCs w:val="24"/>
                <w:lang w:val="ro-MD"/>
              </w:rPr>
              <w:t>450.000.000,00 lei, iar</w:t>
            </w:r>
            <w:r w:rsidR="005564D2">
              <w:rPr>
                <w:sz w:val="24"/>
                <w:szCs w:val="24"/>
                <w:lang w:val="ro-MD"/>
              </w:rPr>
              <w:t xml:space="preserve"> </w:t>
            </w:r>
            <w:r w:rsidR="00827C10">
              <w:rPr>
                <w:sz w:val="24"/>
                <w:szCs w:val="24"/>
                <w:lang w:val="ro-MD"/>
              </w:rPr>
              <w:t>a</w:t>
            </w:r>
            <w:r w:rsidR="005564D2">
              <w:rPr>
                <w:sz w:val="24"/>
                <w:szCs w:val="24"/>
                <w:lang w:val="ro-MD"/>
              </w:rPr>
              <w:t xml:space="preserve">cele 0,5% din această sumă </w:t>
            </w:r>
            <w:r w:rsidR="00827C10">
              <w:rPr>
                <w:sz w:val="24"/>
                <w:szCs w:val="24"/>
                <w:lang w:val="ro-MD"/>
              </w:rPr>
              <w:t>ar constitui</w:t>
            </w:r>
            <w:r w:rsidR="005564D2">
              <w:rPr>
                <w:sz w:val="24"/>
                <w:szCs w:val="24"/>
                <w:lang w:val="ro-MD"/>
              </w:rPr>
              <w:t xml:space="preserve"> </w:t>
            </w:r>
            <w:r w:rsidR="00827C10">
              <w:rPr>
                <w:sz w:val="24"/>
                <w:szCs w:val="24"/>
                <w:lang w:val="ro-MD"/>
              </w:rPr>
              <w:t>2.250</w:t>
            </w:r>
            <w:r w:rsidR="005564D2">
              <w:rPr>
                <w:sz w:val="24"/>
                <w:szCs w:val="24"/>
                <w:lang w:val="ro-MD"/>
              </w:rPr>
              <w:t>.000 lei.</w:t>
            </w:r>
            <w:r w:rsidR="00314D97">
              <w:rPr>
                <w:sz w:val="24"/>
                <w:szCs w:val="24"/>
                <w:lang w:val="ro-MD"/>
              </w:rPr>
              <w:t xml:space="preserve"> Însă, conform prevederilor actuale, acesta din urmă ar achita aceleași 50.000 lei stabilite de plafon. </w:t>
            </w:r>
            <w:r w:rsidR="005F7700">
              <w:rPr>
                <w:sz w:val="24"/>
                <w:szCs w:val="24"/>
                <w:lang w:val="ro-MD"/>
              </w:rPr>
              <w:t>Respectiv, un agent economic care obține un câștig</w:t>
            </w:r>
            <w:r w:rsidR="00461D79">
              <w:rPr>
                <w:sz w:val="24"/>
                <w:szCs w:val="24"/>
                <w:lang w:val="ro-MD"/>
              </w:rPr>
              <w:t xml:space="preserve"> de 5 ori mai mare, contribuie de facto cu aceleași 50.000 lei, obținând astfel în final un venit considerabil și disproporționat mai mare.</w:t>
            </w:r>
          </w:p>
          <w:p w14:paraId="73A020B5" w14:textId="7D15B2CD" w:rsidR="007201A1" w:rsidRDefault="002778E5" w:rsidP="008907C4">
            <w:pPr>
              <w:spacing w:before="120" w:line="276" w:lineRule="auto"/>
              <w:ind w:firstLine="380"/>
              <w:rPr>
                <w:sz w:val="24"/>
                <w:szCs w:val="24"/>
                <w:lang w:val="ro-MD"/>
              </w:rPr>
            </w:pPr>
            <w:r>
              <w:rPr>
                <w:sz w:val="24"/>
                <w:szCs w:val="24"/>
                <w:lang w:val="ro-MD"/>
              </w:rPr>
              <w:t>Cu referință la impactul acestor defalcări de 0,5% asupra costului lucrărilor de construcții și locuințelor respectiv, putem realiza o analiză în baza exemplului de mai sus. Astfel, în cazul când se achită cele 450.000 lei pentru blocul cu suprafața de 9000 m</w:t>
            </w:r>
            <w:r>
              <w:rPr>
                <w:sz w:val="24"/>
                <w:szCs w:val="24"/>
                <w:vertAlign w:val="superscript"/>
                <w:lang w:val="ro-MD"/>
              </w:rPr>
              <w:t>2</w:t>
            </w:r>
            <w:r>
              <w:rPr>
                <w:sz w:val="24"/>
                <w:szCs w:val="24"/>
                <w:lang w:val="ro-MD"/>
              </w:rPr>
              <w:t>, această sumă ar reprezenta un cost de         50 lei/m</w:t>
            </w:r>
            <w:r>
              <w:rPr>
                <w:sz w:val="24"/>
                <w:szCs w:val="24"/>
                <w:vertAlign w:val="superscript"/>
                <w:lang w:val="ro-MD"/>
              </w:rPr>
              <w:t>2</w:t>
            </w:r>
            <w:r>
              <w:rPr>
                <w:sz w:val="24"/>
                <w:szCs w:val="24"/>
                <w:lang w:val="ro-MD"/>
              </w:rPr>
              <w:t xml:space="preserve">. </w:t>
            </w:r>
            <w:r w:rsidR="003B4DC4">
              <w:rPr>
                <w:sz w:val="24"/>
                <w:szCs w:val="24"/>
                <w:lang w:val="ro-MD"/>
              </w:rPr>
              <w:t>Corespunzător, pentru o locuință cu suprafața de 50 m</w:t>
            </w:r>
            <w:r w:rsidR="003B4DC4">
              <w:rPr>
                <w:sz w:val="24"/>
                <w:szCs w:val="24"/>
                <w:vertAlign w:val="superscript"/>
                <w:lang w:val="ro-MD"/>
              </w:rPr>
              <w:t>2</w:t>
            </w:r>
            <w:r w:rsidR="003B4DC4">
              <w:rPr>
                <w:sz w:val="24"/>
                <w:szCs w:val="24"/>
                <w:lang w:val="ro-MD"/>
              </w:rPr>
              <w:t xml:space="preserve"> acest cost ar fi de 2500 lei, pentru o locuință cu 100 m</w:t>
            </w:r>
            <w:r w:rsidR="003B4DC4">
              <w:rPr>
                <w:sz w:val="24"/>
                <w:szCs w:val="24"/>
                <w:vertAlign w:val="superscript"/>
                <w:lang w:val="ro-MD"/>
              </w:rPr>
              <w:t>2</w:t>
            </w:r>
            <w:r w:rsidR="003B4DC4">
              <w:rPr>
                <w:sz w:val="24"/>
                <w:szCs w:val="24"/>
                <w:lang w:val="ro-MD"/>
              </w:rPr>
              <w:t xml:space="preserve"> acest cost ar fi de 5000 lei. În același timp, trebuie să ținem cont de faptul că pentru aceste locuințe, proprietarii au achitat câte 500 euro/m</w:t>
            </w:r>
            <w:r w:rsidR="003B4DC4">
              <w:rPr>
                <w:sz w:val="24"/>
                <w:szCs w:val="24"/>
                <w:vertAlign w:val="superscript"/>
                <w:lang w:val="ro-MD"/>
              </w:rPr>
              <w:t>2</w:t>
            </w:r>
            <w:r w:rsidR="003B4DC4">
              <w:rPr>
                <w:sz w:val="24"/>
                <w:szCs w:val="24"/>
                <w:lang w:val="ro-MD"/>
              </w:rPr>
              <w:t>, respectiv 25.000 euro în total pentru locuința de 50 m</w:t>
            </w:r>
            <w:r w:rsidR="003B4DC4">
              <w:rPr>
                <w:sz w:val="24"/>
                <w:szCs w:val="24"/>
                <w:vertAlign w:val="superscript"/>
                <w:lang w:val="ro-MD"/>
              </w:rPr>
              <w:t>2</w:t>
            </w:r>
            <w:r w:rsidR="003B4DC4">
              <w:rPr>
                <w:sz w:val="24"/>
                <w:szCs w:val="24"/>
                <w:lang w:val="ro-MD"/>
              </w:rPr>
              <w:t xml:space="preserve"> și 50.000 euro/m</w:t>
            </w:r>
            <w:r w:rsidR="003B4DC4">
              <w:rPr>
                <w:sz w:val="24"/>
                <w:szCs w:val="24"/>
                <w:vertAlign w:val="superscript"/>
                <w:lang w:val="ro-MD"/>
              </w:rPr>
              <w:t>2</w:t>
            </w:r>
            <w:r w:rsidR="004D422D">
              <w:rPr>
                <w:sz w:val="24"/>
                <w:szCs w:val="24"/>
                <w:lang w:val="ro-MD"/>
              </w:rPr>
              <w:t xml:space="preserve"> =&gt; 500.000 lei (pentru 50 m</w:t>
            </w:r>
            <w:r w:rsidR="004D422D">
              <w:rPr>
                <w:sz w:val="24"/>
                <w:szCs w:val="24"/>
                <w:vertAlign w:val="superscript"/>
                <w:lang w:val="ro-MD"/>
              </w:rPr>
              <w:t>2</w:t>
            </w:r>
            <w:r w:rsidR="004D422D">
              <w:rPr>
                <w:sz w:val="24"/>
                <w:szCs w:val="24"/>
                <w:lang w:val="ro-MD"/>
              </w:rPr>
              <w:t>) și 1.000.000 lei (pentru 100 m</w:t>
            </w:r>
            <w:r w:rsidR="004D422D">
              <w:rPr>
                <w:sz w:val="24"/>
                <w:szCs w:val="24"/>
                <w:vertAlign w:val="superscript"/>
                <w:lang w:val="ro-MD"/>
              </w:rPr>
              <w:t>2</w:t>
            </w:r>
            <w:r w:rsidR="004D422D">
              <w:rPr>
                <w:sz w:val="24"/>
                <w:szCs w:val="24"/>
                <w:lang w:val="ro-MD"/>
              </w:rPr>
              <w:t xml:space="preserve">). </w:t>
            </w:r>
            <w:r w:rsidR="00843EC2">
              <w:rPr>
                <w:sz w:val="24"/>
                <w:szCs w:val="24"/>
                <w:lang w:val="ro-MD"/>
              </w:rPr>
              <w:t xml:space="preserve">Analizând aceste date, considerăm că aceste costuri de 2500 lei și 5000 lei respectiv, în contextul valorii totale achitate de proprietar, </w:t>
            </w:r>
            <w:r w:rsidR="00C91BF7">
              <w:rPr>
                <w:sz w:val="24"/>
                <w:szCs w:val="24"/>
                <w:lang w:val="ro-MD"/>
              </w:rPr>
              <w:t>nu sunt atât de semnificative, încât această valoare de 0,5 să fie modificată în sensul reducerii.</w:t>
            </w:r>
          </w:p>
          <w:p w14:paraId="44796B97" w14:textId="1A624CE1" w:rsidR="00C91BF7" w:rsidRPr="004D422D" w:rsidRDefault="00C91BF7" w:rsidP="008907C4">
            <w:pPr>
              <w:spacing w:before="120" w:line="276" w:lineRule="auto"/>
              <w:ind w:firstLine="380"/>
              <w:rPr>
                <w:sz w:val="24"/>
                <w:szCs w:val="24"/>
                <w:lang w:val="ro-MD"/>
              </w:rPr>
            </w:pPr>
            <w:r>
              <w:rPr>
                <w:sz w:val="24"/>
                <w:szCs w:val="24"/>
                <w:lang w:val="ro-MD"/>
              </w:rPr>
              <w:t>În același context, dorim să atragem atenția asupra faptului că, chiar dacă aceste sume care se acumulează în fondul respectiv, par a fi mari inițial, acestea vor fi îndreptate la menținerea și dezvoltarea sistemului calității în construcții, or calitatea bună a acestuia, înseamnă construcții de calitate, sigure în exploatare, siguranță în caz</w:t>
            </w:r>
            <w:r w:rsidR="00224149">
              <w:rPr>
                <w:sz w:val="24"/>
                <w:szCs w:val="24"/>
                <w:lang w:val="ro-MD"/>
              </w:rPr>
              <w:t xml:space="preserve"> de cutremur și alte </w:t>
            </w:r>
            <w:r w:rsidR="00EC4CB0">
              <w:rPr>
                <w:sz w:val="24"/>
                <w:szCs w:val="24"/>
                <w:lang w:val="ro-MD"/>
              </w:rPr>
              <w:t>calamități naturale, iar beneficiile respective sunt net incomparabile cu acele costuri.</w:t>
            </w:r>
          </w:p>
          <w:p w14:paraId="7CF55B72" w14:textId="3788CBC0" w:rsidR="006818E5" w:rsidRPr="008F259F" w:rsidRDefault="008F259F" w:rsidP="008907C4">
            <w:pPr>
              <w:spacing w:before="120" w:line="276" w:lineRule="auto"/>
              <w:ind w:firstLine="380"/>
              <w:rPr>
                <w:sz w:val="24"/>
                <w:szCs w:val="24"/>
                <w:lang w:val="ro-MD"/>
              </w:rPr>
            </w:pPr>
            <w:r w:rsidRPr="008F259F">
              <w:rPr>
                <w:sz w:val="24"/>
                <w:szCs w:val="24"/>
                <w:lang w:val="ro-MD"/>
              </w:rPr>
              <w:t xml:space="preserve">Nevalorificarea alocațiilor financiare pentru elaborarea documentelor normative în construcții, în ultimii cinci ani, sunt datorate faptului </w:t>
            </w:r>
            <w:r w:rsidR="00575A4D">
              <w:rPr>
                <w:sz w:val="24"/>
                <w:szCs w:val="24"/>
                <w:lang w:val="ro-MD"/>
              </w:rPr>
              <w:t>nerecunoașterii contractelor multianuale pentru elaborarea normativelor în construcții și refuzul Trezeroriei de Stat de a le înregistra.</w:t>
            </w:r>
            <w:r w:rsidR="00535FDB">
              <w:rPr>
                <w:sz w:val="24"/>
                <w:szCs w:val="24"/>
                <w:lang w:val="ro-MD"/>
              </w:rPr>
              <w:t xml:space="preserve"> Important de menționat </w:t>
            </w:r>
            <w:r w:rsidR="00641738">
              <w:rPr>
                <w:sz w:val="24"/>
                <w:szCs w:val="24"/>
                <w:lang w:val="ro-MD"/>
              </w:rPr>
              <w:t xml:space="preserve">că </w:t>
            </w:r>
            <w:r w:rsidR="00535FDB">
              <w:rPr>
                <w:sz w:val="24"/>
                <w:szCs w:val="24"/>
                <w:lang w:val="ro-MD"/>
              </w:rPr>
              <w:t xml:space="preserve">în anii precedenți, </w:t>
            </w:r>
            <w:r w:rsidR="00641738">
              <w:rPr>
                <w:sz w:val="24"/>
                <w:szCs w:val="24"/>
                <w:lang w:val="ro-MD"/>
              </w:rPr>
              <w:t>până în 2018</w:t>
            </w:r>
            <w:r w:rsidR="00535FDB">
              <w:rPr>
                <w:sz w:val="24"/>
                <w:szCs w:val="24"/>
                <w:lang w:val="ro-MD"/>
              </w:rPr>
              <w:t>, astfel de contracte erau recunoscute și înregistrate.</w:t>
            </w:r>
            <w:r w:rsidR="004C1811">
              <w:rPr>
                <w:sz w:val="24"/>
                <w:szCs w:val="24"/>
                <w:lang w:val="ro-MD"/>
              </w:rPr>
              <w:t xml:space="preserve"> </w:t>
            </w:r>
            <w:r w:rsidR="00B66A3D">
              <w:rPr>
                <w:sz w:val="24"/>
                <w:szCs w:val="24"/>
                <w:lang w:val="ro-MD"/>
              </w:rPr>
              <w:t>De fapt, d</w:t>
            </w:r>
            <w:r w:rsidRPr="008F259F">
              <w:rPr>
                <w:sz w:val="24"/>
                <w:szCs w:val="24"/>
                <w:lang w:val="ro-MD"/>
              </w:rPr>
              <w:t>in cauza unor proceduri complexe și de durată</w:t>
            </w:r>
            <w:r w:rsidR="004C1811">
              <w:rPr>
                <w:sz w:val="24"/>
                <w:szCs w:val="24"/>
                <w:lang w:val="ro-MD"/>
              </w:rPr>
              <w:t xml:space="preserve"> a procesului de elaborare a proiectelor de normative în construcții</w:t>
            </w:r>
            <w:r w:rsidRPr="008F259F">
              <w:rPr>
                <w:sz w:val="24"/>
                <w:szCs w:val="24"/>
                <w:lang w:val="ro-MD"/>
              </w:rPr>
              <w:t>, care inclu</w:t>
            </w:r>
            <w:r w:rsidR="004C1811">
              <w:rPr>
                <w:sz w:val="24"/>
                <w:szCs w:val="24"/>
                <w:lang w:val="ro-MD"/>
              </w:rPr>
              <w:t xml:space="preserve">d </w:t>
            </w:r>
            <w:r w:rsidRPr="008F259F">
              <w:rPr>
                <w:sz w:val="24"/>
                <w:szCs w:val="24"/>
                <w:lang w:val="ro-MD"/>
              </w:rPr>
              <w:t>modificarea și aprobarea Planului tematic, lansarea și desfășurarea achizițiilor publice, examinarea ofertelor și achiziția serviciilor de elaborare a normativelor, iar, timpul rămas până la finele anului nu este suficient pentru elaborarea, consultarea, avizarea și aprobarea unui document normativ</w:t>
            </w:r>
            <w:r w:rsidR="003F7EE8">
              <w:rPr>
                <w:sz w:val="24"/>
                <w:szCs w:val="24"/>
                <w:lang w:val="ro-MD"/>
              </w:rPr>
              <w:t>, precum</w:t>
            </w:r>
            <w:r w:rsidR="003F7EE8">
              <w:t xml:space="preserve"> </w:t>
            </w:r>
            <w:r w:rsidR="003F7EE8" w:rsidRPr="003F7EE8">
              <w:rPr>
                <w:sz w:val="24"/>
                <w:szCs w:val="24"/>
                <w:lang w:val="ro-MD"/>
              </w:rPr>
              <w:t>și probabilitatea valorificării integrale a valorii alocate de bugetul de stat</w:t>
            </w:r>
            <w:r w:rsidR="003F7EE8">
              <w:rPr>
                <w:sz w:val="24"/>
                <w:szCs w:val="24"/>
                <w:lang w:val="ro-MD"/>
              </w:rPr>
              <w:t xml:space="preserve"> anual</w:t>
            </w:r>
            <w:r w:rsidR="003F7EE8" w:rsidRPr="003F7EE8">
              <w:rPr>
                <w:sz w:val="24"/>
                <w:szCs w:val="24"/>
                <w:lang w:val="ro-MD"/>
              </w:rPr>
              <w:t xml:space="preserve"> nu poate fi realizabilă</w:t>
            </w:r>
            <w:r w:rsidRPr="008F259F">
              <w:rPr>
                <w:sz w:val="24"/>
                <w:szCs w:val="24"/>
                <w:lang w:val="ro-MD"/>
              </w:rPr>
              <w:t>.</w:t>
            </w:r>
            <w:r w:rsidR="0026775F">
              <w:rPr>
                <w:sz w:val="24"/>
                <w:szCs w:val="24"/>
                <w:lang w:val="ro-MD"/>
              </w:rPr>
              <w:t xml:space="preserve"> Pentru deblocarea situației create</w:t>
            </w:r>
            <w:r w:rsidR="001D4205" w:rsidRPr="001D4205">
              <w:rPr>
                <w:sz w:val="24"/>
                <w:szCs w:val="24"/>
                <w:lang w:val="ro-MD"/>
              </w:rPr>
              <w:t xml:space="preserve">, </w:t>
            </w:r>
            <w:r w:rsidR="00AC01C5">
              <w:rPr>
                <w:sz w:val="24"/>
                <w:szCs w:val="24"/>
                <w:lang w:val="ro-MD"/>
              </w:rPr>
              <w:t>în</w:t>
            </w:r>
            <w:r w:rsidR="001D4205" w:rsidRPr="001D4205">
              <w:rPr>
                <w:sz w:val="24"/>
                <w:szCs w:val="24"/>
                <w:lang w:val="ro-MD"/>
              </w:rPr>
              <w:t xml:space="preserve"> anul 2022 au fost întreprinse unele măsuri </w:t>
            </w:r>
            <w:r w:rsidR="001D4205">
              <w:rPr>
                <w:sz w:val="24"/>
                <w:szCs w:val="24"/>
                <w:lang w:val="ro-MD"/>
              </w:rPr>
              <w:t>prin</w:t>
            </w:r>
            <w:r w:rsidR="001D4205" w:rsidRPr="001D4205">
              <w:rPr>
                <w:sz w:val="24"/>
                <w:szCs w:val="24"/>
                <w:lang w:val="ro-MD"/>
              </w:rPr>
              <w:t xml:space="preserve"> opera</w:t>
            </w:r>
            <w:r w:rsidR="001D4205">
              <w:rPr>
                <w:sz w:val="24"/>
                <w:szCs w:val="24"/>
                <w:lang w:val="ro-MD"/>
              </w:rPr>
              <w:t>rea</w:t>
            </w:r>
            <w:r w:rsidR="001D4205" w:rsidRPr="001D4205">
              <w:rPr>
                <w:sz w:val="24"/>
                <w:szCs w:val="24"/>
                <w:lang w:val="ro-MD"/>
              </w:rPr>
              <w:t xml:space="preserve"> modificări</w:t>
            </w:r>
            <w:r w:rsidR="001D4205">
              <w:rPr>
                <w:sz w:val="24"/>
                <w:szCs w:val="24"/>
                <w:lang w:val="ro-MD"/>
              </w:rPr>
              <w:t>lor,</w:t>
            </w:r>
            <w:r w:rsidR="001D4205" w:rsidRPr="001D4205">
              <w:rPr>
                <w:sz w:val="24"/>
                <w:szCs w:val="24"/>
                <w:lang w:val="ro-MD"/>
              </w:rPr>
              <w:t xml:space="preserve"> la Legea finanțelor publice și responsabilității bugetar-fiscale nr.181/2014 și anume la art.66 alin.3</w:t>
            </w:r>
            <w:r w:rsidR="001D4205" w:rsidRPr="00A7113A">
              <w:rPr>
                <w:sz w:val="24"/>
                <w:szCs w:val="24"/>
                <w:vertAlign w:val="superscript"/>
                <w:lang w:val="ro-MD"/>
              </w:rPr>
              <w:t>1</w:t>
            </w:r>
            <w:r w:rsidR="001D4205" w:rsidRPr="001D4205">
              <w:rPr>
                <w:sz w:val="24"/>
                <w:szCs w:val="24"/>
                <w:lang w:val="ro-MD"/>
              </w:rPr>
              <w:t xml:space="preserve"> care șă permită „autorităților/instituțiilor bugetare asumarea angajamentelor multianuale, pe o perioada de până la trei ani bugetari, pentru achizițiile de bunuri, lucrări și servicii a căror perioadă de realizare este mai mare de un an, în limitele cheltuielilor prognozate în acest scop pe anii respectivi.”</w:t>
            </w:r>
            <w:r w:rsidR="00AC01C5" w:rsidRPr="00AC01C5">
              <w:rPr>
                <w:sz w:val="24"/>
                <w:szCs w:val="24"/>
              </w:rPr>
              <w:t>(</w:t>
            </w:r>
            <w:r w:rsidR="00AC01C5" w:rsidRPr="00AC01C5">
              <w:rPr>
                <w:sz w:val="24"/>
                <w:szCs w:val="24"/>
                <w:lang w:val="ro-MD"/>
              </w:rPr>
              <w:t xml:space="preserve"> Legea nr.356 </w:t>
            </w:r>
            <w:r w:rsidR="00AC01C5">
              <w:rPr>
                <w:sz w:val="24"/>
                <w:szCs w:val="24"/>
                <w:lang w:val="ro-MD"/>
              </w:rPr>
              <w:t>/2022)</w:t>
            </w:r>
            <w:r w:rsidR="001D4205" w:rsidRPr="001D4205">
              <w:rPr>
                <w:sz w:val="24"/>
                <w:szCs w:val="24"/>
                <w:lang w:val="ro-MD"/>
              </w:rPr>
              <w:t xml:space="preserve">, </w:t>
            </w:r>
            <w:r w:rsidR="009458B6">
              <w:rPr>
                <w:sz w:val="24"/>
                <w:szCs w:val="24"/>
                <w:lang w:val="ro-MD"/>
              </w:rPr>
              <w:t>e</w:t>
            </w:r>
            <w:r w:rsidR="00BD75C7">
              <w:rPr>
                <w:sz w:val="24"/>
                <w:szCs w:val="24"/>
                <w:lang w:val="ro-MD"/>
              </w:rPr>
              <w:t>laborat</w:t>
            </w:r>
            <w:r w:rsidR="009458B6">
              <w:rPr>
                <w:sz w:val="24"/>
                <w:szCs w:val="24"/>
                <w:lang w:val="ro-MD"/>
              </w:rPr>
              <w:t xml:space="preserve"> </w:t>
            </w:r>
            <w:r w:rsidR="009458B6" w:rsidRPr="001D4205">
              <w:rPr>
                <w:sz w:val="24"/>
                <w:szCs w:val="24"/>
                <w:lang w:val="ro-MD"/>
              </w:rPr>
              <w:t xml:space="preserve">Regulamentul privind asumarea angajamentelor multianuale </w:t>
            </w:r>
            <w:r w:rsidR="00BD75C7">
              <w:rPr>
                <w:sz w:val="24"/>
                <w:szCs w:val="24"/>
                <w:lang w:val="ro-MD"/>
              </w:rPr>
              <w:t>și aprobat</w:t>
            </w:r>
            <w:r w:rsidR="00BD75C7" w:rsidRPr="001D4205">
              <w:rPr>
                <w:sz w:val="24"/>
                <w:szCs w:val="24"/>
                <w:lang w:val="ro-MD"/>
              </w:rPr>
              <w:t xml:space="preserve"> </w:t>
            </w:r>
            <w:r w:rsidR="009458B6">
              <w:rPr>
                <w:sz w:val="24"/>
                <w:szCs w:val="24"/>
                <w:lang w:val="ro-MD"/>
              </w:rPr>
              <w:t xml:space="preserve">prin </w:t>
            </w:r>
            <w:r w:rsidR="001D4205" w:rsidRPr="001D4205">
              <w:rPr>
                <w:sz w:val="24"/>
                <w:szCs w:val="24"/>
                <w:lang w:val="ro-MD"/>
              </w:rPr>
              <w:t>Hotărîrea Guvernului nr.652 din 06.09.2023. Concomitent, prin Hotărîrea Guvernului nr.592/2023 a fost actualizată și ajustată la prevederile Legii nr.181/2014 cu modificările ulterioare, Hotărârea Guvernului nr.1436/2008 pentru aprobarea Regulamentului cu privire la administrarea mijloacelor pentru finanțarea sistemului de doc</w:t>
            </w:r>
            <w:r w:rsidR="00DE0256">
              <w:rPr>
                <w:sz w:val="24"/>
                <w:szCs w:val="24"/>
                <w:lang w:val="ro-MD"/>
              </w:rPr>
              <w:t xml:space="preserve">umente normative în construcții, dar aceste acțiuni nu sunt suficiente pentru </w:t>
            </w:r>
            <w:r w:rsidR="001F78E1">
              <w:rPr>
                <w:sz w:val="24"/>
                <w:szCs w:val="24"/>
                <w:lang w:val="ro-MD"/>
              </w:rPr>
              <w:t>a diminua multiplele probleme în dezvoltarea SDNC.</w:t>
            </w:r>
            <w:r w:rsidR="001D4205" w:rsidRPr="001D4205">
              <w:rPr>
                <w:sz w:val="24"/>
                <w:szCs w:val="24"/>
                <w:lang w:val="ro-MD"/>
              </w:rPr>
              <w:t xml:space="preserve"> </w:t>
            </w:r>
          </w:p>
          <w:p w14:paraId="288DF98A" w14:textId="740038F4" w:rsidR="0026775F" w:rsidRPr="00CE321D" w:rsidRDefault="001F78E1" w:rsidP="0026775F">
            <w:pPr>
              <w:spacing w:before="80" w:after="80" w:line="276" w:lineRule="auto"/>
              <w:ind w:left="29" w:right="91" w:firstLine="492"/>
              <w:rPr>
                <w:sz w:val="24"/>
                <w:szCs w:val="24"/>
                <w:lang w:val="ro-MD"/>
              </w:rPr>
            </w:pPr>
            <w:r>
              <w:rPr>
                <w:sz w:val="24"/>
                <w:szCs w:val="24"/>
                <w:lang w:val="ro-MD"/>
              </w:rPr>
              <w:t>În acest context, este i</w:t>
            </w:r>
            <w:r w:rsidR="0026775F" w:rsidRPr="00CE321D">
              <w:rPr>
                <w:sz w:val="24"/>
                <w:szCs w:val="24"/>
                <w:lang w:val="ro-MD"/>
              </w:rPr>
              <w:t xml:space="preserve">mportant de menționat, că </w:t>
            </w:r>
            <w:r w:rsidR="00D90527" w:rsidRPr="00CE321D">
              <w:rPr>
                <w:sz w:val="24"/>
                <w:szCs w:val="24"/>
                <w:lang w:val="ro-MD"/>
              </w:rPr>
              <w:t xml:space="preserve">în anul 1996 a fost creat </w:t>
            </w:r>
            <w:r w:rsidR="0026775F" w:rsidRPr="00CE321D">
              <w:rPr>
                <w:sz w:val="24"/>
                <w:szCs w:val="24"/>
                <w:lang w:val="ro-MD"/>
              </w:rPr>
              <w:t xml:space="preserve">Fondul pentru finanţarea lucrărilor de constituire a bazei normative în construcţii și a existat </w:t>
            </w:r>
            <w:r w:rsidR="00D90527">
              <w:rPr>
                <w:sz w:val="24"/>
                <w:szCs w:val="24"/>
                <w:lang w:val="ro-MD"/>
              </w:rPr>
              <w:t xml:space="preserve">acesta </w:t>
            </w:r>
            <w:r w:rsidR="0026775F" w:rsidRPr="00CE321D">
              <w:rPr>
                <w:sz w:val="24"/>
                <w:szCs w:val="24"/>
                <w:lang w:val="ro-MD"/>
              </w:rPr>
              <w:t>un timp îndelungat, însă</w:t>
            </w:r>
            <w:r w:rsidR="00BD5D7B">
              <w:rPr>
                <w:sz w:val="24"/>
                <w:szCs w:val="24"/>
                <w:lang w:val="ro-MD"/>
              </w:rPr>
              <w:t>,</w:t>
            </w:r>
            <w:r w:rsidR="0026775F" w:rsidRPr="00CE321D">
              <w:rPr>
                <w:sz w:val="24"/>
                <w:szCs w:val="24"/>
                <w:lang w:val="ro-MD"/>
              </w:rPr>
              <w:t xml:space="preserve"> a fost lichidat neargumentat prin modificări</w:t>
            </w:r>
            <w:r w:rsidR="00DF4C5E">
              <w:rPr>
                <w:sz w:val="24"/>
                <w:szCs w:val="24"/>
                <w:lang w:val="ro-MD"/>
              </w:rPr>
              <w:t xml:space="preserve"> la</w:t>
            </w:r>
            <w:r w:rsidR="0026775F" w:rsidRPr="00CE321D">
              <w:rPr>
                <w:sz w:val="24"/>
                <w:szCs w:val="24"/>
                <w:lang w:val="ro-MD"/>
              </w:rPr>
              <w:t xml:space="preserve"> Leg</w:t>
            </w:r>
            <w:r w:rsidR="00DF4C5E">
              <w:rPr>
                <w:sz w:val="24"/>
                <w:szCs w:val="24"/>
                <w:lang w:val="ro-MD"/>
              </w:rPr>
              <w:t>ea</w:t>
            </w:r>
            <w:r w:rsidR="0026775F" w:rsidRPr="00CE321D">
              <w:rPr>
                <w:sz w:val="24"/>
                <w:szCs w:val="24"/>
                <w:lang w:val="ro-MD"/>
              </w:rPr>
              <w:t xml:space="preserve"> nr.721/1996 privind calitatea în construcţii introduse prin Legea nr.177/2007 pentru modificarea şi completarea unor acte legislative, precum şi prin abrogarea în anul 2007 a Hotărîrii Guvernului nr.216/2001 despre aprobarea Regulamentului cu privire la modul de creare şi distribuire a mijloacelor fondului extrabugetar pentru finanţarea lucrărilor de constituire a bazei normative în construcţii. De asemenea este important de menționat și faptul, că acel </w:t>
            </w:r>
            <w:r w:rsidR="0026775F" w:rsidRPr="00CE321D">
              <w:rPr>
                <w:sz w:val="24"/>
                <w:szCs w:val="24"/>
                <w:lang w:val="ro-MD"/>
              </w:rPr>
              <w:lastRenderedPageBreak/>
              <w:t xml:space="preserve">Fond, care era denumit inițial „fond extrabugetar” și ulterior redactată denumirea în „fond special”, inclusiv era constituit și din defalcări în mărime de 0,3 la sută din volumul investițiilor în capitalul fix pentru obiectivele finanțate de la bugetul de stat și de la bugetele locale, care prin modificările ulterioare, menționate supra, aceste prevederi au fost excluse. Lichidarea Fondului și a prevederilor care reglementau acest proces au generat un șir de probleme care au condus la diminuarea eficacității în </w:t>
            </w:r>
            <w:r w:rsidR="0026775F" w:rsidRPr="00CE321D">
              <w:rPr>
                <w:sz w:val="24"/>
                <w:szCs w:val="24"/>
              </w:rPr>
              <w:t xml:space="preserve">administrarea defalcărilor, în planificarea anuală și multianuală pentru elaborarea/actualizarea normativelor în construcţii, lipsa unui organ de control privind calculul, virarea și respectarea prevederilor legale, </w:t>
            </w:r>
            <w:r w:rsidR="0026775F" w:rsidRPr="00CE321D">
              <w:rPr>
                <w:sz w:val="24"/>
                <w:szCs w:val="24"/>
                <w:lang w:val="ro-MD"/>
              </w:rPr>
              <w:t xml:space="preserve">în ultimii 15 ani, </w:t>
            </w:r>
            <w:r w:rsidR="0026775F" w:rsidRPr="00CE321D">
              <w:rPr>
                <w:sz w:val="24"/>
                <w:szCs w:val="24"/>
              </w:rPr>
              <w:t>precum și a modului de raportare a persoanelor juridice privnd volumul defalcărilor virate în bugetul de stat</w:t>
            </w:r>
            <w:r w:rsidR="0026775F" w:rsidRPr="00CE321D">
              <w:rPr>
                <w:sz w:val="24"/>
                <w:szCs w:val="24"/>
                <w:lang w:val="ro-MD"/>
              </w:rPr>
              <w:t>.</w:t>
            </w:r>
          </w:p>
          <w:p w14:paraId="6BD7E39C" w14:textId="643CEB9D" w:rsidR="00D8303C" w:rsidRPr="006443E8" w:rsidRDefault="00D8303C" w:rsidP="0026775F">
            <w:pPr>
              <w:spacing w:before="80" w:after="80" w:line="276" w:lineRule="auto"/>
              <w:ind w:left="29" w:right="91" w:firstLine="492"/>
              <w:rPr>
                <w:sz w:val="24"/>
                <w:szCs w:val="24"/>
                <w:lang w:val="ro-MD"/>
              </w:rPr>
            </w:pPr>
            <w:r w:rsidRPr="006443E8">
              <w:rPr>
                <w:sz w:val="24"/>
                <w:szCs w:val="24"/>
                <w:lang w:val="ro-MD"/>
              </w:rPr>
              <w:t>Scăderea volumului acumulărilor este determinată de următoarea cauză: pînă la lichidare</w:t>
            </w:r>
            <w:r w:rsidR="0026775F">
              <w:rPr>
                <w:sz w:val="24"/>
                <w:szCs w:val="24"/>
                <w:lang w:val="ro-MD"/>
              </w:rPr>
              <w:t>a</w:t>
            </w:r>
            <w:r w:rsidRPr="006443E8">
              <w:rPr>
                <w:sz w:val="24"/>
                <w:szCs w:val="24"/>
                <w:lang w:val="ro-MD"/>
              </w:rPr>
              <w:t xml:space="preserve"> Fondul</w:t>
            </w:r>
            <w:r w:rsidR="0026775F">
              <w:rPr>
                <w:sz w:val="24"/>
                <w:szCs w:val="24"/>
                <w:lang w:val="ro-MD"/>
              </w:rPr>
              <w:t>ui</w:t>
            </w:r>
            <w:r w:rsidRPr="006443E8">
              <w:rPr>
                <w:sz w:val="24"/>
                <w:szCs w:val="24"/>
                <w:lang w:val="ro-MD"/>
              </w:rPr>
              <w:t xml:space="preserve"> extrabugetar pentru finanţarea lucrărilor de constituire a bazei normative în construcţii se acumula pe un cont special și se administra</w:t>
            </w:r>
            <w:r w:rsidRPr="006443E8">
              <w:rPr>
                <w:sz w:val="24"/>
                <w:szCs w:val="24"/>
              </w:rPr>
              <w:t xml:space="preserve"> de </w:t>
            </w:r>
            <w:r w:rsidR="008316F9">
              <w:rPr>
                <w:sz w:val="24"/>
                <w:szCs w:val="24"/>
              </w:rPr>
              <w:t>către „</w:t>
            </w:r>
            <w:r w:rsidRPr="006443E8">
              <w:rPr>
                <w:sz w:val="24"/>
                <w:szCs w:val="24"/>
              </w:rPr>
              <w:t>o</w:t>
            </w:r>
            <w:r w:rsidRPr="006443E8">
              <w:rPr>
                <w:sz w:val="24"/>
                <w:szCs w:val="24"/>
                <w:lang w:val="ro-MD"/>
              </w:rPr>
              <w:t>rganul naţional de dirijare în construcţii</w:t>
            </w:r>
            <w:r w:rsidR="008316F9">
              <w:rPr>
                <w:sz w:val="24"/>
                <w:szCs w:val="24"/>
                <w:lang w:val="ro-MD"/>
              </w:rPr>
              <w:t>”</w:t>
            </w:r>
            <w:r w:rsidRPr="006443E8">
              <w:rPr>
                <w:sz w:val="24"/>
                <w:szCs w:val="24"/>
                <w:lang w:val="ro-MD"/>
              </w:rPr>
              <w:t xml:space="preserve">, la acel moment Agenţia Construcţii şi Dezvoltare a Teritoriului. Acumulările în Fond erau în dependenţă directă de gradul de implicare al Agenţiei în monitorizarea şi controlul efectuării defalcărilor. Actualmente, conform prevederilor art.37 al Legii nr.721/1996 privind calitatea în construcţii, finanţarea sistemului de documente normative în construcţii se efectuează din bugetul de stat, volumul bugetului nefiind corelat cu volumul acumulărilor. Adică, rolul şi interesul </w:t>
            </w:r>
            <w:r w:rsidR="008316F9">
              <w:rPr>
                <w:sz w:val="24"/>
                <w:szCs w:val="24"/>
                <w:lang w:val="ro-MD"/>
              </w:rPr>
              <w:t xml:space="preserve"> acelui „</w:t>
            </w:r>
            <w:r w:rsidRPr="006443E8">
              <w:rPr>
                <w:sz w:val="24"/>
                <w:szCs w:val="24"/>
                <w:lang w:val="ro-MD"/>
              </w:rPr>
              <w:t>organ naţional de dirijare în construcţii</w:t>
            </w:r>
            <w:r w:rsidR="008316F9">
              <w:rPr>
                <w:sz w:val="24"/>
                <w:szCs w:val="24"/>
                <w:lang w:val="ro-MD"/>
              </w:rPr>
              <w:t>”</w:t>
            </w:r>
            <w:r w:rsidRPr="006443E8">
              <w:rPr>
                <w:sz w:val="24"/>
                <w:szCs w:val="24"/>
                <w:lang w:val="ro-MD"/>
              </w:rPr>
              <w:t xml:space="preserve"> în monitorizarea şi controlul efectuării defalcărilor a fost diminuat prin prevederile legale. Cu toate acestea, Ministerul Infrastructurii și Dezvoltării Regionale realmente este cointeresat în acumularea în volum deplin a mijloacelor pentru finanţarea sistemului de documente normative în construcţii, în scopul realizării la un nivel înalt a politicii de stat privind dezvoltarea reglementărilor tehnice naționale în domeniul construcţiilor și armonizarea acestora cu cele ale Uniunii Europene și asumarea pe deplin a angajamentelor Republicii Moldova stabilite în Acordul de Asociere între Republica Moldova, pe de o parte, și Uniunea Europeană și Comunitatea Europeană a Energiei Atomice și statele membre ale acestora, pe de altă parte din 27.06.2014, ratificat prin Legea nr.112/2014, care în art.</w:t>
            </w:r>
            <w:r w:rsidRPr="006443E8">
              <w:t xml:space="preserve"> </w:t>
            </w:r>
            <w:r w:rsidRPr="006443E8">
              <w:rPr>
                <w:sz w:val="24"/>
                <w:szCs w:val="24"/>
                <w:lang w:val="ro-MD"/>
              </w:rPr>
              <w:t xml:space="preserve">173 alin.(1), prevede că: </w:t>
            </w:r>
            <w:r w:rsidRPr="006443E8">
              <w:rPr>
                <w:i/>
                <w:sz w:val="24"/>
                <w:szCs w:val="24"/>
                <w:lang w:val="ro-MD"/>
              </w:rPr>
              <w:t xml:space="preserve">„Republica Moldova ia măsurile necesare pentru a asigura în mod progresiv conformitatea cu obiectivele Uniunii </w:t>
            </w:r>
            <w:r w:rsidRPr="006443E8">
              <w:rPr>
                <w:i/>
                <w:sz w:val="24"/>
                <w:szCs w:val="24"/>
                <w:u w:val="single"/>
                <w:lang w:val="ro-MD"/>
              </w:rPr>
              <w:t>în materie de reglementări tehnice</w:t>
            </w:r>
            <w:r w:rsidRPr="006443E8">
              <w:rPr>
                <w:i/>
                <w:sz w:val="24"/>
                <w:szCs w:val="24"/>
                <w:lang w:val="ro-MD"/>
              </w:rPr>
              <w:t>, standarde, metrologie, acreditare, evaluarea conformității, sisteme corespunzătoare și sistemul de supraveghere a pieței, și se angajează să urmeze principiile și practicile prevăzute în acquis-ul relevant al Uniunii.”</w:t>
            </w:r>
            <w:r w:rsidRPr="006443E8">
              <w:rPr>
                <w:sz w:val="24"/>
                <w:szCs w:val="24"/>
                <w:lang w:val="ro-MD"/>
              </w:rPr>
              <w:t>, avându-se concomitent în vedere și aducerea reglementărilor tehnice naționale în conformitate cu Eurocodurile în construcții – standarde europene.</w:t>
            </w:r>
          </w:p>
          <w:p w14:paraId="0CF5ECC0" w14:textId="58C80724" w:rsidR="004353EF" w:rsidRPr="004353EF" w:rsidRDefault="00797FF0" w:rsidP="004353EF">
            <w:pPr>
              <w:spacing w:before="80" w:after="80" w:line="276" w:lineRule="auto"/>
              <w:ind w:left="96" w:right="91" w:firstLine="425"/>
              <w:rPr>
                <w:sz w:val="24"/>
                <w:szCs w:val="24"/>
                <w:lang w:val="ro-MD"/>
              </w:rPr>
            </w:pPr>
            <w:r>
              <w:rPr>
                <w:sz w:val="24"/>
                <w:szCs w:val="24"/>
                <w:lang w:val="ro-MD"/>
              </w:rPr>
              <w:t>Totodat</w:t>
            </w:r>
            <w:r w:rsidR="004353EF" w:rsidRPr="004353EF">
              <w:rPr>
                <w:sz w:val="24"/>
                <w:szCs w:val="24"/>
                <w:lang w:val="ro-MD"/>
              </w:rPr>
              <w:t xml:space="preserve">, </w:t>
            </w:r>
            <w:r>
              <w:rPr>
                <w:sz w:val="24"/>
                <w:szCs w:val="24"/>
                <w:lang w:val="ro-MD"/>
              </w:rPr>
              <w:t xml:space="preserve">subliniem că </w:t>
            </w:r>
            <w:r w:rsidR="004353EF" w:rsidRPr="004353EF">
              <w:rPr>
                <w:sz w:val="24"/>
                <w:szCs w:val="24"/>
                <w:lang w:val="ro-MD"/>
              </w:rPr>
              <w:t xml:space="preserve">necesitatea creării unui fond special destinat pentru buna asigurare a dezvoltării bazei normative în construcții, constituit cu participarea investitorilor în construcții inclusiv și a construcțiilor realizate cu suportul bugetului </w:t>
            </w:r>
            <w:r>
              <w:rPr>
                <w:sz w:val="24"/>
                <w:szCs w:val="24"/>
                <w:lang w:val="ro-MD"/>
              </w:rPr>
              <w:t>de stat</w:t>
            </w:r>
            <w:r w:rsidR="004353EF" w:rsidRPr="004353EF">
              <w:rPr>
                <w:sz w:val="24"/>
                <w:szCs w:val="24"/>
                <w:lang w:val="ro-MD"/>
              </w:rPr>
              <w:t>, a fost conștientizată încă de la primii pași de independență a țării, inclusiv și necesitatea consolidării sistemului calității în construcții, în scopul asigurării rezistenței mecanice a construcțiilor; securitatea la incendiu;</w:t>
            </w:r>
            <w:r w:rsidR="004353EF" w:rsidRPr="004353EF">
              <w:rPr>
                <w:sz w:val="24"/>
                <w:szCs w:val="24"/>
              </w:rPr>
              <w:t xml:space="preserve"> </w:t>
            </w:r>
            <w:r w:rsidR="004353EF" w:rsidRPr="004353EF">
              <w:rPr>
                <w:sz w:val="24"/>
                <w:szCs w:val="24"/>
                <w:lang w:val="ro-MD"/>
              </w:rPr>
              <w:t>igienă, sănătate şi mediu înconjurător; siguranţă şi accesibilitate în exploatare; protecţie împotriva zgomotului; economie de energie şi izolare termică precum și utilizare sustenabilă a resurselor naturale - cerințe fundamentale obligatorii pentru obţinerea unor construcţii de calitate, astfel încât să nu reprezinte o ameninţare pentru viața oamenilor și mediul înconjurător</w:t>
            </w:r>
            <w:r w:rsidR="003D2752">
              <w:rPr>
                <w:sz w:val="24"/>
                <w:szCs w:val="24"/>
                <w:lang w:val="ro-MD"/>
              </w:rPr>
              <w:t>, cerințe</w:t>
            </w:r>
            <w:r w:rsidR="00F93BBB">
              <w:rPr>
                <w:sz w:val="24"/>
                <w:szCs w:val="24"/>
                <w:lang w:val="ro-MD"/>
              </w:rPr>
              <w:t xml:space="preserve"> transpuse în legislația națională din cea a UE</w:t>
            </w:r>
            <w:r w:rsidR="004353EF" w:rsidRPr="004353EF">
              <w:rPr>
                <w:sz w:val="24"/>
                <w:szCs w:val="24"/>
                <w:lang w:val="ro-MD"/>
              </w:rPr>
              <w:t xml:space="preserve">. </w:t>
            </w:r>
            <w:r w:rsidR="00E173B0">
              <w:rPr>
                <w:sz w:val="24"/>
                <w:szCs w:val="24"/>
                <w:lang w:val="ro-MD"/>
              </w:rPr>
              <w:t>S</w:t>
            </w:r>
            <w:r w:rsidR="00E173B0" w:rsidRPr="004353EF">
              <w:rPr>
                <w:sz w:val="24"/>
                <w:szCs w:val="24"/>
                <w:lang w:val="ro-MD"/>
              </w:rPr>
              <w:t>istemul calității</w:t>
            </w:r>
            <w:r w:rsidR="00E173B0">
              <w:rPr>
                <w:sz w:val="24"/>
                <w:szCs w:val="24"/>
                <w:lang w:val="ro-MD"/>
              </w:rPr>
              <w:t xml:space="preserve"> în construcții, care nu poate fi fără o bază de reglementări tehnice de calitate ajustate la cele ale UE, reprezintă, conform art.1 din </w:t>
            </w:r>
            <w:r w:rsidR="00E173B0" w:rsidRPr="004353EF">
              <w:rPr>
                <w:sz w:val="24"/>
                <w:szCs w:val="24"/>
                <w:lang w:val="ro-MD"/>
              </w:rPr>
              <w:t>Leg</w:t>
            </w:r>
            <w:r w:rsidR="00E173B0">
              <w:rPr>
                <w:sz w:val="24"/>
                <w:szCs w:val="24"/>
                <w:lang w:val="ro-MD"/>
              </w:rPr>
              <w:t>ea</w:t>
            </w:r>
            <w:r w:rsidR="00E173B0" w:rsidRPr="004353EF">
              <w:rPr>
                <w:sz w:val="24"/>
                <w:szCs w:val="24"/>
                <w:lang w:val="ro-MD"/>
              </w:rPr>
              <w:t xml:space="preserve"> nr.721/1996 privind calitatea în construcții</w:t>
            </w:r>
            <w:r w:rsidR="00E173B0">
              <w:rPr>
                <w:sz w:val="24"/>
                <w:szCs w:val="24"/>
                <w:lang w:val="ro-MD"/>
              </w:rPr>
              <w:t>, un „</w:t>
            </w:r>
            <w:r w:rsidR="00E173B0" w:rsidRPr="004353EF">
              <w:rPr>
                <w:sz w:val="24"/>
                <w:szCs w:val="24"/>
                <w:lang w:val="ro-MD"/>
              </w:rPr>
              <w:t>sistem care determină și traduce în fapt politica și strategia calității, destinate să prevină noncalitatea, să asigure realizarea, atestarea și garantarea calității cerute, în condiții raționale de cost și termen”.</w:t>
            </w:r>
          </w:p>
          <w:p w14:paraId="702FB218" w14:textId="274ED145" w:rsidR="004353EF" w:rsidRPr="004353EF" w:rsidRDefault="00E173B0" w:rsidP="004353EF">
            <w:pPr>
              <w:spacing w:before="80" w:after="80" w:line="276" w:lineRule="auto"/>
              <w:ind w:left="96" w:right="91" w:firstLine="425"/>
              <w:rPr>
                <w:sz w:val="24"/>
                <w:szCs w:val="24"/>
                <w:lang w:val="ro-MD"/>
              </w:rPr>
            </w:pPr>
            <w:r>
              <w:rPr>
                <w:sz w:val="24"/>
                <w:szCs w:val="24"/>
                <w:lang w:val="ro-MD"/>
              </w:rPr>
              <w:t>Concomitent</w:t>
            </w:r>
            <w:r w:rsidR="004353EF" w:rsidRPr="004353EF">
              <w:rPr>
                <w:sz w:val="24"/>
                <w:szCs w:val="24"/>
                <w:lang w:val="ro-MD"/>
              </w:rPr>
              <w:t xml:space="preserve">, remarcăm că, importanța creării acestui Fond a fost examinată și aprobată în cadrul ședinței Comisiei Naționale pentru Consultări și Negocieri Colective din anul 2022 (procesul-verbal </w:t>
            </w:r>
            <w:r w:rsidR="004353EF" w:rsidRPr="004353EF">
              <w:rPr>
                <w:sz w:val="24"/>
                <w:szCs w:val="24"/>
                <w:lang w:val="ro-MD"/>
              </w:rPr>
              <w:lastRenderedPageBreak/>
              <w:t xml:space="preserve">nr.24-78-12230 din 16.12.2022) și </w:t>
            </w:r>
            <w:r w:rsidR="008E0702">
              <w:rPr>
                <w:sz w:val="24"/>
                <w:szCs w:val="24"/>
                <w:lang w:val="ro-MD"/>
              </w:rPr>
              <w:t>astfel crearea acestuia a fost</w:t>
            </w:r>
            <w:r w:rsidR="004353EF" w:rsidRPr="004353EF">
              <w:rPr>
                <w:sz w:val="24"/>
                <w:szCs w:val="24"/>
                <w:lang w:val="ro-MD"/>
              </w:rPr>
              <w:t xml:space="preserve"> prevăzut de Codul urbanismului și construcțiilor nr. 434/2023</w:t>
            </w:r>
            <w:r w:rsidR="00274E0E">
              <w:rPr>
                <w:sz w:val="24"/>
                <w:szCs w:val="24"/>
                <w:lang w:val="ro-MD"/>
              </w:rPr>
              <w:t xml:space="preserve"> și în Planul de acțiuni a Guvernului</w:t>
            </w:r>
            <w:r w:rsidR="004353EF" w:rsidRPr="004353EF">
              <w:rPr>
                <w:sz w:val="24"/>
                <w:szCs w:val="24"/>
                <w:lang w:val="ro-MD"/>
              </w:rPr>
              <w:t xml:space="preserve">. </w:t>
            </w:r>
          </w:p>
          <w:p w14:paraId="57E01263" w14:textId="32FDE8F6" w:rsidR="00913439" w:rsidRPr="00207783" w:rsidRDefault="00753A8E" w:rsidP="009E17E8">
            <w:pPr>
              <w:spacing w:before="80" w:after="80" w:line="276" w:lineRule="auto"/>
              <w:ind w:left="96" w:right="91" w:firstLine="425"/>
              <w:rPr>
                <w:sz w:val="24"/>
                <w:szCs w:val="24"/>
                <w:lang w:val="ro-MD"/>
              </w:rPr>
            </w:pPr>
            <w:r>
              <w:rPr>
                <w:sz w:val="24"/>
                <w:szCs w:val="24"/>
                <w:lang w:val="ro-MD"/>
              </w:rPr>
              <w:t xml:space="preserve">Prin </w:t>
            </w:r>
            <w:r w:rsidR="004353EF" w:rsidRPr="004353EF">
              <w:rPr>
                <w:sz w:val="24"/>
                <w:szCs w:val="24"/>
                <w:lang w:val="ro-MD"/>
              </w:rPr>
              <w:t xml:space="preserve">Fondul creat </w:t>
            </w:r>
            <w:r>
              <w:rPr>
                <w:sz w:val="24"/>
                <w:szCs w:val="24"/>
                <w:lang w:val="ro-MD"/>
              </w:rPr>
              <w:t xml:space="preserve">se </w:t>
            </w:r>
            <w:r w:rsidR="004353EF" w:rsidRPr="004353EF">
              <w:rPr>
                <w:sz w:val="24"/>
                <w:szCs w:val="24"/>
                <w:lang w:val="ro-MD"/>
              </w:rPr>
              <w:t xml:space="preserve">va asigura gestionarea </w:t>
            </w:r>
            <w:r w:rsidR="008E0702" w:rsidRPr="004353EF">
              <w:rPr>
                <w:sz w:val="24"/>
                <w:szCs w:val="24"/>
                <w:lang w:val="ro-MD"/>
              </w:rPr>
              <w:t xml:space="preserve">eficientă și </w:t>
            </w:r>
            <w:r w:rsidR="004353EF" w:rsidRPr="004353EF">
              <w:rPr>
                <w:sz w:val="24"/>
                <w:szCs w:val="24"/>
                <w:lang w:val="ro-MD"/>
              </w:rPr>
              <w:t>transparentă a surselor financiare acumulate din defalcările agenților economici cu activități în construcții</w:t>
            </w:r>
            <w:r w:rsidR="009E17E8">
              <w:rPr>
                <w:sz w:val="24"/>
                <w:szCs w:val="24"/>
                <w:lang w:val="ro-MD"/>
              </w:rPr>
              <w:t>,</w:t>
            </w:r>
            <w:r w:rsidR="004353EF" w:rsidRPr="004353EF">
              <w:rPr>
                <w:sz w:val="24"/>
                <w:szCs w:val="24"/>
                <w:lang w:val="ro-MD"/>
              </w:rPr>
              <w:t xml:space="preserve"> a celor alocate din bugetul de stat și din alte surse care nu contravin legislației </w:t>
            </w:r>
            <w:r w:rsidR="009E17E8">
              <w:rPr>
                <w:sz w:val="24"/>
                <w:szCs w:val="24"/>
                <w:lang w:val="ro-MD"/>
              </w:rPr>
              <w:t>și va conduce la</w:t>
            </w:r>
            <w:r w:rsidR="004353EF" w:rsidRPr="004353EF">
              <w:rPr>
                <w:sz w:val="24"/>
                <w:szCs w:val="24"/>
                <w:lang w:val="ro-MD"/>
              </w:rPr>
              <w:t xml:space="preserve"> creșterea gradului de armonizare a documentelor normative pentru domeniul construcțiilor, amenajării teritoriului și urbanismului cu cele ale Uniunii Europene.</w:t>
            </w:r>
          </w:p>
        </w:tc>
      </w:tr>
      <w:tr w:rsidR="000F7148" w:rsidRPr="00207783" w14:paraId="30320EEE" w14:textId="77777777" w:rsidTr="00344EB8">
        <w:trPr>
          <w:trHeight w:val="397"/>
        </w:trPr>
        <w:tc>
          <w:tcPr>
            <w:tcW w:w="5000" w:type="pct"/>
            <w:gridSpan w:val="5"/>
            <w:vAlign w:val="center"/>
            <w:hideMark/>
          </w:tcPr>
          <w:p w14:paraId="6A49E70F" w14:textId="001C57D7" w:rsidR="000F7148" w:rsidRPr="00207783" w:rsidRDefault="000F7148" w:rsidP="00344EB8">
            <w:pPr>
              <w:ind w:firstLine="567"/>
              <w:jc w:val="left"/>
              <w:rPr>
                <w:sz w:val="24"/>
                <w:szCs w:val="24"/>
                <w:lang w:val="ro-MD"/>
              </w:rPr>
            </w:pPr>
            <w:r w:rsidRPr="00207783">
              <w:rPr>
                <w:bCs/>
                <w:i/>
                <w:sz w:val="24"/>
                <w:szCs w:val="24"/>
                <w:lang w:val="ro-MD"/>
              </w:rPr>
              <w:lastRenderedPageBreak/>
              <w:t>c)</w:t>
            </w:r>
            <w:r w:rsidRPr="00207783">
              <w:rPr>
                <w:i/>
                <w:sz w:val="24"/>
                <w:szCs w:val="24"/>
                <w:lang w:val="ro-MD"/>
              </w:rPr>
              <w:t xml:space="preserve"> Expuneți clar cauzele care au dus la apariţia problemei</w:t>
            </w:r>
          </w:p>
        </w:tc>
      </w:tr>
      <w:tr w:rsidR="00C16C9F" w:rsidRPr="00207783" w14:paraId="5F0F488E" w14:textId="77777777" w:rsidTr="00772AD3">
        <w:tc>
          <w:tcPr>
            <w:tcW w:w="5000" w:type="pct"/>
            <w:gridSpan w:val="5"/>
          </w:tcPr>
          <w:p w14:paraId="0B738A32" w14:textId="62E48E33" w:rsidR="00D048D3" w:rsidRPr="00EF6119" w:rsidRDefault="00D048D3" w:rsidP="00FE3E56">
            <w:pPr>
              <w:spacing w:before="80" w:after="80" w:line="276" w:lineRule="auto"/>
              <w:ind w:firstLine="567"/>
              <w:rPr>
                <w:sz w:val="24"/>
                <w:szCs w:val="24"/>
                <w:lang w:val="ro-MD"/>
              </w:rPr>
            </w:pPr>
            <w:r w:rsidRPr="00EF6119">
              <w:rPr>
                <w:sz w:val="24"/>
                <w:szCs w:val="24"/>
                <w:lang w:val="ro-MD"/>
              </w:rPr>
              <w:t xml:space="preserve">Problemele de eficiență </w:t>
            </w:r>
            <w:r w:rsidR="00C37916" w:rsidRPr="00EF6119">
              <w:rPr>
                <w:sz w:val="24"/>
                <w:szCs w:val="24"/>
                <w:lang w:val="ro-MD"/>
              </w:rPr>
              <w:t>în domeniul</w:t>
            </w:r>
            <w:r w:rsidRPr="00EF6119">
              <w:rPr>
                <w:sz w:val="24"/>
                <w:szCs w:val="24"/>
                <w:lang w:val="ro-MD"/>
              </w:rPr>
              <w:t xml:space="preserve"> </w:t>
            </w:r>
            <w:r w:rsidR="00C37916" w:rsidRPr="00EF6119">
              <w:rPr>
                <w:sz w:val="24"/>
                <w:szCs w:val="24"/>
                <w:lang w:val="ro-MD"/>
              </w:rPr>
              <w:t>construcții</w:t>
            </w:r>
            <w:r w:rsidR="00EF6119">
              <w:rPr>
                <w:sz w:val="24"/>
                <w:szCs w:val="24"/>
                <w:lang w:val="ro-MD"/>
              </w:rPr>
              <w:t>lor</w:t>
            </w:r>
            <w:r w:rsidR="008F3639">
              <w:rPr>
                <w:sz w:val="24"/>
                <w:szCs w:val="24"/>
                <w:lang w:val="ro-MD"/>
              </w:rPr>
              <w:t xml:space="preserve"> </w:t>
            </w:r>
            <w:r w:rsidRPr="00EF6119">
              <w:rPr>
                <w:sz w:val="24"/>
                <w:szCs w:val="24"/>
                <w:lang w:val="ro-MD"/>
              </w:rPr>
              <w:t xml:space="preserve">sunt în mare parte cauzate de un complex de factori care au la bază deficiențele cadrului de reglementare, abordările care nu sunt racordate </w:t>
            </w:r>
            <w:r w:rsidR="008F3639">
              <w:rPr>
                <w:sz w:val="24"/>
                <w:szCs w:val="24"/>
                <w:lang w:val="ro-MD"/>
              </w:rPr>
              <w:t xml:space="preserve">la cerințele domeniului construcțiilor care se dezvoltă rapid, </w:t>
            </w:r>
            <w:r w:rsidRPr="00EF6119">
              <w:rPr>
                <w:sz w:val="24"/>
                <w:szCs w:val="24"/>
                <w:lang w:val="ro-MD"/>
              </w:rPr>
              <w:t>la tendințele și practicile europene, precum și necesitatea de a ține pasul cu progresul tehnologic și noile practici în domeniu:</w:t>
            </w:r>
          </w:p>
          <w:p w14:paraId="6A894973" w14:textId="53426559" w:rsidR="00D048D3" w:rsidRPr="00546896" w:rsidRDefault="00D048D3" w:rsidP="00FE3E56">
            <w:pPr>
              <w:spacing w:before="80" w:after="80" w:line="276" w:lineRule="auto"/>
              <w:ind w:firstLine="567"/>
              <w:rPr>
                <w:sz w:val="24"/>
                <w:szCs w:val="24"/>
                <w:lang w:val="ro-MD"/>
              </w:rPr>
            </w:pPr>
            <w:r w:rsidRPr="00EF6119">
              <w:rPr>
                <w:sz w:val="24"/>
                <w:szCs w:val="24"/>
                <w:lang w:val="ro-MD"/>
              </w:rPr>
              <w:t xml:space="preserve">- cadrul normativ este slab dezvoltat, </w:t>
            </w:r>
            <w:r w:rsidR="00546896">
              <w:rPr>
                <w:sz w:val="24"/>
                <w:szCs w:val="24"/>
                <w:lang w:val="ro-MD"/>
              </w:rPr>
              <w:t xml:space="preserve">întîrzierea în transpunerea directă </w:t>
            </w:r>
            <w:r w:rsidRPr="00546896">
              <w:rPr>
                <w:sz w:val="24"/>
                <w:szCs w:val="24"/>
                <w:lang w:val="ro-MD"/>
              </w:rPr>
              <w:t>în legislația națională (reglementări tehnice care transpun legislația de armonizare) a directivelor/regulamentelor europene,</w:t>
            </w:r>
            <w:r w:rsidRPr="00D8467A">
              <w:rPr>
                <w:sz w:val="24"/>
                <w:szCs w:val="24"/>
                <w:highlight w:val="yellow"/>
                <w:lang w:val="ro-MD"/>
              </w:rPr>
              <w:t xml:space="preserve"> </w:t>
            </w:r>
            <w:r w:rsidRPr="00546896">
              <w:rPr>
                <w:sz w:val="24"/>
                <w:szCs w:val="24"/>
                <w:lang w:val="ro-MD"/>
              </w:rPr>
              <w:t xml:space="preserve">aferente </w:t>
            </w:r>
            <w:r w:rsidR="00546896">
              <w:rPr>
                <w:sz w:val="24"/>
                <w:szCs w:val="24"/>
                <w:lang w:val="ro-MD"/>
              </w:rPr>
              <w:t>domeniului construcțiilor</w:t>
            </w:r>
            <w:r w:rsidR="00FB1C00">
              <w:rPr>
                <w:sz w:val="24"/>
                <w:szCs w:val="24"/>
                <w:lang w:val="ro-MD"/>
              </w:rPr>
              <w:t xml:space="preserve"> inclusiv a Eurocod-urilor</w:t>
            </w:r>
            <w:r w:rsidR="00546896">
              <w:rPr>
                <w:sz w:val="24"/>
                <w:szCs w:val="24"/>
                <w:lang w:val="ro-MD"/>
              </w:rPr>
              <w:t>, l</w:t>
            </w:r>
            <w:r w:rsidRPr="00546896">
              <w:rPr>
                <w:sz w:val="24"/>
                <w:szCs w:val="24"/>
                <w:lang w:val="ro-MD"/>
              </w:rPr>
              <w:t xml:space="preserve">iberei circulații a </w:t>
            </w:r>
            <w:r w:rsidR="00546896" w:rsidRPr="00546896">
              <w:rPr>
                <w:sz w:val="24"/>
                <w:szCs w:val="24"/>
                <w:lang w:val="ro-MD"/>
              </w:rPr>
              <w:t>bunurilor, serviciilor</w:t>
            </w:r>
            <w:r w:rsidRPr="00546896">
              <w:rPr>
                <w:sz w:val="24"/>
                <w:szCs w:val="24"/>
                <w:lang w:val="ro-MD"/>
              </w:rPr>
              <w:t>”</w:t>
            </w:r>
            <w:r w:rsidR="00546896">
              <w:rPr>
                <w:sz w:val="24"/>
                <w:szCs w:val="24"/>
                <w:lang w:val="ro-MD"/>
              </w:rPr>
              <w:t xml:space="preserve">, </w:t>
            </w:r>
            <w:r w:rsidR="00144DFC" w:rsidRPr="00546896">
              <w:rPr>
                <w:sz w:val="24"/>
                <w:szCs w:val="24"/>
                <w:lang w:val="ro-MD"/>
              </w:rPr>
              <w:t xml:space="preserve">nerespectarea măsurilor stabilite prin </w:t>
            </w:r>
            <w:r w:rsidRPr="00546896">
              <w:rPr>
                <w:sz w:val="24"/>
                <w:szCs w:val="24"/>
                <w:lang w:val="ro-MD"/>
              </w:rPr>
              <w:t>reglementărilor tehnice naționale pentru domeni</w:t>
            </w:r>
            <w:r w:rsidR="00144DFC" w:rsidRPr="00546896">
              <w:rPr>
                <w:sz w:val="24"/>
                <w:szCs w:val="24"/>
                <w:lang w:val="ro-MD"/>
              </w:rPr>
              <w:t>ul construcții</w:t>
            </w:r>
            <w:r w:rsidR="00546896" w:rsidRPr="00546896">
              <w:rPr>
                <w:sz w:val="24"/>
                <w:szCs w:val="24"/>
                <w:lang w:val="ro-MD"/>
              </w:rPr>
              <w:t>lor</w:t>
            </w:r>
            <w:r w:rsidRPr="00546896">
              <w:rPr>
                <w:sz w:val="24"/>
                <w:szCs w:val="24"/>
                <w:lang w:val="ro-MD"/>
              </w:rPr>
              <w:t>;</w:t>
            </w:r>
          </w:p>
          <w:p w14:paraId="2FD39DD7" w14:textId="43B37741" w:rsidR="00D048D3" w:rsidRPr="00D8467A" w:rsidRDefault="00D048D3" w:rsidP="00FE3E56">
            <w:pPr>
              <w:spacing w:before="80" w:after="80" w:line="276" w:lineRule="auto"/>
              <w:ind w:firstLine="567"/>
              <w:rPr>
                <w:sz w:val="24"/>
                <w:szCs w:val="24"/>
                <w:highlight w:val="yellow"/>
                <w:lang w:val="ro-MD"/>
              </w:rPr>
            </w:pPr>
            <w:r w:rsidRPr="00EF6119">
              <w:rPr>
                <w:sz w:val="24"/>
                <w:szCs w:val="24"/>
                <w:lang w:val="ro-MD"/>
              </w:rPr>
              <w:t xml:space="preserve">- nu sunt stabilite </w:t>
            </w:r>
            <w:r w:rsidR="0053497E" w:rsidRPr="00EF6119">
              <w:rPr>
                <w:sz w:val="24"/>
                <w:szCs w:val="24"/>
                <w:lang w:val="ro-MD"/>
              </w:rPr>
              <w:t xml:space="preserve">clar </w:t>
            </w:r>
            <w:r w:rsidRPr="00EF6119">
              <w:rPr>
                <w:sz w:val="24"/>
                <w:szCs w:val="24"/>
                <w:lang w:val="ro-MD"/>
              </w:rPr>
              <w:t xml:space="preserve">atribuțiile principale ale autorităților </w:t>
            </w:r>
            <w:r w:rsidRPr="00CF4EAB">
              <w:rPr>
                <w:sz w:val="24"/>
                <w:szCs w:val="24"/>
                <w:lang w:val="ro-MD"/>
              </w:rPr>
              <w:t>de reglementare</w:t>
            </w:r>
            <w:r w:rsidR="00CF4EAB">
              <w:rPr>
                <w:sz w:val="24"/>
                <w:szCs w:val="24"/>
                <w:lang w:val="ro-MD"/>
              </w:rPr>
              <w:t xml:space="preserve"> și control</w:t>
            </w:r>
            <w:r w:rsidRPr="00CF4EAB">
              <w:rPr>
                <w:sz w:val="24"/>
                <w:szCs w:val="24"/>
                <w:lang w:val="ro-MD"/>
              </w:rPr>
              <w:t xml:space="preserve"> în domeniul</w:t>
            </w:r>
            <w:r w:rsidR="00CF4EAB">
              <w:rPr>
                <w:sz w:val="24"/>
                <w:szCs w:val="24"/>
                <w:lang w:val="ro-MD"/>
              </w:rPr>
              <w:t xml:space="preserve"> monitorizării calculării, defalcărilor și a modului de raportare ale</w:t>
            </w:r>
            <w:r w:rsidR="00001A1F">
              <w:rPr>
                <w:sz w:val="24"/>
                <w:szCs w:val="24"/>
                <w:lang w:val="ro-MD"/>
              </w:rPr>
              <w:t xml:space="preserve"> acestora</w:t>
            </w:r>
            <w:r w:rsidRPr="00CF4EAB">
              <w:rPr>
                <w:sz w:val="24"/>
                <w:szCs w:val="24"/>
                <w:lang w:val="ro-MD"/>
              </w:rPr>
              <w:t>;</w:t>
            </w:r>
          </w:p>
          <w:p w14:paraId="7C262967" w14:textId="405F7BF2" w:rsidR="005E292E" w:rsidRPr="00207783" w:rsidRDefault="00D048D3" w:rsidP="0077182A">
            <w:pPr>
              <w:spacing w:before="80" w:after="80" w:line="276" w:lineRule="auto"/>
              <w:ind w:firstLine="567"/>
              <w:rPr>
                <w:sz w:val="24"/>
                <w:szCs w:val="24"/>
                <w:lang w:val="ro-MD"/>
              </w:rPr>
            </w:pPr>
            <w:r w:rsidRPr="00EF6119">
              <w:rPr>
                <w:sz w:val="24"/>
                <w:szCs w:val="24"/>
                <w:lang w:val="ro-MD"/>
              </w:rPr>
              <w:t xml:space="preserve">- lipsa dezvoltării progresive a cadrului normativ național pentru sistemul de </w:t>
            </w:r>
            <w:r w:rsidR="00032F07">
              <w:rPr>
                <w:sz w:val="24"/>
                <w:szCs w:val="24"/>
                <w:lang w:val="ro-MD"/>
              </w:rPr>
              <w:t xml:space="preserve">dezvoltare a </w:t>
            </w:r>
            <w:r w:rsidR="0077182A">
              <w:rPr>
                <w:sz w:val="24"/>
                <w:szCs w:val="24"/>
                <w:lang w:val="ro-MD"/>
              </w:rPr>
              <w:t>SDNC</w:t>
            </w:r>
            <w:r w:rsidRPr="00EF6119">
              <w:rPr>
                <w:sz w:val="24"/>
                <w:szCs w:val="24"/>
                <w:lang w:val="ro-MD"/>
              </w:rPr>
              <w:t xml:space="preserve"> în conformitate cu tendințele și obiectivele Uniunii Europene, şi transpunerea principiilor şi practicilor</w:t>
            </w:r>
            <w:r w:rsidR="00C6730E">
              <w:rPr>
                <w:sz w:val="24"/>
                <w:szCs w:val="24"/>
                <w:lang w:val="ro-MD"/>
              </w:rPr>
              <w:t xml:space="preserve"> bune</w:t>
            </w:r>
            <w:r w:rsidRPr="00EF6119">
              <w:rPr>
                <w:sz w:val="24"/>
                <w:szCs w:val="24"/>
                <w:lang w:val="ro-MD"/>
              </w:rPr>
              <w:t xml:space="preserve"> prevăzute în acquis-ul relevant al UE.</w:t>
            </w:r>
          </w:p>
        </w:tc>
      </w:tr>
      <w:tr w:rsidR="000F7148" w:rsidRPr="00207783" w14:paraId="2DB5880F" w14:textId="77777777" w:rsidTr="00344EB8">
        <w:trPr>
          <w:trHeight w:val="397"/>
        </w:trPr>
        <w:tc>
          <w:tcPr>
            <w:tcW w:w="5000" w:type="pct"/>
            <w:gridSpan w:val="5"/>
            <w:vAlign w:val="center"/>
            <w:hideMark/>
          </w:tcPr>
          <w:p w14:paraId="685F5E67" w14:textId="77777777" w:rsidR="000F7148" w:rsidRPr="00207783" w:rsidRDefault="000F7148" w:rsidP="00344EB8">
            <w:pPr>
              <w:ind w:firstLine="567"/>
              <w:jc w:val="left"/>
              <w:rPr>
                <w:sz w:val="24"/>
                <w:szCs w:val="24"/>
                <w:lang w:val="ro-MD"/>
              </w:rPr>
            </w:pPr>
            <w:r w:rsidRPr="00207783">
              <w:rPr>
                <w:bCs/>
                <w:i/>
                <w:sz w:val="24"/>
                <w:szCs w:val="24"/>
                <w:lang w:val="ro-MD"/>
              </w:rPr>
              <w:t xml:space="preserve">d) </w:t>
            </w:r>
            <w:r w:rsidRPr="00207783">
              <w:rPr>
                <w:i/>
                <w:sz w:val="24"/>
                <w:szCs w:val="24"/>
                <w:lang w:val="ro-MD"/>
              </w:rPr>
              <w:t xml:space="preserve">Descrieți cum a evoluat problema şi cum va evolua fără o intervenție </w:t>
            </w:r>
          </w:p>
        </w:tc>
      </w:tr>
      <w:tr w:rsidR="0075260B" w:rsidRPr="00207783" w14:paraId="3C6E28B8" w14:textId="77777777" w:rsidTr="00772AD3">
        <w:tc>
          <w:tcPr>
            <w:tcW w:w="5000" w:type="pct"/>
            <w:gridSpan w:val="5"/>
          </w:tcPr>
          <w:p w14:paraId="7388E98B" w14:textId="1E0F96C9" w:rsidR="0075260B" w:rsidRPr="00CF4EAB" w:rsidRDefault="0075260B" w:rsidP="00007224">
            <w:pPr>
              <w:spacing w:before="60" w:line="276" w:lineRule="auto"/>
              <w:ind w:firstLine="284"/>
              <w:rPr>
                <w:bCs/>
                <w:sz w:val="24"/>
                <w:szCs w:val="24"/>
                <w:lang w:val="ro-MD" w:eastAsia="ja-JP"/>
              </w:rPr>
            </w:pPr>
            <w:r w:rsidRPr="00CF4EAB">
              <w:rPr>
                <w:bCs/>
                <w:sz w:val="24"/>
                <w:szCs w:val="24"/>
                <w:lang w:val="ro-MD" w:eastAsia="ja-JP"/>
              </w:rPr>
              <w:t xml:space="preserve">Necesitatea </w:t>
            </w:r>
            <w:r w:rsidR="00CF4EAB" w:rsidRPr="00CF4EAB">
              <w:rPr>
                <w:bCs/>
                <w:sz w:val="24"/>
                <w:szCs w:val="24"/>
                <w:lang w:val="ro-MD" w:eastAsia="ja-JP"/>
              </w:rPr>
              <w:t>proiectului de lege</w:t>
            </w:r>
            <w:r w:rsidR="000302CF" w:rsidRPr="00CF4EAB">
              <w:rPr>
                <w:bCs/>
                <w:sz w:val="24"/>
                <w:szCs w:val="24"/>
                <w:lang w:val="ro-MD" w:eastAsia="ja-JP"/>
              </w:rPr>
              <w:t xml:space="preserve"> </w:t>
            </w:r>
            <w:r w:rsidRPr="00CF4EAB">
              <w:rPr>
                <w:bCs/>
                <w:sz w:val="24"/>
                <w:szCs w:val="24"/>
                <w:lang w:val="ro-MD" w:eastAsia="ja-JP"/>
              </w:rPr>
              <w:t>se datorează soluționării problemelor descrise la lit. a) și b) a compartimentului 1.</w:t>
            </w:r>
          </w:p>
          <w:p w14:paraId="2669CB09" w14:textId="77777777" w:rsidR="005E5228" w:rsidRDefault="005E292E" w:rsidP="005E5228">
            <w:pPr>
              <w:spacing w:before="60" w:line="276" w:lineRule="auto"/>
              <w:ind w:firstLine="284"/>
              <w:rPr>
                <w:bCs/>
                <w:sz w:val="24"/>
                <w:szCs w:val="24"/>
                <w:lang w:val="ro-MD" w:eastAsia="ja-JP"/>
              </w:rPr>
            </w:pPr>
            <w:r w:rsidRPr="00E72607">
              <w:rPr>
                <w:bCs/>
                <w:sz w:val="24"/>
                <w:szCs w:val="24"/>
                <w:lang w:val="ro-MD" w:eastAsia="ja-JP"/>
              </w:rPr>
              <w:t>Problemele invocate au evoluat treptat, fiind developate și cristalizate concomitent cu dezvoltarea diferitor metode de activități de întreprinzător</w:t>
            </w:r>
            <w:r w:rsidR="004776A8">
              <w:rPr>
                <w:bCs/>
                <w:sz w:val="24"/>
                <w:szCs w:val="24"/>
                <w:lang w:val="ro-MD" w:eastAsia="ja-JP"/>
              </w:rPr>
              <w:t>,</w:t>
            </w:r>
            <w:r w:rsidRPr="00E72607">
              <w:rPr>
                <w:bCs/>
                <w:sz w:val="24"/>
                <w:szCs w:val="24"/>
                <w:lang w:val="ro-MD" w:eastAsia="ja-JP"/>
              </w:rPr>
              <w:t xml:space="preserve"> apariția noilor tehnologii</w:t>
            </w:r>
            <w:r w:rsidR="00E72607">
              <w:rPr>
                <w:bCs/>
                <w:sz w:val="24"/>
                <w:szCs w:val="24"/>
                <w:lang w:val="ro-MD" w:eastAsia="ja-JP"/>
              </w:rPr>
              <w:t>, de efectele schimbărilor climatice</w:t>
            </w:r>
            <w:r w:rsidR="00FC5883">
              <w:rPr>
                <w:bCs/>
                <w:sz w:val="24"/>
                <w:szCs w:val="24"/>
                <w:lang w:val="ro-MD" w:eastAsia="ja-JP"/>
              </w:rPr>
              <w:t>,</w:t>
            </w:r>
            <w:r w:rsidR="00E72607">
              <w:rPr>
                <w:bCs/>
                <w:sz w:val="24"/>
                <w:szCs w:val="24"/>
                <w:lang w:val="ro-MD" w:eastAsia="ja-JP"/>
              </w:rPr>
              <w:t xml:space="preserve"> etc</w:t>
            </w:r>
            <w:r w:rsidRPr="00E72607">
              <w:rPr>
                <w:bCs/>
                <w:sz w:val="24"/>
                <w:szCs w:val="24"/>
                <w:lang w:val="ro-MD" w:eastAsia="ja-JP"/>
              </w:rPr>
              <w:t xml:space="preserve">. Totodată, unele cauze ale problemelor au apărut din momentul </w:t>
            </w:r>
            <w:r w:rsidR="00E72607" w:rsidRPr="00E72607">
              <w:rPr>
                <w:bCs/>
                <w:sz w:val="24"/>
                <w:szCs w:val="24"/>
                <w:lang w:val="ro-MD" w:eastAsia="ja-JP"/>
              </w:rPr>
              <w:t>modificării și abrogării</w:t>
            </w:r>
            <w:r w:rsidRPr="00E72607">
              <w:rPr>
                <w:bCs/>
                <w:sz w:val="24"/>
                <w:szCs w:val="24"/>
                <w:lang w:val="ro-MD" w:eastAsia="ja-JP"/>
              </w:rPr>
              <w:t xml:space="preserve"> </w:t>
            </w:r>
            <w:r w:rsidR="00E72607">
              <w:rPr>
                <w:bCs/>
                <w:sz w:val="24"/>
                <w:szCs w:val="24"/>
                <w:lang w:val="ro-MD" w:eastAsia="ja-JP"/>
              </w:rPr>
              <w:t>unor prevederi prevăzute inițial de actele normative</w:t>
            </w:r>
            <w:r w:rsidRPr="00E72607">
              <w:rPr>
                <w:bCs/>
                <w:sz w:val="24"/>
                <w:szCs w:val="24"/>
                <w:lang w:val="ro-MD" w:eastAsia="ja-JP"/>
              </w:rPr>
              <w:t>, aceste</w:t>
            </w:r>
            <w:r w:rsidR="00891125">
              <w:rPr>
                <w:bCs/>
                <w:sz w:val="24"/>
                <w:szCs w:val="24"/>
                <w:lang w:val="ro-MD" w:eastAsia="ja-JP"/>
              </w:rPr>
              <w:t xml:space="preserve"> </w:t>
            </w:r>
            <w:r w:rsidRPr="00E72607">
              <w:rPr>
                <w:bCs/>
                <w:sz w:val="24"/>
                <w:szCs w:val="24"/>
                <w:lang w:val="ro-MD" w:eastAsia="ja-JP"/>
              </w:rPr>
              <w:t>a</w:t>
            </w:r>
            <w:r w:rsidR="00891125">
              <w:rPr>
                <w:bCs/>
                <w:sz w:val="24"/>
                <w:szCs w:val="24"/>
                <w:lang w:val="ro-MD" w:eastAsia="ja-JP"/>
              </w:rPr>
              <w:t>cțiuni</w:t>
            </w:r>
            <w:r w:rsidRPr="00E72607">
              <w:rPr>
                <w:bCs/>
                <w:sz w:val="24"/>
                <w:szCs w:val="24"/>
                <w:lang w:val="ro-MD" w:eastAsia="ja-JP"/>
              </w:rPr>
              <w:t xml:space="preserve"> nefiind justificate sau fără a fi efectuată o analiză detaliată asupra întregului </w:t>
            </w:r>
            <w:r w:rsidRPr="006377FC">
              <w:rPr>
                <w:bCs/>
                <w:sz w:val="24"/>
                <w:szCs w:val="24"/>
                <w:lang w:val="ro-MD" w:eastAsia="ja-JP"/>
              </w:rPr>
              <w:t>domeniu de reglementare</w:t>
            </w:r>
            <w:r w:rsidR="005E5228">
              <w:rPr>
                <w:bCs/>
                <w:sz w:val="24"/>
                <w:szCs w:val="24"/>
                <w:lang w:val="ro-MD" w:eastAsia="ja-JP"/>
              </w:rPr>
              <w:t xml:space="preserve"> în construcții</w:t>
            </w:r>
            <w:r w:rsidRPr="006377FC">
              <w:rPr>
                <w:bCs/>
                <w:sz w:val="24"/>
                <w:szCs w:val="24"/>
                <w:lang w:val="ro-MD" w:eastAsia="ja-JP"/>
              </w:rPr>
              <w:t xml:space="preserve">. </w:t>
            </w:r>
          </w:p>
          <w:p w14:paraId="08B5AB02" w14:textId="6C7F6859" w:rsidR="005E292E" w:rsidRPr="00207783" w:rsidRDefault="005E292E" w:rsidP="00127413">
            <w:pPr>
              <w:spacing w:before="60" w:line="276" w:lineRule="auto"/>
              <w:ind w:firstLine="284"/>
              <w:rPr>
                <w:bCs/>
                <w:sz w:val="22"/>
                <w:szCs w:val="22"/>
                <w:lang w:val="ro-MD" w:eastAsia="ja-JP"/>
              </w:rPr>
            </w:pPr>
            <w:r w:rsidRPr="006377FC">
              <w:rPr>
                <w:bCs/>
                <w:sz w:val="24"/>
                <w:szCs w:val="24"/>
                <w:lang w:val="ro-MD" w:eastAsia="ja-JP"/>
              </w:rPr>
              <w:t xml:space="preserve">Fără o intervenție în cadrul normativ din partea statului, problemele definite și descrise doar se vor amplifica, fiind create costuri </w:t>
            </w:r>
            <w:r w:rsidR="001D6B63">
              <w:rPr>
                <w:bCs/>
                <w:sz w:val="24"/>
                <w:szCs w:val="24"/>
                <w:lang w:val="ro-MD" w:eastAsia="ja-JP"/>
              </w:rPr>
              <w:t xml:space="preserve">și riscuri </w:t>
            </w:r>
            <w:r w:rsidRPr="006377FC">
              <w:rPr>
                <w:bCs/>
                <w:sz w:val="24"/>
                <w:szCs w:val="24"/>
                <w:lang w:val="ro-MD" w:eastAsia="ja-JP"/>
              </w:rPr>
              <w:t xml:space="preserve">mult mai mari reieșind </w:t>
            </w:r>
            <w:r w:rsidR="00900BFC">
              <w:rPr>
                <w:bCs/>
                <w:sz w:val="24"/>
                <w:szCs w:val="24"/>
                <w:lang w:val="ro-MD" w:eastAsia="ja-JP"/>
              </w:rPr>
              <w:t xml:space="preserve">și </w:t>
            </w:r>
            <w:r w:rsidRPr="006377FC">
              <w:rPr>
                <w:bCs/>
                <w:sz w:val="24"/>
                <w:szCs w:val="24"/>
                <w:lang w:val="ro-MD" w:eastAsia="ja-JP"/>
              </w:rPr>
              <w:t>din factorul inflației din ultima perioadă</w:t>
            </w:r>
            <w:r w:rsidR="001613D3" w:rsidRPr="006377FC">
              <w:rPr>
                <w:bCs/>
                <w:sz w:val="24"/>
                <w:szCs w:val="24"/>
                <w:lang w:val="ro-MD" w:eastAsia="ja-JP"/>
              </w:rPr>
              <w:t xml:space="preserve">, stării de război de la hotarele țării și a costurilor foarte mari la sursele energetice, care sunt utilizate în sectorul construcțiilor și </w:t>
            </w:r>
            <w:r w:rsidR="00127413">
              <w:rPr>
                <w:bCs/>
                <w:sz w:val="24"/>
                <w:szCs w:val="24"/>
                <w:lang w:val="ro-MD" w:eastAsia="ja-JP"/>
              </w:rPr>
              <w:t>industriei</w:t>
            </w:r>
            <w:r w:rsidR="001613D3" w:rsidRPr="006377FC">
              <w:rPr>
                <w:bCs/>
                <w:sz w:val="24"/>
                <w:szCs w:val="24"/>
                <w:lang w:val="ro-MD" w:eastAsia="ja-JP"/>
              </w:rPr>
              <w:t xml:space="preserve"> materialelor de construcții</w:t>
            </w:r>
            <w:r w:rsidRPr="006377FC">
              <w:rPr>
                <w:bCs/>
                <w:sz w:val="24"/>
                <w:szCs w:val="24"/>
                <w:lang w:val="ro-MD" w:eastAsia="ja-JP"/>
              </w:rPr>
              <w:t>.</w:t>
            </w:r>
          </w:p>
        </w:tc>
      </w:tr>
      <w:tr w:rsidR="004D60CD" w:rsidRPr="00207783" w14:paraId="160EF8D2" w14:textId="77777777" w:rsidTr="00772AD3">
        <w:tc>
          <w:tcPr>
            <w:tcW w:w="5000" w:type="pct"/>
            <w:gridSpan w:val="5"/>
            <w:hideMark/>
          </w:tcPr>
          <w:p w14:paraId="691CEF23" w14:textId="77777777" w:rsidR="004D60CD" w:rsidRPr="00207783" w:rsidRDefault="004D60CD" w:rsidP="004D60CD">
            <w:pPr>
              <w:ind w:firstLine="567"/>
              <w:rPr>
                <w:sz w:val="24"/>
                <w:szCs w:val="24"/>
                <w:lang w:val="ro-MD"/>
              </w:rPr>
            </w:pPr>
            <w:r w:rsidRPr="00207783">
              <w:rPr>
                <w:bCs/>
                <w:i/>
                <w:sz w:val="24"/>
                <w:szCs w:val="24"/>
                <w:lang w:val="ro-MD"/>
              </w:rPr>
              <w:t xml:space="preserve">e) </w:t>
            </w:r>
            <w:r w:rsidRPr="00207783">
              <w:rPr>
                <w:i/>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p>
        </w:tc>
      </w:tr>
      <w:tr w:rsidR="00CA6BFB" w:rsidRPr="00207783" w14:paraId="0475756E" w14:textId="77777777" w:rsidTr="00772AD3">
        <w:tc>
          <w:tcPr>
            <w:tcW w:w="5000" w:type="pct"/>
            <w:gridSpan w:val="5"/>
          </w:tcPr>
          <w:p w14:paraId="576C415E" w14:textId="40ED959D" w:rsidR="007421A8" w:rsidRPr="000062EE" w:rsidRDefault="00157335" w:rsidP="00EE425B">
            <w:pPr>
              <w:spacing w:before="60" w:line="276" w:lineRule="auto"/>
              <w:ind w:firstLine="522"/>
              <w:rPr>
                <w:bCs/>
                <w:sz w:val="24"/>
                <w:szCs w:val="24"/>
                <w:lang w:val="ro-MD" w:eastAsia="ja-JP"/>
              </w:rPr>
            </w:pPr>
            <w:r w:rsidRPr="000062EE">
              <w:rPr>
                <w:bCs/>
                <w:sz w:val="24"/>
                <w:szCs w:val="24"/>
                <w:lang w:val="ro-MD" w:eastAsia="ja-JP"/>
              </w:rPr>
              <w:t xml:space="preserve">Cadrul normativ relevant pentru </w:t>
            </w:r>
            <w:r w:rsidR="00A215DF">
              <w:rPr>
                <w:bCs/>
                <w:sz w:val="24"/>
                <w:szCs w:val="24"/>
                <w:lang w:val="ro-MD" w:eastAsia="ja-JP"/>
              </w:rPr>
              <w:t>pentru domeniul construcții</w:t>
            </w:r>
            <w:r w:rsidR="00752E77">
              <w:rPr>
                <w:bCs/>
                <w:sz w:val="24"/>
                <w:szCs w:val="24"/>
                <w:lang w:val="ro-MD" w:eastAsia="ja-JP"/>
              </w:rPr>
              <w:t>lor</w:t>
            </w:r>
            <w:r w:rsidRPr="000062EE">
              <w:rPr>
                <w:bCs/>
                <w:sz w:val="24"/>
                <w:szCs w:val="24"/>
                <w:lang w:val="ro-MD" w:eastAsia="ja-JP"/>
              </w:rPr>
              <w:t xml:space="preserve"> este reprezentat de următoarele legi și hotărâri ale Guvernului: </w:t>
            </w:r>
          </w:p>
          <w:p w14:paraId="16665011" w14:textId="6E1A538C" w:rsidR="00344826" w:rsidRDefault="00344826" w:rsidP="00FA684B">
            <w:pPr>
              <w:spacing w:line="276" w:lineRule="auto"/>
              <w:ind w:firstLine="522"/>
              <w:rPr>
                <w:bCs/>
                <w:sz w:val="24"/>
                <w:szCs w:val="24"/>
                <w:lang w:val="ro-MD" w:eastAsia="ja-JP"/>
              </w:rPr>
            </w:pPr>
            <w:r>
              <w:rPr>
                <w:bCs/>
                <w:sz w:val="24"/>
                <w:szCs w:val="24"/>
                <w:lang w:val="ro-MD" w:eastAsia="ja-JP"/>
              </w:rPr>
              <w:t>Codul urbanismului și construcțiilor nr.434/2023;</w:t>
            </w:r>
          </w:p>
          <w:p w14:paraId="41E6DC5E" w14:textId="4C31E475" w:rsidR="00B05E73" w:rsidRDefault="00B05E73" w:rsidP="00FA684B">
            <w:pPr>
              <w:spacing w:line="276" w:lineRule="auto"/>
              <w:ind w:firstLine="522"/>
              <w:rPr>
                <w:bCs/>
                <w:sz w:val="24"/>
                <w:szCs w:val="24"/>
                <w:lang w:val="ro-MD" w:eastAsia="ja-JP"/>
              </w:rPr>
            </w:pPr>
            <w:r w:rsidRPr="00E37E04">
              <w:rPr>
                <w:bCs/>
                <w:sz w:val="24"/>
                <w:szCs w:val="24"/>
                <w:lang w:val="ro-MD" w:eastAsia="ja-JP"/>
              </w:rPr>
              <w:t>Legea nr.721/1996 privind calitatea în construcții;</w:t>
            </w:r>
          </w:p>
          <w:p w14:paraId="6C4CA7BB" w14:textId="0E364E1B" w:rsidR="00752E77" w:rsidRDefault="00752E77" w:rsidP="00FA684B">
            <w:pPr>
              <w:spacing w:line="276" w:lineRule="auto"/>
              <w:ind w:firstLine="522"/>
              <w:rPr>
                <w:bCs/>
                <w:sz w:val="24"/>
                <w:szCs w:val="24"/>
                <w:lang w:val="ro-MD" w:eastAsia="ja-JP"/>
              </w:rPr>
            </w:pPr>
            <w:r w:rsidRPr="00752E77">
              <w:rPr>
                <w:bCs/>
                <w:sz w:val="24"/>
                <w:szCs w:val="24"/>
                <w:lang w:val="ro-MD" w:eastAsia="ja-JP"/>
              </w:rPr>
              <w:t>Legea nr.131/201</w:t>
            </w:r>
            <w:r>
              <w:rPr>
                <w:bCs/>
                <w:sz w:val="24"/>
                <w:szCs w:val="24"/>
                <w:lang w:val="ro-MD" w:eastAsia="ja-JP"/>
              </w:rPr>
              <w:t>6</w:t>
            </w:r>
            <w:r w:rsidRPr="00752E77">
              <w:rPr>
                <w:bCs/>
                <w:sz w:val="24"/>
                <w:szCs w:val="24"/>
                <w:lang w:val="ro-MD" w:eastAsia="ja-JP"/>
              </w:rPr>
              <w:t xml:space="preserve"> privind </w:t>
            </w:r>
            <w:r>
              <w:rPr>
                <w:bCs/>
                <w:sz w:val="24"/>
                <w:szCs w:val="24"/>
                <w:lang w:val="ro-MD" w:eastAsia="ja-JP"/>
              </w:rPr>
              <w:t>achizițiile publice</w:t>
            </w:r>
            <w:r w:rsidRPr="00752E77">
              <w:rPr>
                <w:bCs/>
                <w:sz w:val="24"/>
                <w:szCs w:val="24"/>
                <w:lang w:val="ro-MD" w:eastAsia="ja-JP"/>
              </w:rPr>
              <w:t>;</w:t>
            </w:r>
          </w:p>
          <w:p w14:paraId="4F0B0F84" w14:textId="32E70B31" w:rsidR="007332E6" w:rsidRDefault="007332E6" w:rsidP="00FA684B">
            <w:pPr>
              <w:spacing w:line="276" w:lineRule="auto"/>
              <w:ind w:firstLine="522"/>
              <w:rPr>
                <w:bCs/>
                <w:sz w:val="24"/>
                <w:szCs w:val="24"/>
                <w:lang w:val="ro-MD" w:eastAsia="ja-JP"/>
              </w:rPr>
            </w:pPr>
            <w:r>
              <w:rPr>
                <w:bCs/>
                <w:sz w:val="24"/>
                <w:szCs w:val="24"/>
                <w:lang w:val="ro-MD" w:eastAsia="ja-JP"/>
              </w:rPr>
              <w:t xml:space="preserve">Legea nr.181/2014 </w:t>
            </w:r>
            <w:r w:rsidR="00681BA8" w:rsidRPr="00681BA8">
              <w:rPr>
                <w:bCs/>
                <w:sz w:val="24"/>
                <w:szCs w:val="24"/>
                <w:lang w:val="ro-MD" w:eastAsia="ja-JP"/>
              </w:rPr>
              <w:t>finanţelor publice şi responsabilităţii bugetar-fiscale</w:t>
            </w:r>
            <w:r w:rsidR="00681BA8">
              <w:rPr>
                <w:bCs/>
                <w:sz w:val="24"/>
                <w:szCs w:val="24"/>
                <w:lang w:val="ro-MD" w:eastAsia="ja-JP"/>
              </w:rPr>
              <w:t>;</w:t>
            </w:r>
          </w:p>
          <w:p w14:paraId="0693081F" w14:textId="43C7CD5E" w:rsidR="002837C5" w:rsidRDefault="002837C5" w:rsidP="00FA684B">
            <w:pPr>
              <w:spacing w:line="276" w:lineRule="auto"/>
              <w:ind w:firstLine="522"/>
              <w:rPr>
                <w:bCs/>
                <w:sz w:val="24"/>
                <w:szCs w:val="24"/>
                <w:lang w:val="ro-MD" w:eastAsia="ja-JP"/>
              </w:rPr>
            </w:pPr>
            <w:r w:rsidRPr="002837C5">
              <w:rPr>
                <w:bCs/>
                <w:sz w:val="24"/>
                <w:szCs w:val="24"/>
                <w:lang w:val="ro-MD" w:eastAsia="ja-JP"/>
              </w:rPr>
              <w:t>Legii nr.235/2006 cu privire la principiile de bază de reglementare a activităţii de întreprinzător</w:t>
            </w:r>
            <w:r>
              <w:rPr>
                <w:bCs/>
                <w:sz w:val="24"/>
                <w:szCs w:val="24"/>
                <w:lang w:val="ro-MD" w:eastAsia="ja-JP"/>
              </w:rPr>
              <w:t>;</w:t>
            </w:r>
          </w:p>
          <w:p w14:paraId="06511FD4" w14:textId="2A1E44F8" w:rsidR="003A0562" w:rsidRDefault="003A0562" w:rsidP="00FA684B">
            <w:pPr>
              <w:spacing w:line="276" w:lineRule="auto"/>
              <w:ind w:firstLine="522"/>
              <w:rPr>
                <w:bCs/>
                <w:sz w:val="24"/>
                <w:szCs w:val="24"/>
                <w:lang w:val="ro-MD" w:eastAsia="ja-JP"/>
              </w:rPr>
            </w:pPr>
            <w:r w:rsidRPr="003A0562">
              <w:rPr>
                <w:bCs/>
                <w:sz w:val="24"/>
                <w:szCs w:val="24"/>
                <w:lang w:val="ro-MD" w:eastAsia="ja-JP"/>
              </w:rPr>
              <w:t>Hotărîrea Guvernului nr.652 din 06.09.2023 pentru aprobarea Regulamentului privind asumarea angajamentelor multianuale</w:t>
            </w:r>
            <w:r>
              <w:rPr>
                <w:bCs/>
                <w:sz w:val="24"/>
                <w:szCs w:val="24"/>
                <w:lang w:val="ro-MD" w:eastAsia="ja-JP"/>
              </w:rPr>
              <w:t>;</w:t>
            </w:r>
          </w:p>
          <w:p w14:paraId="713A790E" w14:textId="6B749597" w:rsidR="00D77721" w:rsidRDefault="00D77721" w:rsidP="00907450">
            <w:pPr>
              <w:spacing w:line="276" w:lineRule="auto"/>
              <w:ind w:firstLine="522"/>
              <w:rPr>
                <w:bCs/>
                <w:sz w:val="24"/>
                <w:szCs w:val="24"/>
                <w:lang w:val="ro-MD" w:eastAsia="ja-JP"/>
              </w:rPr>
            </w:pPr>
            <w:r w:rsidRPr="00D77721">
              <w:rPr>
                <w:bCs/>
                <w:sz w:val="24"/>
                <w:szCs w:val="24"/>
                <w:lang w:val="ro-MD" w:eastAsia="ja-JP"/>
              </w:rPr>
              <w:lastRenderedPageBreak/>
              <w:t>Hotărîrea Guvernului nr.</w:t>
            </w:r>
            <w:r>
              <w:rPr>
                <w:bCs/>
                <w:sz w:val="24"/>
                <w:szCs w:val="24"/>
                <w:lang w:val="ro-MD" w:eastAsia="ja-JP"/>
              </w:rPr>
              <w:t>1436</w:t>
            </w:r>
            <w:r w:rsidRPr="00D77721">
              <w:rPr>
                <w:bCs/>
                <w:sz w:val="24"/>
                <w:szCs w:val="24"/>
                <w:lang w:val="ro-MD" w:eastAsia="ja-JP"/>
              </w:rPr>
              <w:t>/</w:t>
            </w:r>
            <w:r>
              <w:rPr>
                <w:bCs/>
                <w:sz w:val="24"/>
                <w:szCs w:val="24"/>
                <w:lang w:val="ro-MD" w:eastAsia="ja-JP"/>
              </w:rPr>
              <w:t>2008</w:t>
            </w:r>
            <w:r w:rsidR="00907450">
              <w:t xml:space="preserve"> </w:t>
            </w:r>
            <w:r w:rsidR="00907450" w:rsidRPr="00907450">
              <w:rPr>
                <w:bCs/>
                <w:sz w:val="24"/>
                <w:szCs w:val="24"/>
                <w:lang w:val="ro-MD" w:eastAsia="ja-JP"/>
              </w:rPr>
              <w:t>pentru aprobarea Regulamentului</w:t>
            </w:r>
            <w:r w:rsidR="00907450">
              <w:rPr>
                <w:bCs/>
                <w:sz w:val="24"/>
                <w:szCs w:val="24"/>
                <w:lang w:val="ro-MD" w:eastAsia="ja-JP"/>
              </w:rPr>
              <w:t xml:space="preserve"> </w:t>
            </w:r>
            <w:r w:rsidR="00907450" w:rsidRPr="00907450">
              <w:rPr>
                <w:bCs/>
                <w:sz w:val="24"/>
                <w:szCs w:val="24"/>
                <w:lang w:val="ro-MD" w:eastAsia="ja-JP"/>
              </w:rPr>
              <w:t>cu privire la administrarea mijloacelor</w:t>
            </w:r>
            <w:r w:rsidR="00907450">
              <w:rPr>
                <w:bCs/>
                <w:sz w:val="24"/>
                <w:szCs w:val="24"/>
                <w:lang w:val="ro-MD" w:eastAsia="ja-JP"/>
              </w:rPr>
              <w:t xml:space="preserve"> </w:t>
            </w:r>
            <w:r w:rsidR="00907450" w:rsidRPr="00907450">
              <w:rPr>
                <w:bCs/>
                <w:sz w:val="24"/>
                <w:szCs w:val="24"/>
                <w:lang w:val="ro-MD" w:eastAsia="ja-JP"/>
              </w:rPr>
              <w:t>pentru finanţarea sistemului de</w:t>
            </w:r>
            <w:r w:rsidR="00907450">
              <w:rPr>
                <w:bCs/>
                <w:sz w:val="24"/>
                <w:szCs w:val="24"/>
                <w:lang w:val="ro-MD" w:eastAsia="ja-JP"/>
              </w:rPr>
              <w:t xml:space="preserve"> </w:t>
            </w:r>
            <w:r w:rsidR="00907450" w:rsidRPr="00907450">
              <w:rPr>
                <w:bCs/>
                <w:sz w:val="24"/>
                <w:szCs w:val="24"/>
                <w:lang w:val="ro-MD" w:eastAsia="ja-JP"/>
              </w:rPr>
              <w:t>documente normative în construcţii</w:t>
            </w:r>
            <w:r w:rsidR="00907450">
              <w:rPr>
                <w:bCs/>
                <w:sz w:val="24"/>
                <w:szCs w:val="24"/>
                <w:lang w:val="ro-MD" w:eastAsia="ja-JP"/>
              </w:rPr>
              <w:t>;</w:t>
            </w:r>
          </w:p>
          <w:p w14:paraId="4B76F4BE" w14:textId="3192E554" w:rsidR="00B0350A" w:rsidRPr="00E37E04" w:rsidRDefault="00B0350A" w:rsidP="00F46867">
            <w:pPr>
              <w:spacing w:line="276" w:lineRule="auto"/>
              <w:ind w:firstLine="522"/>
              <w:rPr>
                <w:bCs/>
                <w:sz w:val="24"/>
                <w:szCs w:val="24"/>
                <w:lang w:val="ro-MD" w:eastAsia="ja-JP"/>
              </w:rPr>
            </w:pPr>
            <w:r w:rsidRPr="00B0350A">
              <w:rPr>
                <w:bCs/>
                <w:sz w:val="24"/>
                <w:szCs w:val="24"/>
                <w:lang w:val="ro-MD" w:eastAsia="ja-JP"/>
              </w:rPr>
              <w:t>Hotărîrea Guvernului nr.</w:t>
            </w:r>
            <w:r>
              <w:rPr>
                <w:bCs/>
                <w:sz w:val="24"/>
                <w:szCs w:val="24"/>
                <w:lang w:val="ro-MD" w:eastAsia="ja-JP"/>
              </w:rPr>
              <w:t>913</w:t>
            </w:r>
            <w:r w:rsidRPr="00B0350A">
              <w:rPr>
                <w:bCs/>
                <w:sz w:val="24"/>
                <w:szCs w:val="24"/>
                <w:lang w:val="ro-MD" w:eastAsia="ja-JP"/>
              </w:rPr>
              <w:t>/20</w:t>
            </w:r>
            <w:r>
              <w:rPr>
                <w:bCs/>
                <w:sz w:val="24"/>
                <w:szCs w:val="24"/>
                <w:lang w:val="ro-MD" w:eastAsia="ja-JP"/>
              </w:rPr>
              <w:t xml:space="preserve">16 </w:t>
            </w:r>
            <w:r w:rsidR="00F46867" w:rsidRPr="00F46867">
              <w:rPr>
                <w:bCs/>
                <w:sz w:val="24"/>
                <w:szCs w:val="24"/>
                <w:lang w:val="ro-MD" w:eastAsia="ja-JP"/>
              </w:rPr>
              <w:t>privind aprobarea Reglementării</w:t>
            </w:r>
            <w:r w:rsidR="00F46867">
              <w:rPr>
                <w:bCs/>
                <w:sz w:val="24"/>
                <w:szCs w:val="24"/>
                <w:lang w:val="ro-MD" w:eastAsia="ja-JP"/>
              </w:rPr>
              <w:t xml:space="preserve"> </w:t>
            </w:r>
            <w:r w:rsidR="00F46867" w:rsidRPr="00F46867">
              <w:rPr>
                <w:bCs/>
                <w:sz w:val="24"/>
                <w:szCs w:val="24"/>
                <w:lang w:val="ro-MD" w:eastAsia="ja-JP"/>
              </w:rPr>
              <w:t>tehnice cu privire la cerinţele minime pentru</w:t>
            </w:r>
            <w:r w:rsidR="00F46867">
              <w:rPr>
                <w:bCs/>
                <w:sz w:val="24"/>
                <w:szCs w:val="24"/>
                <w:lang w:val="ro-MD" w:eastAsia="ja-JP"/>
              </w:rPr>
              <w:t xml:space="preserve"> </w:t>
            </w:r>
            <w:r w:rsidR="00F46867" w:rsidRPr="00F46867">
              <w:rPr>
                <w:bCs/>
                <w:sz w:val="24"/>
                <w:szCs w:val="24"/>
                <w:lang w:val="ro-MD" w:eastAsia="ja-JP"/>
              </w:rPr>
              <w:t>comercializarea produselor pentru construcţii</w:t>
            </w:r>
            <w:r w:rsidR="00F46867">
              <w:rPr>
                <w:bCs/>
                <w:sz w:val="24"/>
                <w:szCs w:val="24"/>
                <w:lang w:val="ro-MD" w:eastAsia="ja-JP"/>
              </w:rPr>
              <w:t>;</w:t>
            </w:r>
          </w:p>
          <w:p w14:paraId="4AA59913" w14:textId="583D7B90" w:rsidR="00D94220" w:rsidRPr="00E37E04" w:rsidRDefault="00D94220" w:rsidP="00FA684B">
            <w:pPr>
              <w:spacing w:line="276" w:lineRule="auto"/>
              <w:ind w:firstLine="522"/>
              <w:rPr>
                <w:bCs/>
                <w:sz w:val="24"/>
                <w:szCs w:val="24"/>
                <w:lang w:val="ro-MD" w:eastAsia="ja-JP"/>
              </w:rPr>
            </w:pPr>
            <w:r w:rsidRPr="00E37E04">
              <w:rPr>
                <w:bCs/>
                <w:sz w:val="24"/>
                <w:szCs w:val="24"/>
                <w:lang w:val="ro-MD" w:eastAsia="ja-JP"/>
              </w:rPr>
              <w:t xml:space="preserve">Hotărîrea Guvernului nr.360/1996 </w:t>
            </w:r>
            <w:r w:rsidR="004E4EB1" w:rsidRPr="00E37E04">
              <w:rPr>
                <w:bCs/>
                <w:sz w:val="24"/>
                <w:szCs w:val="24"/>
                <w:lang w:val="ro-MD" w:eastAsia="ja-JP"/>
              </w:rPr>
              <w:t>cu privire la controlul de stat al calităţii în construcţii;</w:t>
            </w:r>
          </w:p>
          <w:p w14:paraId="577ED223" w14:textId="729BA608" w:rsidR="00E10FE7" w:rsidRDefault="00612356" w:rsidP="00FA684B">
            <w:pPr>
              <w:spacing w:line="276" w:lineRule="auto"/>
              <w:ind w:firstLine="522"/>
              <w:rPr>
                <w:bCs/>
                <w:sz w:val="24"/>
                <w:szCs w:val="24"/>
                <w:lang w:val="ro-MD" w:eastAsia="ja-JP"/>
              </w:rPr>
            </w:pPr>
            <w:r w:rsidRPr="00E37E04">
              <w:rPr>
                <w:bCs/>
                <w:sz w:val="24"/>
                <w:szCs w:val="24"/>
                <w:lang w:val="ro-MD" w:eastAsia="ja-JP"/>
              </w:rPr>
              <w:t xml:space="preserve">Hotărîrea Guvernului nr.361/1996 </w:t>
            </w:r>
            <w:r w:rsidR="00D94220" w:rsidRPr="00E37E04">
              <w:rPr>
                <w:bCs/>
                <w:sz w:val="24"/>
                <w:szCs w:val="24"/>
                <w:lang w:val="ro-MD" w:eastAsia="ja-JP"/>
              </w:rPr>
              <w:t>cu privire la asigurarea calităţii construcţiilor.</w:t>
            </w:r>
          </w:p>
          <w:p w14:paraId="021F33F7" w14:textId="710BB264" w:rsidR="00765137" w:rsidRDefault="00157335" w:rsidP="00FA0318">
            <w:pPr>
              <w:spacing w:line="276" w:lineRule="auto"/>
              <w:ind w:firstLine="522"/>
              <w:rPr>
                <w:bCs/>
                <w:sz w:val="24"/>
                <w:szCs w:val="24"/>
                <w:highlight w:val="yellow"/>
                <w:lang w:val="ro-MD" w:eastAsia="ja-JP"/>
              </w:rPr>
            </w:pPr>
            <w:r w:rsidRPr="00B0350A">
              <w:rPr>
                <w:bCs/>
                <w:sz w:val="24"/>
                <w:szCs w:val="24"/>
                <w:lang w:val="ro-MD" w:eastAsia="ja-JP"/>
              </w:rPr>
              <w:t xml:space="preserve">Reglementările tehnice </w:t>
            </w:r>
            <w:r w:rsidR="000D038F" w:rsidRPr="00B0350A">
              <w:rPr>
                <w:bCs/>
                <w:sz w:val="24"/>
                <w:szCs w:val="24"/>
                <w:lang w:val="ro-MD" w:eastAsia="ja-JP"/>
              </w:rPr>
              <w:t xml:space="preserve">(coduri practice în construcții) aprobate de către </w:t>
            </w:r>
            <w:r w:rsidR="0015092C" w:rsidRPr="00B0350A">
              <w:rPr>
                <w:bCs/>
                <w:sz w:val="24"/>
                <w:szCs w:val="24"/>
                <w:lang w:val="ro-MD" w:eastAsia="ja-JP"/>
              </w:rPr>
              <w:t xml:space="preserve">organul central de specialitate al administrației publice în domeniul construcțiilor </w:t>
            </w:r>
            <w:r w:rsidR="000D038F" w:rsidRPr="00B0350A">
              <w:rPr>
                <w:bCs/>
                <w:sz w:val="24"/>
                <w:szCs w:val="24"/>
                <w:lang w:val="ro-MD" w:eastAsia="ja-JP"/>
              </w:rPr>
              <w:t xml:space="preserve">și elaborate în scopul </w:t>
            </w:r>
            <w:r w:rsidR="00FB2FB0">
              <w:rPr>
                <w:bCs/>
                <w:sz w:val="24"/>
                <w:szCs w:val="24"/>
                <w:lang w:val="ro-MD" w:eastAsia="ja-JP"/>
              </w:rPr>
              <w:t>asigurării</w:t>
            </w:r>
            <w:r w:rsidR="000D038F" w:rsidRPr="00B0350A">
              <w:rPr>
                <w:bCs/>
                <w:sz w:val="24"/>
                <w:szCs w:val="24"/>
                <w:lang w:val="ro-MD" w:eastAsia="ja-JP"/>
              </w:rPr>
              <w:t xml:space="preserve"> </w:t>
            </w:r>
            <w:r w:rsidR="00B0350A">
              <w:rPr>
                <w:bCs/>
                <w:sz w:val="24"/>
                <w:szCs w:val="24"/>
                <w:lang w:val="ro-MD" w:eastAsia="ja-JP"/>
              </w:rPr>
              <w:t xml:space="preserve">cerințelor </w:t>
            </w:r>
            <w:r w:rsidR="00FB2FB0">
              <w:rPr>
                <w:bCs/>
                <w:sz w:val="24"/>
                <w:szCs w:val="24"/>
                <w:lang w:val="ro-MD" w:eastAsia="ja-JP"/>
              </w:rPr>
              <w:t xml:space="preserve">fundamentale </w:t>
            </w:r>
            <w:r w:rsidR="00B0350A">
              <w:rPr>
                <w:bCs/>
                <w:sz w:val="24"/>
                <w:szCs w:val="24"/>
                <w:lang w:val="ro-MD" w:eastAsia="ja-JP"/>
              </w:rPr>
              <w:t>de calitate a construcțiilor</w:t>
            </w:r>
            <w:r w:rsidR="00A2793A" w:rsidRPr="00B0350A">
              <w:rPr>
                <w:bCs/>
                <w:sz w:val="24"/>
                <w:szCs w:val="24"/>
                <w:lang w:val="ro-MD" w:eastAsia="ja-JP"/>
              </w:rPr>
              <w:t>,</w:t>
            </w:r>
            <w:r w:rsidR="00794B65" w:rsidRPr="00B0350A">
              <w:rPr>
                <w:bCs/>
                <w:sz w:val="24"/>
                <w:szCs w:val="24"/>
                <w:lang w:val="ro-MD" w:eastAsia="ja-JP"/>
              </w:rPr>
              <w:t xml:space="preserve"> </w:t>
            </w:r>
            <w:r w:rsidR="00FB2FB0">
              <w:rPr>
                <w:bCs/>
                <w:sz w:val="24"/>
                <w:szCs w:val="24"/>
                <w:lang w:val="ro-MD" w:eastAsia="ja-JP"/>
              </w:rPr>
              <w:t>și anume</w:t>
            </w:r>
            <w:r w:rsidR="003A3DEC" w:rsidRPr="00B0350A">
              <w:rPr>
                <w:bCs/>
                <w:sz w:val="24"/>
                <w:szCs w:val="24"/>
                <w:lang w:val="ro-MD" w:eastAsia="ja-JP"/>
              </w:rPr>
              <w:t>:</w:t>
            </w:r>
            <w:r w:rsidR="003A3DEC" w:rsidRPr="00F34492">
              <w:rPr>
                <w:bCs/>
                <w:sz w:val="24"/>
                <w:szCs w:val="24"/>
                <w:highlight w:val="yellow"/>
                <w:lang w:val="ro-MD" w:eastAsia="ja-JP"/>
              </w:rPr>
              <w:t xml:space="preserve"> </w:t>
            </w:r>
          </w:p>
          <w:p w14:paraId="363C39B1" w14:textId="77777777" w:rsidR="00FB2FB0" w:rsidRPr="00FB2FB0" w:rsidRDefault="00FB2FB0" w:rsidP="00FB2FB0">
            <w:pPr>
              <w:spacing w:line="276" w:lineRule="auto"/>
              <w:ind w:firstLine="522"/>
              <w:rPr>
                <w:bCs/>
                <w:sz w:val="24"/>
                <w:szCs w:val="24"/>
                <w:lang w:val="ro-MD" w:eastAsia="ja-JP"/>
              </w:rPr>
            </w:pPr>
            <w:r w:rsidRPr="00FB2FB0">
              <w:rPr>
                <w:bCs/>
                <w:sz w:val="24"/>
                <w:szCs w:val="24"/>
                <w:lang w:val="ro-MD" w:eastAsia="ja-JP"/>
              </w:rPr>
              <w:t>A - rezistenţă şi stabilitate;</w:t>
            </w:r>
          </w:p>
          <w:p w14:paraId="62292151" w14:textId="77777777" w:rsidR="00FB2FB0" w:rsidRPr="00FB2FB0" w:rsidRDefault="00FB2FB0" w:rsidP="00FB2FB0">
            <w:pPr>
              <w:spacing w:line="276" w:lineRule="auto"/>
              <w:ind w:firstLine="522"/>
              <w:rPr>
                <w:bCs/>
                <w:sz w:val="24"/>
                <w:szCs w:val="24"/>
                <w:lang w:val="ro-MD" w:eastAsia="ja-JP"/>
              </w:rPr>
            </w:pPr>
            <w:r w:rsidRPr="00FB2FB0">
              <w:rPr>
                <w:bCs/>
                <w:sz w:val="24"/>
                <w:szCs w:val="24"/>
                <w:lang w:val="ro-MD" w:eastAsia="ja-JP"/>
              </w:rPr>
              <w:t>B - siguranţă în exploatare;</w:t>
            </w:r>
          </w:p>
          <w:p w14:paraId="3CC4964D" w14:textId="77777777" w:rsidR="00FB2FB0" w:rsidRPr="00FB2FB0" w:rsidRDefault="00FB2FB0" w:rsidP="00FB2FB0">
            <w:pPr>
              <w:spacing w:line="276" w:lineRule="auto"/>
              <w:ind w:firstLine="522"/>
              <w:rPr>
                <w:bCs/>
                <w:sz w:val="24"/>
                <w:szCs w:val="24"/>
                <w:lang w:val="ro-MD" w:eastAsia="ja-JP"/>
              </w:rPr>
            </w:pPr>
            <w:r w:rsidRPr="00FB2FB0">
              <w:rPr>
                <w:bCs/>
                <w:sz w:val="24"/>
                <w:szCs w:val="24"/>
                <w:lang w:val="ro-MD" w:eastAsia="ja-JP"/>
              </w:rPr>
              <w:t>C - siguranţă la foc;</w:t>
            </w:r>
          </w:p>
          <w:p w14:paraId="5184A041" w14:textId="77777777" w:rsidR="00FB2FB0" w:rsidRPr="00FB2FB0" w:rsidRDefault="00FB2FB0" w:rsidP="00FB2FB0">
            <w:pPr>
              <w:spacing w:line="276" w:lineRule="auto"/>
              <w:ind w:firstLine="522"/>
              <w:rPr>
                <w:bCs/>
                <w:sz w:val="24"/>
                <w:szCs w:val="24"/>
                <w:lang w:val="ro-MD" w:eastAsia="ja-JP"/>
              </w:rPr>
            </w:pPr>
            <w:r w:rsidRPr="00FB2FB0">
              <w:rPr>
                <w:bCs/>
                <w:sz w:val="24"/>
                <w:szCs w:val="24"/>
                <w:lang w:val="ro-MD" w:eastAsia="ja-JP"/>
              </w:rPr>
              <w:t>D - igienă, sănătatea oamenilor, refacerea şi protecţia mediului înconjurător;</w:t>
            </w:r>
          </w:p>
          <w:p w14:paraId="1B46090D" w14:textId="77777777" w:rsidR="00FB2FB0" w:rsidRPr="00FB2FB0" w:rsidRDefault="00FB2FB0" w:rsidP="00FB2FB0">
            <w:pPr>
              <w:spacing w:line="276" w:lineRule="auto"/>
              <w:ind w:firstLine="522"/>
              <w:rPr>
                <w:bCs/>
                <w:sz w:val="24"/>
                <w:szCs w:val="24"/>
                <w:lang w:val="ro-MD" w:eastAsia="ja-JP"/>
              </w:rPr>
            </w:pPr>
            <w:r w:rsidRPr="00FB2FB0">
              <w:rPr>
                <w:bCs/>
                <w:sz w:val="24"/>
                <w:szCs w:val="24"/>
                <w:lang w:val="ro-MD" w:eastAsia="ja-JP"/>
              </w:rPr>
              <w:t>E - izolaţie termică, hidrofugă şi economie de energie;</w:t>
            </w:r>
          </w:p>
          <w:p w14:paraId="753EEC12" w14:textId="77777777" w:rsidR="00FB2FB0" w:rsidRPr="00FB2FB0" w:rsidRDefault="00FB2FB0" w:rsidP="00FB2FB0">
            <w:pPr>
              <w:spacing w:line="276" w:lineRule="auto"/>
              <w:ind w:firstLine="522"/>
              <w:rPr>
                <w:bCs/>
                <w:sz w:val="24"/>
                <w:szCs w:val="24"/>
                <w:lang w:val="ro-MD" w:eastAsia="ja-JP"/>
              </w:rPr>
            </w:pPr>
            <w:r w:rsidRPr="00FB2FB0">
              <w:rPr>
                <w:bCs/>
                <w:sz w:val="24"/>
                <w:szCs w:val="24"/>
                <w:lang w:val="ro-MD" w:eastAsia="ja-JP"/>
              </w:rPr>
              <w:t>F - protecţie împotriva zgomotului;</w:t>
            </w:r>
          </w:p>
          <w:p w14:paraId="07AC9FA7" w14:textId="59EF4C26" w:rsidR="00FA0318" w:rsidRPr="00FA0318" w:rsidRDefault="00FB2FB0" w:rsidP="00FB2FB0">
            <w:pPr>
              <w:spacing w:line="276" w:lineRule="auto"/>
              <w:ind w:firstLine="522"/>
              <w:rPr>
                <w:bCs/>
                <w:sz w:val="24"/>
                <w:szCs w:val="24"/>
                <w:highlight w:val="yellow"/>
                <w:lang w:val="ro-MD" w:eastAsia="ja-JP"/>
              </w:rPr>
            </w:pPr>
            <w:r w:rsidRPr="00FB2FB0">
              <w:rPr>
                <w:bCs/>
                <w:sz w:val="24"/>
                <w:szCs w:val="24"/>
                <w:lang w:val="ro-MD" w:eastAsia="ja-JP"/>
              </w:rPr>
              <w:t>G – utilizare sustenabilă a resurselor naturale.</w:t>
            </w:r>
          </w:p>
        </w:tc>
      </w:tr>
      <w:tr w:rsidR="00C16C9F" w:rsidRPr="00207783" w14:paraId="4CBE8530" w14:textId="77777777" w:rsidTr="00EC2635">
        <w:trPr>
          <w:trHeight w:val="454"/>
        </w:trPr>
        <w:tc>
          <w:tcPr>
            <w:tcW w:w="5000" w:type="pct"/>
            <w:gridSpan w:val="5"/>
            <w:vAlign w:val="center"/>
            <w:hideMark/>
          </w:tcPr>
          <w:p w14:paraId="2926B36F" w14:textId="77777777" w:rsidR="00C16C9F" w:rsidRPr="00207783" w:rsidRDefault="00C16C9F" w:rsidP="00EC2635">
            <w:pPr>
              <w:ind w:firstLine="567"/>
              <w:jc w:val="left"/>
              <w:rPr>
                <w:sz w:val="24"/>
                <w:szCs w:val="24"/>
                <w:lang w:val="ro-MD"/>
              </w:rPr>
            </w:pPr>
            <w:r w:rsidRPr="00207783">
              <w:rPr>
                <w:b/>
                <w:bCs/>
                <w:sz w:val="24"/>
                <w:szCs w:val="24"/>
                <w:lang w:val="ro-MD"/>
              </w:rPr>
              <w:lastRenderedPageBreak/>
              <w:t>2. Stabilirea obiectivelor</w:t>
            </w:r>
          </w:p>
        </w:tc>
      </w:tr>
      <w:tr w:rsidR="002D7AE2" w:rsidRPr="00207783" w14:paraId="0E02B5E7" w14:textId="77777777" w:rsidTr="00772AD3">
        <w:tc>
          <w:tcPr>
            <w:tcW w:w="5000" w:type="pct"/>
            <w:gridSpan w:val="5"/>
            <w:hideMark/>
          </w:tcPr>
          <w:p w14:paraId="44085070" w14:textId="77777777" w:rsidR="002D7AE2" w:rsidRPr="00207783" w:rsidRDefault="002D7AE2" w:rsidP="00EC4216">
            <w:pPr>
              <w:ind w:firstLine="567"/>
              <w:rPr>
                <w:sz w:val="24"/>
                <w:szCs w:val="24"/>
                <w:lang w:val="ro-MD"/>
              </w:rPr>
            </w:pPr>
            <w:r w:rsidRPr="00207783">
              <w:rPr>
                <w:bCs/>
                <w:i/>
                <w:sz w:val="24"/>
                <w:szCs w:val="24"/>
                <w:lang w:val="ro-MD"/>
              </w:rPr>
              <w:t>a) Expuneți obiectivele (care trebuie să fie legate direct de problemă și cauzele acesteia, formulate cuantificat, măsurabil, fixat în timp și realist</w:t>
            </w:r>
            <w:r w:rsidRPr="00207783">
              <w:rPr>
                <w:i/>
                <w:sz w:val="24"/>
                <w:szCs w:val="24"/>
                <w:lang w:val="ro-MD"/>
              </w:rPr>
              <w:t>).</w:t>
            </w:r>
          </w:p>
        </w:tc>
      </w:tr>
      <w:tr w:rsidR="00C16C9F" w:rsidRPr="00207783" w14:paraId="29B222C7" w14:textId="77777777" w:rsidTr="00772AD3">
        <w:tc>
          <w:tcPr>
            <w:tcW w:w="5000" w:type="pct"/>
            <w:gridSpan w:val="5"/>
          </w:tcPr>
          <w:p w14:paraId="190910E6" w14:textId="77777777" w:rsidR="00507497" w:rsidRDefault="00507497" w:rsidP="00D60AAD">
            <w:pPr>
              <w:pStyle w:val="ListParagraph"/>
              <w:spacing w:before="120" w:after="120" w:line="276" w:lineRule="auto"/>
              <w:ind w:left="425"/>
              <w:contextualSpacing w:val="0"/>
              <w:jc w:val="both"/>
              <w:rPr>
                <w:bCs/>
                <w:lang w:val="ro-MD" w:eastAsia="ja-JP"/>
              </w:rPr>
            </w:pPr>
            <w:r w:rsidRPr="00312F88">
              <w:rPr>
                <w:bCs/>
                <w:lang w:val="ro-MD" w:eastAsia="ja-JP"/>
              </w:rPr>
              <w:t>Principalele obiective ale intervenției statului sunt:</w:t>
            </w:r>
          </w:p>
          <w:p w14:paraId="3A4E4155" w14:textId="2C1C5A23" w:rsidR="00312F88" w:rsidRPr="00312F88" w:rsidRDefault="00312F88" w:rsidP="00E94C84">
            <w:pPr>
              <w:pStyle w:val="ListParagraph"/>
              <w:numPr>
                <w:ilvl w:val="0"/>
                <w:numId w:val="7"/>
              </w:numPr>
              <w:spacing w:line="276" w:lineRule="auto"/>
              <w:ind w:left="737" w:hanging="357"/>
              <w:contextualSpacing w:val="0"/>
              <w:jc w:val="both"/>
              <w:rPr>
                <w:bCs/>
                <w:lang w:val="ro-MD" w:eastAsia="ja-JP"/>
              </w:rPr>
            </w:pPr>
            <w:r w:rsidRPr="00312F88">
              <w:rPr>
                <w:bCs/>
                <w:lang w:val="ro-MD" w:eastAsia="ja-JP"/>
              </w:rPr>
              <w:t xml:space="preserve">dezvoltarea </w:t>
            </w:r>
            <w:r w:rsidR="007B10B0">
              <w:rPr>
                <w:bCs/>
                <w:lang w:val="ro-MD" w:eastAsia="ja-JP"/>
              </w:rPr>
              <w:t xml:space="preserve">continue a </w:t>
            </w:r>
            <w:r w:rsidR="00D15F03">
              <w:rPr>
                <w:bCs/>
                <w:lang w:val="ro-MD" w:eastAsia="ja-JP"/>
              </w:rPr>
              <w:t>S</w:t>
            </w:r>
            <w:r w:rsidRPr="00312F88">
              <w:rPr>
                <w:bCs/>
                <w:lang w:val="ro-MD" w:eastAsia="ja-JP"/>
              </w:rPr>
              <w:t>istemului de</w:t>
            </w:r>
            <w:r w:rsidR="00D15F03">
              <w:rPr>
                <w:bCs/>
                <w:lang w:val="ro-MD" w:eastAsia="ja-JP"/>
              </w:rPr>
              <w:t xml:space="preserve"> </w:t>
            </w:r>
            <w:r w:rsidRPr="00312F88">
              <w:rPr>
                <w:bCs/>
                <w:lang w:val="ro-MD" w:eastAsia="ja-JP"/>
              </w:rPr>
              <w:t>documente normative în construcții (SDNC)</w:t>
            </w:r>
            <w:r w:rsidR="007B10B0">
              <w:rPr>
                <w:bCs/>
                <w:lang w:val="ro-MD" w:eastAsia="ja-JP"/>
              </w:rPr>
              <w:t xml:space="preserve"> ajustată la cea a UE</w:t>
            </w:r>
            <w:r w:rsidRPr="00312F88">
              <w:rPr>
                <w:bCs/>
                <w:lang w:val="ro-MD" w:eastAsia="ja-JP"/>
              </w:rPr>
              <w:t xml:space="preserve">; </w:t>
            </w:r>
          </w:p>
          <w:p w14:paraId="1E4F45D5" w14:textId="643C6999" w:rsidR="00285D54" w:rsidRPr="00285D54" w:rsidRDefault="00285D54" w:rsidP="00E94C84">
            <w:pPr>
              <w:pStyle w:val="ListParagraph"/>
              <w:numPr>
                <w:ilvl w:val="0"/>
                <w:numId w:val="7"/>
              </w:numPr>
              <w:spacing w:line="276" w:lineRule="auto"/>
              <w:ind w:left="737" w:hanging="357"/>
              <w:contextualSpacing w:val="0"/>
              <w:jc w:val="both"/>
              <w:rPr>
                <w:bCs/>
                <w:lang w:val="ro-MD" w:eastAsia="ja-JP"/>
              </w:rPr>
            </w:pPr>
            <w:r w:rsidRPr="00285D54">
              <w:rPr>
                <w:bCs/>
                <w:lang w:val="ro-MD" w:eastAsia="ja-JP"/>
              </w:rPr>
              <w:t>reducerea impactu</w:t>
            </w:r>
            <w:r w:rsidR="00E94C84">
              <w:rPr>
                <w:bCs/>
                <w:lang w:val="ro-MD" w:eastAsia="ja-JP"/>
              </w:rPr>
              <w:t>rilor</w:t>
            </w:r>
            <w:r w:rsidRPr="00285D54">
              <w:rPr>
                <w:bCs/>
                <w:lang w:val="ro-MD" w:eastAsia="ja-JP"/>
              </w:rPr>
              <w:t xml:space="preserve"> </w:t>
            </w:r>
            <w:r>
              <w:rPr>
                <w:bCs/>
                <w:lang w:val="ro-MD" w:eastAsia="ja-JP"/>
              </w:rPr>
              <w:t xml:space="preserve">urmare a realizării construcțiilor și a industriei </w:t>
            </w:r>
            <w:r w:rsidRPr="00285D54">
              <w:rPr>
                <w:bCs/>
                <w:lang w:val="ro-MD" w:eastAsia="ja-JP"/>
              </w:rPr>
              <w:t>produselor pentru construcții asupra mediului</w:t>
            </w:r>
            <w:r w:rsidR="00E94C84">
              <w:rPr>
                <w:bCs/>
                <w:lang w:val="ro-MD" w:eastAsia="ja-JP"/>
              </w:rPr>
              <w:t xml:space="preserve"> și securității oamenilor</w:t>
            </w:r>
            <w:r w:rsidRPr="00285D54">
              <w:rPr>
                <w:bCs/>
                <w:lang w:val="ro-MD" w:eastAsia="ja-JP"/>
              </w:rPr>
              <w:t>;</w:t>
            </w:r>
          </w:p>
          <w:p w14:paraId="26763B14" w14:textId="16EB748E" w:rsidR="00285D54" w:rsidRPr="00285D54" w:rsidRDefault="00285D54" w:rsidP="00E94C84">
            <w:pPr>
              <w:pStyle w:val="ListParagraph"/>
              <w:numPr>
                <w:ilvl w:val="0"/>
                <w:numId w:val="7"/>
              </w:numPr>
              <w:spacing w:line="276" w:lineRule="auto"/>
              <w:ind w:left="737" w:hanging="357"/>
              <w:contextualSpacing w:val="0"/>
              <w:jc w:val="both"/>
              <w:rPr>
                <w:bCs/>
                <w:lang w:val="ro-MD" w:eastAsia="ja-JP"/>
              </w:rPr>
            </w:pPr>
            <w:r w:rsidRPr="00285D54">
              <w:rPr>
                <w:bCs/>
                <w:lang w:val="ro-MD" w:eastAsia="ja-JP"/>
              </w:rPr>
              <w:t xml:space="preserve">asigurarea unei clarități </w:t>
            </w:r>
            <w:r w:rsidR="002F6EBC" w:rsidRPr="00285D54">
              <w:rPr>
                <w:bCs/>
                <w:lang w:val="ro-MD" w:eastAsia="ja-JP"/>
              </w:rPr>
              <w:t xml:space="preserve">și </w:t>
            </w:r>
            <w:r w:rsidR="002F6EBC">
              <w:rPr>
                <w:bCs/>
                <w:lang w:val="ro-MD" w:eastAsia="ja-JP"/>
              </w:rPr>
              <w:t>optimiz</w:t>
            </w:r>
            <w:r w:rsidR="004A5A18">
              <w:rPr>
                <w:bCs/>
                <w:lang w:val="ro-MD" w:eastAsia="ja-JP"/>
              </w:rPr>
              <w:t xml:space="preserve">area </w:t>
            </w:r>
            <w:r w:rsidR="00832AF4">
              <w:rPr>
                <w:bCs/>
                <w:lang w:val="ro-MD" w:eastAsia="ja-JP"/>
              </w:rPr>
              <w:t xml:space="preserve">reglementărilor tehnice în construcții bazate pe prevederile Eurocod-urilor, </w:t>
            </w:r>
            <w:r w:rsidRPr="00285D54">
              <w:rPr>
                <w:bCs/>
                <w:lang w:val="ro-MD" w:eastAsia="ja-JP"/>
              </w:rPr>
              <w:t xml:space="preserve">reducerea suprapunerilor </w:t>
            </w:r>
            <w:r w:rsidR="007A532D">
              <w:rPr>
                <w:bCs/>
                <w:lang w:val="ro-MD" w:eastAsia="ja-JP"/>
              </w:rPr>
              <w:t xml:space="preserve">de </w:t>
            </w:r>
            <w:r w:rsidR="007A532D" w:rsidRPr="00285D54">
              <w:rPr>
                <w:bCs/>
                <w:lang w:val="ro-MD" w:eastAsia="ja-JP"/>
              </w:rPr>
              <w:t xml:space="preserve">norme </w:t>
            </w:r>
            <w:r w:rsidRPr="00285D54">
              <w:rPr>
                <w:bCs/>
                <w:lang w:val="ro-MD" w:eastAsia="ja-JP"/>
              </w:rPr>
              <w:t xml:space="preserve">și contradicția cu alte acte </w:t>
            </w:r>
            <w:r>
              <w:rPr>
                <w:bCs/>
                <w:lang w:val="ro-MD" w:eastAsia="ja-JP"/>
              </w:rPr>
              <w:t>normative</w:t>
            </w:r>
            <w:r w:rsidRPr="00285D54">
              <w:rPr>
                <w:bCs/>
                <w:lang w:val="ro-MD" w:eastAsia="ja-JP"/>
              </w:rPr>
              <w:t>;</w:t>
            </w:r>
          </w:p>
          <w:p w14:paraId="388E2450" w14:textId="6BD4FA8D" w:rsidR="007B412F" w:rsidRDefault="00E12F50" w:rsidP="00E94C84">
            <w:pPr>
              <w:pStyle w:val="ListParagraph"/>
              <w:numPr>
                <w:ilvl w:val="0"/>
                <w:numId w:val="7"/>
              </w:numPr>
              <w:spacing w:line="276" w:lineRule="auto"/>
              <w:ind w:left="737" w:hanging="357"/>
              <w:contextualSpacing w:val="0"/>
              <w:jc w:val="both"/>
              <w:rPr>
                <w:bCs/>
                <w:lang w:val="ro-MD" w:eastAsia="ja-JP"/>
              </w:rPr>
            </w:pPr>
            <w:r w:rsidRPr="00E12F50">
              <w:rPr>
                <w:bCs/>
                <w:lang w:val="ro-MD" w:eastAsia="ja-JP"/>
              </w:rPr>
              <w:t xml:space="preserve">asigurarea siguranței </w:t>
            </w:r>
            <w:r w:rsidR="00BD6EAB">
              <w:rPr>
                <w:bCs/>
                <w:lang w:val="ro-MD" w:eastAsia="ja-JP"/>
              </w:rPr>
              <w:t xml:space="preserve">oamenilor și a mediului </w:t>
            </w:r>
            <w:r w:rsidR="00963A3D">
              <w:rPr>
                <w:bCs/>
                <w:lang w:val="ro-MD" w:eastAsia="ja-JP"/>
              </w:rPr>
              <w:t xml:space="preserve">înconjurător </w:t>
            </w:r>
            <w:r>
              <w:rPr>
                <w:bCs/>
                <w:lang w:val="ro-MD" w:eastAsia="ja-JP"/>
              </w:rPr>
              <w:t xml:space="preserve">în </w:t>
            </w:r>
            <w:r w:rsidR="00963A3D">
              <w:rPr>
                <w:bCs/>
                <w:lang w:val="ro-MD" w:eastAsia="ja-JP"/>
              </w:rPr>
              <w:t xml:space="preserve">procesul de </w:t>
            </w:r>
            <w:r>
              <w:rPr>
                <w:bCs/>
                <w:lang w:val="ro-MD" w:eastAsia="ja-JP"/>
              </w:rPr>
              <w:t>exploatare</w:t>
            </w:r>
            <w:r w:rsidR="00963A3D">
              <w:rPr>
                <w:bCs/>
                <w:lang w:val="ro-MD" w:eastAsia="ja-JP"/>
              </w:rPr>
              <w:t xml:space="preserve"> </w:t>
            </w:r>
            <w:r>
              <w:rPr>
                <w:bCs/>
                <w:lang w:val="ro-MD" w:eastAsia="ja-JP"/>
              </w:rPr>
              <w:t xml:space="preserve">a </w:t>
            </w:r>
            <w:r w:rsidRPr="00E12F50">
              <w:rPr>
                <w:bCs/>
                <w:lang w:val="ro-MD" w:eastAsia="ja-JP"/>
              </w:rPr>
              <w:t>construcții</w:t>
            </w:r>
            <w:r>
              <w:rPr>
                <w:bCs/>
                <w:lang w:val="ro-MD" w:eastAsia="ja-JP"/>
              </w:rPr>
              <w:t>lor;</w:t>
            </w:r>
          </w:p>
          <w:p w14:paraId="0D023B85" w14:textId="11601203" w:rsidR="00E12F50" w:rsidRPr="00E12F50" w:rsidRDefault="001C75FC" w:rsidP="0048725D">
            <w:pPr>
              <w:pStyle w:val="ListParagraph"/>
              <w:numPr>
                <w:ilvl w:val="0"/>
                <w:numId w:val="7"/>
              </w:numPr>
              <w:spacing w:line="276" w:lineRule="auto"/>
              <w:ind w:left="737" w:hanging="357"/>
              <w:contextualSpacing w:val="0"/>
              <w:jc w:val="both"/>
              <w:rPr>
                <w:bCs/>
                <w:lang w:val="ro-MD" w:eastAsia="ja-JP"/>
              </w:rPr>
            </w:pPr>
            <w:r>
              <w:rPr>
                <w:bCs/>
                <w:lang w:val="ro-MD" w:eastAsia="ja-JP"/>
              </w:rPr>
              <w:t xml:space="preserve">transpunerea reglementărilor tehnice </w:t>
            </w:r>
            <w:r w:rsidR="007A532D">
              <w:rPr>
                <w:bCs/>
                <w:lang w:val="ro-MD" w:eastAsia="ja-JP"/>
              </w:rPr>
              <w:t xml:space="preserve">în construcții </w:t>
            </w:r>
            <w:r>
              <w:rPr>
                <w:bCs/>
                <w:lang w:val="ro-MD" w:eastAsia="ja-JP"/>
              </w:rPr>
              <w:t xml:space="preserve">ale UE </w:t>
            </w:r>
            <w:r w:rsidR="0048725D">
              <w:rPr>
                <w:bCs/>
                <w:lang w:val="ro-MD" w:eastAsia="ja-JP"/>
              </w:rPr>
              <w:t>de către Moldova, precum și alinierea la practicile bune în construcții ale UE</w:t>
            </w:r>
            <w:r w:rsidR="007A532D">
              <w:rPr>
                <w:bCs/>
                <w:lang w:val="ro-MD" w:eastAsia="ja-JP"/>
              </w:rPr>
              <w:t xml:space="preserve"> până ân anul 2030</w:t>
            </w:r>
            <w:r w:rsidR="0048725D">
              <w:rPr>
                <w:bCs/>
                <w:lang w:val="ro-MD" w:eastAsia="ja-JP"/>
              </w:rPr>
              <w:t>.</w:t>
            </w:r>
            <w:r>
              <w:rPr>
                <w:bCs/>
                <w:lang w:val="ro-MD" w:eastAsia="ja-JP"/>
              </w:rPr>
              <w:t xml:space="preserve"> </w:t>
            </w:r>
          </w:p>
        </w:tc>
      </w:tr>
      <w:tr w:rsidR="00C16C9F" w:rsidRPr="00207783" w14:paraId="6981E104" w14:textId="77777777" w:rsidTr="00772AD3">
        <w:trPr>
          <w:trHeight w:val="454"/>
        </w:trPr>
        <w:tc>
          <w:tcPr>
            <w:tcW w:w="5000" w:type="pct"/>
            <w:gridSpan w:val="5"/>
            <w:hideMark/>
          </w:tcPr>
          <w:p w14:paraId="31ECEE62" w14:textId="77777777" w:rsidR="00C16C9F" w:rsidRPr="00207783" w:rsidRDefault="00C16C9F" w:rsidP="009F179B">
            <w:pPr>
              <w:ind w:firstLine="567"/>
              <w:jc w:val="left"/>
              <w:rPr>
                <w:sz w:val="24"/>
                <w:szCs w:val="24"/>
                <w:lang w:val="ro-MD"/>
              </w:rPr>
            </w:pPr>
            <w:r w:rsidRPr="00207783">
              <w:rPr>
                <w:b/>
                <w:bCs/>
                <w:sz w:val="24"/>
                <w:szCs w:val="24"/>
                <w:lang w:val="ro-MD"/>
              </w:rPr>
              <w:t>3. Identificarea opţiunilor</w:t>
            </w:r>
          </w:p>
        </w:tc>
      </w:tr>
      <w:tr w:rsidR="002D7AE2" w:rsidRPr="00207783" w14:paraId="0D1F99FE" w14:textId="77777777" w:rsidTr="00772AD3">
        <w:trPr>
          <w:trHeight w:val="454"/>
        </w:trPr>
        <w:tc>
          <w:tcPr>
            <w:tcW w:w="5000" w:type="pct"/>
            <w:gridSpan w:val="5"/>
            <w:hideMark/>
          </w:tcPr>
          <w:p w14:paraId="36A2583B" w14:textId="77777777" w:rsidR="002D7AE2" w:rsidRPr="00207783" w:rsidRDefault="002D7AE2" w:rsidP="00623187">
            <w:pPr>
              <w:ind w:firstLine="567"/>
              <w:jc w:val="left"/>
              <w:rPr>
                <w:sz w:val="24"/>
                <w:szCs w:val="24"/>
                <w:lang w:val="ro-MD"/>
              </w:rPr>
            </w:pPr>
            <w:r w:rsidRPr="00207783">
              <w:rPr>
                <w:bCs/>
                <w:i/>
                <w:sz w:val="24"/>
                <w:szCs w:val="24"/>
                <w:lang w:val="ro-MD"/>
              </w:rPr>
              <w:t>a) Expuneți succint opțiunea „a nu face nimic”, care presupune lipsa de intervenție</w:t>
            </w:r>
          </w:p>
        </w:tc>
      </w:tr>
      <w:tr w:rsidR="00C16C9F" w:rsidRPr="00207783" w14:paraId="55DDCF8F" w14:textId="77777777" w:rsidTr="00772AD3">
        <w:tc>
          <w:tcPr>
            <w:tcW w:w="5000" w:type="pct"/>
            <w:gridSpan w:val="5"/>
          </w:tcPr>
          <w:p w14:paraId="553B0FE6" w14:textId="143230A2" w:rsidR="0028481C" w:rsidRPr="00207783" w:rsidRDefault="00507497" w:rsidP="004B1182">
            <w:pPr>
              <w:spacing w:line="276" w:lineRule="auto"/>
              <w:ind w:firstLine="380"/>
              <w:rPr>
                <w:bCs/>
                <w:sz w:val="24"/>
                <w:szCs w:val="24"/>
                <w:lang w:val="ro-MD"/>
              </w:rPr>
            </w:pPr>
            <w:r w:rsidRPr="00F8089F">
              <w:rPr>
                <w:rFonts w:eastAsia="Calibri"/>
                <w:sz w:val="24"/>
                <w:szCs w:val="24"/>
                <w:lang w:val="ro-MD" w:eastAsia="ja-JP"/>
              </w:rPr>
              <w:t>Opțiunea</w:t>
            </w:r>
            <w:r w:rsidRPr="00F8089F">
              <w:rPr>
                <w:rFonts w:eastAsia="Calibri"/>
                <w:b/>
                <w:bCs/>
                <w:sz w:val="24"/>
                <w:szCs w:val="24"/>
                <w:lang w:val="ro-MD" w:eastAsia="ja-JP"/>
              </w:rPr>
              <w:t xml:space="preserve"> </w:t>
            </w:r>
            <w:r w:rsidRPr="00F8089F">
              <w:rPr>
                <w:rFonts w:eastAsia="Calibri"/>
                <w:bCs/>
                <w:sz w:val="24"/>
                <w:szCs w:val="24"/>
                <w:lang w:val="ro-MD" w:eastAsia="ja-JP"/>
              </w:rPr>
              <w:t>„A nu face nimic”</w:t>
            </w:r>
            <w:r w:rsidR="00F8089F" w:rsidRPr="00F8089F">
              <w:rPr>
                <w:rFonts w:eastAsia="Calibri"/>
                <w:bCs/>
                <w:sz w:val="24"/>
                <w:szCs w:val="24"/>
                <w:lang w:val="ro-MD" w:eastAsia="ja-JP"/>
              </w:rPr>
              <w:t xml:space="preserve">, </w:t>
            </w:r>
            <w:r w:rsidR="00FC2E65">
              <w:rPr>
                <w:bCs/>
                <w:sz w:val="24"/>
                <w:szCs w:val="24"/>
                <w:lang w:val="ro-MD"/>
              </w:rPr>
              <w:t>s</w:t>
            </w:r>
            <w:r w:rsidR="00097420" w:rsidRPr="00097420">
              <w:rPr>
                <w:bCs/>
                <w:sz w:val="24"/>
                <w:szCs w:val="24"/>
                <w:lang w:val="ro-MD"/>
              </w:rPr>
              <w:t>cenariu de referință înse</w:t>
            </w:r>
            <w:r w:rsidR="00F05EE9">
              <w:rPr>
                <w:bCs/>
                <w:sz w:val="24"/>
                <w:szCs w:val="24"/>
                <w:lang w:val="ro-MD"/>
              </w:rPr>
              <w:t>a</w:t>
            </w:r>
            <w:r w:rsidR="00097420" w:rsidRPr="00097420">
              <w:rPr>
                <w:bCs/>
                <w:sz w:val="24"/>
                <w:szCs w:val="24"/>
                <w:lang w:val="ro-MD"/>
              </w:rPr>
              <w:t xml:space="preserve">mna, prin urmare, </w:t>
            </w:r>
            <w:r w:rsidR="00490E8E">
              <w:rPr>
                <w:bCs/>
                <w:sz w:val="24"/>
                <w:szCs w:val="24"/>
                <w:lang w:val="ro-MD"/>
              </w:rPr>
              <w:t xml:space="preserve">de a </w:t>
            </w:r>
            <w:r w:rsidR="00490E8E" w:rsidRPr="00F8089F">
              <w:rPr>
                <w:bCs/>
                <w:sz w:val="24"/>
                <w:szCs w:val="24"/>
                <w:lang w:val="ro-MD"/>
              </w:rPr>
              <w:t>lăsa lucrurile aşa cum sunt</w:t>
            </w:r>
            <w:r w:rsidR="00CD59B4">
              <w:rPr>
                <w:bCs/>
                <w:sz w:val="24"/>
                <w:szCs w:val="24"/>
                <w:lang w:val="ro-MD"/>
              </w:rPr>
              <w:t xml:space="preserve">, </w:t>
            </w:r>
            <w:r w:rsidR="00970CFF">
              <w:rPr>
                <w:bCs/>
                <w:sz w:val="24"/>
                <w:szCs w:val="24"/>
                <w:lang w:val="ro-MD"/>
              </w:rPr>
              <w:t xml:space="preserve">fără </w:t>
            </w:r>
            <w:r w:rsidR="00CD59B4">
              <w:rPr>
                <w:bCs/>
                <w:sz w:val="24"/>
                <w:szCs w:val="24"/>
                <w:lang w:val="ro-MD"/>
              </w:rPr>
              <w:t xml:space="preserve">care </w:t>
            </w:r>
            <w:r w:rsidR="00384E93">
              <w:rPr>
                <w:bCs/>
                <w:sz w:val="24"/>
                <w:szCs w:val="24"/>
                <w:lang w:val="ro-MD"/>
              </w:rPr>
              <w:t xml:space="preserve">problemele </w:t>
            </w:r>
            <w:r w:rsidR="00CD59B4">
              <w:rPr>
                <w:bCs/>
                <w:sz w:val="24"/>
                <w:szCs w:val="24"/>
                <w:lang w:val="ro-MD"/>
              </w:rPr>
              <w:t>pe parcurs pot evolua</w:t>
            </w:r>
            <w:r w:rsidR="00701B66">
              <w:t xml:space="preserve"> </w:t>
            </w:r>
            <w:r w:rsidR="00701B66" w:rsidRPr="00701B66">
              <w:rPr>
                <w:bCs/>
                <w:sz w:val="24"/>
                <w:szCs w:val="24"/>
                <w:lang w:val="ro-MD"/>
              </w:rPr>
              <w:t>și crea contradicții în aplicare</w:t>
            </w:r>
            <w:r w:rsidR="00CD2202">
              <w:rPr>
                <w:bCs/>
                <w:sz w:val="24"/>
                <w:szCs w:val="24"/>
                <w:lang w:val="ro-MD"/>
              </w:rPr>
              <w:t>, precum și</w:t>
            </w:r>
            <w:r w:rsidR="00066D6F">
              <w:rPr>
                <w:bCs/>
                <w:sz w:val="24"/>
                <w:szCs w:val="24"/>
                <w:lang w:val="ro-MD"/>
              </w:rPr>
              <w:t xml:space="preserve"> păstra</w:t>
            </w:r>
            <w:r w:rsidR="00CD2202">
              <w:rPr>
                <w:bCs/>
                <w:sz w:val="24"/>
                <w:szCs w:val="24"/>
                <w:lang w:val="ro-MD"/>
              </w:rPr>
              <w:t xml:space="preserve"> </w:t>
            </w:r>
            <w:r w:rsidR="0028481C" w:rsidRPr="0028481C">
              <w:rPr>
                <w:bCs/>
                <w:sz w:val="24"/>
                <w:szCs w:val="24"/>
                <w:lang w:val="ro-MD"/>
              </w:rPr>
              <w:t>gestionarea ,,defectuoasă”</w:t>
            </w:r>
            <w:r w:rsidR="00CD2202">
              <w:rPr>
                <w:bCs/>
                <w:sz w:val="24"/>
                <w:szCs w:val="24"/>
                <w:lang w:val="ro-MD"/>
              </w:rPr>
              <w:t xml:space="preserve"> în continuarea și</w:t>
            </w:r>
            <w:r w:rsidR="0028481C" w:rsidRPr="0028481C">
              <w:rPr>
                <w:bCs/>
                <w:sz w:val="24"/>
                <w:szCs w:val="24"/>
                <w:lang w:val="ro-MD"/>
              </w:rPr>
              <w:t xml:space="preserve"> </w:t>
            </w:r>
            <w:r w:rsidR="00066D6F">
              <w:rPr>
                <w:bCs/>
                <w:sz w:val="24"/>
                <w:szCs w:val="24"/>
                <w:lang w:val="ro-MD"/>
              </w:rPr>
              <w:t xml:space="preserve">inclusiv </w:t>
            </w:r>
            <w:r w:rsidR="0028481C" w:rsidRPr="0028481C">
              <w:rPr>
                <w:bCs/>
                <w:sz w:val="24"/>
                <w:szCs w:val="24"/>
                <w:lang w:val="ro-MD"/>
              </w:rPr>
              <w:t>manifestată prin lipsa supravegherii și controlului din partea M</w:t>
            </w:r>
            <w:r w:rsidR="00C64F1C">
              <w:rPr>
                <w:bCs/>
                <w:sz w:val="24"/>
                <w:szCs w:val="24"/>
                <w:lang w:val="ro-MD"/>
              </w:rPr>
              <w:t>inisterului Infrastructurii și Dezvoltării Regionale și a al Serviciului fiscal de stat</w:t>
            </w:r>
            <w:r w:rsidR="009A7A6D">
              <w:rPr>
                <w:bCs/>
                <w:sz w:val="24"/>
                <w:szCs w:val="24"/>
                <w:lang w:val="ro-MD"/>
              </w:rPr>
              <w:t xml:space="preserve"> a modului de </w:t>
            </w:r>
            <w:r w:rsidR="00D70876">
              <w:rPr>
                <w:bCs/>
                <w:sz w:val="24"/>
                <w:szCs w:val="24"/>
                <w:lang w:val="ro-MD"/>
              </w:rPr>
              <w:t xml:space="preserve">calculare și </w:t>
            </w:r>
            <w:r w:rsidR="009A7A6D">
              <w:rPr>
                <w:bCs/>
                <w:sz w:val="24"/>
                <w:szCs w:val="24"/>
                <w:lang w:val="ro-MD"/>
              </w:rPr>
              <w:t xml:space="preserve">virare a defalcărilor stabilite </w:t>
            </w:r>
            <w:r w:rsidR="004B1182">
              <w:rPr>
                <w:bCs/>
                <w:sz w:val="24"/>
                <w:szCs w:val="24"/>
                <w:lang w:val="ro-MD"/>
              </w:rPr>
              <w:t xml:space="preserve">în art.37 </w:t>
            </w:r>
            <w:r w:rsidR="009A7A6D">
              <w:rPr>
                <w:bCs/>
                <w:sz w:val="24"/>
                <w:szCs w:val="24"/>
                <w:lang w:val="ro-MD"/>
              </w:rPr>
              <w:t xml:space="preserve">de </w:t>
            </w:r>
            <w:r w:rsidR="004B1182">
              <w:rPr>
                <w:bCs/>
                <w:sz w:val="24"/>
                <w:szCs w:val="24"/>
                <w:lang w:val="ro-MD"/>
              </w:rPr>
              <w:t>L</w:t>
            </w:r>
            <w:r w:rsidR="009A7A6D">
              <w:rPr>
                <w:bCs/>
                <w:sz w:val="24"/>
                <w:szCs w:val="24"/>
                <w:lang w:val="ro-MD"/>
              </w:rPr>
              <w:t>ege</w:t>
            </w:r>
            <w:r w:rsidR="004B1182">
              <w:rPr>
                <w:bCs/>
                <w:sz w:val="24"/>
                <w:szCs w:val="24"/>
                <w:lang w:val="ro-MD"/>
              </w:rPr>
              <w:t>a nr.721/1996 privind calitatea în construcții și din data de 30.01.2025  de Codul urbanismului și construcțiilor nr.434/2023</w:t>
            </w:r>
            <w:r w:rsidR="00CD2202">
              <w:rPr>
                <w:bCs/>
                <w:sz w:val="24"/>
                <w:szCs w:val="24"/>
                <w:lang w:val="ro-MD"/>
              </w:rPr>
              <w:t>.</w:t>
            </w:r>
          </w:p>
        </w:tc>
      </w:tr>
      <w:tr w:rsidR="00D441CA" w:rsidRPr="00207783" w14:paraId="2A48F2E3" w14:textId="77777777" w:rsidTr="00772AD3">
        <w:tc>
          <w:tcPr>
            <w:tcW w:w="5000" w:type="pct"/>
            <w:gridSpan w:val="5"/>
            <w:hideMark/>
          </w:tcPr>
          <w:p w14:paraId="39707518" w14:textId="77777777" w:rsidR="00D441CA" w:rsidRPr="00207783" w:rsidRDefault="00D441CA" w:rsidP="00D441CA">
            <w:pPr>
              <w:ind w:firstLine="567"/>
              <w:rPr>
                <w:sz w:val="24"/>
                <w:szCs w:val="24"/>
                <w:lang w:val="ro-MD"/>
              </w:rPr>
            </w:pPr>
            <w:r w:rsidRPr="00207783">
              <w:rPr>
                <w:bCs/>
                <w:i/>
                <w:sz w:val="24"/>
                <w:szCs w:val="24"/>
                <w:lang w:val="ro-MD"/>
              </w:rPr>
              <w:t>b) Expuneți</w:t>
            </w:r>
            <w:r w:rsidRPr="00207783">
              <w:rPr>
                <w:i/>
                <w:sz w:val="24"/>
                <w:szCs w:val="24"/>
                <w:lang w:val="ro-MD"/>
              </w:rPr>
              <w:t xml:space="preserve"> principalele prevederi ale proiectului, cu impact, explicând cum acestea țintesc cauzele problemei, cu indicarea novațiilor și întregului spectru de soluţii/drepturi/obligaţii ce se doresc să fie aprobate</w:t>
            </w:r>
          </w:p>
        </w:tc>
      </w:tr>
      <w:tr w:rsidR="00C16C9F" w:rsidRPr="00207783" w14:paraId="3C95089C" w14:textId="77777777" w:rsidTr="00772AD3">
        <w:tc>
          <w:tcPr>
            <w:tcW w:w="5000" w:type="pct"/>
            <w:gridSpan w:val="5"/>
          </w:tcPr>
          <w:p w14:paraId="0AD37CB9" w14:textId="47E8493D" w:rsidR="00651EA2" w:rsidRPr="00C7195E" w:rsidRDefault="00314CBE" w:rsidP="007F700C">
            <w:pPr>
              <w:spacing w:before="80" w:line="276" w:lineRule="auto"/>
              <w:ind w:firstLine="454"/>
              <w:rPr>
                <w:sz w:val="24"/>
                <w:szCs w:val="24"/>
                <w:highlight w:val="yellow"/>
                <w:lang w:val="ro-MD"/>
              </w:rPr>
            </w:pPr>
            <w:r w:rsidRPr="00314CBE">
              <w:rPr>
                <w:sz w:val="24"/>
                <w:szCs w:val="24"/>
                <w:lang w:val="ro-MD"/>
              </w:rPr>
              <w:t xml:space="preserve">Opțiunea recomandată derivă din principalele prevederi ale proiectului de </w:t>
            </w:r>
            <w:r>
              <w:rPr>
                <w:sz w:val="24"/>
                <w:szCs w:val="24"/>
                <w:lang w:val="ro-MD"/>
              </w:rPr>
              <w:t>lege</w:t>
            </w:r>
            <w:r w:rsidRPr="00314CBE">
              <w:rPr>
                <w:sz w:val="24"/>
                <w:szCs w:val="24"/>
                <w:lang w:val="ro-MD"/>
              </w:rPr>
              <w:t>, care vizează</w:t>
            </w:r>
            <w:r w:rsidR="00C7195E">
              <w:rPr>
                <w:sz w:val="24"/>
                <w:szCs w:val="24"/>
                <w:lang w:val="ro-MD"/>
              </w:rPr>
              <w:t xml:space="preserve"> c</w:t>
            </w:r>
            <w:r w:rsidR="004532E4" w:rsidRPr="00C7195E">
              <w:rPr>
                <w:sz w:val="24"/>
                <w:szCs w:val="24"/>
                <w:lang w:val="ro-MD"/>
              </w:rPr>
              <w:t>rearea Fondului național pentru dezvoltarea sistemului de documente normative în construcții</w:t>
            </w:r>
            <w:r w:rsidR="008B6501" w:rsidRPr="00C7195E">
              <w:rPr>
                <w:sz w:val="24"/>
                <w:szCs w:val="24"/>
                <w:lang w:val="ro-MD"/>
              </w:rPr>
              <w:t xml:space="preserve"> (FNDSDNC)</w:t>
            </w:r>
            <w:r w:rsidR="004532E4" w:rsidRPr="00C7195E">
              <w:rPr>
                <w:sz w:val="24"/>
                <w:szCs w:val="24"/>
                <w:lang w:val="ro-MD"/>
              </w:rPr>
              <w:t xml:space="preserve">, pentru </w:t>
            </w:r>
            <w:r w:rsidR="00C00627" w:rsidRPr="00C7195E">
              <w:rPr>
                <w:sz w:val="24"/>
                <w:szCs w:val="24"/>
                <w:lang w:val="ro-MD"/>
              </w:rPr>
              <w:t xml:space="preserve">asigurarea unei </w:t>
            </w:r>
            <w:r w:rsidR="00DE56E1" w:rsidRPr="00C7195E">
              <w:rPr>
                <w:sz w:val="24"/>
                <w:szCs w:val="24"/>
                <w:lang w:val="ro-MD"/>
              </w:rPr>
              <w:t xml:space="preserve">bune </w:t>
            </w:r>
            <w:r w:rsidR="00C00627" w:rsidRPr="00C7195E">
              <w:rPr>
                <w:sz w:val="24"/>
                <w:szCs w:val="24"/>
                <w:lang w:val="ro-MD"/>
              </w:rPr>
              <w:t>organizări a modului de gestionare eficientă a surselor alocate de bugetul de stat pentru dezvoltarea bazei normative în construcții</w:t>
            </w:r>
            <w:r w:rsidR="001F0ED1" w:rsidRPr="00C7195E">
              <w:rPr>
                <w:sz w:val="24"/>
                <w:szCs w:val="24"/>
                <w:lang w:val="ro-MD"/>
              </w:rPr>
              <w:t>, și</w:t>
            </w:r>
            <w:r w:rsidR="00C7195E" w:rsidRPr="00C7195E">
              <w:rPr>
                <w:sz w:val="24"/>
                <w:szCs w:val="24"/>
                <w:lang w:val="ro-MD"/>
              </w:rPr>
              <w:t xml:space="preserve"> a</w:t>
            </w:r>
            <w:r w:rsidR="0054205C" w:rsidRPr="00C7195E">
              <w:rPr>
                <w:sz w:val="24"/>
                <w:szCs w:val="24"/>
                <w:lang w:val="ro-MD"/>
              </w:rPr>
              <w:t>justa</w:t>
            </w:r>
            <w:r w:rsidR="00C7195E" w:rsidRPr="00C7195E">
              <w:rPr>
                <w:sz w:val="24"/>
                <w:szCs w:val="24"/>
                <w:lang w:val="ro-MD"/>
              </w:rPr>
              <w:t>rea responsabilităților</w:t>
            </w:r>
            <w:r w:rsidR="0054205C" w:rsidRPr="00C7195E">
              <w:rPr>
                <w:sz w:val="24"/>
                <w:szCs w:val="24"/>
                <w:lang w:val="ro-MD"/>
              </w:rPr>
              <w:t xml:space="preserve"> instituțiilor responsabile de domeniu, precum organului central de specialitate al administraţiei publice în domeniul </w:t>
            </w:r>
            <w:r w:rsidR="0054205C" w:rsidRPr="00C7195E">
              <w:rPr>
                <w:sz w:val="24"/>
                <w:szCs w:val="24"/>
                <w:lang w:val="ro-MD"/>
              </w:rPr>
              <w:lastRenderedPageBreak/>
              <w:t>construcțiilor</w:t>
            </w:r>
            <w:r w:rsidR="00C7195E" w:rsidRPr="00C7195E">
              <w:rPr>
                <w:sz w:val="24"/>
                <w:szCs w:val="24"/>
                <w:lang w:val="ro-MD"/>
              </w:rPr>
              <w:t>, a</w:t>
            </w:r>
            <w:r w:rsidR="00B95C02" w:rsidRPr="00C7195E">
              <w:rPr>
                <w:sz w:val="24"/>
                <w:szCs w:val="24"/>
                <w:lang w:val="ro-MD"/>
              </w:rPr>
              <w:t xml:space="preserve"> </w:t>
            </w:r>
            <w:r w:rsidR="00C7195E" w:rsidRPr="00C7195E">
              <w:rPr>
                <w:sz w:val="24"/>
                <w:szCs w:val="24"/>
                <w:lang w:val="ro-MD"/>
              </w:rPr>
              <w:t>organului central de specialitate al administraţiei publice în domeniul finanțelor și a serviciului Fiscal de Stat.</w:t>
            </w:r>
          </w:p>
          <w:p w14:paraId="5C001494" w14:textId="5438713A" w:rsidR="00FF403A" w:rsidRPr="00FF403A" w:rsidRDefault="00FF403A" w:rsidP="007F700C">
            <w:pPr>
              <w:spacing w:before="80" w:line="276" w:lineRule="auto"/>
              <w:ind w:firstLine="454"/>
              <w:rPr>
                <w:sz w:val="24"/>
                <w:szCs w:val="24"/>
                <w:lang w:val="ro-MD"/>
              </w:rPr>
            </w:pPr>
            <w:r>
              <w:rPr>
                <w:sz w:val="24"/>
                <w:szCs w:val="24"/>
                <w:lang w:val="ro-MD"/>
              </w:rPr>
              <w:t xml:space="preserve">Proiectul de lege </w:t>
            </w:r>
            <w:r w:rsidRPr="00FF403A">
              <w:rPr>
                <w:sz w:val="24"/>
                <w:szCs w:val="24"/>
                <w:lang w:val="ro-MD"/>
              </w:rPr>
              <w:t xml:space="preserve">este structurat în </w:t>
            </w:r>
            <w:r w:rsidR="005304E9">
              <w:rPr>
                <w:sz w:val="24"/>
                <w:szCs w:val="24"/>
                <w:lang w:val="ro-MD"/>
              </w:rPr>
              <w:t>15</w:t>
            </w:r>
            <w:r w:rsidRPr="00FF403A">
              <w:rPr>
                <w:sz w:val="24"/>
                <w:szCs w:val="24"/>
                <w:lang w:val="ro-MD"/>
              </w:rPr>
              <w:t xml:space="preserve"> </w:t>
            </w:r>
            <w:r w:rsidR="005304E9">
              <w:rPr>
                <w:sz w:val="24"/>
                <w:szCs w:val="24"/>
                <w:lang w:val="ro-MD"/>
              </w:rPr>
              <w:t>articole</w:t>
            </w:r>
            <w:r w:rsidRPr="00FF403A">
              <w:rPr>
                <w:sz w:val="24"/>
                <w:szCs w:val="24"/>
                <w:lang w:val="ro-MD"/>
              </w:rPr>
              <w:t>, după cum urmează:</w:t>
            </w:r>
          </w:p>
          <w:p w14:paraId="0A225B58" w14:textId="0D2DE8C3" w:rsidR="00FF403A" w:rsidRDefault="006F5C0B" w:rsidP="007F700C">
            <w:pPr>
              <w:pStyle w:val="ListParagraph"/>
              <w:numPr>
                <w:ilvl w:val="0"/>
                <w:numId w:val="12"/>
              </w:numPr>
              <w:spacing w:before="80" w:line="276" w:lineRule="auto"/>
              <w:ind w:left="0" w:firstLine="454"/>
              <w:contextualSpacing w:val="0"/>
              <w:jc w:val="both"/>
              <w:rPr>
                <w:lang w:val="ro-MD"/>
              </w:rPr>
            </w:pPr>
            <w:r w:rsidRPr="00C942B3">
              <w:rPr>
                <w:lang w:val="ro-MD"/>
              </w:rPr>
              <w:t>Articolul 1</w:t>
            </w:r>
            <w:r w:rsidR="00C942B3">
              <w:rPr>
                <w:lang w:val="ro-MD"/>
              </w:rPr>
              <w:t>.</w:t>
            </w:r>
            <w:r w:rsidR="00FF403A" w:rsidRPr="00C942B3">
              <w:rPr>
                <w:lang w:val="ro-MD"/>
              </w:rPr>
              <w:t xml:space="preserve"> </w:t>
            </w:r>
            <w:r w:rsidR="005304E9" w:rsidRPr="00C942B3">
              <w:rPr>
                <w:lang w:val="ro-MD"/>
              </w:rPr>
              <w:t>Obiectul de reglementare</w:t>
            </w:r>
            <w:r w:rsidR="00FF403A" w:rsidRPr="00C942B3">
              <w:rPr>
                <w:lang w:val="ro-MD"/>
              </w:rPr>
              <w:t xml:space="preserve">, </w:t>
            </w:r>
            <w:r w:rsidR="007B221D" w:rsidRPr="00C942B3">
              <w:rPr>
                <w:lang w:val="ro-MD"/>
              </w:rPr>
              <w:t xml:space="preserve">care constă în </w:t>
            </w:r>
            <w:r w:rsidR="00FC64BC" w:rsidRPr="00C942B3">
              <w:rPr>
                <w:lang w:val="ro-MD"/>
              </w:rPr>
              <w:t>stabilirea principiilor generale de constituire, organizare, finanțare și funcționare a Fondului național pentru dezvoltarea sistemului de documente normative în construcții;</w:t>
            </w:r>
          </w:p>
          <w:p w14:paraId="6A3CA0F4" w14:textId="49976C16" w:rsidR="00801E77" w:rsidRDefault="00801E77" w:rsidP="007F700C">
            <w:pPr>
              <w:pStyle w:val="ListParagraph"/>
              <w:numPr>
                <w:ilvl w:val="0"/>
                <w:numId w:val="12"/>
              </w:numPr>
              <w:spacing w:before="80" w:line="276" w:lineRule="auto"/>
              <w:ind w:left="0" w:firstLine="454"/>
              <w:contextualSpacing w:val="0"/>
              <w:jc w:val="both"/>
              <w:rPr>
                <w:lang w:val="ro-MD"/>
              </w:rPr>
            </w:pPr>
            <w:r>
              <w:rPr>
                <w:lang w:val="ro-MD"/>
              </w:rPr>
              <w:t>Articolul 2. Noțiuni principale,</w:t>
            </w:r>
            <w:r w:rsidR="0047694A">
              <w:rPr>
                <w:lang w:val="ro-MD"/>
              </w:rPr>
              <w:t xml:space="preserve"> care include unele noțiuni </w:t>
            </w:r>
            <w:r w:rsidR="00F9257C">
              <w:rPr>
                <w:lang w:val="ro-MD"/>
              </w:rPr>
              <w:t xml:space="preserve">principale </w:t>
            </w:r>
            <w:r w:rsidR="0047694A">
              <w:rPr>
                <w:lang w:val="ro-MD"/>
              </w:rPr>
              <w:t>care nu sunt prevăzute în Codul urbanismului și construcțiilor;</w:t>
            </w:r>
          </w:p>
          <w:p w14:paraId="70C72EB7" w14:textId="53E50D50" w:rsidR="00C738EB" w:rsidRDefault="0019362A" w:rsidP="007F700C">
            <w:pPr>
              <w:pStyle w:val="ListParagraph"/>
              <w:numPr>
                <w:ilvl w:val="0"/>
                <w:numId w:val="12"/>
              </w:numPr>
              <w:spacing w:before="80" w:line="276" w:lineRule="auto"/>
              <w:ind w:left="0" w:firstLine="454"/>
              <w:contextualSpacing w:val="0"/>
              <w:jc w:val="both"/>
              <w:rPr>
                <w:lang w:val="ro-MD"/>
              </w:rPr>
            </w:pPr>
            <w:r w:rsidRPr="00C738EB">
              <w:rPr>
                <w:lang w:val="ro-MD"/>
              </w:rPr>
              <w:t>Articolul 3. Fondul național pentru dezvoltarea sistemului de documente normative în construcții</w:t>
            </w:r>
            <w:r w:rsidR="000333F5" w:rsidRPr="00C738EB">
              <w:rPr>
                <w:lang w:val="ro-MD"/>
              </w:rPr>
              <w:t>,</w:t>
            </w:r>
            <w:r w:rsidR="00C738EB" w:rsidRPr="00C738EB">
              <w:rPr>
                <w:lang w:val="ro-MD"/>
              </w:rPr>
              <w:t xml:space="preserve"> care stabilește modul de gestionare a mijloacelor financiare acumulate din alocări din bugetul de stat, din surse de asistență externă și din alte surse neinterzise de legislație</w:t>
            </w:r>
            <w:r w:rsidR="00E901EF">
              <w:rPr>
                <w:lang w:val="ro-MD"/>
              </w:rPr>
              <w:t xml:space="preserve">, </w:t>
            </w:r>
            <w:r w:rsidR="00EB63CB">
              <w:rPr>
                <w:lang w:val="ro-MD"/>
              </w:rPr>
              <w:t xml:space="preserve">instituția responsabilă de gestionare a acestora, </w:t>
            </w:r>
            <w:r w:rsidR="00267E3F">
              <w:rPr>
                <w:lang w:val="ro-MD"/>
              </w:rPr>
              <w:t xml:space="preserve">constituirea </w:t>
            </w:r>
            <w:r w:rsidR="00267E3F" w:rsidRPr="00267E3F">
              <w:rPr>
                <w:lang w:val="ro-MD"/>
              </w:rPr>
              <w:t>Consiliul</w:t>
            </w:r>
            <w:r w:rsidR="00267E3F">
              <w:rPr>
                <w:lang w:val="ro-MD"/>
              </w:rPr>
              <w:t>ui</w:t>
            </w:r>
            <w:r w:rsidR="00267E3F" w:rsidRPr="00267E3F">
              <w:rPr>
                <w:lang w:val="ro-MD"/>
              </w:rPr>
              <w:t xml:space="preserve"> Național de Coordonare a Fondului</w:t>
            </w:r>
            <w:r w:rsidR="001B5DA1">
              <w:t xml:space="preserve"> </w:t>
            </w:r>
            <w:r w:rsidR="001B5DA1" w:rsidRPr="001B5DA1">
              <w:rPr>
                <w:lang w:val="ro-MD"/>
              </w:rPr>
              <w:t>pentru aprobarea, monitorizarea gestionării mijloacelor alocate Fondului, promovarea și coordonarea obiectivelor de dezvoltare a SDNC</w:t>
            </w:r>
            <w:r w:rsidR="00E83EA0">
              <w:rPr>
                <w:lang w:val="ro-MD"/>
              </w:rPr>
              <w:t>, finanțarea angajamentelor multianuale, etc.;</w:t>
            </w:r>
          </w:p>
          <w:p w14:paraId="153C923A" w14:textId="3B4D2B79" w:rsidR="00E83EA0" w:rsidRPr="00C738EB" w:rsidRDefault="00631738" w:rsidP="007F700C">
            <w:pPr>
              <w:pStyle w:val="ListParagraph"/>
              <w:numPr>
                <w:ilvl w:val="0"/>
                <w:numId w:val="12"/>
              </w:numPr>
              <w:spacing w:before="80" w:line="276" w:lineRule="auto"/>
              <w:ind w:left="0" w:firstLine="454"/>
              <w:contextualSpacing w:val="0"/>
              <w:jc w:val="both"/>
              <w:rPr>
                <w:lang w:val="ro-MD"/>
              </w:rPr>
            </w:pPr>
            <w:r w:rsidRPr="00631738">
              <w:rPr>
                <w:lang w:val="ro-MD"/>
              </w:rPr>
              <w:t>Articolul 4. Destinația Fondului</w:t>
            </w:r>
            <w:r w:rsidR="00A6194D">
              <w:rPr>
                <w:lang w:val="ro-MD"/>
              </w:rPr>
              <w:t xml:space="preserve">, care stabilește </w:t>
            </w:r>
            <w:r w:rsidR="00254C59">
              <w:rPr>
                <w:lang w:val="ro-MD"/>
              </w:rPr>
              <w:t xml:space="preserve">detaliat </w:t>
            </w:r>
            <w:r w:rsidR="00772FC2">
              <w:rPr>
                <w:lang w:val="ro-MD"/>
              </w:rPr>
              <w:t>lucrările pentru dezvoltarea SDNC, pentru care vor fi utilizate sursele financiale ale Fondului;</w:t>
            </w:r>
          </w:p>
          <w:p w14:paraId="509740E4" w14:textId="5538A2E5" w:rsidR="00AF46D6" w:rsidRDefault="00274F1E" w:rsidP="007F700C">
            <w:pPr>
              <w:pStyle w:val="ListParagraph"/>
              <w:numPr>
                <w:ilvl w:val="0"/>
                <w:numId w:val="12"/>
              </w:numPr>
              <w:spacing w:before="80" w:line="276" w:lineRule="auto"/>
              <w:ind w:left="0" w:firstLine="454"/>
              <w:contextualSpacing w:val="0"/>
              <w:jc w:val="both"/>
              <w:rPr>
                <w:lang w:val="ro-MD"/>
              </w:rPr>
            </w:pPr>
            <w:r w:rsidRPr="00AF46D6">
              <w:rPr>
                <w:lang w:val="ro-MD"/>
              </w:rPr>
              <w:t xml:space="preserve">Articolul 5. Principiile generale de alocare a mijloacelor din Fond, care </w:t>
            </w:r>
            <w:r w:rsidR="00AF46D6">
              <w:rPr>
                <w:lang w:val="ro-MD"/>
              </w:rPr>
              <w:t>stabilește că a</w:t>
            </w:r>
            <w:r w:rsidR="00AF46D6" w:rsidRPr="00AF46D6">
              <w:rPr>
                <w:lang w:val="ro-MD"/>
              </w:rPr>
              <w:t xml:space="preserve">locarea mijloacelor din Fond se </w:t>
            </w:r>
            <w:r w:rsidR="00AF46D6">
              <w:rPr>
                <w:lang w:val="ro-MD"/>
              </w:rPr>
              <w:t xml:space="preserve">va </w:t>
            </w:r>
            <w:r w:rsidR="00AF46D6" w:rsidRPr="00AF46D6">
              <w:rPr>
                <w:lang w:val="ro-MD"/>
              </w:rPr>
              <w:t>realiz</w:t>
            </w:r>
            <w:r w:rsidR="00AF46D6">
              <w:rPr>
                <w:lang w:val="ro-MD"/>
              </w:rPr>
              <w:t>a</w:t>
            </w:r>
            <w:r w:rsidR="00AF46D6" w:rsidRPr="00AF46D6">
              <w:rPr>
                <w:lang w:val="ro-MD"/>
              </w:rPr>
              <w:t xml:space="preserve"> în baza principii</w:t>
            </w:r>
            <w:r w:rsidR="00AF46D6">
              <w:rPr>
                <w:lang w:val="ro-MD"/>
              </w:rPr>
              <w:t>lor</w:t>
            </w:r>
            <w:r w:rsidR="00AF46D6" w:rsidRPr="00AF46D6">
              <w:rPr>
                <w:lang w:val="ro-MD"/>
              </w:rPr>
              <w:t xml:space="preserve"> de bază</w:t>
            </w:r>
            <w:r w:rsidR="00AF46D6">
              <w:rPr>
                <w:lang w:val="ro-MD"/>
              </w:rPr>
              <w:t xml:space="preserve"> și anume </w:t>
            </w:r>
            <w:r w:rsidR="0046463F">
              <w:rPr>
                <w:lang w:val="ro-MD"/>
              </w:rPr>
              <w:t xml:space="preserve">pe principiul eficienței, </w:t>
            </w:r>
            <w:r w:rsidR="0046463F" w:rsidRPr="0046463F">
              <w:rPr>
                <w:lang w:val="ro-MD"/>
              </w:rPr>
              <w:t>echit</w:t>
            </w:r>
            <w:r w:rsidR="006F286F">
              <w:rPr>
                <w:lang w:val="ro-MD"/>
              </w:rPr>
              <w:t>ă</w:t>
            </w:r>
            <w:r w:rsidR="0046463F">
              <w:rPr>
                <w:lang w:val="ro-MD"/>
              </w:rPr>
              <w:t>ții</w:t>
            </w:r>
            <w:r w:rsidR="0046463F" w:rsidRPr="0046463F">
              <w:rPr>
                <w:lang w:val="ro-MD"/>
              </w:rPr>
              <w:t xml:space="preserve"> și liber</w:t>
            </w:r>
            <w:r w:rsidR="0046463F">
              <w:rPr>
                <w:lang w:val="ro-MD"/>
              </w:rPr>
              <w:t>ei</w:t>
            </w:r>
            <w:r w:rsidR="0046463F" w:rsidRPr="0046463F">
              <w:rPr>
                <w:lang w:val="ro-MD"/>
              </w:rPr>
              <w:t xml:space="preserve"> concurenț</w:t>
            </w:r>
            <w:r w:rsidR="0046463F">
              <w:rPr>
                <w:lang w:val="ro-MD"/>
              </w:rPr>
              <w:t xml:space="preserve">e, </w:t>
            </w:r>
            <w:r w:rsidR="006F286F">
              <w:rPr>
                <w:lang w:val="ro-MD"/>
              </w:rPr>
              <w:t xml:space="preserve">durabilității, </w:t>
            </w:r>
            <w:r w:rsidR="0082337C">
              <w:rPr>
                <w:lang w:val="ro-MD"/>
              </w:rPr>
              <w:t xml:space="preserve">planificării, coordonări cât </w:t>
            </w:r>
            <w:r w:rsidR="00CA6EF4">
              <w:rPr>
                <w:lang w:val="ro-MD"/>
              </w:rPr>
              <w:t>la nivel național</w:t>
            </w:r>
            <w:r w:rsidR="0082337C" w:rsidRPr="0082337C">
              <w:rPr>
                <w:lang w:val="ro-MD"/>
              </w:rPr>
              <w:t xml:space="preserve"> </w:t>
            </w:r>
            <w:r w:rsidR="00FF7CCB">
              <w:rPr>
                <w:lang w:val="ro-MD"/>
              </w:rPr>
              <w:t xml:space="preserve">așa </w:t>
            </w:r>
            <w:r w:rsidR="0082337C" w:rsidRPr="0082337C">
              <w:rPr>
                <w:lang w:val="ro-MD"/>
              </w:rPr>
              <w:t>și la nivel sectorial</w:t>
            </w:r>
            <w:r w:rsidR="00FF7CCB">
              <w:rPr>
                <w:lang w:val="ro-MD"/>
              </w:rPr>
              <w:t xml:space="preserve">, </w:t>
            </w:r>
            <w:r w:rsidR="00CA6EF4">
              <w:rPr>
                <w:lang w:val="ro-MD"/>
              </w:rPr>
              <w:t xml:space="preserve">parteneriat prin </w:t>
            </w:r>
            <w:r w:rsidR="00CA6EF4" w:rsidRPr="00CA6EF4">
              <w:rPr>
                <w:lang w:val="ro-MD"/>
              </w:rPr>
              <w:t>cooperarea autorităților publice centrale cu partenerii sociali (patronatele și sindicatele în construcții și industr</w:t>
            </w:r>
            <w:r w:rsidR="00CA6EF4">
              <w:rPr>
                <w:lang w:val="ro-MD"/>
              </w:rPr>
              <w:t>ia materialelor de construcţii) și</w:t>
            </w:r>
            <w:r w:rsidR="00CA6EF4" w:rsidRPr="00CA6EF4">
              <w:rPr>
                <w:lang w:val="ro-MD"/>
              </w:rPr>
              <w:t xml:space="preserve"> societatea civilă</w:t>
            </w:r>
            <w:r w:rsidR="00CA6EF4">
              <w:rPr>
                <w:lang w:val="ro-MD"/>
              </w:rPr>
              <w:t xml:space="preserve">, </w:t>
            </w:r>
            <w:r w:rsidR="00FD5126">
              <w:rPr>
                <w:lang w:val="ro-MD"/>
              </w:rPr>
              <w:t>transparență;</w:t>
            </w:r>
          </w:p>
          <w:p w14:paraId="78CE0C85" w14:textId="69A0412E" w:rsidR="00FD5126" w:rsidRDefault="0015253C" w:rsidP="007F700C">
            <w:pPr>
              <w:pStyle w:val="ListParagraph"/>
              <w:numPr>
                <w:ilvl w:val="0"/>
                <w:numId w:val="12"/>
              </w:numPr>
              <w:spacing w:before="80" w:line="276" w:lineRule="auto"/>
              <w:ind w:left="0" w:firstLine="454"/>
              <w:contextualSpacing w:val="0"/>
              <w:jc w:val="both"/>
              <w:rPr>
                <w:lang w:val="ro-MD"/>
              </w:rPr>
            </w:pPr>
            <w:r w:rsidRPr="0015253C">
              <w:rPr>
                <w:lang w:val="ro-MD"/>
              </w:rPr>
              <w:t>Articolul 7. Contribuții obligatorii ale beneficiarilor (investitorilor) construcțiilor</w:t>
            </w:r>
            <w:r>
              <w:rPr>
                <w:lang w:val="ro-MD"/>
              </w:rPr>
              <w:t xml:space="preserve">, </w:t>
            </w:r>
            <w:r w:rsidR="00DE4923">
              <w:rPr>
                <w:lang w:val="ro-MD"/>
              </w:rPr>
              <w:t>care prevede modul de virare a defalcărilor;</w:t>
            </w:r>
          </w:p>
          <w:p w14:paraId="7587B9C7" w14:textId="4309A3E2" w:rsidR="00DE4923" w:rsidRDefault="00A52148" w:rsidP="007F700C">
            <w:pPr>
              <w:pStyle w:val="ListParagraph"/>
              <w:numPr>
                <w:ilvl w:val="0"/>
                <w:numId w:val="12"/>
              </w:numPr>
              <w:spacing w:before="80" w:line="276" w:lineRule="auto"/>
              <w:ind w:left="0" w:firstLine="454"/>
              <w:contextualSpacing w:val="0"/>
              <w:jc w:val="both"/>
              <w:rPr>
                <w:lang w:val="ro-MD"/>
              </w:rPr>
            </w:pPr>
            <w:r w:rsidRPr="00A52148">
              <w:rPr>
                <w:lang w:val="ro-MD"/>
              </w:rPr>
              <w:t xml:space="preserve">Articolul 8. </w:t>
            </w:r>
            <w:r w:rsidR="007533B2">
              <w:rPr>
                <w:lang w:val="ro-MD"/>
              </w:rPr>
              <w:t>P</w:t>
            </w:r>
            <w:r w:rsidR="00B30EDA">
              <w:rPr>
                <w:lang w:val="ro-MD"/>
              </w:rPr>
              <w:t>revede c</w:t>
            </w:r>
            <w:r w:rsidRPr="00A52148">
              <w:rPr>
                <w:lang w:val="ro-MD"/>
              </w:rPr>
              <w:t>ontribuții benevole ale persoanelor fizice și juridice, granturile de la organizațiile donatoare internaționale, alte surse neinterzise de legislație</w:t>
            </w:r>
            <w:r>
              <w:rPr>
                <w:lang w:val="ro-MD"/>
              </w:rPr>
              <w:t>;</w:t>
            </w:r>
          </w:p>
          <w:p w14:paraId="1D323BC0" w14:textId="7BBC505B" w:rsidR="00B30EDA" w:rsidRDefault="00AB7955" w:rsidP="007F700C">
            <w:pPr>
              <w:pStyle w:val="ListParagraph"/>
              <w:numPr>
                <w:ilvl w:val="0"/>
                <w:numId w:val="12"/>
              </w:numPr>
              <w:spacing w:before="80" w:line="276" w:lineRule="auto"/>
              <w:ind w:left="0" w:firstLine="454"/>
              <w:contextualSpacing w:val="0"/>
              <w:jc w:val="both"/>
              <w:rPr>
                <w:lang w:val="ro-MD"/>
              </w:rPr>
            </w:pPr>
            <w:r w:rsidRPr="00AB7955">
              <w:rPr>
                <w:lang w:val="ro-MD"/>
              </w:rPr>
              <w:t xml:space="preserve">Articolul 9. </w:t>
            </w:r>
            <w:r w:rsidR="007533B2">
              <w:rPr>
                <w:lang w:val="ro-MD"/>
              </w:rPr>
              <w:t>Prevede a</w:t>
            </w:r>
            <w:r w:rsidRPr="00AB7955">
              <w:rPr>
                <w:lang w:val="ro-MD"/>
              </w:rPr>
              <w:t>tribuțiile Guvernului în procesul de formare, utilizare și gestionare a Fondului</w:t>
            </w:r>
            <w:r>
              <w:rPr>
                <w:lang w:val="ro-MD"/>
              </w:rPr>
              <w:t xml:space="preserve">, </w:t>
            </w:r>
            <w:r w:rsidR="004F7EC6" w:rsidRPr="004F7EC6">
              <w:rPr>
                <w:lang w:val="ro-MD"/>
              </w:rPr>
              <w:t>aprob</w:t>
            </w:r>
            <w:r w:rsidR="007533B2">
              <w:rPr>
                <w:lang w:val="ro-MD"/>
              </w:rPr>
              <w:t xml:space="preserve">area </w:t>
            </w:r>
            <w:r w:rsidR="004F7EC6" w:rsidRPr="004F7EC6">
              <w:rPr>
                <w:lang w:val="ro-MD"/>
              </w:rPr>
              <w:t>modul</w:t>
            </w:r>
            <w:r w:rsidR="007533B2">
              <w:rPr>
                <w:lang w:val="ro-MD"/>
              </w:rPr>
              <w:t>ui</w:t>
            </w:r>
            <w:r w:rsidR="004F7EC6" w:rsidRPr="004F7EC6">
              <w:rPr>
                <w:lang w:val="ro-MD"/>
              </w:rPr>
              <w:t xml:space="preserve"> de formare și utilizare a mijloacelor Fondului</w:t>
            </w:r>
            <w:r w:rsidR="004F7EC6">
              <w:rPr>
                <w:lang w:val="ro-MD"/>
              </w:rPr>
              <w:t xml:space="preserve"> ș.a.;</w:t>
            </w:r>
          </w:p>
          <w:p w14:paraId="00E0A1AE" w14:textId="332610AF" w:rsidR="00A52148" w:rsidRDefault="007533B2" w:rsidP="007F700C">
            <w:pPr>
              <w:pStyle w:val="ListParagraph"/>
              <w:numPr>
                <w:ilvl w:val="0"/>
                <w:numId w:val="12"/>
              </w:numPr>
              <w:spacing w:before="80" w:line="276" w:lineRule="auto"/>
              <w:ind w:left="0" w:firstLine="454"/>
              <w:contextualSpacing w:val="0"/>
              <w:jc w:val="both"/>
              <w:rPr>
                <w:lang w:val="ro-MD"/>
              </w:rPr>
            </w:pPr>
            <w:r w:rsidRPr="007533B2">
              <w:rPr>
                <w:lang w:val="ro-MD"/>
              </w:rPr>
              <w:t>Articolul 10.</w:t>
            </w:r>
            <w:r>
              <w:t xml:space="preserve"> </w:t>
            </w:r>
            <w:r>
              <w:rPr>
                <w:lang w:val="ro-MD"/>
              </w:rPr>
              <w:t>P</w:t>
            </w:r>
            <w:r w:rsidRPr="007533B2">
              <w:rPr>
                <w:lang w:val="ro-MD"/>
              </w:rPr>
              <w:t>revede atribuțiile Atribuțiile Consiliului Național de Coordonare a Fondului</w:t>
            </w:r>
            <w:r w:rsidR="00021080">
              <w:rPr>
                <w:lang w:val="ro-MD"/>
              </w:rPr>
              <w:t>;</w:t>
            </w:r>
          </w:p>
          <w:p w14:paraId="565ACD9C" w14:textId="3B33498B" w:rsidR="00021080" w:rsidRDefault="00021080" w:rsidP="007F700C">
            <w:pPr>
              <w:pStyle w:val="ListParagraph"/>
              <w:numPr>
                <w:ilvl w:val="0"/>
                <w:numId w:val="12"/>
              </w:numPr>
              <w:spacing w:before="80" w:line="276" w:lineRule="auto"/>
              <w:ind w:left="0" w:firstLine="454"/>
              <w:contextualSpacing w:val="0"/>
              <w:jc w:val="both"/>
              <w:rPr>
                <w:lang w:val="ro-MD"/>
              </w:rPr>
            </w:pPr>
            <w:r w:rsidRPr="00021080">
              <w:rPr>
                <w:lang w:val="ro-MD"/>
              </w:rPr>
              <w:t>Articolul 11.</w:t>
            </w:r>
            <w:r>
              <w:rPr>
                <w:lang w:val="ro-MD"/>
              </w:rPr>
              <w:t xml:space="preserve"> Prevede</w:t>
            </w:r>
            <w:r w:rsidRPr="00021080">
              <w:rPr>
                <w:lang w:val="ro-MD"/>
              </w:rPr>
              <w:t xml:space="preserve"> </w:t>
            </w:r>
            <w:r>
              <w:rPr>
                <w:lang w:val="ro-MD"/>
              </w:rPr>
              <w:t>a</w:t>
            </w:r>
            <w:r w:rsidRPr="00021080">
              <w:rPr>
                <w:lang w:val="ro-MD"/>
              </w:rPr>
              <w:t>tribuțiile organului central de specialitate în domeniul construcțiilor</w:t>
            </w:r>
            <w:r>
              <w:rPr>
                <w:lang w:val="ro-MD"/>
              </w:rPr>
              <w:t>;</w:t>
            </w:r>
          </w:p>
          <w:p w14:paraId="39993150" w14:textId="1647E76D" w:rsidR="00021080" w:rsidRPr="007D17FB" w:rsidRDefault="00A67E28" w:rsidP="007F700C">
            <w:pPr>
              <w:pStyle w:val="ListParagraph"/>
              <w:numPr>
                <w:ilvl w:val="0"/>
                <w:numId w:val="12"/>
              </w:numPr>
              <w:spacing w:before="80" w:line="276" w:lineRule="auto"/>
              <w:ind w:left="0" w:firstLine="454"/>
              <w:contextualSpacing w:val="0"/>
              <w:jc w:val="both"/>
              <w:rPr>
                <w:lang w:val="ro-MD"/>
              </w:rPr>
            </w:pPr>
            <w:r w:rsidRPr="007D17FB">
              <w:rPr>
                <w:lang w:val="ro-MD"/>
              </w:rPr>
              <w:t xml:space="preserve">Articolul 12. Prevede </w:t>
            </w:r>
            <w:r w:rsidR="007D17FB" w:rsidRPr="007D17FB">
              <w:rPr>
                <w:lang w:val="ro-MD"/>
              </w:rPr>
              <w:t>implementarea programelor și proiectelor de dezvoltare a SDNC finanțate din mijloacele Fondului se realizează prin o unitate de implementare, creată în cadrul Oficiului amenajarea teritoriului, urbanismului, construcțiilor și locuințelor (OATUCL) de către organul central de specialitate în domeniul construcțiilor</w:t>
            </w:r>
            <w:r w:rsidR="007D17FB">
              <w:rPr>
                <w:lang w:val="ro-MD"/>
              </w:rPr>
              <w:t xml:space="preserve">, precum și modul </w:t>
            </w:r>
            <w:r w:rsidR="007D17FB" w:rsidRPr="007D17FB">
              <w:rPr>
                <w:lang w:val="ro-MD"/>
              </w:rPr>
              <w:t>de organizare și funcționare</w:t>
            </w:r>
            <w:r w:rsidR="007D17FB">
              <w:rPr>
                <w:lang w:val="ro-MD"/>
              </w:rPr>
              <w:t xml:space="preserve"> ale acesteia;</w:t>
            </w:r>
          </w:p>
          <w:p w14:paraId="2C226536" w14:textId="11182DFC" w:rsidR="0047694A" w:rsidRDefault="008D341C" w:rsidP="007F700C">
            <w:pPr>
              <w:pStyle w:val="ListParagraph"/>
              <w:numPr>
                <w:ilvl w:val="0"/>
                <w:numId w:val="12"/>
              </w:numPr>
              <w:spacing w:before="80" w:line="276" w:lineRule="auto"/>
              <w:ind w:left="0" w:firstLine="454"/>
              <w:contextualSpacing w:val="0"/>
              <w:jc w:val="both"/>
              <w:rPr>
                <w:lang w:val="ro-MD"/>
              </w:rPr>
            </w:pPr>
            <w:r w:rsidRPr="008D341C">
              <w:rPr>
                <w:lang w:val="ro-MD"/>
              </w:rPr>
              <w:t xml:space="preserve">Articolul 13. </w:t>
            </w:r>
            <w:r>
              <w:rPr>
                <w:lang w:val="ro-MD"/>
              </w:rPr>
              <w:t>Stabilește entitățile cu atribuții de c</w:t>
            </w:r>
            <w:r w:rsidRPr="008D341C">
              <w:rPr>
                <w:lang w:val="ro-MD"/>
              </w:rPr>
              <w:t>ontrol și responsabilități</w:t>
            </w:r>
            <w:r w:rsidR="00376CB1">
              <w:rPr>
                <w:lang w:val="ro-MD"/>
              </w:rPr>
              <w:t>le acestora;</w:t>
            </w:r>
          </w:p>
          <w:p w14:paraId="1B9203A5" w14:textId="1A5174A9" w:rsidR="00476016" w:rsidRDefault="007D2C6A" w:rsidP="007F700C">
            <w:pPr>
              <w:pStyle w:val="ListParagraph"/>
              <w:numPr>
                <w:ilvl w:val="0"/>
                <w:numId w:val="12"/>
              </w:numPr>
              <w:spacing w:before="80" w:line="276" w:lineRule="auto"/>
              <w:ind w:left="0" w:firstLine="454"/>
              <w:contextualSpacing w:val="0"/>
              <w:jc w:val="both"/>
              <w:rPr>
                <w:lang w:val="ro-MD"/>
              </w:rPr>
            </w:pPr>
            <w:r w:rsidRPr="00476016">
              <w:rPr>
                <w:lang w:val="ro-MD"/>
              </w:rPr>
              <w:t>Articolul 14.</w:t>
            </w:r>
            <w:r w:rsidRPr="00476016">
              <w:rPr>
                <w:lang w:val="ro-MD"/>
              </w:rPr>
              <w:tab/>
            </w:r>
            <w:r w:rsidR="00476016">
              <w:rPr>
                <w:lang w:val="ro-MD"/>
              </w:rPr>
              <w:t>P</w:t>
            </w:r>
            <w:r w:rsidR="00476016" w:rsidRPr="00476016">
              <w:rPr>
                <w:lang w:val="ro-MD"/>
              </w:rPr>
              <w:t xml:space="preserve">entru asigurarea transparenței procesului de dezvoltare a SDNC </w:t>
            </w:r>
            <w:r w:rsidR="00476016">
              <w:rPr>
                <w:lang w:val="ro-MD"/>
              </w:rPr>
              <w:t xml:space="preserve">prevede instituirea </w:t>
            </w:r>
            <w:r w:rsidR="00476016" w:rsidRPr="00476016">
              <w:rPr>
                <w:lang w:val="ro-MD"/>
              </w:rPr>
              <w:t>resurs</w:t>
            </w:r>
            <w:r w:rsidR="00476016">
              <w:rPr>
                <w:lang w:val="ro-MD"/>
              </w:rPr>
              <w:t>ei</w:t>
            </w:r>
            <w:r w:rsidR="00476016" w:rsidRPr="00476016">
              <w:rPr>
                <w:lang w:val="ro-MD"/>
              </w:rPr>
              <w:t xml:space="preserve"> informațional</w:t>
            </w:r>
            <w:r w:rsidR="00476016">
              <w:rPr>
                <w:lang w:val="ro-MD"/>
              </w:rPr>
              <w:t>e</w:t>
            </w:r>
            <w:r w:rsidR="00476016" w:rsidRPr="00476016">
              <w:rPr>
                <w:lang w:val="ro-MD"/>
              </w:rPr>
              <w:t xml:space="preserve"> automatizat</w:t>
            </w:r>
            <w:r w:rsidR="00476016">
              <w:rPr>
                <w:lang w:val="ro-MD"/>
              </w:rPr>
              <w:t xml:space="preserve">e: </w:t>
            </w:r>
            <w:r w:rsidR="00476016" w:rsidRPr="00476016">
              <w:rPr>
                <w:lang w:val="ro-MD"/>
              </w:rPr>
              <w:t>Sistemul informațional „Portalul documentelor normative în construcții” (</w:t>
            </w:r>
            <w:r w:rsidR="00476016">
              <w:rPr>
                <w:lang w:val="ro-MD"/>
              </w:rPr>
              <w:t>eDNC);</w:t>
            </w:r>
          </w:p>
          <w:p w14:paraId="41F54219" w14:textId="7C6E2D9F" w:rsidR="00476016" w:rsidRPr="00476016" w:rsidRDefault="00DD1D38" w:rsidP="007F700C">
            <w:pPr>
              <w:pStyle w:val="ListParagraph"/>
              <w:numPr>
                <w:ilvl w:val="0"/>
                <w:numId w:val="12"/>
              </w:numPr>
              <w:spacing w:before="80" w:line="276" w:lineRule="auto"/>
              <w:ind w:left="0" w:firstLine="454"/>
              <w:contextualSpacing w:val="0"/>
              <w:jc w:val="both"/>
              <w:rPr>
                <w:lang w:val="ro-MD"/>
              </w:rPr>
            </w:pPr>
            <w:r w:rsidRPr="00DD1D38">
              <w:rPr>
                <w:lang w:val="ro-MD"/>
              </w:rPr>
              <w:t>Articolul 15. Dispoziții finale și tranzitorii</w:t>
            </w:r>
            <w:r>
              <w:rPr>
                <w:lang w:val="ro-MD"/>
              </w:rPr>
              <w:t xml:space="preserve">, prevede </w:t>
            </w:r>
            <w:r w:rsidRPr="00DD1D38">
              <w:rPr>
                <w:lang w:val="ro-MD"/>
              </w:rPr>
              <w:t>intr</w:t>
            </w:r>
            <w:r>
              <w:rPr>
                <w:lang w:val="ro-MD"/>
              </w:rPr>
              <w:t>area</w:t>
            </w:r>
            <w:r w:rsidRPr="00DD1D38">
              <w:rPr>
                <w:lang w:val="ro-MD"/>
              </w:rPr>
              <w:t xml:space="preserve"> în vigoare</w:t>
            </w:r>
            <w:r>
              <w:rPr>
                <w:lang w:val="ro-MD"/>
              </w:rPr>
              <w:t xml:space="preserve"> a actului normativ</w:t>
            </w:r>
            <w:r w:rsidRPr="00DD1D38">
              <w:rPr>
                <w:lang w:val="ro-MD"/>
              </w:rPr>
              <w:t xml:space="preserve"> la expirarea a 6 luni de la data publicării în Monitorul Oficial al Republicii Moldova</w:t>
            </w:r>
            <w:r w:rsidR="006A7129">
              <w:rPr>
                <w:lang w:val="ro-MD"/>
              </w:rPr>
              <w:t>, precum</w:t>
            </w:r>
            <w:r>
              <w:rPr>
                <w:lang w:val="ro-MD"/>
              </w:rPr>
              <w:t xml:space="preserve"> și alte prevederi tranzitorii.</w:t>
            </w:r>
          </w:p>
          <w:p w14:paraId="3C6CFF90" w14:textId="184C91FB" w:rsidR="00401213" w:rsidRPr="00207783" w:rsidRDefault="00713CC6" w:rsidP="00A1134E">
            <w:pPr>
              <w:spacing w:before="80" w:after="80" w:line="276" w:lineRule="auto"/>
              <w:ind w:firstLine="454"/>
              <w:rPr>
                <w:bCs/>
                <w:lang w:val="ro-MD" w:eastAsia="ja-JP"/>
              </w:rPr>
            </w:pPr>
            <w:r w:rsidRPr="00372B50">
              <w:rPr>
                <w:sz w:val="24"/>
                <w:szCs w:val="24"/>
                <w:lang w:val="ro-MD"/>
              </w:rPr>
              <w:t xml:space="preserve">Implementarea </w:t>
            </w:r>
            <w:r w:rsidR="00372B50" w:rsidRPr="00372B50">
              <w:rPr>
                <w:sz w:val="24"/>
                <w:szCs w:val="24"/>
                <w:lang w:val="ro-MD"/>
              </w:rPr>
              <w:t>actului normativ</w:t>
            </w:r>
            <w:r w:rsidRPr="00372B50">
              <w:rPr>
                <w:sz w:val="24"/>
                <w:szCs w:val="24"/>
                <w:lang w:val="ro-MD"/>
              </w:rPr>
              <w:t xml:space="preserve"> propus v</w:t>
            </w:r>
            <w:r w:rsidR="00372B50" w:rsidRPr="00372B50">
              <w:rPr>
                <w:sz w:val="24"/>
                <w:szCs w:val="24"/>
                <w:lang w:val="ro-MD"/>
              </w:rPr>
              <w:t>a</w:t>
            </w:r>
            <w:r w:rsidRPr="00372B50">
              <w:rPr>
                <w:sz w:val="24"/>
                <w:szCs w:val="24"/>
                <w:lang w:val="ro-MD"/>
              </w:rPr>
              <w:t xml:space="preserve"> avea </w:t>
            </w:r>
            <w:r w:rsidR="00372B50" w:rsidRPr="00372B50">
              <w:rPr>
                <w:sz w:val="24"/>
                <w:szCs w:val="24"/>
                <w:lang w:val="ro-MD"/>
              </w:rPr>
              <w:t xml:space="preserve">un </w:t>
            </w:r>
            <w:r w:rsidRPr="00372B50">
              <w:rPr>
                <w:sz w:val="24"/>
                <w:szCs w:val="24"/>
                <w:lang w:val="ro-MD"/>
              </w:rPr>
              <w:t>impact pozitiv asupra sectorului construcțiilor, dat fiind stabilirea la nivel național a unor măsuri sigure</w:t>
            </w:r>
            <w:r w:rsidR="0065677B">
              <w:rPr>
                <w:sz w:val="24"/>
                <w:szCs w:val="24"/>
                <w:lang w:val="ro-MD"/>
              </w:rPr>
              <w:t xml:space="preserve"> și transparente.</w:t>
            </w:r>
          </w:p>
        </w:tc>
      </w:tr>
      <w:tr w:rsidR="00C16C9F" w:rsidRPr="00207783" w14:paraId="6846A7F5" w14:textId="77777777" w:rsidTr="00772AD3">
        <w:tc>
          <w:tcPr>
            <w:tcW w:w="5000" w:type="pct"/>
            <w:gridSpan w:val="5"/>
          </w:tcPr>
          <w:p w14:paraId="3C782595" w14:textId="77777777" w:rsidR="00C16C9F" w:rsidRPr="00207783" w:rsidRDefault="00804F62" w:rsidP="00804F62">
            <w:pPr>
              <w:ind w:firstLine="567"/>
              <w:rPr>
                <w:i/>
                <w:sz w:val="24"/>
                <w:szCs w:val="24"/>
                <w:lang w:val="ro-MD"/>
              </w:rPr>
            </w:pPr>
            <w:r w:rsidRPr="00207783">
              <w:rPr>
                <w:i/>
                <w:sz w:val="24"/>
                <w:szCs w:val="24"/>
                <w:lang w:val="ro-MD"/>
              </w:rPr>
              <w:lastRenderedPageBreak/>
              <w:t>c) Expuneți opțiunile alternative analizate sau explicați motivul de ce acestea nu au fost luate în considerare</w:t>
            </w:r>
          </w:p>
        </w:tc>
      </w:tr>
      <w:tr w:rsidR="00804F62" w:rsidRPr="00207783" w14:paraId="3DEDAEDA" w14:textId="77777777" w:rsidTr="00EA2D96">
        <w:trPr>
          <w:trHeight w:val="454"/>
        </w:trPr>
        <w:tc>
          <w:tcPr>
            <w:tcW w:w="5000" w:type="pct"/>
            <w:gridSpan w:val="5"/>
            <w:vAlign w:val="center"/>
          </w:tcPr>
          <w:p w14:paraId="7CAE1878" w14:textId="7065AAB6" w:rsidR="00804F62" w:rsidRPr="00EE2921" w:rsidRDefault="003A5235" w:rsidP="00EA2D96">
            <w:pPr>
              <w:spacing w:line="276" w:lineRule="auto"/>
              <w:ind w:firstLine="567"/>
              <w:jc w:val="left"/>
              <w:rPr>
                <w:sz w:val="24"/>
                <w:szCs w:val="24"/>
                <w:lang w:val="ro-MD"/>
              </w:rPr>
            </w:pPr>
            <w:r w:rsidRPr="003A5235">
              <w:rPr>
                <w:sz w:val="24"/>
                <w:szCs w:val="24"/>
                <w:lang w:val="ro-MD"/>
              </w:rPr>
              <w:lastRenderedPageBreak/>
              <w:t>Opțiuni alternative nu au fost analizate.</w:t>
            </w:r>
          </w:p>
        </w:tc>
      </w:tr>
      <w:tr w:rsidR="00C16C9F" w:rsidRPr="00207783" w14:paraId="2643E722" w14:textId="77777777" w:rsidTr="00F26204">
        <w:trPr>
          <w:trHeight w:val="510"/>
        </w:trPr>
        <w:tc>
          <w:tcPr>
            <w:tcW w:w="5000" w:type="pct"/>
            <w:gridSpan w:val="5"/>
            <w:vAlign w:val="center"/>
            <w:hideMark/>
          </w:tcPr>
          <w:p w14:paraId="6259B364" w14:textId="77777777" w:rsidR="00C16C9F" w:rsidRPr="00207783" w:rsidRDefault="00C16C9F" w:rsidP="00F26204">
            <w:pPr>
              <w:ind w:firstLine="567"/>
              <w:jc w:val="left"/>
              <w:rPr>
                <w:sz w:val="24"/>
                <w:szCs w:val="24"/>
                <w:lang w:val="ro-MD"/>
              </w:rPr>
            </w:pPr>
            <w:r w:rsidRPr="00207783">
              <w:rPr>
                <w:b/>
                <w:bCs/>
                <w:sz w:val="24"/>
                <w:szCs w:val="24"/>
                <w:lang w:val="ro-MD"/>
              </w:rPr>
              <w:t>4. Analiza impacturilor opţiunilor</w:t>
            </w:r>
          </w:p>
        </w:tc>
      </w:tr>
      <w:tr w:rsidR="000477C7" w:rsidRPr="00207783" w14:paraId="200FF619" w14:textId="77777777" w:rsidTr="00772AD3">
        <w:tc>
          <w:tcPr>
            <w:tcW w:w="5000" w:type="pct"/>
            <w:gridSpan w:val="5"/>
            <w:hideMark/>
          </w:tcPr>
          <w:p w14:paraId="1606DB18" w14:textId="77777777" w:rsidR="000477C7" w:rsidRPr="00207783" w:rsidRDefault="000477C7" w:rsidP="00C035DE">
            <w:pPr>
              <w:ind w:firstLine="567"/>
              <w:rPr>
                <w:sz w:val="24"/>
                <w:szCs w:val="24"/>
                <w:lang w:val="ro-MD"/>
              </w:rPr>
            </w:pPr>
            <w:r w:rsidRPr="00207783">
              <w:rPr>
                <w:bCs/>
                <w:i/>
                <w:sz w:val="24"/>
                <w:szCs w:val="24"/>
                <w:lang w:val="ro-MD"/>
              </w:rPr>
              <w:t>a) Expuneți efectele negative şi pozitive ale stării actuale și evoluția acestora în viitor, care vor sta la baza calculării impacturilor opțiunii recomandate</w:t>
            </w:r>
          </w:p>
        </w:tc>
      </w:tr>
      <w:tr w:rsidR="00C16C9F" w:rsidRPr="00207783" w14:paraId="55C6257F" w14:textId="77777777" w:rsidTr="00772AD3">
        <w:tc>
          <w:tcPr>
            <w:tcW w:w="5000" w:type="pct"/>
            <w:gridSpan w:val="5"/>
          </w:tcPr>
          <w:p w14:paraId="1D8442C8" w14:textId="1D380735" w:rsidR="00DE7A16" w:rsidRDefault="0015689D" w:rsidP="003252D2">
            <w:pPr>
              <w:spacing w:before="80" w:after="80" w:line="276" w:lineRule="auto"/>
              <w:ind w:firstLine="454"/>
              <w:rPr>
                <w:sz w:val="24"/>
                <w:szCs w:val="24"/>
                <w:lang w:val="ro-MD"/>
              </w:rPr>
            </w:pPr>
            <w:r w:rsidRPr="0015689D">
              <w:rPr>
                <w:rFonts w:eastAsia="Calibri"/>
                <w:sz w:val="24"/>
                <w:szCs w:val="24"/>
                <w:lang w:val="ro-MD" w:eastAsia="ja-JP"/>
              </w:rPr>
              <w:t xml:space="preserve">Lipsa de intervenție și menținerea stării actuale va </w:t>
            </w:r>
            <w:r w:rsidR="00667AEE">
              <w:rPr>
                <w:rFonts w:eastAsia="Calibri"/>
                <w:sz w:val="24"/>
                <w:szCs w:val="24"/>
                <w:lang w:val="ro-MD" w:eastAsia="ja-JP"/>
              </w:rPr>
              <w:t>con</w:t>
            </w:r>
            <w:r w:rsidRPr="0015689D">
              <w:rPr>
                <w:rFonts w:eastAsia="Calibri"/>
                <w:sz w:val="24"/>
                <w:szCs w:val="24"/>
                <w:lang w:val="ro-MD" w:eastAsia="ja-JP"/>
              </w:rPr>
              <w:t xml:space="preserve">duce la perpetuarea realizării ineficiente a </w:t>
            </w:r>
            <w:r w:rsidR="004B3FB9">
              <w:rPr>
                <w:rFonts w:eastAsia="Calibri"/>
                <w:sz w:val="24"/>
                <w:szCs w:val="24"/>
                <w:lang w:val="ro-MD" w:eastAsia="ja-JP"/>
              </w:rPr>
              <w:t xml:space="preserve">obiectivului </w:t>
            </w:r>
            <w:r w:rsidRPr="0015689D">
              <w:rPr>
                <w:rFonts w:eastAsia="Calibri"/>
                <w:sz w:val="24"/>
                <w:szCs w:val="24"/>
                <w:lang w:val="ro-MD" w:eastAsia="ja-JP"/>
              </w:rPr>
              <w:t xml:space="preserve">de </w:t>
            </w:r>
            <w:r w:rsidR="00237956">
              <w:rPr>
                <w:rFonts w:eastAsia="Calibri"/>
                <w:sz w:val="24"/>
                <w:szCs w:val="24"/>
                <w:lang w:val="ro-MD" w:eastAsia="ja-JP"/>
              </w:rPr>
              <w:t xml:space="preserve">dezvoltare a SDNC, </w:t>
            </w:r>
            <w:r w:rsidRPr="0015689D">
              <w:rPr>
                <w:rFonts w:eastAsia="Calibri"/>
                <w:sz w:val="24"/>
                <w:szCs w:val="24"/>
                <w:lang w:val="ro-MD" w:eastAsia="ja-JP"/>
              </w:rPr>
              <w:t>monitorizare</w:t>
            </w:r>
            <w:r w:rsidR="00237956">
              <w:rPr>
                <w:rFonts w:eastAsia="Calibri"/>
                <w:sz w:val="24"/>
                <w:szCs w:val="24"/>
                <w:lang w:val="ro-MD" w:eastAsia="ja-JP"/>
              </w:rPr>
              <w:t xml:space="preserve"> și administrare a surselor alocate din bugetul de stat</w:t>
            </w:r>
            <w:r w:rsidR="00360B28">
              <w:rPr>
                <w:rFonts w:eastAsia="Calibri"/>
                <w:sz w:val="24"/>
                <w:szCs w:val="24"/>
                <w:lang w:val="ro-MD" w:eastAsia="ja-JP"/>
              </w:rPr>
              <w:t xml:space="preserve"> și din alte surse legale</w:t>
            </w:r>
            <w:r w:rsidR="0099351B">
              <w:rPr>
                <w:rFonts w:eastAsia="Calibri"/>
                <w:sz w:val="24"/>
                <w:szCs w:val="24"/>
                <w:lang w:val="ro-MD" w:eastAsia="ja-JP"/>
              </w:rPr>
              <w:t xml:space="preserve"> neeficient</w:t>
            </w:r>
            <w:r w:rsidR="00360B28">
              <w:rPr>
                <w:rFonts w:eastAsia="Calibri"/>
                <w:sz w:val="24"/>
                <w:szCs w:val="24"/>
                <w:lang w:val="ro-MD" w:eastAsia="ja-JP"/>
              </w:rPr>
              <w:t xml:space="preserve">, </w:t>
            </w:r>
            <w:r w:rsidR="00180C1D">
              <w:rPr>
                <w:rFonts w:eastAsia="Calibri"/>
                <w:sz w:val="24"/>
                <w:szCs w:val="24"/>
                <w:lang w:val="ro-MD" w:eastAsia="ja-JP"/>
              </w:rPr>
              <w:t>lipsa de</w:t>
            </w:r>
            <w:r w:rsidRPr="0015689D">
              <w:rPr>
                <w:rFonts w:eastAsia="Calibri"/>
                <w:sz w:val="24"/>
                <w:szCs w:val="24"/>
                <w:lang w:val="ro-MD" w:eastAsia="ja-JP"/>
              </w:rPr>
              <w:t xml:space="preserve"> control </w:t>
            </w:r>
            <w:r w:rsidR="00180C1D">
              <w:rPr>
                <w:rFonts w:eastAsia="Calibri"/>
                <w:sz w:val="24"/>
                <w:szCs w:val="24"/>
                <w:lang w:val="ro-MD" w:eastAsia="ja-JP"/>
              </w:rPr>
              <w:t xml:space="preserve">în continuare </w:t>
            </w:r>
            <w:r w:rsidR="00237956">
              <w:rPr>
                <w:rFonts w:eastAsia="Calibri"/>
                <w:sz w:val="24"/>
                <w:szCs w:val="24"/>
                <w:lang w:val="ro-MD" w:eastAsia="ja-JP"/>
              </w:rPr>
              <w:t xml:space="preserve">asupra calculării și virării defalcărilor </w:t>
            </w:r>
            <w:r w:rsidRPr="0015689D">
              <w:rPr>
                <w:rFonts w:eastAsia="Calibri"/>
                <w:sz w:val="24"/>
                <w:szCs w:val="24"/>
                <w:lang w:val="ro-MD" w:eastAsia="ja-JP"/>
              </w:rPr>
              <w:t xml:space="preserve">în domeniul </w:t>
            </w:r>
            <w:r>
              <w:rPr>
                <w:rFonts w:eastAsia="Calibri"/>
                <w:sz w:val="24"/>
                <w:szCs w:val="24"/>
                <w:lang w:val="ro-MD" w:eastAsia="ja-JP"/>
              </w:rPr>
              <w:t>construcțiilor</w:t>
            </w:r>
            <w:r w:rsidR="00237956">
              <w:rPr>
                <w:rFonts w:eastAsia="Calibri"/>
                <w:sz w:val="24"/>
                <w:szCs w:val="24"/>
                <w:lang w:val="ro-MD" w:eastAsia="ja-JP"/>
              </w:rPr>
              <w:t xml:space="preserve"> stabilite de legislația în vigoare</w:t>
            </w:r>
            <w:r w:rsidR="00DE7A16">
              <w:rPr>
                <w:rFonts w:eastAsia="Calibri"/>
                <w:sz w:val="24"/>
                <w:szCs w:val="24"/>
                <w:lang w:val="ro-MD" w:eastAsia="ja-JP"/>
              </w:rPr>
              <w:t xml:space="preserve">, </w:t>
            </w:r>
            <w:r w:rsidR="00DE7A16" w:rsidRPr="00DE7A16">
              <w:rPr>
                <w:sz w:val="24"/>
                <w:szCs w:val="24"/>
                <w:lang w:val="ro-MD"/>
              </w:rPr>
              <w:t xml:space="preserve">precum și la </w:t>
            </w:r>
            <w:r w:rsidR="00DE7A16">
              <w:rPr>
                <w:sz w:val="24"/>
                <w:szCs w:val="24"/>
                <w:lang w:val="ro-MD"/>
              </w:rPr>
              <w:t xml:space="preserve">continuarea </w:t>
            </w:r>
            <w:r w:rsidR="00DE7A16" w:rsidRPr="00DE7A16">
              <w:rPr>
                <w:sz w:val="24"/>
                <w:szCs w:val="24"/>
                <w:lang w:val="ro-MD"/>
              </w:rPr>
              <w:t>realiz</w:t>
            </w:r>
            <w:r w:rsidR="00DE7A16">
              <w:rPr>
                <w:sz w:val="24"/>
                <w:szCs w:val="24"/>
                <w:lang w:val="ro-MD"/>
              </w:rPr>
              <w:t>ării</w:t>
            </w:r>
            <w:r w:rsidR="00DE7A16" w:rsidRPr="00DE7A16">
              <w:rPr>
                <w:sz w:val="24"/>
                <w:szCs w:val="24"/>
                <w:lang w:val="ro-MD"/>
              </w:rPr>
              <w:t xml:space="preserve"> </w:t>
            </w:r>
            <w:r w:rsidR="00DE7A16">
              <w:rPr>
                <w:sz w:val="24"/>
                <w:szCs w:val="24"/>
                <w:lang w:val="ro-MD"/>
              </w:rPr>
              <w:t>necalitative</w:t>
            </w:r>
            <w:r w:rsidR="00DE7A16" w:rsidRPr="00DE7A16">
              <w:rPr>
                <w:sz w:val="24"/>
                <w:szCs w:val="24"/>
                <w:lang w:val="ro-MD"/>
              </w:rPr>
              <w:t xml:space="preserve"> a activităților </w:t>
            </w:r>
            <w:r w:rsidR="00DE7A16">
              <w:rPr>
                <w:sz w:val="24"/>
                <w:szCs w:val="24"/>
                <w:lang w:val="ro-MD"/>
              </w:rPr>
              <w:t>ce țin de elaborarea, avizarea și aprobarea reglementărilor tehnice  în domeniul construcțiilor, proiectărilor, amenajăr</w:t>
            </w:r>
            <w:r w:rsidR="00180C1D">
              <w:rPr>
                <w:sz w:val="24"/>
                <w:szCs w:val="24"/>
                <w:lang w:val="ro-MD"/>
              </w:rPr>
              <w:t xml:space="preserve">ii teritoriului și urbanismului și </w:t>
            </w:r>
            <w:r w:rsidR="006F4926">
              <w:rPr>
                <w:sz w:val="24"/>
                <w:szCs w:val="24"/>
                <w:lang w:val="ro-MD"/>
              </w:rPr>
              <w:t>industriei</w:t>
            </w:r>
            <w:r w:rsidR="00180C1D">
              <w:rPr>
                <w:sz w:val="24"/>
                <w:szCs w:val="24"/>
                <w:lang w:val="ro-MD"/>
              </w:rPr>
              <w:t xml:space="preserve"> materialelor de construcții.</w:t>
            </w:r>
            <w:r w:rsidR="00DE7A16">
              <w:rPr>
                <w:sz w:val="24"/>
                <w:szCs w:val="24"/>
                <w:lang w:val="ro-MD"/>
              </w:rPr>
              <w:t xml:space="preserve"> </w:t>
            </w:r>
          </w:p>
          <w:p w14:paraId="340242B7" w14:textId="7706D10C" w:rsidR="003252D2" w:rsidRPr="00207783" w:rsidRDefault="003252D2" w:rsidP="003252D2">
            <w:pPr>
              <w:spacing w:before="80" w:after="80" w:line="276" w:lineRule="auto"/>
              <w:ind w:firstLine="454"/>
              <w:rPr>
                <w:sz w:val="24"/>
                <w:szCs w:val="24"/>
                <w:lang w:val="ro-MD"/>
              </w:rPr>
            </w:pPr>
            <w:r w:rsidRPr="003252D2">
              <w:rPr>
                <w:sz w:val="24"/>
                <w:szCs w:val="24"/>
                <w:lang w:val="ro-MD"/>
              </w:rPr>
              <w:t>Efectele pozitive ale opțiunii recomandate sunt detaliate la pct.1 subpct.b) și pct.4 subpct.b1) ale</w:t>
            </w:r>
            <w:r>
              <w:rPr>
                <w:sz w:val="24"/>
                <w:szCs w:val="24"/>
                <w:lang w:val="ro-MD"/>
              </w:rPr>
              <w:t xml:space="preserve"> </w:t>
            </w:r>
            <w:r w:rsidRPr="003252D2">
              <w:rPr>
                <w:sz w:val="24"/>
                <w:szCs w:val="24"/>
                <w:lang w:val="ro-MD"/>
              </w:rPr>
              <w:t>prezentei analize</w:t>
            </w:r>
            <w:r>
              <w:rPr>
                <w:sz w:val="24"/>
                <w:szCs w:val="24"/>
                <w:lang w:val="ro-MD"/>
              </w:rPr>
              <w:t>.</w:t>
            </w:r>
          </w:p>
        </w:tc>
      </w:tr>
      <w:tr w:rsidR="00246FE4" w:rsidRPr="00207783" w14:paraId="456836A4" w14:textId="77777777" w:rsidTr="00772AD3">
        <w:tc>
          <w:tcPr>
            <w:tcW w:w="5000" w:type="pct"/>
            <w:gridSpan w:val="5"/>
          </w:tcPr>
          <w:p w14:paraId="1F456CB6" w14:textId="77777777" w:rsidR="00246FE4" w:rsidRPr="00207783" w:rsidRDefault="00246FE4" w:rsidP="007336CA">
            <w:pPr>
              <w:ind w:firstLine="567"/>
              <w:contextualSpacing/>
              <w:rPr>
                <w:rFonts w:eastAsia="Calibri"/>
                <w:bCs/>
                <w:i/>
                <w:sz w:val="22"/>
                <w:szCs w:val="22"/>
                <w:lang w:val="ro-MD" w:eastAsia="ja-JP"/>
              </w:rPr>
            </w:pPr>
            <w:r w:rsidRPr="00207783">
              <w:rPr>
                <w:rFonts w:eastAsia="Calibri"/>
                <w:bCs/>
                <w:i/>
                <w:sz w:val="22"/>
                <w:szCs w:val="22"/>
                <w:lang w:val="ro-MD" w:eastAsia="ja-JP"/>
              </w:rPr>
              <w:t>b</w:t>
            </w:r>
            <w:r w:rsidRPr="00207783">
              <w:rPr>
                <w:rFonts w:eastAsia="Calibri"/>
                <w:bCs/>
                <w:i/>
                <w:sz w:val="22"/>
                <w:szCs w:val="22"/>
                <w:vertAlign w:val="superscript"/>
                <w:lang w:val="ro-MD" w:eastAsia="ja-JP"/>
              </w:rPr>
              <w:t>1</w:t>
            </w:r>
            <w:r w:rsidRPr="00207783">
              <w:rPr>
                <w:rFonts w:eastAsia="Calibri"/>
                <w:bCs/>
                <w:i/>
                <w:sz w:val="22"/>
                <w:szCs w:val="22"/>
                <w:lang w:val="ro-MD" w:eastAsia="ja-JP"/>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246FE4" w:rsidRPr="00207783" w14:paraId="163FB6A8" w14:textId="77777777" w:rsidTr="00772AD3">
        <w:tc>
          <w:tcPr>
            <w:tcW w:w="5000" w:type="pct"/>
            <w:gridSpan w:val="5"/>
          </w:tcPr>
          <w:p w14:paraId="5BA8EFB6" w14:textId="75718974" w:rsidR="009E53DB" w:rsidRPr="00A84E15" w:rsidRDefault="009E53DB" w:rsidP="006B6CA9">
            <w:pPr>
              <w:spacing w:before="80" w:after="80" w:line="276" w:lineRule="auto"/>
              <w:ind w:firstLine="454"/>
              <w:rPr>
                <w:rFonts w:eastAsia="Calibri"/>
                <w:sz w:val="24"/>
                <w:szCs w:val="24"/>
                <w:lang w:val="ro-MD" w:eastAsia="ja-JP"/>
              </w:rPr>
            </w:pPr>
            <w:r w:rsidRPr="00A84E15">
              <w:rPr>
                <w:rFonts w:eastAsia="Calibri"/>
                <w:sz w:val="24"/>
                <w:szCs w:val="24"/>
                <w:lang w:val="ro-MD" w:eastAsia="ja-JP"/>
              </w:rPr>
              <w:t xml:space="preserve">În cadrul elaborării AIR preliminar s-au stabilit </w:t>
            </w:r>
            <w:r w:rsidR="003A47F2">
              <w:rPr>
                <w:rFonts w:eastAsia="Calibri"/>
                <w:sz w:val="24"/>
                <w:szCs w:val="24"/>
                <w:lang w:val="ro-MD" w:eastAsia="ja-JP"/>
              </w:rPr>
              <w:t>2</w:t>
            </w:r>
            <w:r w:rsidRPr="00A84E15">
              <w:rPr>
                <w:rFonts w:eastAsia="Calibri"/>
                <w:sz w:val="24"/>
                <w:szCs w:val="24"/>
                <w:lang w:val="ro-MD" w:eastAsia="ja-JP"/>
              </w:rPr>
              <w:t xml:space="preserve"> </w:t>
            </w:r>
            <w:r w:rsidR="001B4B18">
              <w:rPr>
                <w:rFonts w:eastAsia="Calibri"/>
                <w:sz w:val="24"/>
                <w:szCs w:val="24"/>
                <w:lang w:val="ro-MD" w:eastAsia="ja-JP"/>
              </w:rPr>
              <w:t>opțiuni</w:t>
            </w:r>
            <w:r w:rsidRPr="00A84E15">
              <w:rPr>
                <w:rFonts w:eastAsia="Calibri"/>
                <w:sz w:val="24"/>
                <w:szCs w:val="24"/>
                <w:lang w:val="ro-MD" w:eastAsia="ja-JP"/>
              </w:rPr>
              <w:t xml:space="preserve"> de soluționare a problemelor identificate: </w:t>
            </w:r>
          </w:p>
          <w:p w14:paraId="7B0108E8" w14:textId="77777777" w:rsidR="009E53DB" w:rsidRPr="009E267B" w:rsidRDefault="009E53DB" w:rsidP="006B6CA9">
            <w:pPr>
              <w:spacing w:before="80" w:after="80" w:line="276" w:lineRule="auto"/>
              <w:ind w:firstLine="454"/>
              <w:rPr>
                <w:rFonts w:eastAsia="Calibri"/>
                <w:bCs/>
                <w:sz w:val="24"/>
                <w:szCs w:val="24"/>
                <w:highlight w:val="yellow"/>
                <w:lang w:val="ro-MD" w:eastAsia="ja-JP"/>
              </w:rPr>
            </w:pPr>
            <w:r w:rsidRPr="00005C95">
              <w:rPr>
                <w:rFonts w:eastAsia="Calibri"/>
                <w:b/>
                <w:bCs/>
                <w:sz w:val="24"/>
                <w:szCs w:val="24"/>
                <w:lang w:val="ro-MD" w:eastAsia="ja-JP"/>
              </w:rPr>
              <w:t>Opțiunea I.</w:t>
            </w:r>
            <w:r w:rsidRPr="00005C95">
              <w:rPr>
                <w:rFonts w:eastAsia="Calibri"/>
                <w:bCs/>
                <w:sz w:val="24"/>
                <w:szCs w:val="24"/>
                <w:lang w:val="ro-MD" w:eastAsia="ja-JP"/>
              </w:rPr>
              <w:t xml:space="preserve"> „A nu face nimic”.</w:t>
            </w:r>
          </w:p>
          <w:p w14:paraId="71BFACC8" w14:textId="77777777" w:rsidR="009E53DB" w:rsidRPr="00005C95" w:rsidRDefault="009E53DB" w:rsidP="00521CF4">
            <w:pPr>
              <w:spacing w:before="60" w:after="60" w:line="276" w:lineRule="auto"/>
              <w:ind w:firstLine="454"/>
              <w:rPr>
                <w:bCs/>
                <w:sz w:val="24"/>
                <w:szCs w:val="24"/>
                <w:lang w:val="ro-MD"/>
              </w:rPr>
            </w:pPr>
            <w:r w:rsidRPr="00005C95">
              <w:rPr>
                <w:b/>
                <w:bCs/>
                <w:sz w:val="24"/>
                <w:szCs w:val="24"/>
                <w:lang w:val="ro-MD"/>
              </w:rPr>
              <w:t xml:space="preserve">I </w:t>
            </w:r>
            <w:r w:rsidRPr="00005C95">
              <w:rPr>
                <w:bCs/>
                <w:sz w:val="24"/>
                <w:szCs w:val="24"/>
                <w:lang w:val="ro-MD"/>
              </w:rPr>
              <w:t>– a nu face nimic, a lăsa lucrurile aşa cum sunt.</w:t>
            </w:r>
          </w:p>
          <w:p w14:paraId="61546246" w14:textId="75C730BB" w:rsidR="009E53DB" w:rsidRPr="009E267B" w:rsidRDefault="009E53DB" w:rsidP="00521CF4">
            <w:pPr>
              <w:spacing w:before="60" w:after="60" w:line="276" w:lineRule="auto"/>
              <w:ind w:firstLine="454"/>
              <w:rPr>
                <w:bCs/>
                <w:sz w:val="24"/>
                <w:szCs w:val="24"/>
                <w:highlight w:val="yellow"/>
                <w:lang w:val="ro-MD"/>
              </w:rPr>
            </w:pPr>
            <w:r w:rsidRPr="00D3033D">
              <w:rPr>
                <w:sz w:val="24"/>
                <w:szCs w:val="24"/>
                <w:lang w:val="ro-RO"/>
              </w:rPr>
              <w:t xml:space="preserve">În acest context, </w:t>
            </w:r>
            <w:r w:rsidRPr="00D3033D">
              <w:rPr>
                <w:bCs/>
                <w:sz w:val="24"/>
                <w:szCs w:val="24"/>
                <w:lang w:val="ro-MD"/>
              </w:rPr>
              <w:t xml:space="preserve">în cazul în care </w:t>
            </w:r>
            <w:r w:rsidR="00D3033D">
              <w:rPr>
                <w:bCs/>
                <w:sz w:val="24"/>
                <w:szCs w:val="24"/>
                <w:lang w:val="ro-MD"/>
              </w:rPr>
              <w:t>Fondul pentru dezvoltarea SDNC</w:t>
            </w:r>
            <w:r w:rsidRPr="00D3033D">
              <w:rPr>
                <w:bCs/>
                <w:sz w:val="24"/>
                <w:szCs w:val="24"/>
                <w:lang w:val="ro-MD"/>
              </w:rPr>
              <w:t xml:space="preserve">, nu va fi </w:t>
            </w:r>
            <w:r w:rsidR="00D3033D">
              <w:rPr>
                <w:bCs/>
                <w:sz w:val="24"/>
                <w:szCs w:val="24"/>
                <w:lang w:val="ro-MD"/>
              </w:rPr>
              <w:t>creat</w:t>
            </w:r>
            <w:r w:rsidRPr="00D3033D">
              <w:rPr>
                <w:bCs/>
                <w:sz w:val="24"/>
                <w:szCs w:val="24"/>
                <w:lang w:val="ro-MD"/>
              </w:rPr>
              <w:t>, există riscul:</w:t>
            </w:r>
          </w:p>
          <w:p w14:paraId="435B0498" w14:textId="3158539A" w:rsidR="009E53DB" w:rsidRDefault="009E53DB" w:rsidP="00521CF4">
            <w:pPr>
              <w:pStyle w:val="ListParagraph"/>
              <w:numPr>
                <w:ilvl w:val="0"/>
                <w:numId w:val="9"/>
              </w:numPr>
              <w:spacing w:before="60" w:after="60" w:line="276" w:lineRule="auto"/>
              <w:ind w:left="0" w:firstLine="454"/>
              <w:contextualSpacing w:val="0"/>
              <w:jc w:val="both"/>
              <w:rPr>
                <w:lang w:val="ro-MD"/>
              </w:rPr>
            </w:pPr>
            <w:r w:rsidRPr="00D3033D">
              <w:rPr>
                <w:lang w:val="ro-MD"/>
              </w:rPr>
              <w:t xml:space="preserve">neîndeplinirii angajamentelor asumate în contextul </w:t>
            </w:r>
            <w:r w:rsidRPr="00D3033D">
              <w:rPr>
                <w:bCs/>
                <w:lang w:val="ro-MD" w:eastAsia="ja-JP"/>
              </w:rPr>
              <w:t>implementării Acordului de Asociere Republica Moldova – Uniunea Europeană, aprobat prin Hotărârea Guvernului nr.1472/2016</w:t>
            </w:r>
            <w:r w:rsidR="00D3033D" w:rsidRPr="00D3033D">
              <w:rPr>
                <w:bCs/>
                <w:lang w:val="ro-MD" w:eastAsia="ja-JP"/>
              </w:rPr>
              <w:t xml:space="preserve"> și </w:t>
            </w:r>
            <w:r w:rsidRPr="00D3033D">
              <w:rPr>
                <w:lang w:val="ro-MD"/>
              </w:rPr>
              <w:t>imposibilității de realizare a obligațiunilor asumate de Republica Moldova ca țară candidat în UE</w:t>
            </w:r>
            <w:r w:rsidR="00B04E57">
              <w:rPr>
                <w:lang w:val="ro-MD"/>
              </w:rPr>
              <w:t xml:space="preserve"> privind ajustarea cadrului normativ și a reglementărilor tehnice în construcții naționale la cel al Uniunii Europene</w:t>
            </w:r>
            <w:r w:rsidR="00997A66">
              <w:rPr>
                <w:lang w:val="ro-MD"/>
              </w:rPr>
              <w:t xml:space="preserve">, precum și </w:t>
            </w:r>
            <w:r w:rsidR="00997A66" w:rsidRPr="00997A66">
              <w:rPr>
                <w:lang w:val="ro-MD"/>
              </w:rPr>
              <w:t>asigurarea coerenței cu alte acte legislative ale Uniunii Europene</w:t>
            </w:r>
            <w:r w:rsidR="002E1480">
              <w:rPr>
                <w:lang w:val="ro-MD"/>
              </w:rPr>
              <w:t>, aferente domeniului construcțiilor</w:t>
            </w:r>
            <w:r w:rsidR="00D3033D" w:rsidRPr="00D3033D">
              <w:rPr>
                <w:lang w:val="ro-MD"/>
              </w:rPr>
              <w:t>;</w:t>
            </w:r>
          </w:p>
          <w:p w14:paraId="2D30D1E8" w14:textId="5492FF4E" w:rsidR="006575B8" w:rsidRDefault="0025006D" w:rsidP="00521CF4">
            <w:pPr>
              <w:pStyle w:val="ListParagraph"/>
              <w:numPr>
                <w:ilvl w:val="0"/>
                <w:numId w:val="9"/>
              </w:numPr>
              <w:spacing w:before="60" w:after="60" w:line="276" w:lineRule="auto"/>
              <w:ind w:left="0" w:firstLine="454"/>
              <w:contextualSpacing w:val="0"/>
              <w:jc w:val="both"/>
              <w:rPr>
                <w:lang w:val="ro-MD"/>
              </w:rPr>
            </w:pPr>
            <w:r>
              <w:rPr>
                <w:lang w:val="ro-MD"/>
              </w:rPr>
              <w:t>nerealizarea acțiunilor stabilite prin Planul de acțiuni a</w:t>
            </w:r>
            <w:r w:rsidR="009009B3">
              <w:rPr>
                <w:lang w:val="ro-MD"/>
              </w:rPr>
              <w:t>l</w:t>
            </w:r>
            <w:r>
              <w:rPr>
                <w:lang w:val="ro-MD"/>
              </w:rPr>
              <w:t xml:space="preserve"> Guvernului pentru anul 2024</w:t>
            </w:r>
            <w:r w:rsidR="00C966CE">
              <w:rPr>
                <w:lang w:val="ro-MD"/>
              </w:rPr>
              <w:t xml:space="preserve"> (nr.297)</w:t>
            </w:r>
            <w:r>
              <w:rPr>
                <w:lang w:val="ro-MD"/>
              </w:rPr>
              <w:t xml:space="preserve"> aprobat prin Hotărîrea Guvernului </w:t>
            </w:r>
            <w:r w:rsidR="008A516B" w:rsidRPr="008A516B">
              <w:rPr>
                <w:lang w:val="ro-MD"/>
              </w:rPr>
              <w:t>nr.887/2023</w:t>
            </w:r>
            <w:r w:rsidR="00C966CE">
              <w:rPr>
                <w:lang w:val="ro-MD"/>
              </w:rPr>
              <w:t>, a acțiunii nr.38 din Planul Național de Dezvoltare pentru anii 2024-2026</w:t>
            </w:r>
            <w:r>
              <w:rPr>
                <w:lang w:val="ro-MD"/>
              </w:rPr>
              <w:t xml:space="preserve"> și a acțiunilor </w:t>
            </w:r>
            <w:r w:rsidR="002C78C4">
              <w:rPr>
                <w:lang w:val="ro-MD"/>
              </w:rPr>
              <w:t>din</w:t>
            </w:r>
            <w:r>
              <w:rPr>
                <w:lang w:val="ro-MD"/>
              </w:rPr>
              <w:t xml:space="preserve"> Codul urbanismului și construcțiilor nr.434/2024 (art.</w:t>
            </w:r>
            <w:r w:rsidR="00B52520">
              <w:rPr>
                <w:lang w:val="ro-MD"/>
              </w:rPr>
              <w:t>343 și art.</w:t>
            </w:r>
            <w:r w:rsidR="00EA52BE">
              <w:rPr>
                <w:lang w:val="ro-MD"/>
              </w:rPr>
              <w:t>347);</w:t>
            </w:r>
          </w:p>
          <w:p w14:paraId="4F4DC453" w14:textId="0F722146" w:rsidR="00EA52BE" w:rsidRPr="00D3033D" w:rsidRDefault="00E222C1" w:rsidP="00521CF4">
            <w:pPr>
              <w:pStyle w:val="ListParagraph"/>
              <w:numPr>
                <w:ilvl w:val="0"/>
                <w:numId w:val="9"/>
              </w:numPr>
              <w:spacing w:before="60" w:after="60" w:line="276" w:lineRule="auto"/>
              <w:ind w:left="0" w:firstLine="454"/>
              <w:contextualSpacing w:val="0"/>
              <w:jc w:val="both"/>
              <w:rPr>
                <w:lang w:val="ro-MD"/>
              </w:rPr>
            </w:pPr>
            <w:r>
              <w:rPr>
                <w:lang w:val="ro-MD"/>
              </w:rPr>
              <w:t>urmare a multiplelor restructurări ale Guvernului</w:t>
            </w:r>
            <w:r w:rsidR="00C758CC">
              <w:rPr>
                <w:lang w:val="ro-MD"/>
              </w:rPr>
              <w:t>,</w:t>
            </w:r>
            <w:r>
              <w:rPr>
                <w:lang w:val="ro-MD"/>
              </w:rPr>
              <w:t xml:space="preserve"> </w:t>
            </w:r>
            <w:r w:rsidR="00E61AAD">
              <w:rPr>
                <w:lang w:val="ro-MD"/>
              </w:rPr>
              <w:t>neasigurarea</w:t>
            </w:r>
            <w:r w:rsidR="001A1B64">
              <w:rPr>
                <w:lang w:val="ro-MD"/>
              </w:rPr>
              <w:t xml:space="preserve"> continuit</w:t>
            </w:r>
            <w:r w:rsidR="00C758CC">
              <w:rPr>
                <w:lang w:val="ro-MD"/>
              </w:rPr>
              <w:t>ății</w:t>
            </w:r>
            <w:r w:rsidR="001A1B64">
              <w:rPr>
                <w:lang w:val="ro-MD"/>
              </w:rPr>
              <w:t xml:space="preserve"> realizării acțiunilor necesare pentru dezvoltarea SDNC inclusiv cu întreruperea finanțării acestora și a procesului de</w:t>
            </w:r>
            <w:r w:rsidR="0008314A">
              <w:rPr>
                <w:lang w:val="ro-MD"/>
              </w:rPr>
              <w:t xml:space="preserve"> contractare,</w:t>
            </w:r>
            <w:r w:rsidR="001A1B64">
              <w:rPr>
                <w:lang w:val="ro-MD"/>
              </w:rPr>
              <w:t xml:space="preserve"> elaborare, consultare, avizare și expertizare a proiectelor normativelor în construcții contractate.</w:t>
            </w:r>
          </w:p>
          <w:p w14:paraId="15CC1BA8" w14:textId="0996A0E0" w:rsidR="009E53DB" w:rsidRPr="009E267B" w:rsidRDefault="009E53DB" w:rsidP="00521CF4">
            <w:pPr>
              <w:spacing w:before="60" w:after="60" w:line="276" w:lineRule="auto"/>
              <w:ind w:firstLine="454"/>
              <w:rPr>
                <w:bCs/>
                <w:sz w:val="24"/>
                <w:szCs w:val="24"/>
                <w:highlight w:val="yellow"/>
                <w:lang w:val="ro-MD"/>
              </w:rPr>
            </w:pPr>
            <w:r w:rsidRPr="00B43186">
              <w:rPr>
                <w:b/>
                <w:bCs/>
                <w:sz w:val="24"/>
                <w:szCs w:val="24"/>
                <w:lang w:val="ro-MD"/>
              </w:rPr>
              <w:t xml:space="preserve">Opţiunea II </w:t>
            </w:r>
            <w:r w:rsidRPr="00B43186">
              <w:rPr>
                <w:bCs/>
                <w:sz w:val="24"/>
                <w:szCs w:val="24"/>
                <w:lang w:val="ro-MD"/>
              </w:rPr>
              <w:t xml:space="preserve">- </w:t>
            </w:r>
            <w:r w:rsidR="00A50900" w:rsidRPr="00B43186">
              <w:rPr>
                <w:bCs/>
                <w:sz w:val="24"/>
                <w:szCs w:val="24"/>
                <w:lang w:val="ro-MD"/>
              </w:rPr>
              <w:t xml:space="preserve">Elaborarea proiectului de lege privind </w:t>
            </w:r>
            <w:r w:rsidR="00B43186">
              <w:rPr>
                <w:bCs/>
                <w:sz w:val="24"/>
                <w:szCs w:val="24"/>
                <w:lang w:val="ro-MD"/>
              </w:rPr>
              <w:t>Fondul</w:t>
            </w:r>
            <w:r w:rsidR="00C54F90">
              <w:t xml:space="preserve"> </w:t>
            </w:r>
            <w:r w:rsidR="00C54F90" w:rsidRPr="00C54F90">
              <w:rPr>
                <w:bCs/>
                <w:sz w:val="24"/>
                <w:szCs w:val="24"/>
                <w:lang w:val="ro-MD"/>
              </w:rPr>
              <w:t>național pentru dezvoltarea sistemului de documente normative în construcții.</w:t>
            </w:r>
          </w:p>
          <w:p w14:paraId="524DA6BD" w14:textId="13F0F78E" w:rsidR="009E53DB" w:rsidRDefault="009E53DB" w:rsidP="00521CF4">
            <w:pPr>
              <w:spacing w:before="60" w:after="60" w:line="276" w:lineRule="auto"/>
              <w:ind w:firstLine="454"/>
              <w:rPr>
                <w:bCs/>
                <w:sz w:val="24"/>
                <w:szCs w:val="24"/>
                <w:lang w:val="ro-MD"/>
              </w:rPr>
            </w:pPr>
            <w:r w:rsidRPr="006675C2">
              <w:rPr>
                <w:bCs/>
                <w:sz w:val="24"/>
                <w:szCs w:val="24"/>
                <w:lang w:val="ro-MD"/>
              </w:rPr>
              <w:t xml:space="preserve">Autorii </w:t>
            </w:r>
            <w:r w:rsidRPr="006675C2">
              <w:rPr>
                <w:bCs/>
                <w:sz w:val="24"/>
                <w:szCs w:val="24"/>
                <w:lang w:val="ro-MD" w:eastAsia="ja-JP"/>
              </w:rPr>
              <w:t>AIR</w:t>
            </w:r>
            <w:r w:rsidRPr="006675C2">
              <w:rPr>
                <w:bCs/>
                <w:sz w:val="24"/>
                <w:szCs w:val="24"/>
                <w:lang w:val="ro-MD"/>
              </w:rPr>
              <w:t xml:space="preserve"> optează pentru </w:t>
            </w:r>
            <w:r w:rsidRPr="006675C2">
              <w:rPr>
                <w:b/>
                <w:bCs/>
                <w:sz w:val="24"/>
                <w:szCs w:val="24"/>
                <w:lang w:val="ro-MD"/>
              </w:rPr>
              <w:t>opţiunea II,</w:t>
            </w:r>
            <w:r w:rsidRPr="006675C2">
              <w:rPr>
                <w:b/>
                <w:bCs/>
                <w:sz w:val="18"/>
                <w:szCs w:val="18"/>
                <w:lang w:val="ro-MD"/>
              </w:rPr>
              <w:t xml:space="preserve"> </w:t>
            </w:r>
            <w:r w:rsidRPr="006675C2">
              <w:rPr>
                <w:bCs/>
                <w:sz w:val="24"/>
                <w:szCs w:val="24"/>
                <w:lang w:val="ro-MD" w:eastAsia="ja-JP"/>
              </w:rPr>
              <w:t xml:space="preserve">întrucât aceasta corespunde necesităților actuale domeniului și </w:t>
            </w:r>
            <w:r w:rsidRPr="006675C2">
              <w:rPr>
                <w:bCs/>
                <w:sz w:val="24"/>
                <w:szCs w:val="24"/>
                <w:lang w:val="ro-MD"/>
              </w:rPr>
              <w:t xml:space="preserve">este cea mai bună modalitate de a asigura </w:t>
            </w:r>
            <w:r w:rsidR="006675C2" w:rsidRPr="006675C2">
              <w:rPr>
                <w:bCs/>
                <w:sz w:val="24"/>
                <w:szCs w:val="24"/>
                <w:lang w:val="ro-MD"/>
              </w:rPr>
              <w:t>eficient și transparen</w:t>
            </w:r>
            <w:r w:rsidR="006675C2">
              <w:rPr>
                <w:bCs/>
                <w:sz w:val="24"/>
                <w:szCs w:val="24"/>
                <w:lang w:val="ro-MD"/>
              </w:rPr>
              <w:t>t gestionarea surselor financiar</w:t>
            </w:r>
            <w:r w:rsidR="006675C2" w:rsidRPr="006675C2">
              <w:rPr>
                <w:bCs/>
                <w:sz w:val="24"/>
                <w:szCs w:val="24"/>
                <w:lang w:val="ro-MD"/>
              </w:rPr>
              <w:t>e</w:t>
            </w:r>
            <w:r w:rsidR="006675C2">
              <w:rPr>
                <w:bCs/>
                <w:sz w:val="24"/>
                <w:szCs w:val="24"/>
                <w:lang w:val="ro-MD"/>
              </w:rPr>
              <w:t xml:space="preserve"> acumulate pentru dezvoltarea bazei normative în construcții (SDNC)</w:t>
            </w:r>
            <w:r w:rsidR="009D632A">
              <w:rPr>
                <w:bCs/>
                <w:sz w:val="24"/>
                <w:szCs w:val="24"/>
                <w:lang w:val="ro-MD"/>
              </w:rPr>
              <w:t xml:space="preserve"> pentru realizarea obligațiilor asumate de Republica Moldova față de UE</w:t>
            </w:r>
            <w:r w:rsidRPr="006675C2">
              <w:rPr>
                <w:bCs/>
                <w:sz w:val="24"/>
                <w:szCs w:val="24"/>
                <w:lang w:val="ro-MD"/>
              </w:rPr>
              <w:t>.</w:t>
            </w:r>
          </w:p>
          <w:p w14:paraId="361768BB" w14:textId="3162EB42" w:rsidR="00A30980" w:rsidRPr="006675C2" w:rsidRDefault="00A30980" w:rsidP="00521CF4">
            <w:pPr>
              <w:spacing w:before="60" w:after="60" w:line="276" w:lineRule="auto"/>
              <w:ind w:firstLine="454"/>
              <w:rPr>
                <w:bCs/>
                <w:sz w:val="24"/>
                <w:szCs w:val="24"/>
                <w:lang w:val="ro-MD"/>
              </w:rPr>
            </w:pPr>
            <w:r w:rsidRPr="00A30980">
              <w:rPr>
                <w:bCs/>
                <w:sz w:val="24"/>
                <w:szCs w:val="24"/>
                <w:lang w:val="ro-MD"/>
              </w:rPr>
              <w:t>Efectele pozitive ale opțiunii recomandate sunt descrise la pct.1 subpct.b) și pct.4 subpct.b1) ale prezentei analize.</w:t>
            </w:r>
          </w:p>
          <w:p w14:paraId="21B77544" w14:textId="77777777" w:rsidR="00BD030C" w:rsidRPr="005946BF" w:rsidRDefault="00BD030C" w:rsidP="00521CF4">
            <w:pPr>
              <w:spacing w:before="60" w:after="60" w:line="276" w:lineRule="auto"/>
              <w:ind w:firstLine="454"/>
              <w:rPr>
                <w:rFonts w:eastAsia="Calibri"/>
                <w:bCs/>
                <w:sz w:val="24"/>
                <w:szCs w:val="24"/>
                <w:u w:val="single"/>
                <w:lang w:val="ro-MD" w:eastAsia="ja-JP"/>
              </w:rPr>
            </w:pPr>
            <w:r w:rsidRPr="005946BF">
              <w:rPr>
                <w:rFonts w:eastAsia="Calibri"/>
                <w:bCs/>
                <w:sz w:val="24"/>
                <w:szCs w:val="24"/>
                <w:u w:val="single"/>
                <w:lang w:val="ro-MD" w:eastAsia="ja-JP"/>
              </w:rPr>
              <w:t>Costuri:</w:t>
            </w:r>
          </w:p>
          <w:p w14:paraId="0B8235DB" w14:textId="222EB9EA" w:rsidR="00BD030C" w:rsidRDefault="00BD030C" w:rsidP="00521CF4">
            <w:pPr>
              <w:spacing w:before="60" w:after="60" w:line="276" w:lineRule="auto"/>
              <w:ind w:firstLine="454"/>
              <w:rPr>
                <w:rFonts w:eastAsia="Calibri"/>
                <w:bCs/>
                <w:sz w:val="24"/>
                <w:szCs w:val="24"/>
                <w:lang w:val="ro-MD" w:eastAsia="ja-JP"/>
              </w:rPr>
            </w:pPr>
            <w:r w:rsidRPr="005946BF">
              <w:rPr>
                <w:rFonts w:eastAsia="Calibri"/>
                <w:bCs/>
                <w:sz w:val="24"/>
                <w:szCs w:val="24"/>
                <w:lang w:val="ro-MD" w:eastAsia="ja-JP"/>
              </w:rPr>
              <w:t>Costuri directe privind implementarea proiectului de lege nu implică alocarea mijloacelor financiare</w:t>
            </w:r>
            <w:r>
              <w:rPr>
                <w:rFonts w:eastAsia="Calibri"/>
                <w:bCs/>
                <w:sz w:val="24"/>
                <w:szCs w:val="24"/>
                <w:lang w:val="ro-MD" w:eastAsia="ja-JP"/>
              </w:rPr>
              <w:t xml:space="preserve"> suplimentare</w:t>
            </w:r>
            <w:r w:rsidRPr="005946BF">
              <w:rPr>
                <w:rFonts w:eastAsia="Calibri"/>
                <w:bCs/>
                <w:sz w:val="24"/>
                <w:szCs w:val="24"/>
                <w:lang w:val="ro-MD" w:eastAsia="ja-JP"/>
              </w:rPr>
              <w:t xml:space="preserve"> de la bugetul de stat</w:t>
            </w:r>
            <w:r w:rsidR="00D75542">
              <w:rPr>
                <w:rFonts w:eastAsia="Calibri"/>
                <w:bCs/>
                <w:sz w:val="24"/>
                <w:szCs w:val="24"/>
                <w:lang w:val="ro-MD" w:eastAsia="ja-JP"/>
              </w:rPr>
              <w:t xml:space="preserve">, cu excepția celor prevăzute de art.347 din Codul Urbanismului și </w:t>
            </w:r>
            <w:r w:rsidR="00D75542">
              <w:rPr>
                <w:rFonts w:eastAsia="Calibri"/>
                <w:bCs/>
                <w:sz w:val="24"/>
                <w:szCs w:val="24"/>
                <w:lang w:val="ro-MD" w:eastAsia="ja-JP"/>
              </w:rPr>
              <w:lastRenderedPageBreak/>
              <w:t>construcțiilor nr.434/2023</w:t>
            </w:r>
            <w:r w:rsidR="00197389">
              <w:rPr>
                <w:rFonts w:eastAsia="Calibri"/>
                <w:bCs/>
                <w:sz w:val="24"/>
                <w:szCs w:val="24"/>
                <w:lang w:val="ro-MD" w:eastAsia="ja-JP"/>
              </w:rPr>
              <w:t xml:space="preserve"> și transpuse în art.3 alin.(3) al proiectului de act normativ, care includ mijloace financiare:</w:t>
            </w:r>
          </w:p>
          <w:p w14:paraId="2F10E0B6" w14:textId="271E4433" w:rsidR="0096776C" w:rsidRDefault="002A20F3" w:rsidP="00521CF4">
            <w:pPr>
              <w:spacing w:before="60" w:after="60" w:line="276" w:lineRule="auto"/>
              <w:ind w:firstLine="454"/>
              <w:rPr>
                <w:rFonts w:eastAsia="Calibri"/>
                <w:bCs/>
                <w:sz w:val="24"/>
                <w:szCs w:val="24"/>
                <w:lang w:val="ro-MD" w:eastAsia="ja-JP"/>
              </w:rPr>
            </w:pPr>
            <w:r w:rsidRPr="002A20F3">
              <w:rPr>
                <w:rFonts w:eastAsia="Calibri"/>
                <w:bCs/>
                <w:sz w:val="24"/>
                <w:szCs w:val="24"/>
                <w:lang w:val="ro-MD" w:eastAsia="ja-JP"/>
              </w:rPr>
              <w:t>-</w:t>
            </w:r>
            <w:r w:rsidRPr="002A20F3">
              <w:rPr>
                <w:rFonts w:eastAsia="Calibri"/>
                <w:bCs/>
                <w:sz w:val="24"/>
                <w:szCs w:val="24"/>
                <w:lang w:val="ro-MD" w:eastAsia="ja-JP"/>
              </w:rPr>
              <w:tab/>
            </w:r>
            <w:r w:rsidR="0096776C" w:rsidRPr="0096776C">
              <w:rPr>
                <w:rFonts w:eastAsia="Calibri"/>
                <w:bCs/>
                <w:sz w:val="24"/>
                <w:szCs w:val="24"/>
                <w:lang w:val="ro-MD" w:eastAsia="ja-JP"/>
              </w:rPr>
              <w:t>alocații aprobate prin legea anuală a bugetului de stat, în corespundere cu prevederile Legii finanțelor publice și responsabilității bugetar-fiscale nr.181/2014;</w:t>
            </w:r>
          </w:p>
          <w:p w14:paraId="4A9F6FCC" w14:textId="4F2B2999" w:rsidR="0096776C" w:rsidRDefault="0096776C" w:rsidP="00521CF4">
            <w:pPr>
              <w:spacing w:before="60" w:after="60" w:line="276" w:lineRule="auto"/>
              <w:ind w:firstLine="454"/>
              <w:rPr>
                <w:rFonts w:eastAsia="Calibri"/>
                <w:bCs/>
                <w:sz w:val="24"/>
                <w:szCs w:val="24"/>
                <w:lang w:val="ro-MD" w:eastAsia="ja-JP"/>
              </w:rPr>
            </w:pPr>
            <w:r>
              <w:rPr>
                <w:rFonts w:eastAsia="Calibri"/>
                <w:bCs/>
                <w:sz w:val="24"/>
                <w:szCs w:val="24"/>
                <w:lang w:val="ro-MD" w:eastAsia="ja-JP"/>
              </w:rPr>
              <w:t xml:space="preserve">- </w:t>
            </w:r>
            <w:r w:rsidRPr="0096776C">
              <w:rPr>
                <w:rFonts w:eastAsia="Calibri"/>
                <w:bCs/>
                <w:sz w:val="24"/>
                <w:szCs w:val="24"/>
                <w:lang w:val="ro-MD" w:eastAsia="ja-JP"/>
              </w:rPr>
              <w:t>defalcări ale investitorilor în construcții, prin transferul la bugetul de stat, indiferent de forma de proprietate, în mărime de 0,5 la sută din volumul investițiilor în capitalul fix pentru obiectivele care nu sunt finanțate din bugetul public național;</w:t>
            </w:r>
          </w:p>
          <w:p w14:paraId="5E524C23" w14:textId="0A8C12AA" w:rsidR="00246FE4" w:rsidRPr="00207783" w:rsidRDefault="00E24B08" w:rsidP="00521CF4">
            <w:pPr>
              <w:spacing w:before="60" w:after="60" w:line="276" w:lineRule="auto"/>
              <w:ind w:firstLine="454"/>
              <w:rPr>
                <w:rFonts w:eastAsia="Calibri"/>
                <w:bCs/>
                <w:sz w:val="22"/>
                <w:szCs w:val="22"/>
                <w:lang w:val="ro-MD" w:eastAsia="ja-JP"/>
              </w:rPr>
            </w:pPr>
            <w:r>
              <w:rPr>
                <w:rFonts w:eastAsia="Calibri"/>
                <w:bCs/>
                <w:sz w:val="24"/>
                <w:szCs w:val="24"/>
                <w:lang w:val="ro-MD" w:eastAsia="ja-JP"/>
              </w:rPr>
              <w:t xml:space="preserve">- </w:t>
            </w:r>
            <w:r w:rsidRPr="00E24B08">
              <w:rPr>
                <w:rFonts w:eastAsia="Calibri"/>
                <w:bCs/>
                <w:sz w:val="24"/>
                <w:szCs w:val="24"/>
                <w:lang w:val="ro-MD" w:eastAsia="ja-JP"/>
              </w:rPr>
              <w:t>surse de asistență externă și din alte surse neinterzise de legislație</w:t>
            </w:r>
            <w:r w:rsidR="003B7A81">
              <w:rPr>
                <w:rFonts w:eastAsia="Calibri"/>
                <w:bCs/>
                <w:sz w:val="24"/>
                <w:szCs w:val="24"/>
                <w:lang w:val="ro-MD" w:eastAsia="ja-JP"/>
              </w:rPr>
              <w:t xml:space="preserve">, inclusiv </w:t>
            </w:r>
            <w:r w:rsidR="002A20F3" w:rsidRPr="002A20F3">
              <w:rPr>
                <w:rFonts w:eastAsia="Calibri"/>
                <w:bCs/>
                <w:sz w:val="24"/>
                <w:szCs w:val="24"/>
                <w:lang w:val="ro-MD" w:eastAsia="ja-JP"/>
              </w:rPr>
              <w:t>sub formă de donații, granturi, mijloace financiare alocate de către partenerii de dezvoltare/instituțiile financiare internaționale donatoare pentru implementarea proiectelor</w:t>
            </w:r>
            <w:r w:rsidR="003B7A81">
              <w:rPr>
                <w:rFonts w:eastAsia="Calibri"/>
                <w:bCs/>
                <w:sz w:val="24"/>
                <w:szCs w:val="24"/>
                <w:lang w:val="ro-MD" w:eastAsia="ja-JP"/>
              </w:rPr>
              <w:t xml:space="preserve"> și alte surse legale.</w:t>
            </w:r>
          </w:p>
        </w:tc>
      </w:tr>
      <w:tr w:rsidR="00111EE3" w:rsidRPr="00207783" w14:paraId="61CBBB4E" w14:textId="77777777" w:rsidTr="00772AD3">
        <w:tc>
          <w:tcPr>
            <w:tcW w:w="5000" w:type="pct"/>
            <w:gridSpan w:val="5"/>
          </w:tcPr>
          <w:p w14:paraId="254EF9A3" w14:textId="77777777" w:rsidR="00111EE3" w:rsidRPr="00207783" w:rsidRDefault="00111EE3" w:rsidP="00B01AA7">
            <w:pPr>
              <w:ind w:firstLine="567"/>
              <w:contextualSpacing/>
              <w:rPr>
                <w:rFonts w:eastAsia="Calibri"/>
                <w:bCs/>
                <w:i/>
                <w:sz w:val="22"/>
                <w:szCs w:val="22"/>
                <w:lang w:val="ro-MD" w:eastAsia="ja-JP"/>
              </w:rPr>
            </w:pPr>
            <w:r w:rsidRPr="00207783">
              <w:rPr>
                <w:rFonts w:eastAsia="Calibri"/>
                <w:bCs/>
                <w:i/>
                <w:sz w:val="22"/>
                <w:szCs w:val="22"/>
                <w:lang w:val="ro-MD" w:eastAsia="ja-JP"/>
              </w:rPr>
              <w:lastRenderedPageBreak/>
              <w:t>b</w:t>
            </w:r>
            <w:r w:rsidRPr="00207783">
              <w:rPr>
                <w:rFonts w:eastAsia="Calibri"/>
                <w:bCs/>
                <w:i/>
                <w:sz w:val="22"/>
                <w:szCs w:val="22"/>
                <w:vertAlign w:val="superscript"/>
                <w:lang w:val="ro-MD" w:eastAsia="ja-JP"/>
              </w:rPr>
              <w:t>2</w:t>
            </w:r>
            <w:r w:rsidRPr="00207783">
              <w:rPr>
                <w:rFonts w:eastAsia="Calibri"/>
                <w:bCs/>
                <w:i/>
                <w:sz w:val="22"/>
                <w:szCs w:val="22"/>
                <w:lang w:val="ro-MD" w:eastAsia="ja-JP"/>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111EE3" w:rsidRPr="00207783" w14:paraId="4E5366F5" w14:textId="77777777" w:rsidTr="00772AD3">
        <w:trPr>
          <w:trHeight w:val="454"/>
        </w:trPr>
        <w:tc>
          <w:tcPr>
            <w:tcW w:w="5000" w:type="pct"/>
            <w:gridSpan w:val="5"/>
          </w:tcPr>
          <w:p w14:paraId="5FDD780D" w14:textId="41E9C579" w:rsidR="00111EE3" w:rsidRPr="00893B4E" w:rsidRDefault="00111EE3" w:rsidP="00EE425B">
            <w:pPr>
              <w:spacing w:before="60" w:after="60" w:line="276" w:lineRule="auto"/>
              <w:ind w:firstLine="522"/>
              <w:jc w:val="left"/>
              <w:rPr>
                <w:rFonts w:eastAsia="Calibri"/>
                <w:bCs/>
                <w:sz w:val="24"/>
                <w:szCs w:val="24"/>
                <w:lang w:val="ro-MD" w:eastAsia="ja-JP"/>
              </w:rPr>
            </w:pPr>
            <w:r w:rsidRPr="00893B4E">
              <w:rPr>
                <w:rFonts w:eastAsia="Calibri"/>
                <w:bCs/>
                <w:sz w:val="24"/>
                <w:szCs w:val="24"/>
                <w:lang w:val="ro-MD" w:eastAsia="ja-JP"/>
              </w:rPr>
              <w:t xml:space="preserve">Reieșind din prevederile legislației </w:t>
            </w:r>
            <w:r w:rsidR="005666C5" w:rsidRPr="00893B4E">
              <w:rPr>
                <w:rFonts w:eastAsia="Calibri"/>
                <w:bCs/>
                <w:sz w:val="24"/>
                <w:szCs w:val="24"/>
                <w:lang w:val="ro-MD" w:eastAsia="ja-JP"/>
              </w:rPr>
              <w:t>aplicabil</w:t>
            </w:r>
            <w:r w:rsidR="005666C5">
              <w:rPr>
                <w:rFonts w:eastAsia="Calibri"/>
                <w:bCs/>
                <w:sz w:val="24"/>
                <w:szCs w:val="24"/>
                <w:lang w:val="ro-MD" w:eastAsia="ja-JP"/>
              </w:rPr>
              <w:t>e</w:t>
            </w:r>
            <w:r w:rsidR="005666C5" w:rsidRPr="00893B4E">
              <w:rPr>
                <w:rFonts w:eastAsia="Calibri"/>
                <w:bCs/>
                <w:sz w:val="24"/>
                <w:szCs w:val="24"/>
                <w:lang w:val="ro-MD" w:eastAsia="ja-JP"/>
              </w:rPr>
              <w:t xml:space="preserve"> </w:t>
            </w:r>
            <w:r w:rsidRPr="00893B4E">
              <w:rPr>
                <w:rFonts w:eastAsia="Calibri"/>
                <w:bCs/>
                <w:sz w:val="24"/>
                <w:szCs w:val="24"/>
                <w:lang w:val="ro-MD" w:eastAsia="ja-JP"/>
              </w:rPr>
              <w:t>în vigoare, nu au fost analizate opțiuni alternative.</w:t>
            </w:r>
          </w:p>
        </w:tc>
      </w:tr>
      <w:tr w:rsidR="00111EE3" w:rsidRPr="00207783" w14:paraId="06CA0E71" w14:textId="77777777" w:rsidTr="00772AD3">
        <w:tc>
          <w:tcPr>
            <w:tcW w:w="5000" w:type="pct"/>
            <w:gridSpan w:val="5"/>
          </w:tcPr>
          <w:p w14:paraId="70A1B5D8" w14:textId="77777777" w:rsidR="00111EE3" w:rsidRPr="00207783" w:rsidRDefault="00B01AA7" w:rsidP="00B01AA7">
            <w:pPr>
              <w:ind w:firstLine="567"/>
              <w:contextualSpacing/>
              <w:rPr>
                <w:rFonts w:eastAsia="Calibri"/>
                <w:bCs/>
                <w:i/>
                <w:sz w:val="22"/>
                <w:szCs w:val="22"/>
                <w:lang w:val="ro-MD" w:eastAsia="ja-JP"/>
              </w:rPr>
            </w:pPr>
            <w:r w:rsidRPr="00207783">
              <w:rPr>
                <w:rFonts w:eastAsia="Calibri"/>
                <w:bCs/>
                <w:i/>
                <w:sz w:val="22"/>
                <w:szCs w:val="22"/>
                <w:lang w:val="ro-MD" w:eastAsia="ja-JP"/>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01AA7" w:rsidRPr="00207783" w14:paraId="03589538" w14:textId="77777777" w:rsidTr="00772AD3">
        <w:tc>
          <w:tcPr>
            <w:tcW w:w="5000" w:type="pct"/>
            <w:gridSpan w:val="5"/>
          </w:tcPr>
          <w:p w14:paraId="4DFD23F0" w14:textId="1FC9AC15" w:rsidR="00B01AA7" w:rsidRPr="00207783" w:rsidRDefault="005B5995" w:rsidP="00A87BB0">
            <w:pPr>
              <w:spacing w:before="80" w:after="80" w:line="276" w:lineRule="auto"/>
              <w:ind w:firstLine="567"/>
              <w:rPr>
                <w:rFonts w:eastAsia="Calibri"/>
                <w:bCs/>
                <w:sz w:val="22"/>
                <w:szCs w:val="22"/>
                <w:lang w:val="ro-MD" w:eastAsia="ja-JP"/>
              </w:rPr>
            </w:pPr>
            <w:r w:rsidRPr="00893B4E">
              <w:rPr>
                <w:rFonts w:eastAsia="Calibri"/>
                <w:bCs/>
                <w:sz w:val="24"/>
                <w:szCs w:val="24"/>
                <w:lang w:val="ro-MD" w:eastAsia="ja-JP"/>
              </w:rPr>
              <w:t>În urma analizei opțiunii recomandate nu au fost identificate riscuri majore care ar putea duce la eșecul intervenției sau la efecte negative în general.</w:t>
            </w:r>
          </w:p>
        </w:tc>
      </w:tr>
      <w:tr w:rsidR="000849A2" w:rsidRPr="00207783" w14:paraId="43665220" w14:textId="77777777" w:rsidTr="00772AD3">
        <w:tc>
          <w:tcPr>
            <w:tcW w:w="5000" w:type="pct"/>
            <w:gridSpan w:val="5"/>
          </w:tcPr>
          <w:p w14:paraId="78612F73" w14:textId="77777777" w:rsidR="000849A2" w:rsidRPr="00207783" w:rsidRDefault="000849A2" w:rsidP="00C84FE1">
            <w:pPr>
              <w:ind w:firstLine="567"/>
              <w:contextualSpacing/>
              <w:rPr>
                <w:rFonts w:eastAsia="Calibri"/>
                <w:bCs/>
                <w:i/>
                <w:sz w:val="22"/>
                <w:szCs w:val="22"/>
                <w:lang w:val="ro-MD" w:eastAsia="ja-JP"/>
              </w:rPr>
            </w:pPr>
            <w:r w:rsidRPr="00207783">
              <w:rPr>
                <w:rFonts w:eastAsia="Calibri"/>
                <w:bCs/>
                <w:i/>
                <w:sz w:val="22"/>
                <w:szCs w:val="22"/>
                <w:lang w:val="ro-MD" w:eastAsia="ja-JP"/>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0849A2" w:rsidRPr="00207783" w14:paraId="354D1E3A" w14:textId="77777777" w:rsidTr="00974562">
        <w:trPr>
          <w:trHeight w:val="454"/>
        </w:trPr>
        <w:tc>
          <w:tcPr>
            <w:tcW w:w="5000" w:type="pct"/>
            <w:gridSpan w:val="5"/>
            <w:vAlign w:val="center"/>
          </w:tcPr>
          <w:p w14:paraId="47697F80" w14:textId="12102E4B" w:rsidR="000849A2" w:rsidRPr="00893B4E" w:rsidRDefault="005B5995" w:rsidP="00974562">
            <w:pPr>
              <w:spacing w:line="276" w:lineRule="auto"/>
              <w:ind w:firstLine="567"/>
              <w:jc w:val="left"/>
              <w:rPr>
                <w:rFonts w:eastAsia="Calibri"/>
                <w:bCs/>
                <w:sz w:val="24"/>
                <w:szCs w:val="24"/>
                <w:lang w:val="ro-MD" w:eastAsia="ja-JP"/>
              </w:rPr>
            </w:pPr>
            <w:r w:rsidRPr="00893B4E">
              <w:rPr>
                <w:rFonts w:eastAsia="Calibri"/>
                <w:bCs/>
                <w:sz w:val="24"/>
                <w:szCs w:val="24"/>
                <w:lang w:val="ro-MD" w:eastAsia="ja-JP"/>
              </w:rPr>
              <w:t xml:space="preserve">Prevederile proiectului nu implică costuri </w:t>
            </w:r>
            <w:r>
              <w:rPr>
                <w:rFonts w:eastAsia="Calibri"/>
                <w:bCs/>
                <w:sz w:val="24"/>
                <w:szCs w:val="24"/>
                <w:lang w:val="ro-MD" w:eastAsia="ja-JP"/>
              </w:rPr>
              <w:t>suplimentare</w:t>
            </w:r>
            <w:r w:rsidRPr="00893B4E">
              <w:rPr>
                <w:rFonts w:eastAsia="Calibri"/>
                <w:bCs/>
                <w:sz w:val="24"/>
                <w:szCs w:val="24"/>
                <w:lang w:val="ro-MD" w:eastAsia="ja-JP"/>
              </w:rPr>
              <w:t xml:space="preserve"> pentru agenții economici.</w:t>
            </w:r>
          </w:p>
        </w:tc>
      </w:tr>
      <w:tr w:rsidR="00CB4C8A" w:rsidRPr="00207783" w14:paraId="361538D1" w14:textId="77777777" w:rsidTr="00772AD3">
        <w:trPr>
          <w:trHeight w:val="794"/>
        </w:trPr>
        <w:tc>
          <w:tcPr>
            <w:tcW w:w="5000" w:type="pct"/>
            <w:gridSpan w:val="5"/>
            <w:hideMark/>
          </w:tcPr>
          <w:p w14:paraId="6A8D70E8" w14:textId="77777777" w:rsidR="00CB4C8A" w:rsidRPr="00207783" w:rsidRDefault="00CB4C8A" w:rsidP="00CB4C8A">
            <w:pPr>
              <w:ind w:firstLine="567"/>
              <w:jc w:val="left"/>
              <w:rPr>
                <w:b/>
                <w:bCs/>
                <w:sz w:val="24"/>
                <w:szCs w:val="24"/>
                <w:u w:val="single"/>
                <w:lang w:val="ro-MD"/>
              </w:rPr>
            </w:pPr>
            <w:r w:rsidRPr="00207783">
              <w:rPr>
                <w:b/>
                <w:bCs/>
                <w:sz w:val="24"/>
                <w:szCs w:val="24"/>
                <w:u w:val="single"/>
                <w:lang w:val="ro-MD"/>
              </w:rPr>
              <w:t>Concluzie</w:t>
            </w:r>
          </w:p>
          <w:p w14:paraId="4F316C51" w14:textId="77777777" w:rsidR="00CB4C8A" w:rsidRPr="00207783" w:rsidRDefault="00CB4C8A" w:rsidP="00A03D6B">
            <w:pPr>
              <w:ind w:firstLine="567"/>
              <w:rPr>
                <w:sz w:val="24"/>
                <w:szCs w:val="24"/>
                <w:lang w:val="ro-MD"/>
              </w:rPr>
            </w:pPr>
            <w:r w:rsidRPr="00207783">
              <w:rPr>
                <w:bCs/>
                <w:i/>
                <w:sz w:val="24"/>
                <w:szCs w:val="24"/>
                <w:lang w:val="ro-MD"/>
              </w:rPr>
              <w:t xml:space="preserve">e) Argumentați selectarea unei opțiunii, în baza atingerii obiectivelor, beneficiilor și costurilor, precum și a asigurării celui mai mic impact negativ asupra celor afectați </w:t>
            </w:r>
          </w:p>
        </w:tc>
      </w:tr>
      <w:tr w:rsidR="00C16C9F" w:rsidRPr="00207783" w14:paraId="489698B6" w14:textId="77777777" w:rsidTr="00772AD3">
        <w:tc>
          <w:tcPr>
            <w:tcW w:w="5000" w:type="pct"/>
            <w:gridSpan w:val="5"/>
          </w:tcPr>
          <w:p w14:paraId="67317826" w14:textId="229AFDE7" w:rsidR="00710A88" w:rsidRPr="00F65885" w:rsidRDefault="00710A88" w:rsidP="00C214B4">
            <w:pPr>
              <w:spacing w:before="80" w:after="80" w:line="276" w:lineRule="auto"/>
              <w:ind w:firstLine="522"/>
              <w:rPr>
                <w:sz w:val="24"/>
                <w:szCs w:val="24"/>
                <w:lang w:val="ro-MD"/>
              </w:rPr>
            </w:pPr>
            <w:r w:rsidRPr="00F65885">
              <w:rPr>
                <w:sz w:val="24"/>
                <w:szCs w:val="24"/>
                <w:lang w:val="ro-MD"/>
              </w:rPr>
              <w:t xml:space="preserve">Putem concluziona că </w:t>
            </w:r>
            <w:r w:rsidRPr="008B3690">
              <w:rPr>
                <w:b/>
                <w:bCs/>
                <w:sz w:val="24"/>
                <w:szCs w:val="24"/>
                <w:lang w:val="ro-MD"/>
              </w:rPr>
              <w:t>Opțiunea II</w:t>
            </w:r>
            <w:r w:rsidRPr="00F65885">
              <w:rPr>
                <w:sz w:val="24"/>
                <w:szCs w:val="24"/>
                <w:lang w:val="ro-MD"/>
              </w:rPr>
              <w:t xml:space="preserve"> va oferi mai bune avantaje economice și sociale. </w:t>
            </w:r>
          </w:p>
          <w:p w14:paraId="4E054754" w14:textId="43FA3393" w:rsidR="00C16C9F" w:rsidRDefault="00710A88" w:rsidP="00C214B4">
            <w:pPr>
              <w:spacing w:before="80" w:after="80" w:line="276" w:lineRule="auto"/>
              <w:ind w:firstLine="567"/>
              <w:rPr>
                <w:sz w:val="24"/>
                <w:szCs w:val="24"/>
                <w:lang w:val="ro-MD"/>
              </w:rPr>
            </w:pPr>
            <w:r w:rsidRPr="008332B4">
              <w:rPr>
                <w:sz w:val="24"/>
                <w:szCs w:val="24"/>
                <w:lang w:val="ro-MD"/>
              </w:rPr>
              <w:t>Astfel se optează pentru promovarea Opțiunii II ca fiind una ce corespunde criteriului de planificare a unei regle</w:t>
            </w:r>
            <w:r w:rsidR="00C50C0F" w:rsidRPr="008332B4">
              <w:rPr>
                <w:sz w:val="24"/>
                <w:szCs w:val="24"/>
                <w:lang w:val="ro-MD"/>
              </w:rPr>
              <w:t xml:space="preserve">mentări eficiente, </w:t>
            </w:r>
            <w:r w:rsidRPr="008332B4">
              <w:rPr>
                <w:sz w:val="24"/>
                <w:szCs w:val="24"/>
                <w:lang w:val="ro-MD"/>
              </w:rPr>
              <w:t>agenții econo</w:t>
            </w:r>
            <w:r w:rsidR="00C50C0F" w:rsidRPr="008332B4">
              <w:rPr>
                <w:sz w:val="24"/>
                <w:szCs w:val="24"/>
                <w:lang w:val="ro-MD"/>
              </w:rPr>
              <w:t>mici și alți subiecți implicați în domeniul vizat</w:t>
            </w:r>
            <w:r w:rsidR="0084074A" w:rsidRPr="008332B4">
              <w:rPr>
                <w:sz w:val="24"/>
                <w:szCs w:val="24"/>
                <w:lang w:val="ro-MD"/>
              </w:rPr>
              <w:t>, care v</w:t>
            </w:r>
            <w:r w:rsidR="008332B4">
              <w:rPr>
                <w:sz w:val="24"/>
                <w:szCs w:val="24"/>
                <w:lang w:val="ro-MD"/>
              </w:rPr>
              <w:t>or asigura dezvoltarea și funcționarea SDNC și asigura realizarea construcțiilor în baza unor reglementări tehnice calitative armonizate cu reglementările tehnice ale UE.</w:t>
            </w:r>
          </w:p>
          <w:p w14:paraId="1A508818" w14:textId="26AE837B" w:rsidR="00A468F4" w:rsidRPr="009E267B" w:rsidRDefault="00A468F4" w:rsidP="00C214B4">
            <w:pPr>
              <w:spacing w:before="80" w:after="80" w:line="276" w:lineRule="auto"/>
              <w:ind w:firstLine="567"/>
              <w:rPr>
                <w:sz w:val="22"/>
                <w:szCs w:val="22"/>
                <w:highlight w:val="yellow"/>
                <w:lang w:val="ro-MD"/>
              </w:rPr>
            </w:pPr>
            <w:r w:rsidRPr="00A468F4">
              <w:rPr>
                <w:sz w:val="22"/>
                <w:szCs w:val="22"/>
                <w:lang w:val="ro-MD"/>
              </w:rPr>
              <w:t>Efectele pozitive ale opțiunii recomandate sunt descrise la pct.1 subpct.b) și pct.4 subpct.b1) ale</w:t>
            </w:r>
            <w:r>
              <w:rPr>
                <w:sz w:val="22"/>
                <w:szCs w:val="22"/>
                <w:lang w:val="ro-MD"/>
              </w:rPr>
              <w:t xml:space="preserve"> </w:t>
            </w:r>
            <w:r w:rsidRPr="00A468F4">
              <w:rPr>
                <w:sz w:val="22"/>
                <w:szCs w:val="22"/>
                <w:lang w:val="ro-MD"/>
              </w:rPr>
              <w:t>prezentei analize.</w:t>
            </w:r>
          </w:p>
          <w:p w14:paraId="210D9F0A" w14:textId="2B875D13" w:rsidR="00D16B7B" w:rsidRDefault="00B851A9" w:rsidP="00C214B4">
            <w:pPr>
              <w:pStyle w:val="Default"/>
              <w:spacing w:before="80" w:after="80" w:line="276" w:lineRule="auto"/>
              <w:ind w:firstLine="567"/>
              <w:jc w:val="both"/>
              <w:rPr>
                <w:lang w:val="ro-MD"/>
              </w:rPr>
            </w:pPr>
            <w:r w:rsidRPr="00C814BE">
              <w:rPr>
                <w:lang w:val="ro-MD"/>
              </w:rPr>
              <w:t xml:space="preserve">Propunerea </w:t>
            </w:r>
            <w:r w:rsidR="00C814BE" w:rsidRPr="00C814BE">
              <w:rPr>
                <w:lang w:val="ro-MD"/>
              </w:rPr>
              <w:t>proiectului de</w:t>
            </w:r>
            <w:r w:rsidRPr="00C814BE">
              <w:rPr>
                <w:lang w:val="ro-MD"/>
              </w:rPr>
              <w:t xml:space="preserve"> actul</w:t>
            </w:r>
            <w:r w:rsidR="00C814BE" w:rsidRPr="00C814BE">
              <w:rPr>
                <w:lang w:val="ro-MD"/>
              </w:rPr>
              <w:t xml:space="preserve"> </w:t>
            </w:r>
            <w:r w:rsidRPr="00C814BE">
              <w:rPr>
                <w:lang w:val="ro-MD"/>
              </w:rPr>
              <w:t xml:space="preserve">normativ va contribui la îmbunătățirea </w:t>
            </w:r>
            <w:r w:rsidR="00D16B7B">
              <w:rPr>
                <w:lang w:val="ro-MD"/>
              </w:rPr>
              <w:t xml:space="preserve">situației </w:t>
            </w:r>
            <w:r w:rsidR="00684EBF">
              <w:rPr>
                <w:lang w:val="ro-MD"/>
              </w:rPr>
              <w:t xml:space="preserve">din sectorul construcțiilor </w:t>
            </w:r>
            <w:r w:rsidR="00D16B7B">
              <w:rPr>
                <w:lang w:val="ro-MD"/>
              </w:rPr>
              <w:t xml:space="preserve">și asigura buna realizare a obiectivului privid dezvoltarea SDNC, </w:t>
            </w:r>
            <w:r w:rsidR="00684EBF">
              <w:rPr>
                <w:lang w:val="ro-MD"/>
              </w:rPr>
              <w:t>calității în construcții,</w:t>
            </w:r>
            <w:r w:rsidR="000A3EEC">
              <w:rPr>
                <w:lang w:val="ro-MD"/>
              </w:rPr>
              <w:t xml:space="preserve"> participarea mai activă a companiilor de construcții la dezvoltarea SDNC, urmare a asigurării transparenței în gestionarea surselor financiare și </w:t>
            </w:r>
            <w:r w:rsidR="00A13EBF">
              <w:rPr>
                <w:lang w:val="ro-MD"/>
              </w:rPr>
              <w:t xml:space="preserve">întoarcerii </w:t>
            </w:r>
            <w:r w:rsidR="000A3EEC">
              <w:rPr>
                <w:lang w:val="ro-MD"/>
              </w:rPr>
              <w:t>încrederii acestora prin crearea Fond</w:t>
            </w:r>
            <w:r w:rsidR="00A13EBF">
              <w:rPr>
                <w:lang w:val="ro-MD"/>
              </w:rPr>
              <w:t>ului</w:t>
            </w:r>
            <w:r w:rsidR="000A3EEC">
              <w:rPr>
                <w:lang w:val="ro-MD"/>
              </w:rPr>
              <w:t xml:space="preserve">. </w:t>
            </w:r>
          </w:p>
          <w:p w14:paraId="37772DA6" w14:textId="287B7681" w:rsidR="00884149" w:rsidRDefault="00245F84" w:rsidP="00C214B4">
            <w:pPr>
              <w:pStyle w:val="Default"/>
              <w:spacing w:before="80" w:after="80" w:line="276" w:lineRule="auto"/>
              <w:ind w:firstLine="567"/>
              <w:jc w:val="both"/>
            </w:pPr>
            <w:r>
              <w:t xml:space="preserve">Fondul </w:t>
            </w:r>
            <w:r w:rsidR="001259F0">
              <w:t xml:space="preserve">creat pentru dezvoltarea </w:t>
            </w:r>
            <w:r>
              <w:t>SDNC</w:t>
            </w:r>
            <w:r w:rsidR="00A12464" w:rsidRPr="00245F84">
              <w:t xml:space="preserve"> v</w:t>
            </w:r>
            <w:r>
              <w:t>a</w:t>
            </w:r>
            <w:r w:rsidR="00A12464" w:rsidRPr="00245F84">
              <w:t xml:space="preserve"> facilita de asemenea și </w:t>
            </w:r>
            <w:r w:rsidR="00C858EE">
              <w:t>implementarea</w:t>
            </w:r>
            <w:r w:rsidR="00A12464" w:rsidRPr="00245F84">
              <w:t xml:space="preserve"> Eurocodurilor </w:t>
            </w:r>
            <w:r w:rsidR="005B4116">
              <w:t>pentru</w:t>
            </w:r>
            <w:r w:rsidR="00A12464" w:rsidRPr="00245F84">
              <w:t xml:space="preserve"> proiectarea </w:t>
            </w:r>
            <w:r w:rsidR="001259F0">
              <w:t xml:space="preserve">construcțiilor și </w:t>
            </w:r>
            <w:r w:rsidR="009F227A">
              <w:t>ajustarea bazei normative ale Moldovei la Eurocoduri și alte standard de calitate ale UE</w:t>
            </w:r>
            <w:r w:rsidR="00A12464" w:rsidRPr="00245F84">
              <w:t>.</w:t>
            </w:r>
            <w:r w:rsidR="003263F9" w:rsidRPr="009F179B">
              <w:t xml:space="preserve"> </w:t>
            </w:r>
          </w:p>
          <w:p w14:paraId="6FDB3BEB" w14:textId="309D7E77" w:rsidR="002D6E7D" w:rsidRPr="00B851A9" w:rsidRDefault="002D6E7D" w:rsidP="00C214B4">
            <w:pPr>
              <w:pStyle w:val="Default"/>
              <w:spacing w:before="80" w:after="80" w:line="276" w:lineRule="auto"/>
              <w:ind w:firstLine="567"/>
              <w:jc w:val="both"/>
            </w:pPr>
            <w:r>
              <w:rPr>
                <w:lang w:val="ro-MD"/>
              </w:rPr>
              <w:t>Astfel,</w:t>
            </w:r>
            <w:r w:rsidRPr="002D6E7D">
              <w:rPr>
                <w:lang w:val="ro-MD"/>
              </w:rPr>
              <w:t xml:space="preserve"> </w:t>
            </w:r>
            <w:r w:rsidRPr="002D6E7D">
              <w:rPr>
                <w:b/>
                <w:bCs/>
                <w:lang w:val="ro-MD"/>
              </w:rPr>
              <w:t>Opțiunea II</w:t>
            </w:r>
            <w:r>
              <w:rPr>
                <w:b/>
                <w:bCs/>
                <w:lang w:val="ro-MD"/>
              </w:rPr>
              <w:t xml:space="preserve"> </w:t>
            </w:r>
            <w:r w:rsidRPr="002D6E7D">
              <w:rPr>
                <w:bCs/>
                <w:lang w:val="ro-MD"/>
              </w:rPr>
              <w:t xml:space="preserve">este </w:t>
            </w:r>
            <w:r>
              <w:rPr>
                <w:bCs/>
                <w:lang w:val="ro-MD"/>
              </w:rPr>
              <w:t>cea mai optimă la moment</w:t>
            </w:r>
            <w:r w:rsidR="009736DC">
              <w:rPr>
                <w:bCs/>
                <w:lang w:val="ro-MD"/>
              </w:rPr>
              <w:t>.</w:t>
            </w:r>
          </w:p>
        </w:tc>
      </w:tr>
      <w:tr w:rsidR="00C16C9F" w:rsidRPr="00207783" w14:paraId="20946EDB" w14:textId="77777777" w:rsidTr="00A03D6B">
        <w:trPr>
          <w:trHeight w:val="454"/>
        </w:trPr>
        <w:tc>
          <w:tcPr>
            <w:tcW w:w="5000" w:type="pct"/>
            <w:gridSpan w:val="5"/>
            <w:vAlign w:val="center"/>
            <w:hideMark/>
          </w:tcPr>
          <w:p w14:paraId="1CD132BE" w14:textId="77777777" w:rsidR="00C16C9F" w:rsidRPr="00207783" w:rsidRDefault="00C16C9F" w:rsidP="00A03D6B">
            <w:pPr>
              <w:ind w:firstLine="567"/>
              <w:jc w:val="left"/>
              <w:rPr>
                <w:sz w:val="24"/>
                <w:szCs w:val="24"/>
                <w:lang w:val="ro-MD"/>
              </w:rPr>
            </w:pPr>
            <w:r w:rsidRPr="00207783">
              <w:rPr>
                <w:b/>
                <w:bCs/>
                <w:sz w:val="24"/>
                <w:szCs w:val="24"/>
                <w:lang w:val="ro-MD"/>
              </w:rPr>
              <w:t>5. Implementarea şi monitorizarea</w:t>
            </w:r>
          </w:p>
        </w:tc>
      </w:tr>
      <w:tr w:rsidR="00A3217C" w:rsidRPr="00207783" w14:paraId="7A7FDE22" w14:textId="77777777" w:rsidTr="00772AD3">
        <w:trPr>
          <w:trHeight w:val="567"/>
        </w:trPr>
        <w:tc>
          <w:tcPr>
            <w:tcW w:w="5000" w:type="pct"/>
            <w:gridSpan w:val="5"/>
            <w:hideMark/>
          </w:tcPr>
          <w:p w14:paraId="796D8B24" w14:textId="77777777" w:rsidR="00A3217C" w:rsidRPr="00207783" w:rsidRDefault="00A3217C" w:rsidP="00A03D6B">
            <w:pPr>
              <w:ind w:firstLine="522"/>
              <w:rPr>
                <w:sz w:val="24"/>
                <w:szCs w:val="24"/>
                <w:lang w:val="ro-MD"/>
              </w:rPr>
            </w:pPr>
            <w:r w:rsidRPr="00207783">
              <w:rPr>
                <w:bCs/>
                <w:i/>
                <w:sz w:val="24"/>
                <w:szCs w:val="24"/>
                <w:lang w:val="ro-MD"/>
              </w:rPr>
              <w:t xml:space="preserve">a) Descrieți cum va fi organizată implementarea opțiunii recomandate, ce cadru juridic necesită a fi modificat și/sau elaborat și aprobat, ce schimbări instituționale sînt necesare   </w:t>
            </w:r>
          </w:p>
        </w:tc>
      </w:tr>
      <w:tr w:rsidR="00205EB7" w:rsidRPr="009D782C" w14:paraId="0C348A25" w14:textId="77777777" w:rsidTr="00772AD3">
        <w:tc>
          <w:tcPr>
            <w:tcW w:w="5000" w:type="pct"/>
            <w:gridSpan w:val="5"/>
          </w:tcPr>
          <w:p w14:paraId="1679BA83" w14:textId="6A51D3A6" w:rsidR="008F770A" w:rsidRDefault="008F770A" w:rsidP="00375EB7">
            <w:pPr>
              <w:spacing w:before="80" w:after="80" w:line="276" w:lineRule="auto"/>
              <w:ind w:firstLine="567"/>
              <w:rPr>
                <w:sz w:val="24"/>
                <w:szCs w:val="24"/>
                <w:lang w:val="ro-MD"/>
              </w:rPr>
            </w:pPr>
            <w:r w:rsidRPr="008F770A">
              <w:rPr>
                <w:sz w:val="24"/>
                <w:szCs w:val="24"/>
                <w:lang w:val="ro-MD"/>
              </w:rPr>
              <w:lastRenderedPageBreak/>
              <w:t xml:space="preserve">Implementarea opțiunii recomandate va fi </w:t>
            </w:r>
            <w:r w:rsidR="006417E9">
              <w:rPr>
                <w:sz w:val="24"/>
                <w:szCs w:val="24"/>
                <w:lang w:val="ro-MD"/>
              </w:rPr>
              <w:t>asigurată</w:t>
            </w:r>
            <w:r w:rsidRPr="008F770A">
              <w:rPr>
                <w:sz w:val="24"/>
                <w:szCs w:val="24"/>
                <w:lang w:val="ro-MD"/>
              </w:rPr>
              <w:t xml:space="preserve"> de către </w:t>
            </w:r>
            <w:r w:rsidR="00C763F3">
              <w:rPr>
                <w:sz w:val="24"/>
                <w:szCs w:val="24"/>
                <w:lang w:val="ro-MD"/>
              </w:rPr>
              <w:t>Ministerul Infrastructurii și Dezvoltării Regionale, inclusiv și prin</w:t>
            </w:r>
            <w:r w:rsidR="005F579A" w:rsidRPr="005F579A">
              <w:rPr>
                <w:sz w:val="24"/>
                <w:szCs w:val="24"/>
                <w:lang w:val="ro-MD"/>
              </w:rPr>
              <w:t xml:space="preserve"> IP „Oficiul Amenajarea Teritoriului, Urbanism, Construcții și Locuințe</w:t>
            </w:r>
            <w:r w:rsidR="005F579A">
              <w:rPr>
                <w:sz w:val="24"/>
                <w:szCs w:val="24"/>
                <w:lang w:val="ro-MD"/>
              </w:rPr>
              <w:t>, conform domeniilor atribuite</w:t>
            </w:r>
            <w:r w:rsidR="005F579A" w:rsidRPr="005F579A">
              <w:rPr>
                <w:sz w:val="24"/>
                <w:szCs w:val="24"/>
                <w:lang w:val="ro-MD"/>
              </w:rPr>
              <w:t>.</w:t>
            </w:r>
          </w:p>
          <w:p w14:paraId="56F4E651" w14:textId="3D590E41" w:rsidR="00205EB7" w:rsidRPr="00207783" w:rsidRDefault="00466D82" w:rsidP="00FB10A1">
            <w:pPr>
              <w:spacing w:before="80" w:after="80" w:line="276" w:lineRule="auto"/>
              <w:ind w:firstLine="567"/>
              <w:rPr>
                <w:sz w:val="24"/>
                <w:szCs w:val="24"/>
                <w:lang w:val="ro-MD"/>
              </w:rPr>
            </w:pPr>
            <w:r>
              <w:rPr>
                <w:sz w:val="24"/>
                <w:szCs w:val="24"/>
                <w:lang w:val="ro-MD"/>
              </w:rPr>
              <w:t>N</w:t>
            </w:r>
            <w:r w:rsidR="002C5D5F" w:rsidRPr="008F770A">
              <w:rPr>
                <w:sz w:val="24"/>
                <w:szCs w:val="24"/>
                <w:lang w:val="ro-MD"/>
              </w:rPr>
              <w:t xml:space="preserve">ecesită modificarea cadrului normativ: </w:t>
            </w:r>
            <w:r w:rsidR="009529CA">
              <w:rPr>
                <w:sz w:val="24"/>
                <w:szCs w:val="24"/>
                <w:lang w:val="ro-MD"/>
              </w:rPr>
              <w:t>Hotărârea Guvernului</w:t>
            </w:r>
            <w:r w:rsidR="002C5D5F" w:rsidRPr="008F770A">
              <w:rPr>
                <w:sz w:val="24"/>
                <w:szCs w:val="24"/>
                <w:lang w:val="ro-MD"/>
              </w:rPr>
              <w:t xml:space="preserve"> nr.</w:t>
            </w:r>
            <w:r w:rsidR="009529CA">
              <w:rPr>
                <w:sz w:val="24"/>
                <w:szCs w:val="24"/>
                <w:lang w:val="ro-MD"/>
              </w:rPr>
              <w:t>633</w:t>
            </w:r>
            <w:r w:rsidR="002C5D5F" w:rsidRPr="008F770A">
              <w:rPr>
                <w:sz w:val="24"/>
                <w:szCs w:val="24"/>
                <w:lang w:val="ro-MD"/>
              </w:rPr>
              <w:t>/20</w:t>
            </w:r>
            <w:r w:rsidR="009529CA">
              <w:rPr>
                <w:sz w:val="24"/>
                <w:szCs w:val="24"/>
                <w:lang w:val="ro-MD"/>
              </w:rPr>
              <w:t>23</w:t>
            </w:r>
            <w:r w:rsidR="002C5D5F" w:rsidRPr="008F770A">
              <w:rPr>
                <w:sz w:val="24"/>
                <w:szCs w:val="24"/>
                <w:lang w:val="ro-MD"/>
              </w:rPr>
              <w:t xml:space="preserve"> </w:t>
            </w:r>
            <w:r w:rsidR="009529CA" w:rsidRPr="009529CA">
              <w:rPr>
                <w:sz w:val="24"/>
                <w:szCs w:val="24"/>
                <w:lang w:val="ro-MD"/>
              </w:rPr>
              <w:t>cu privire la organizarea și funcționarea</w:t>
            </w:r>
            <w:r w:rsidR="009529CA">
              <w:rPr>
                <w:sz w:val="24"/>
                <w:szCs w:val="24"/>
                <w:lang w:val="ro-MD"/>
              </w:rPr>
              <w:t xml:space="preserve"> </w:t>
            </w:r>
            <w:r w:rsidR="009529CA" w:rsidRPr="009529CA">
              <w:rPr>
                <w:sz w:val="24"/>
                <w:szCs w:val="24"/>
                <w:lang w:val="ro-MD"/>
              </w:rPr>
              <w:t>Instituției Publice Oficiul Amenajarea</w:t>
            </w:r>
            <w:r w:rsidR="009529CA">
              <w:rPr>
                <w:sz w:val="24"/>
                <w:szCs w:val="24"/>
                <w:lang w:val="ro-MD"/>
              </w:rPr>
              <w:t xml:space="preserve"> </w:t>
            </w:r>
            <w:r w:rsidR="009529CA" w:rsidRPr="009529CA">
              <w:rPr>
                <w:sz w:val="24"/>
                <w:szCs w:val="24"/>
                <w:lang w:val="ro-MD"/>
              </w:rPr>
              <w:t>Teritoriului, Urbanism, Construcții și</w:t>
            </w:r>
            <w:r w:rsidR="009529CA">
              <w:rPr>
                <w:sz w:val="24"/>
                <w:szCs w:val="24"/>
                <w:lang w:val="ro-MD"/>
              </w:rPr>
              <w:t xml:space="preserve"> </w:t>
            </w:r>
            <w:r w:rsidR="009529CA" w:rsidRPr="009529CA">
              <w:rPr>
                <w:sz w:val="24"/>
                <w:szCs w:val="24"/>
                <w:lang w:val="ro-MD"/>
              </w:rPr>
              <w:t>Locuințe</w:t>
            </w:r>
            <w:r>
              <w:rPr>
                <w:sz w:val="24"/>
                <w:szCs w:val="24"/>
                <w:lang w:val="ro-MD"/>
              </w:rPr>
              <w:t>,</w:t>
            </w:r>
            <w:r w:rsidR="009529CA">
              <w:rPr>
                <w:sz w:val="24"/>
                <w:szCs w:val="24"/>
                <w:lang w:val="ro-MD"/>
              </w:rPr>
              <w:t xml:space="preserve"> </w:t>
            </w:r>
            <w:r w:rsidR="00703669" w:rsidRPr="00703669">
              <w:rPr>
                <w:sz w:val="24"/>
                <w:szCs w:val="24"/>
                <w:lang w:val="ro-MD"/>
              </w:rPr>
              <w:t>Hotărârea Guvernului nr.</w:t>
            </w:r>
            <w:r w:rsidR="00703669">
              <w:rPr>
                <w:sz w:val="24"/>
                <w:szCs w:val="24"/>
                <w:lang w:val="ro-MD"/>
              </w:rPr>
              <w:t>391</w:t>
            </w:r>
            <w:r w:rsidR="00703669" w:rsidRPr="00703669">
              <w:rPr>
                <w:sz w:val="24"/>
                <w:szCs w:val="24"/>
                <w:lang w:val="ro-MD"/>
              </w:rPr>
              <w:t>/2023</w:t>
            </w:r>
            <w:r w:rsidR="00703669">
              <w:rPr>
                <w:sz w:val="24"/>
                <w:szCs w:val="24"/>
                <w:lang w:val="ro-MD"/>
              </w:rPr>
              <w:t xml:space="preserve"> </w:t>
            </w:r>
            <w:r w:rsidR="00703669" w:rsidRPr="00703669">
              <w:rPr>
                <w:sz w:val="24"/>
                <w:szCs w:val="24"/>
                <w:lang w:val="ro-MD"/>
              </w:rPr>
              <w:t>cu privire la organizarea și funcționarea</w:t>
            </w:r>
            <w:r w:rsidR="00703669">
              <w:rPr>
                <w:sz w:val="24"/>
                <w:szCs w:val="24"/>
                <w:lang w:val="ro-MD"/>
              </w:rPr>
              <w:t xml:space="preserve"> </w:t>
            </w:r>
            <w:r w:rsidR="00703669" w:rsidRPr="00703669">
              <w:rPr>
                <w:sz w:val="24"/>
                <w:szCs w:val="24"/>
                <w:lang w:val="ro-MD"/>
              </w:rPr>
              <w:t>Inspectoratului Național pentru Supraveghere</w:t>
            </w:r>
            <w:r w:rsidR="00703669">
              <w:rPr>
                <w:sz w:val="24"/>
                <w:szCs w:val="24"/>
                <w:lang w:val="ro-MD"/>
              </w:rPr>
              <w:t xml:space="preserve"> </w:t>
            </w:r>
            <w:r w:rsidR="00703669" w:rsidRPr="00703669">
              <w:rPr>
                <w:sz w:val="24"/>
                <w:szCs w:val="24"/>
                <w:lang w:val="ro-MD"/>
              </w:rPr>
              <w:t>Tehnică</w:t>
            </w:r>
            <w:r w:rsidR="007D56AA">
              <w:rPr>
                <w:sz w:val="24"/>
                <w:szCs w:val="24"/>
                <w:lang w:val="ro-MD"/>
              </w:rPr>
              <w:t xml:space="preserve"> și </w:t>
            </w:r>
            <w:r w:rsidR="007D56AA" w:rsidRPr="007D56AA">
              <w:rPr>
                <w:sz w:val="24"/>
                <w:szCs w:val="24"/>
                <w:lang w:val="ro-MD"/>
              </w:rPr>
              <w:t>Hotărârea Guvernului nr.</w:t>
            </w:r>
            <w:r w:rsidR="007D56AA">
              <w:rPr>
                <w:sz w:val="24"/>
                <w:szCs w:val="24"/>
                <w:lang w:val="ro-MD"/>
              </w:rPr>
              <w:t>1436</w:t>
            </w:r>
            <w:r w:rsidR="007D56AA" w:rsidRPr="007D56AA">
              <w:rPr>
                <w:sz w:val="24"/>
                <w:szCs w:val="24"/>
                <w:lang w:val="ro-MD"/>
              </w:rPr>
              <w:t>/20</w:t>
            </w:r>
            <w:r w:rsidR="007D56AA">
              <w:rPr>
                <w:sz w:val="24"/>
                <w:szCs w:val="24"/>
                <w:lang w:val="ro-MD"/>
              </w:rPr>
              <w:t xml:space="preserve">08 </w:t>
            </w:r>
            <w:r w:rsidR="00FB10A1" w:rsidRPr="00FB10A1">
              <w:rPr>
                <w:sz w:val="24"/>
                <w:szCs w:val="24"/>
                <w:lang w:val="ro-MD"/>
              </w:rPr>
              <w:t>pentru aprobarea Regulamentului</w:t>
            </w:r>
            <w:r w:rsidR="00FB10A1">
              <w:rPr>
                <w:sz w:val="24"/>
                <w:szCs w:val="24"/>
                <w:lang w:val="ro-MD"/>
              </w:rPr>
              <w:t xml:space="preserve"> </w:t>
            </w:r>
            <w:r w:rsidR="00FB10A1" w:rsidRPr="00FB10A1">
              <w:rPr>
                <w:sz w:val="24"/>
                <w:szCs w:val="24"/>
                <w:lang w:val="ro-MD"/>
              </w:rPr>
              <w:t>cu privire la administrarea mijloacelor</w:t>
            </w:r>
            <w:r w:rsidR="00FB10A1">
              <w:rPr>
                <w:sz w:val="24"/>
                <w:szCs w:val="24"/>
                <w:lang w:val="ro-MD"/>
              </w:rPr>
              <w:t xml:space="preserve"> </w:t>
            </w:r>
            <w:r w:rsidR="00FB10A1" w:rsidRPr="00FB10A1">
              <w:rPr>
                <w:sz w:val="24"/>
                <w:szCs w:val="24"/>
                <w:lang w:val="ro-MD"/>
              </w:rPr>
              <w:t>pentru finanţarea sistemului de</w:t>
            </w:r>
            <w:r w:rsidR="00FB10A1">
              <w:rPr>
                <w:sz w:val="24"/>
                <w:szCs w:val="24"/>
                <w:lang w:val="ro-MD"/>
              </w:rPr>
              <w:t xml:space="preserve"> </w:t>
            </w:r>
            <w:r w:rsidR="00FB10A1" w:rsidRPr="00FB10A1">
              <w:rPr>
                <w:sz w:val="24"/>
                <w:szCs w:val="24"/>
                <w:lang w:val="ro-MD"/>
              </w:rPr>
              <w:t>documente normative în construcţii</w:t>
            </w:r>
            <w:r w:rsidR="00703669">
              <w:rPr>
                <w:sz w:val="24"/>
                <w:szCs w:val="24"/>
                <w:lang w:val="ro-MD"/>
              </w:rPr>
              <w:t>.</w:t>
            </w:r>
          </w:p>
        </w:tc>
      </w:tr>
      <w:tr w:rsidR="00A3217C" w:rsidRPr="00207783" w14:paraId="7B82E4E7" w14:textId="77777777" w:rsidTr="00A03D6B">
        <w:trPr>
          <w:trHeight w:val="397"/>
        </w:trPr>
        <w:tc>
          <w:tcPr>
            <w:tcW w:w="5000" w:type="pct"/>
            <w:gridSpan w:val="5"/>
            <w:vAlign w:val="center"/>
            <w:hideMark/>
          </w:tcPr>
          <w:p w14:paraId="56A46350" w14:textId="77777777" w:rsidR="00A3217C" w:rsidRPr="00207783" w:rsidRDefault="00A3217C" w:rsidP="00A03D6B">
            <w:pPr>
              <w:ind w:firstLine="567"/>
              <w:jc w:val="left"/>
              <w:rPr>
                <w:sz w:val="24"/>
                <w:szCs w:val="24"/>
                <w:lang w:val="ro-MD"/>
              </w:rPr>
            </w:pPr>
            <w:r w:rsidRPr="00207783">
              <w:rPr>
                <w:bCs/>
                <w:i/>
                <w:sz w:val="24"/>
                <w:szCs w:val="24"/>
                <w:lang w:val="ro-MD"/>
              </w:rPr>
              <w:t>b) Indicați clar indicatorii de performanță în baza cărora se va efectua monitorizarea</w:t>
            </w:r>
          </w:p>
        </w:tc>
      </w:tr>
      <w:tr w:rsidR="00205EB7" w:rsidRPr="00207783" w14:paraId="306DFA77" w14:textId="77777777" w:rsidTr="00772AD3">
        <w:tc>
          <w:tcPr>
            <w:tcW w:w="5000" w:type="pct"/>
            <w:gridSpan w:val="5"/>
          </w:tcPr>
          <w:p w14:paraId="679460E2" w14:textId="77777777" w:rsidR="0094212D" w:rsidRPr="006F2BC9" w:rsidRDefault="0094212D" w:rsidP="009F179B">
            <w:pPr>
              <w:spacing w:before="120" w:line="276" w:lineRule="auto"/>
              <w:ind w:firstLine="567"/>
              <w:rPr>
                <w:bCs/>
                <w:sz w:val="24"/>
                <w:szCs w:val="24"/>
                <w:lang w:val="ro-MD"/>
              </w:rPr>
            </w:pPr>
            <w:r w:rsidRPr="006F2BC9">
              <w:rPr>
                <w:bCs/>
                <w:sz w:val="24"/>
                <w:szCs w:val="24"/>
                <w:lang w:val="ro-MD"/>
              </w:rPr>
              <w:t xml:space="preserve">Implementarea prezentului proiect va fi monitorizat de către Ministerul </w:t>
            </w:r>
            <w:r w:rsidR="00D26144">
              <w:rPr>
                <w:bCs/>
                <w:sz w:val="24"/>
                <w:szCs w:val="24"/>
                <w:lang w:val="ro-MD"/>
              </w:rPr>
              <w:t>Infrastructurii și Dezvoltării Regionale</w:t>
            </w:r>
            <w:r w:rsidRPr="006F2BC9">
              <w:rPr>
                <w:bCs/>
                <w:sz w:val="24"/>
                <w:szCs w:val="24"/>
                <w:lang w:val="ro-MD"/>
              </w:rPr>
              <w:t>, în calitate de indicatori de performanță fiind:</w:t>
            </w:r>
          </w:p>
          <w:p w14:paraId="4255BEC1" w14:textId="2269B709" w:rsidR="0094212D" w:rsidRDefault="0094212D">
            <w:pPr>
              <w:spacing w:line="276" w:lineRule="auto"/>
              <w:ind w:firstLine="567"/>
              <w:rPr>
                <w:bCs/>
                <w:sz w:val="24"/>
                <w:szCs w:val="24"/>
                <w:lang w:val="ro-MD"/>
              </w:rPr>
            </w:pPr>
            <w:r w:rsidRPr="006F2BC9">
              <w:rPr>
                <w:bCs/>
                <w:sz w:val="24"/>
                <w:szCs w:val="24"/>
                <w:lang w:val="ro-MD"/>
              </w:rPr>
              <w:t>-</w:t>
            </w:r>
            <w:r w:rsidR="00896990">
              <w:rPr>
                <w:bCs/>
                <w:sz w:val="24"/>
                <w:szCs w:val="24"/>
                <w:lang w:val="ro-MD"/>
              </w:rPr>
              <w:t xml:space="preserve"> </w:t>
            </w:r>
            <w:r w:rsidRPr="006F2BC9">
              <w:rPr>
                <w:bCs/>
                <w:sz w:val="24"/>
                <w:szCs w:val="24"/>
                <w:lang w:val="ro-MD"/>
              </w:rPr>
              <w:t xml:space="preserve">numărul </w:t>
            </w:r>
            <w:r w:rsidR="00CC241F">
              <w:rPr>
                <w:bCs/>
                <w:sz w:val="24"/>
                <w:szCs w:val="24"/>
                <w:lang w:val="ro-MD"/>
              </w:rPr>
              <w:t xml:space="preserve">de proiecte de acte normative </w:t>
            </w:r>
            <w:r w:rsidR="007A1D8B">
              <w:rPr>
                <w:bCs/>
                <w:sz w:val="24"/>
                <w:szCs w:val="24"/>
                <w:lang w:val="ro-MD"/>
              </w:rPr>
              <w:t xml:space="preserve">contractate și </w:t>
            </w:r>
            <w:r w:rsidR="00CC241F">
              <w:rPr>
                <w:bCs/>
                <w:sz w:val="24"/>
                <w:szCs w:val="24"/>
                <w:lang w:val="ro-MD"/>
              </w:rPr>
              <w:t>în proces de elaborare</w:t>
            </w:r>
            <w:r w:rsidRPr="006F2BC9">
              <w:rPr>
                <w:bCs/>
                <w:sz w:val="24"/>
                <w:szCs w:val="24"/>
                <w:lang w:val="ro-MD"/>
              </w:rPr>
              <w:t>;</w:t>
            </w:r>
          </w:p>
          <w:p w14:paraId="3E5DD2B8" w14:textId="10337BFA" w:rsidR="00CC241F" w:rsidRPr="006F2BC9" w:rsidRDefault="00CC241F">
            <w:pPr>
              <w:spacing w:line="276" w:lineRule="auto"/>
              <w:ind w:firstLine="567"/>
              <w:rPr>
                <w:bCs/>
                <w:sz w:val="24"/>
                <w:szCs w:val="24"/>
                <w:lang w:val="ro-MD"/>
              </w:rPr>
            </w:pPr>
            <w:r>
              <w:rPr>
                <w:bCs/>
                <w:sz w:val="24"/>
                <w:szCs w:val="24"/>
                <w:lang w:val="ro-MD"/>
              </w:rPr>
              <w:t xml:space="preserve">- </w:t>
            </w:r>
            <w:r w:rsidRPr="00CC241F">
              <w:rPr>
                <w:bCs/>
                <w:sz w:val="24"/>
                <w:szCs w:val="24"/>
                <w:lang w:val="ro-MD"/>
              </w:rPr>
              <w:t>numărul de proiecte de acte normative elabora</w:t>
            </w:r>
            <w:r>
              <w:rPr>
                <w:bCs/>
                <w:sz w:val="24"/>
                <w:szCs w:val="24"/>
                <w:lang w:val="ro-MD"/>
              </w:rPr>
              <w:t>t</w:t>
            </w:r>
            <w:r w:rsidRPr="00CC241F">
              <w:rPr>
                <w:bCs/>
                <w:sz w:val="24"/>
                <w:szCs w:val="24"/>
                <w:lang w:val="ro-MD"/>
              </w:rPr>
              <w:t>e</w:t>
            </w:r>
            <w:r>
              <w:rPr>
                <w:bCs/>
                <w:sz w:val="24"/>
                <w:szCs w:val="24"/>
                <w:lang w:val="ro-MD"/>
              </w:rPr>
              <w:t>, aprobate și publicate</w:t>
            </w:r>
            <w:r w:rsidRPr="00CC241F">
              <w:rPr>
                <w:bCs/>
                <w:sz w:val="24"/>
                <w:szCs w:val="24"/>
                <w:lang w:val="ro-MD"/>
              </w:rPr>
              <w:t>;</w:t>
            </w:r>
          </w:p>
          <w:p w14:paraId="5A81C370" w14:textId="1B23B388" w:rsidR="00205EB7" w:rsidRDefault="0094212D" w:rsidP="00C4735F">
            <w:pPr>
              <w:spacing w:line="276" w:lineRule="auto"/>
              <w:ind w:firstLine="567"/>
              <w:rPr>
                <w:bCs/>
                <w:sz w:val="24"/>
                <w:szCs w:val="24"/>
                <w:lang w:val="ro-MD"/>
              </w:rPr>
            </w:pPr>
            <w:r w:rsidRPr="006F2BC9">
              <w:rPr>
                <w:bCs/>
                <w:sz w:val="24"/>
                <w:szCs w:val="24"/>
                <w:lang w:val="ro-MD"/>
              </w:rPr>
              <w:t xml:space="preserve">- </w:t>
            </w:r>
            <w:r w:rsidR="00412DE1">
              <w:rPr>
                <w:bCs/>
                <w:sz w:val="24"/>
                <w:szCs w:val="24"/>
                <w:lang w:val="ro-MD"/>
              </w:rPr>
              <w:t>cadru</w:t>
            </w:r>
            <w:r w:rsidRPr="006F2BC9">
              <w:rPr>
                <w:bCs/>
                <w:sz w:val="24"/>
                <w:szCs w:val="24"/>
                <w:lang w:val="ro-MD"/>
              </w:rPr>
              <w:t xml:space="preserve"> normativ (elaborarea și actualizarea reglementărilor tehnice) pentru </w:t>
            </w:r>
            <w:r w:rsidR="00F21754">
              <w:rPr>
                <w:bCs/>
                <w:sz w:val="24"/>
                <w:szCs w:val="24"/>
                <w:lang w:val="ro-MD"/>
              </w:rPr>
              <w:t>sectorul construcțiilor</w:t>
            </w:r>
            <w:r w:rsidR="002E36D0">
              <w:rPr>
                <w:bCs/>
                <w:sz w:val="24"/>
                <w:szCs w:val="24"/>
                <w:lang w:val="ro-MD"/>
              </w:rPr>
              <w:t xml:space="preserve"> ajustat la reglementările tehnice </w:t>
            </w:r>
            <w:r w:rsidR="00F5141F">
              <w:rPr>
                <w:bCs/>
                <w:sz w:val="24"/>
                <w:szCs w:val="24"/>
                <w:lang w:val="ro-MD"/>
              </w:rPr>
              <w:t xml:space="preserve">și standardele </w:t>
            </w:r>
            <w:r w:rsidR="002E36D0">
              <w:rPr>
                <w:bCs/>
                <w:sz w:val="24"/>
                <w:szCs w:val="24"/>
                <w:lang w:val="ro-MD"/>
              </w:rPr>
              <w:t>în construcții ale UE</w:t>
            </w:r>
            <w:r w:rsidR="002A7D99">
              <w:rPr>
                <w:bCs/>
                <w:sz w:val="24"/>
                <w:szCs w:val="24"/>
                <w:lang w:val="ro-MD"/>
              </w:rPr>
              <w:t xml:space="preserve"> către anul 2030</w:t>
            </w:r>
            <w:r w:rsidR="00C4735F">
              <w:rPr>
                <w:bCs/>
                <w:sz w:val="24"/>
                <w:szCs w:val="24"/>
                <w:lang w:val="ro-MD"/>
              </w:rPr>
              <w:t>;</w:t>
            </w:r>
          </w:p>
          <w:p w14:paraId="349AC46B" w14:textId="45460F03" w:rsidR="00C4735F" w:rsidRPr="00207783" w:rsidRDefault="00C4735F" w:rsidP="00C4735F">
            <w:pPr>
              <w:spacing w:line="276" w:lineRule="auto"/>
              <w:ind w:firstLine="567"/>
              <w:rPr>
                <w:bCs/>
                <w:sz w:val="24"/>
                <w:szCs w:val="24"/>
                <w:lang w:val="ro-MD"/>
              </w:rPr>
            </w:pPr>
            <w:r>
              <w:rPr>
                <w:bCs/>
                <w:sz w:val="24"/>
                <w:szCs w:val="24"/>
                <w:lang w:val="ro-MD"/>
              </w:rPr>
              <w:t>- majorarea ponderii agenților economici care contribuie</w:t>
            </w:r>
            <w:r w:rsidR="00AC2828">
              <w:rPr>
                <w:bCs/>
                <w:sz w:val="24"/>
                <w:szCs w:val="24"/>
                <w:lang w:val="ro-MD"/>
              </w:rPr>
              <w:t xml:space="preserve"> prin defalcări</w:t>
            </w:r>
            <w:r>
              <w:rPr>
                <w:bCs/>
                <w:sz w:val="24"/>
                <w:szCs w:val="24"/>
                <w:lang w:val="ro-MD"/>
              </w:rPr>
              <w:t xml:space="preserve"> la dezvoltarea SDNC.</w:t>
            </w:r>
          </w:p>
        </w:tc>
      </w:tr>
      <w:tr w:rsidR="00A3217C" w:rsidRPr="00207783" w14:paraId="3D20CEFE" w14:textId="77777777" w:rsidTr="00772AD3">
        <w:trPr>
          <w:trHeight w:val="567"/>
        </w:trPr>
        <w:tc>
          <w:tcPr>
            <w:tcW w:w="5000" w:type="pct"/>
            <w:gridSpan w:val="5"/>
            <w:hideMark/>
          </w:tcPr>
          <w:p w14:paraId="062E668C" w14:textId="77777777" w:rsidR="00A3217C" w:rsidRPr="00207783" w:rsidRDefault="00A3217C" w:rsidP="00F8542A">
            <w:pPr>
              <w:ind w:firstLine="567"/>
              <w:rPr>
                <w:sz w:val="24"/>
                <w:szCs w:val="24"/>
                <w:lang w:val="ro-MD"/>
              </w:rPr>
            </w:pPr>
            <w:r w:rsidRPr="00207783">
              <w:rPr>
                <w:bCs/>
                <w:i/>
                <w:sz w:val="24"/>
                <w:szCs w:val="24"/>
                <w:lang w:val="ro-MD"/>
              </w:rPr>
              <w:t>c) Identificați peste cît timp vor fi resimțite impacturile estimate și este necesară evaluarea performanței actului normativ propus. Explicați cum va fi monitorizată şi evaluată opţiunea</w:t>
            </w:r>
          </w:p>
        </w:tc>
      </w:tr>
      <w:tr w:rsidR="0094212D" w:rsidRPr="00207783" w14:paraId="13101BC6" w14:textId="77777777" w:rsidTr="00772AD3">
        <w:tc>
          <w:tcPr>
            <w:tcW w:w="5000" w:type="pct"/>
            <w:gridSpan w:val="5"/>
          </w:tcPr>
          <w:p w14:paraId="2EB1C0B7" w14:textId="29FDF45D" w:rsidR="00DA2D84" w:rsidRPr="009E4916" w:rsidRDefault="00DA2D84" w:rsidP="00C51524">
            <w:pPr>
              <w:spacing w:before="60" w:after="60" w:line="276" w:lineRule="auto"/>
              <w:ind w:firstLine="567"/>
              <w:rPr>
                <w:bCs/>
                <w:sz w:val="24"/>
                <w:szCs w:val="24"/>
                <w:lang w:val="ro-MD"/>
              </w:rPr>
            </w:pPr>
            <w:r w:rsidRPr="009E4916">
              <w:rPr>
                <w:bCs/>
                <w:sz w:val="24"/>
                <w:szCs w:val="24"/>
                <w:lang w:val="ro-MD"/>
              </w:rPr>
              <w:t xml:space="preserve">Indicatorii de performanță vor fi prezentați anual conform rapoartelor anualele privind </w:t>
            </w:r>
            <w:r w:rsidR="00806800">
              <w:rPr>
                <w:bCs/>
                <w:sz w:val="24"/>
                <w:szCs w:val="24"/>
                <w:lang w:val="ro-MD"/>
              </w:rPr>
              <w:t>volumul surselor acumulate în Fond</w:t>
            </w:r>
            <w:r w:rsidR="00E37D42">
              <w:rPr>
                <w:bCs/>
                <w:sz w:val="24"/>
                <w:szCs w:val="24"/>
                <w:lang w:val="ro-MD"/>
              </w:rPr>
              <w:t xml:space="preserve"> urmare virării defalcărilor conform prevederilor legislației în vigoare</w:t>
            </w:r>
            <w:r w:rsidR="007446E7">
              <w:rPr>
                <w:bCs/>
                <w:sz w:val="24"/>
                <w:szCs w:val="24"/>
              </w:rPr>
              <w:t>,</w:t>
            </w:r>
            <w:r w:rsidR="00584CD3" w:rsidRPr="00584CD3">
              <w:rPr>
                <w:bCs/>
                <w:sz w:val="24"/>
                <w:szCs w:val="24"/>
                <w:lang w:val="ro-MD"/>
              </w:rPr>
              <w:t xml:space="preserve"> </w:t>
            </w:r>
            <w:r w:rsidRPr="009E4916">
              <w:rPr>
                <w:bCs/>
                <w:sz w:val="24"/>
                <w:szCs w:val="24"/>
                <w:lang w:val="ro-MD"/>
              </w:rPr>
              <w:t xml:space="preserve">de către </w:t>
            </w:r>
            <w:r w:rsidR="00191D20">
              <w:rPr>
                <w:bCs/>
                <w:sz w:val="24"/>
                <w:szCs w:val="24"/>
                <w:lang w:val="ro-MD"/>
              </w:rPr>
              <w:t xml:space="preserve">Inspectoratul Național pentru Supraveghere Tehnică </w:t>
            </w:r>
            <w:r w:rsidR="007446E7">
              <w:rPr>
                <w:bCs/>
                <w:sz w:val="24"/>
                <w:szCs w:val="24"/>
                <w:lang w:val="ro-MD"/>
              </w:rPr>
              <w:t xml:space="preserve">și </w:t>
            </w:r>
            <w:r w:rsidR="00E62FE7">
              <w:rPr>
                <w:bCs/>
                <w:sz w:val="24"/>
                <w:szCs w:val="24"/>
                <w:lang w:val="ro-MD"/>
              </w:rPr>
              <w:t xml:space="preserve">privind </w:t>
            </w:r>
            <w:r w:rsidR="00806800">
              <w:rPr>
                <w:bCs/>
                <w:sz w:val="24"/>
                <w:szCs w:val="24"/>
                <w:lang w:val="ro-MD"/>
              </w:rPr>
              <w:t>valorificarea acestora pentru dezvoltarea SDNC</w:t>
            </w:r>
            <w:r w:rsidR="00E62FE7">
              <w:rPr>
                <w:bCs/>
                <w:sz w:val="24"/>
                <w:szCs w:val="24"/>
                <w:lang w:val="ro-MD"/>
              </w:rPr>
              <w:t xml:space="preserve"> de către</w:t>
            </w:r>
            <w:r w:rsidR="00E62FE7" w:rsidRPr="00E62FE7">
              <w:rPr>
                <w:bCs/>
                <w:sz w:val="24"/>
                <w:szCs w:val="24"/>
                <w:lang w:val="ro-MD"/>
              </w:rPr>
              <w:t xml:space="preserve"> </w:t>
            </w:r>
            <w:r w:rsidR="0062274B" w:rsidRPr="0062274B">
              <w:rPr>
                <w:bCs/>
                <w:sz w:val="24"/>
                <w:szCs w:val="24"/>
                <w:lang w:val="ro-MD"/>
              </w:rPr>
              <w:t xml:space="preserve">IP </w:t>
            </w:r>
            <w:r w:rsidR="007446E7">
              <w:rPr>
                <w:bCs/>
                <w:sz w:val="24"/>
                <w:szCs w:val="24"/>
                <w:lang w:val="ro-MD"/>
              </w:rPr>
              <w:t>„</w:t>
            </w:r>
            <w:r w:rsidR="0062274B" w:rsidRPr="0062274B">
              <w:rPr>
                <w:bCs/>
                <w:sz w:val="24"/>
                <w:szCs w:val="24"/>
                <w:lang w:val="ro-MD"/>
              </w:rPr>
              <w:t>Oficiul Amenajarea Teritoriului, Urbanism, Construcții și Locuințe</w:t>
            </w:r>
            <w:r w:rsidR="00CC4BB0">
              <w:rPr>
                <w:bCs/>
                <w:sz w:val="24"/>
                <w:szCs w:val="24"/>
                <w:lang w:val="ro-MD"/>
              </w:rPr>
              <w:t>”</w:t>
            </w:r>
            <w:r w:rsidRPr="009E4916">
              <w:rPr>
                <w:bCs/>
                <w:sz w:val="24"/>
                <w:szCs w:val="24"/>
                <w:lang w:val="ro-MD"/>
              </w:rPr>
              <w:t>.</w:t>
            </w:r>
          </w:p>
          <w:p w14:paraId="743AE92B" w14:textId="77777777" w:rsidR="0094212D" w:rsidRPr="00207783" w:rsidRDefault="00DA2D84" w:rsidP="00C51524">
            <w:pPr>
              <w:spacing w:before="60" w:after="60" w:line="276" w:lineRule="auto"/>
              <w:ind w:firstLine="567"/>
              <w:rPr>
                <w:bCs/>
                <w:sz w:val="24"/>
                <w:szCs w:val="24"/>
                <w:lang w:val="ro-MD"/>
              </w:rPr>
            </w:pPr>
            <w:r w:rsidRPr="009E4916">
              <w:rPr>
                <w:bCs/>
                <w:sz w:val="24"/>
                <w:szCs w:val="24"/>
                <w:lang w:val="ro-MD"/>
              </w:rPr>
              <w:t xml:space="preserve">Monitorizarea performanței va fi efectuată prin analiza indicatorilor de performanță și întocmirea raportului anual de către Ministerul </w:t>
            </w:r>
            <w:r w:rsidR="00516446">
              <w:rPr>
                <w:bCs/>
                <w:sz w:val="24"/>
                <w:szCs w:val="24"/>
                <w:lang w:val="ro-MD"/>
              </w:rPr>
              <w:t>Infrastructurii și Dezvoltării Regionale</w:t>
            </w:r>
            <w:r w:rsidRPr="009E4916">
              <w:rPr>
                <w:bCs/>
                <w:sz w:val="24"/>
                <w:szCs w:val="24"/>
                <w:lang w:val="ro-MD"/>
              </w:rPr>
              <w:t>.</w:t>
            </w:r>
          </w:p>
        </w:tc>
      </w:tr>
      <w:tr w:rsidR="00C16C9F" w:rsidRPr="00207783" w14:paraId="42E76C32" w14:textId="77777777" w:rsidTr="00772AD3">
        <w:trPr>
          <w:trHeight w:val="397"/>
        </w:trPr>
        <w:tc>
          <w:tcPr>
            <w:tcW w:w="5000" w:type="pct"/>
            <w:gridSpan w:val="5"/>
            <w:hideMark/>
          </w:tcPr>
          <w:p w14:paraId="6C0625DC" w14:textId="77777777" w:rsidR="00C16C9F" w:rsidRPr="00207783" w:rsidRDefault="00C16C9F" w:rsidP="004D77F3">
            <w:pPr>
              <w:spacing w:before="60" w:after="60"/>
              <w:ind w:firstLine="567"/>
              <w:jc w:val="left"/>
              <w:rPr>
                <w:sz w:val="24"/>
                <w:szCs w:val="24"/>
                <w:lang w:val="ro-MD"/>
              </w:rPr>
            </w:pPr>
            <w:r w:rsidRPr="00207783">
              <w:rPr>
                <w:b/>
                <w:bCs/>
                <w:sz w:val="24"/>
                <w:szCs w:val="24"/>
                <w:lang w:val="ro-MD"/>
              </w:rPr>
              <w:t>6. Consultarea</w:t>
            </w:r>
          </w:p>
        </w:tc>
      </w:tr>
      <w:tr w:rsidR="00A3217C" w:rsidRPr="00207783" w14:paraId="6E49AC83" w14:textId="77777777" w:rsidTr="00F8542A">
        <w:trPr>
          <w:trHeight w:val="397"/>
        </w:trPr>
        <w:tc>
          <w:tcPr>
            <w:tcW w:w="5000" w:type="pct"/>
            <w:gridSpan w:val="5"/>
            <w:vAlign w:val="center"/>
            <w:hideMark/>
          </w:tcPr>
          <w:p w14:paraId="432E9CFF" w14:textId="77777777" w:rsidR="00A3217C" w:rsidRPr="00207783" w:rsidRDefault="00A3217C" w:rsidP="00F8542A">
            <w:pPr>
              <w:ind w:firstLine="567"/>
              <w:jc w:val="left"/>
              <w:rPr>
                <w:sz w:val="24"/>
                <w:szCs w:val="24"/>
                <w:lang w:val="ro-MD"/>
              </w:rPr>
            </w:pPr>
            <w:r w:rsidRPr="00207783">
              <w:rPr>
                <w:i/>
                <w:sz w:val="24"/>
                <w:szCs w:val="24"/>
                <w:lang w:val="ro-MD"/>
              </w:rPr>
              <w:t>a) Identificați principalele părţi (grupuri) interesate în intervenţia propusă</w:t>
            </w:r>
          </w:p>
        </w:tc>
      </w:tr>
      <w:tr w:rsidR="00465A50" w:rsidRPr="00207783" w14:paraId="792BAF27" w14:textId="77777777" w:rsidTr="00772AD3">
        <w:tc>
          <w:tcPr>
            <w:tcW w:w="5000" w:type="pct"/>
            <w:gridSpan w:val="5"/>
          </w:tcPr>
          <w:p w14:paraId="1B6C218B" w14:textId="77777777" w:rsidR="00646FE3" w:rsidRPr="00A9475D" w:rsidRDefault="00A827A2" w:rsidP="00DD579D">
            <w:pPr>
              <w:spacing w:before="120" w:after="60" w:line="276" w:lineRule="auto"/>
              <w:ind w:firstLine="522"/>
              <w:rPr>
                <w:rFonts w:eastAsia="Calibri"/>
                <w:sz w:val="24"/>
                <w:szCs w:val="24"/>
                <w:lang w:val="ro-MD"/>
              </w:rPr>
            </w:pPr>
            <w:r w:rsidRPr="00A9475D">
              <w:rPr>
                <w:rFonts w:eastAsia="Calibri"/>
                <w:sz w:val="24"/>
                <w:szCs w:val="24"/>
                <w:lang w:val="ro-MD"/>
              </w:rPr>
              <w:t xml:space="preserve">Luând în considerare relațiile juridice reglementate de proiect se poate determina mai multe grupuri de interese de bază: </w:t>
            </w:r>
          </w:p>
          <w:p w14:paraId="1E4F8007" w14:textId="78E930AF" w:rsidR="00646FE3" w:rsidRPr="00DE2A84" w:rsidRDefault="00A827A2" w:rsidP="00267DDA">
            <w:pPr>
              <w:pStyle w:val="ListParagraph"/>
              <w:numPr>
                <w:ilvl w:val="0"/>
                <w:numId w:val="14"/>
              </w:numPr>
              <w:spacing w:before="40" w:after="40" w:line="276" w:lineRule="auto"/>
              <w:ind w:left="28" w:firstLine="454"/>
              <w:jc w:val="both"/>
              <w:rPr>
                <w:lang w:val="ro-MD"/>
              </w:rPr>
            </w:pPr>
            <w:r w:rsidRPr="00DE2A84">
              <w:rPr>
                <w:lang w:val="ro-MD"/>
              </w:rPr>
              <w:t xml:space="preserve">autoritățile de reglementare: </w:t>
            </w:r>
            <w:r w:rsidR="00B902FD" w:rsidRPr="00DE2A84">
              <w:rPr>
                <w:lang w:val="ro-MD"/>
              </w:rPr>
              <w:t xml:space="preserve">Cancelaria de Stat, </w:t>
            </w:r>
            <w:r w:rsidR="002848D7" w:rsidRPr="00DE2A84">
              <w:rPr>
                <w:lang w:val="ro-MD"/>
              </w:rPr>
              <w:t xml:space="preserve">Ministerul Finanțelor, </w:t>
            </w:r>
            <w:r w:rsidR="00B902FD" w:rsidRPr="00DE2A84">
              <w:rPr>
                <w:lang w:val="ro-MD"/>
              </w:rPr>
              <w:t xml:space="preserve">Ministerul Justiției, </w:t>
            </w:r>
            <w:r w:rsidRPr="00DE2A84">
              <w:rPr>
                <w:lang w:val="ro-MD"/>
              </w:rPr>
              <w:t xml:space="preserve">Ministerul Dezvoltării </w:t>
            </w:r>
            <w:r w:rsidR="005A0E3B" w:rsidRPr="00DE2A84">
              <w:rPr>
                <w:lang w:val="ro-MD"/>
              </w:rPr>
              <w:t>Economice și Digitalizării</w:t>
            </w:r>
            <w:r w:rsidRPr="00DE2A84">
              <w:rPr>
                <w:lang w:val="ro-MD"/>
              </w:rPr>
              <w:t>, Ministerul Mediului,</w:t>
            </w:r>
            <w:r w:rsidR="00AB22D1">
              <w:rPr>
                <w:lang w:val="ro-MD"/>
              </w:rPr>
              <w:t xml:space="preserve"> Ministerul Energiei, </w:t>
            </w:r>
            <w:r w:rsidRPr="00DE2A84">
              <w:rPr>
                <w:lang w:val="ro-MD"/>
              </w:rPr>
              <w:t>Ministe</w:t>
            </w:r>
            <w:r w:rsidR="002848D7" w:rsidRPr="00DE2A84">
              <w:rPr>
                <w:lang w:val="ro-MD"/>
              </w:rPr>
              <w:t>rul Sănătății</w:t>
            </w:r>
            <w:r w:rsidR="00450C25" w:rsidRPr="00DE2A84">
              <w:rPr>
                <w:lang w:val="ro-MD"/>
              </w:rPr>
              <w:t xml:space="preserve">, </w:t>
            </w:r>
            <w:r w:rsidR="00B82314" w:rsidRPr="00DE2A84">
              <w:rPr>
                <w:lang w:val="ro-MD"/>
              </w:rPr>
              <w:t xml:space="preserve">Ministerul Agriculturii și </w:t>
            </w:r>
            <w:r w:rsidR="00850164" w:rsidRPr="00DE2A84">
              <w:rPr>
                <w:lang w:val="ro-MD"/>
              </w:rPr>
              <w:t>Industriei Alimentare</w:t>
            </w:r>
            <w:r w:rsidR="0012571D" w:rsidRPr="00DE2A84">
              <w:rPr>
                <w:lang w:val="ro-MD"/>
              </w:rPr>
              <w:t>,</w:t>
            </w:r>
            <w:r w:rsidR="0012571D">
              <w:t xml:space="preserve"> </w:t>
            </w:r>
            <w:r w:rsidR="000C5B0F">
              <w:t xml:space="preserve">Ministerul Muncii și Protecției Sociale, </w:t>
            </w:r>
            <w:r w:rsidR="0012571D" w:rsidRPr="00DE2A84">
              <w:rPr>
                <w:lang w:val="ro-MD"/>
              </w:rPr>
              <w:t>Centrul Național Anticorupție</w:t>
            </w:r>
            <w:r w:rsidRPr="00DE2A84">
              <w:rPr>
                <w:lang w:val="ro-MD"/>
              </w:rPr>
              <w:t xml:space="preserve">; </w:t>
            </w:r>
          </w:p>
          <w:p w14:paraId="6AEF5EA9" w14:textId="089684DC" w:rsidR="00646FE3" w:rsidRPr="00DE2A84" w:rsidRDefault="00A827A2" w:rsidP="00267DDA">
            <w:pPr>
              <w:pStyle w:val="ListParagraph"/>
              <w:numPr>
                <w:ilvl w:val="0"/>
                <w:numId w:val="14"/>
              </w:numPr>
              <w:spacing w:before="40" w:after="40" w:line="276" w:lineRule="auto"/>
              <w:ind w:left="28" w:firstLine="454"/>
              <w:jc w:val="both"/>
              <w:rPr>
                <w:lang w:val="ro-MD"/>
              </w:rPr>
            </w:pPr>
            <w:r w:rsidRPr="00DE2A84">
              <w:rPr>
                <w:lang w:val="ro-MD"/>
              </w:rPr>
              <w:t xml:space="preserve">autoritățile de supraveghere a </w:t>
            </w:r>
            <w:r w:rsidR="00236BAF" w:rsidRPr="00DE2A84">
              <w:rPr>
                <w:lang w:val="ro-MD"/>
              </w:rPr>
              <w:t>calității în construcții</w:t>
            </w:r>
            <w:r w:rsidRPr="00DE2A84">
              <w:rPr>
                <w:lang w:val="ro-MD"/>
              </w:rPr>
              <w:t xml:space="preserve">: </w:t>
            </w:r>
            <w:r w:rsidR="00646FE3" w:rsidRPr="00DE2A84">
              <w:rPr>
                <w:lang w:val="ro-MD"/>
              </w:rPr>
              <w:t xml:space="preserve">Inspectoratul Național pentru Supraveghere Tehnică, </w:t>
            </w:r>
            <w:r w:rsidRPr="00DE2A84">
              <w:rPr>
                <w:lang w:val="ro-MD"/>
              </w:rPr>
              <w:t xml:space="preserve">Inspectoratul pentru Protecția Mediului, Agenția Națională pentru Sănătate Publică; </w:t>
            </w:r>
          </w:p>
          <w:p w14:paraId="2EED7C51" w14:textId="1E1ACFE7" w:rsidR="00E3019D" w:rsidRPr="00DE2A84" w:rsidRDefault="00D31500" w:rsidP="00267DDA">
            <w:pPr>
              <w:pStyle w:val="ListParagraph"/>
              <w:numPr>
                <w:ilvl w:val="0"/>
                <w:numId w:val="14"/>
              </w:numPr>
              <w:spacing w:before="40" w:after="40" w:line="276" w:lineRule="auto"/>
              <w:ind w:left="28" w:firstLine="454"/>
              <w:jc w:val="both"/>
              <w:rPr>
                <w:lang w:val="ro-MD"/>
              </w:rPr>
            </w:pPr>
            <w:r>
              <w:rPr>
                <w:lang w:val="ro-MD"/>
              </w:rPr>
              <w:t xml:space="preserve">companii de construcții și proiectări, </w:t>
            </w:r>
            <w:r w:rsidR="00E3019D" w:rsidRPr="00DE2A84">
              <w:rPr>
                <w:lang w:val="ro-MD"/>
              </w:rPr>
              <w:t>produc</w:t>
            </w:r>
            <w:r w:rsidR="00171D68" w:rsidRPr="00DE2A84">
              <w:rPr>
                <w:lang w:val="ro-MD"/>
              </w:rPr>
              <w:t>ă</w:t>
            </w:r>
            <w:r w:rsidR="00E3019D" w:rsidRPr="00DE2A84">
              <w:rPr>
                <w:lang w:val="ro-MD"/>
              </w:rPr>
              <w:t>tori de materiale de construc</w:t>
            </w:r>
            <w:r w:rsidR="00171D68" w:rsidRPr="00DE2A84">
              <w:rPr>
                <w:lang w:val="ro-MD"/>
              </w:rPr>
              <w:t>ț</w:t>
            </w:r>
            <w:r w:rsidR="00E3019D" w:rsidRPr="00DE2A84">
              <w:rPr>
                <w:lang w:val="ro-MD"/>
              </w:rPr>
              <w:t xml:space="preserve">ii </w:t>
            </w:r>
            <w:r w:rsidR="00171D68" w:rsidRPr="00DE2A84">
              <w:rPr>
                <w:lang w:val="ro-MD"/>
              </w:rPr>
              <w:t>și</w:t>
            </w:r>
            <w:r>
              <w:rPr>
                <w:lang w:val="ro-MD"/>
              </w:rPr>
              <w:t>,</w:t>
            </w:r>
            <w:r w:rsidR="00171D68" w:rsidRPr="00DE2A84">
              <w:rPr>
                <w:lang w:val="ro-MD"/>
              </w:rPr>
              <w:t xml:space="preserve"> asocaț</w:t>
            </w:r>
            <w:r w:rsidR="00E3019D" w:rsidRPr="00DE2A84">
              <w:rPr>
                <w:lang w:val="ro-MD"/>
              </w:rPr>
              <w:t>ii ale ace</w:t>
            </w:r>
            <w:r w:rsidR="00AF2F65">
              <w:rPr>
                <w:lang w:val="ro-MD"/>
              </w:rPr>
              <w:t>s</w:t>
            </w:r>
            <w:r w:rsidR="00E3019D" w:rsidRPr="00DE2A84">
              <w:rPr>
                <w:lang w:val="ro-MD"/>
              </w:rPr>
              <w:t>tora</w:t>
            </w:r>
            <w:r w:rsidR="00AF2F65">
              <w:rPr>
                <w:lang w:val="ro-MD"/>
              </w:rPr>
              <w:t xml:space="preserve"> (patronatele</w:t>
            </w:r>
            <w:r w:rsidR="00267DDA">
              <w:rPr>
                <w:lang w:val="ro-MD"/>
              </w:rPr>
              <w:t xml:space="preserve"> și sindicatele</w:t>
            </w:r>
            <w:r w:rsidR="00AF2F65">
              <w:rPr>
                <w:lang w:val="ro-MD"/>
              </w:rPr>
              <w:t xml:space="preserve"> în construcții)</w:t>
            </w:r>
            <w:r w:rsidR="00591796" w:rsidRPr="00DE2A84">
              <w:rPr>
                <w:lang w:val="ro-MD"/>
              </w:rPr>
              <w:t>;</w:t>
            </w:r>
          </w:p>
          <w:p w14:paraId="7C0F7C97" w14:textId="329E28BE" w:rsidR="00465A50" w:rsidRPr="00DE2A84" w:rsidRDefault="004909DD" w:rsidP="00617C93">
            <w:pPr>
              <w:pStyle w:val="ListParagraph"/>
              <w:numPr>
                <w:ilvl w:val="0"/>
                <w:numId w:val="14"/>
              </w:numPr>
              <w:spacing w:before="40" w:after="40" w:line="276" w:lineRule="auto"/>
              <w:ind w:left="28" w:firstLine="454"/>
              <w:jc w:val="both"/>
              <w:rPr>
                <w:sz w:val="22"/>
                <w:szCs w:val="22"/>
                <w:lang w:val="ro-MD"/>
              </w:rPr>
            </w:pPr>
            <w:r w:rsidRPr="00DE2A84">
              <w:rPr>
                <w:lang w:val="ro-MD"/>
              </w:rPr>
              <w:t xml:space="preserve">alți </w:t>
            </w:r>
            <w:r w:rsidR="00A37F2E" w:rsidRPr="00DE2A84">
              <w:rPr>
                <w:lang w:val="ro-MD"/>
              </w:rPr>
              <w:t>participanți în procesul de investiții</w:t>
            </w:r>
            <w:r w:rsidR="003362F5">
              <w:rPr>
                <w:lang w:val="ro-MD"/>
              </w:rPr>
              <w:t>,</w:t>
            </w:r>
            <w:r w:rsidR="00CF5AEE" w:rsidRPr="00DE2A84">
              <w:rPr>
                <w:lang w:val="ro-MD"/>
              </w:rPr>
              <w:t xml:space="preserve"> </w:t>
            </w:r>
            <w:r w:rsidR="0092777F">
              <w:rPr>
                <w:lang w:val="ro-MD"/>
              </w:rPr>
              <w:t xml:space="preserve">instruiri </w:t>
            </w:r>
            <w:r w:rsidR="003362F5">
              <w:rPr>
                <w:lang w:val="ro-MD"/>
              </w:rPr>
              <w:t>și atestări (certificări)</w:t>
            </w:r>
            <w:r w:rsidR="003362F5" w:rsidRPr="00DE2A84">
              <w:rPr>
                <w:lang w:val="ro-MD"/>
              </w:rPr>
              <w:t xml:space="preserve"> </w:t>
            </w:r>
            <w:r w:rsidR="00A37F2E" w:rsidRPr="00DE2A84">
              <w:rPr>
                <w:lang w:val="ro-MD"/>
              </w:rPr>
              <w:t>în</w:t>
            </w:r>
            <w:r w:rsidR="00CF5AEE" w:rsidRPr="00DE2A84">
              <w:rPr>
                <w:lang w:val="ro-MD"/>
              </w:rPr>
              <w:t xml:space="preserve"> construc</w:t>
            </w:r>
            <w:r w:rsidR="00D81930" w:rsidRPr="00DE2A84">
              <w:rPr>
                <w:lang w:val="ro-MD"/>
              </w:rPr>
              <w:t>ț</w:t>
            </w:r>
            <w:r w:rsidR="00CF5AEE" w:rsidRPr="00DE2A84">
              <w:rPr>
                <w:lang w:val="ro-MD"/>
              </w:rPr>
              <w:t>ii.</w:t>
            </w:r>
            <w:r w:rsidR="00617C93">
              <w:rPr>
                <w:lang w:val="ro-MD"/>
              </w:rPr>
              <w:t xml:space="preserve"> Oficiul Amenajarea Teritoriului, Urbanism, Construcții și Locuințe (OATUCL).</w:t>
            </w:r>
          </w:p>
        </w:tc>
      </w:tr>
      <w:tr w:rsidR="00D62181" w:rsidRPr="00207783" w14:paraId="30CAF589" w14:textId="77777777" w:rsidTr="00F8542A">
        <w:trPr>
          <w:trHeight w:val="454"/>
        </w:trPr>
        <w:tc>
          <w:tcPr>
            <w:tcW w:w="5000" w:type="pct"/>
            <w:gridSpan w:val="5"/>
            <w:vAlign w:val="center"/>
            <w:hideMark/>
          </w:tcPr>
          <w:p w14:paraId="1BEB6694" w14:textId="77777777" w:rsidR="00D62181" w:rsidRPr="00207783" w:rsidRDefault="00D62181" w:rsidP="00F8542A">
            <w:pPr>
              <w:ind w:firstLine="567"/>
              <w:jc w:val="left"/>
              <w:rPr>
                <w:sz w:val="24"/>
                <w:szCs w:val="24"/>
                <w:lang w:val="ro-MD"/>
              </w:rPr>
            </w:pPr>
            <w:r w:rsidRPr="00207783">
              <w:rPr>
                <w:i/>
                <w:sz w:val="24"/>
                <w:szCs w:val="24"/>
                <w:lang w:val="ro-MD"/>
              </w:rPr>
              <w:t>b) Explicați succint cum (prin ce metode) s-a asigurat consultarea adecvată a părţilor</w:t>
            </w:r>
          </w:p>
        </w:tc>
      </w:tr>
      <w:tr w:rsidR="00C16C9F" w:rsidRPr="00207783" w14:paraId="1FCD1D2F" w14:textId="77777777" w:rsidTr="00772AD3">
        <w:tc>
          <w:tcPr>
            <w:tcW w:w="5000" w:type="pct"/>
            <w:gridSpan w:val="5"/>
          </w:tcPr>
          <w:p w14:paraId="753A6454" w14:textId="01AB1971" w:rsidR="00D44A2A" w:rsidRDefault="00D44A2A" w:rsidP="00584B69">
            <w:pPr>
              <w:spacing w:before="60" w:line="276" w:lineRule="auto"/>
              <w:ind w:firstLine="567"/>
              <w:rPr>
                <w:rStyle w:val="Hyperlink"/>
                <w:color w:val="auto"/>
                <w:sz w:val="24"/>
                <w:szCs w:val="24"/>
                <w:lang w:val="ro-MD"/>
              </w:rPr>
            </w:pPr>
            <w:r w:rsidRPr="00532FF2">
              <w:rPr>
                <w:sz w:val="24"/>
                <w:szCs w:val="24"/>
                <w:lang w:val="ro-MD"/>
              </w:rPr>
              <w:t>Pentru asigurarea transparenței decizionale, consultarea public</w:t>
            </w:r>
            <w:r w:rsidR="00426F27">
              <w:rPr>
                <w:sz w:val="24"/>
                <w:szCs w:val="24"/>
                <w:lang w:val="ro-MD"/>
              </w:rPr>
              <w:t>ă</w:t>
            </w:r>
            <w:r w:rsidRPr="00532FF2">
              <w:rPr>
                <w:sz w:val="24"/>
                <w:szCs w:val="24"/>
                <w:lang w:val="ro-MD"/>
              </w:rPr>
              <w:t xml:space="preserve"> are loc prin expunerea/publicarea Anunțului despre inițierea elaborării actului normativ și AIR-lui asupra acestuia, pe pagina web a Ministerului </w:t>
            </w:r>
            <w:r w:rsidR="00426F27">
              <w:rPr>
                <w:sz w:val="24"/>
                <w:szCs w:val="24"/>
                <w:lang w:val="ro-MD"/>
              </w:rPr>
              <w:t>Infrastructurii și</w:t>
            </w:r>
            <w:r w:rsidRPr="00532FF2">
              <w:rPr>
                <w:sz w:val="24"/>
                <w:szCs w:val="24"/>
                <w:lang w:val="ro-MD"/>
              </w:rPr>
              <w:t xml:space="preserve"> Dezvoltării Regionale, la compartimentul </w:t>
            </w:r>
            <w:r w:rsidR="00701C80">
              <w:rPr>
                <w:sz w:val="24"/>
                <w:szCs w:val="24"/>
                <w:lang w:val="ro-MD"/>
              </w:rPr>
              <w:t>„</w:t>
            </w:r>
            <w:r w:rsidRPr="00532FF2">
              <w:rPr>
                <w:sz w:val="24"/>
                <w:szCs w:val="24"/>
                <w:lang w:val="ro-MD"/>
              </w:rPr>
              <w:t xml:space="preserve">Transparența decizională”, </w:t>
            </w:r>
            <w:r w:rsidRPr="00532FF2">
              <w:rPr>
                <w:sz w:val="24"/>
                <w:szCs w:val="24"/>
                <w:lang w:val="ro-MD"/>
              </w:rPr>
              <w:lastRenderedPageBreak/>
              <w:t xml:space="preserve">rubrica </w:t>
            </w:r>
            <w:r w:rsidR="00701C80">
              <w:rPr>
                <w:sz w:val="24"/>
                <w:szCs w:val="24"/>
                <w:lang w:val="ro-MD"/>
              </w:rPr>
              <w:t>„</w:t>
            </w:r>
            <w:r w:rsidRPr="00532FF2">
              <w:rPr>
                <w:sz w:val="24"/>
                <w:szCs w:val="24"/>
                <w:lang w:val="ro-MD"/>
              </w:rPr>
              <w:t xml:space="preserve">Proiecte de documente” și </w:t>
            </w:r>
            <w:r w:rsidR="001B24CC">
              <w:rPr>
                <w:sz w:val="24"/>
                <w:szCs w:val="24"/>
                <w:lang w:val="ro-MD"/>
              </w:rPr>
              <w:t>la adresa:</w:t>
            </w:r>
            <w:r w:rsidR="001B24CC" w:rsidRPr="00532FF2">
              <w:rPr>
                <w:sz w:val="24"/>
                <w:szCs w:val="24"/>
                <w:lang w:val="ro-MD"/>
              </w:rPr>
              <w:t xml:space="preserve"> </w:t>
            </w:r>
            <w:hyperlink r:id="rId10" w:history="1">
              <w:r w:rsidR="002C7044" w:rsidRPr="00DC0ACD">
                <w:rPr>
                  <w:rStyle w:val="Hyperlink"/>
                  <w:sz w:val="24"/>
                  <w:szCs w:val="24"/>
                  <w:lang w:val="ro-MD"/>
                </w:rPr>
                <w:t>https://particip.gov.md/ro/document/stages/*/11818</w:t>
              </w:r>
            </w:hyperlink>
            <w:r w:rsidR="001045B4">
              <w:rPr>
                <w:rStyle w:val="Hyperlink"/>
                <w:sz w:val="24"/>
                <w:szCs w:val="24"/>
                <w:u w:val="none"/>
                <w:lang w:val="ro-MD"/>
              </w:rPr>
              <w:t xml:space="preserve"> . </w:t>
            </w:r>
            <w:r w:rsidR="001045B4" w:rsidRPr="001045B4">
              <w:rPr>
                <w:rStyle w:val="Hyperlink"/>
                <w:color w:val="auto"/>
                <w:sz w:val="24"/>
                <w:szCs w:val="24"/>
                <w:u w:val="none"/>
                <w:lang w:val="ro-MD"/>
              </w:rPr>
              <w:t>C</w:t>
            </w:r>
            <w:r w:rsidR="001045B4">
              <w:rPr>
                <w:sz w:val="24"/>
                <w:szCs w:val="24"/>
                <w:lang w:val="ro-MD"/>
              </w:rPr>
              <w:t>areva propuneri sau obiecții până în prezent nu au parvenit.</w:t>
            </w:r>
            <w:r w:rsidR="002C7044">
              <w:rPr>
                <w:sz w:val="24"/>
                <w:szCs w:val="24"/>
                <w:lang w:val="ro-MD"/>
              </w:rPr>
              <w:t xml:space="preserve"> </w:t>
            </w:r>
          </w:p>
          <w:p w14:paraId="4B69A86C" w14:textId="5E6E2119" w:rsidR="00EB041A" w:rsidRDefault="00EB041A" w:rsidP="002E499C">
            <w:pPr>
              <w:spacing w:before="60" w:line="276" w:lineRule="auto"/>
              <w:ind w:firstLine="567"/>
              <w:rPr>
                <w:sz w:val="24"/>
                <w:szCs w:val="24"/>
                <w:lang w:val="ro-MD"/>
              </w:rPr>
            </w:pPr>
            <w:r>
              <w:rPr>
                <w:sz w:val="24"/>
                <w:szCs w:val="24"/>
                <w:lang w:val="ro-MD"/>
              </w:rPr>
              <w:t>Totodată</w:t>
            </w:r>
            <w:r w:rsidRPr="00EB041A">
              <w:rPr>
                <w:sz w:val="24"/>
                <w:szCs w:val="24"/>
                <w:lang w:val="ro-MD"/>
              </w:rPr>
              <w:t>,</w:t>
            </w:r>
            <w:r>
              <w:rPr>
                <w:sz w:val="24"/>
                <w:szCs w:val="24"/>
                <w:lang w:val="ro-MD"/>
              </w:rPr>
              <w:t xml:space="preserve"> subiectul</w:t>
            </w:r>
            <w:r w:rsidRPr="00EB041A">
              <w:rPr>
                <w:sz w:val="24"/>
                <w:szCs w:val="24"/>
                <w:lang w:val="ro-MD"/>
              </w:rPr>
              <w:t xml:space="preserve"> </w:t>
            </w:r>
            <w:r w:rsidR="00404187" w:rsidRPr="00404187">
              <w:rPr>
                <w:sz w:val="24"/>
                <w:szCs w:val="24"/>
                <w:lang w:val="ro-MD"/>
              </w:rPr>
              <w:t xml:space="preserve">creării </w:t>
            </w:r>
            <w:r w:rsidRPr="00EB041A">
              <w:rPr>
                <w:sz w:val="24"/>
                <w:szCs w:val="24"/>
                <w:lang w:val="ro-MD"/>
              </w:rPr>
              <w:t>Fondului național de dezvoltare a sistemului de documente normative în construcții,</w:t>
            </w:r>
            <w:r w:rsidR="00404187">
              <w:rPr>
                <w:sz w:val="24"/>
                <w:szCs w:val="24"/>
                <w:lang w:val="ro-MD"/>
              </w:rPr>
              <w:t xml:space="preserve"> precum</w:t>
            </w:r>
            <w:r w:rsidRPr="00EB041A">
              <w:rPr>
                <w:sz w:val="24"/>
                <w:szCs w:val="24"/>
                <w:lang w:val="ro-MD"/>
              </w:rPr>
              <w:t xml:space="preserve"> </w:t>
            </w:r>
            <w:r w:rsidR="00404187">
              <w:rPr>
                <w:sz w:val="24"/>
                <w:szCs w:val="24"/>
                <w:lang w:val="ro-MD"/>
              </w:rPr>
              <w:t xml:space="preserve">și importanța acestuia </w:t>
            </w:r>
            <w:r w:rsidRPr="00EB041A">
              <w:rPr>
                <w:sz w:val="24"/>
                <w:szCs w:val="24"/>
                <w:lang w:val="ro-MD"/>
              </w:rPr>
              <w:t xml:space="preserve">a fost examinată în cadrul ședinței Comisiei Naționale pentru Consultări și Negocieri Colective din luna decembrie 2022 (procesul-verbal nr. 24-78-12230 din 16.12.2022 se anexează) și acțiunea respectivă a fost inclusă în Planul de acțiuni a Guvernului pentru </w:t>
            </w:r>
            <w:r w:rsidR="00DC4A7B">
              <w:rPr>
                <w:sz w:val="24"/>
                <w:szCs w:val="24"/>
                <w:lang w:val="ro-MD"/>
              </w:rPr>
              <w:t xml:space="preserve">realizare în </w:t>
            </w:r>
            <w:r w:rsidRPr="00EB041A">
              <w:rPr>
                <w:sz w:val="24"/>
                <w:szCs w:val="24"/>
                <w:lang w:val="ro-MD"/>
              </w:rPr>
              <w:t>anul 202</w:t>
            </w:r>
            <w:r w:rsidR="00404187">
              <w:rPr>
                <w:sz w:val="24"/>
                <w:szCs w:val="24"/>
                <w:lang w:val="ro-MD"/>
              </w:rPr>
              <w:t>4</w:t>
            </w:r>
            <w:r w:rsidRPr="00EB041A">
              <w:rPr>
                <w:sz w:val="24"/>
                <w:szCs w:val="24"/>
                <w:lang w:val="ro-MD"/>
              </w:rPr>
              <w:t>.</w:t>
            </w:r>
          </w:p>
          <w:p w14:paraId="5C27E95E" w14:textId="423DAB1D" w:rsidR="00972121" w:rsidRPr="00972121" w:rsidRDefault="00972121" w:rsidP="002E499C">
            <w:pPr>
              <w:spacing w:before="60" w:line="276" w:lineRule="auto"/>
              <w:ind w:firstLine="567"/>
              <w:rPr>
                <w:sz w:val="24"/>
                <w:szCs w:val="24"/>
                <w:lang w:val="ro-MD"/>
              </w:rPr>
            </w:pPr>
            <w:r w:rsidRPr="00972121">
              <w:rPr>
                <w:sz w:val="24"/>
                <w:szCs w:val="24"/>
                <w:lang w:val="ro-MD"/>
              </w:rPr>
              <w:t>AIR</w:t>
            </w:r>
            <w:r>
              <w:rPr>
                <w:sz w:val="24"/>
                <w:szCs w:val="24"/>
                <w:lang w:val="ro-MD"/>
              </w:rPr>
              <w:t>-ul</w:t>
            </w:r>
            <w:r w:rsidRPr="00972121">
              <w:rPr>
                <w:sz w:val="24"/>
                <w:szCs w:val="24"/>
                <w:lang w:val="ro-MD"/>
              </w:rPr>
              <w:t xml:space="preserve"> </w:t>
            </w:r>
            <w:r w:rsidR="00B028D8">
              <w:rPr>
                <w:sz w:val="24"/>
                <w:szCs w:val="24"/>
                <w:lang w:val="ro-MD"/>
              </w:rPr>
              <w:t>se</w:t>
            </w:r>
            <w:r w:rsidR="008D7408">
              <w:rPr>
                <w:sz w:val="24"/>
                <w:szCs w:val="24"/>
                <w:lang w:val="ro-MD"/>
              </w:rPr>
              <w:t xml:space="preserve"> prez</w:t>
            </w:r>
            <w:r w:rsidR="004925EF">
              <w:rPr>
                <w:sz w:val="24"/>
                <w:szCs w:val="24"/>
                <w:lang w:val="ro-MD"/>
              </w:rPr>
              <w:t>i</w:t>
            </w:r>
            <w:r w:rsidR="008D7408">
              <w:rPr>
                <w:sz w:val="24"/>
                <w:szCs w:val="24"/>
                <w:lang w:val="ro-MD"/>
              </w:rPr>
              <w:t>nt</w:t>
            </w:r>
            <w:r w:rsidR="00B028D8">
              <w:rPr>
                <w:sz w:val="24"/>
                <w:szCs w:val="24"/>
                <w:lang w:val="ro-MD"/>
              </w:rPr>
              <w:t>ă</w:t>
            </w:r>
            <w:r w:rsidRPr="00972121">
              <w:rPr>
                <w:sz w:val="24"/>
                <w:szCs w:val="24"/>
                <w:lang w:val="ro-MD"/>
              </w:rPr>
              <w:t xml:space="preserve"> spre examinare Grupului de lucru al Comisiei de stat pentru reglementarea activității de întreprinzător, conform prevederilor Hotărâr</w:t>
            </w:r>
            <w:r w:rsidR="006A1990">
              <w:rPr>
                <w:sz w:val="24"/>
                <w:szCs w:val="24"/>
                <w:lang w:val="ro-MD"/>
              </w:rPr>
              <w:t>ii</w:t>
            </w:r>
            <w:r w:rsidRPr="00972121">
              <w:rPr>
                <w:sz w:val="24"/>
                <w:szCs w:val="24"/>
                <w:lang w:val="ro-MD"/>
              </w:rPr>
              <w:t xml:space="preserve"> Guvern</w:t>
            </w:r>
            <w:r w:rsidR="002D3AFC">
              <w:rPr>
                <w:sz w:val="24"/>
                <w:szCs w:val="24"/>
                <w:lang w:val="ro-MD"/>
              </w:rPr>
              <w:t>ului</w:t>
            </w:r>
            <w:r w:rsidRPr="00972121">
              <w:rPr>
                <w:sz w:val="24"/>
                <w:szCs w:val="24"/>
                <w:lang w:val="ro-MD"/>
              </w:rPr>
              <w:t xml:space="preserve"> nr.23/2019.</w:t>
            </w:r>
            <w:r w:rsidR="00AE1C6B">
              <w:rPr>
                <w:sz w:val="24"/>
                <w:szCs w:val="24"/>
                <w:lang w:val="ro-MD"/>
              </w:rPr>
              <w:t xml:space="preserve"> </w:t>
            </w:r>
          </w:p>
          <w:p w14:paraId="0230A8EC" w14:textId="2A8BDBF9" w:rsidR="00D932CC" w:rsidRPr="00207783" w:rsidRDefault="00D54095" w:rsidP="001B4F6E">
            <w:pPr>
              <w:spacing w:before="60" w:after="120" w:line="276" w:lineRule="auto"/>
              <w:ind w:firstLine="567"/>
              <w:rPr>
                <w:lang w:val="ro-MD"/>
              </w:rPr>
            </w:pPr>
            <w:r w:rsidRPr="00D54095">
              <w:rPr>
                <w:sz w:val="24"/>
                <w:szCs w:val="24"/>
                <w:lang w:val="ro-MD"/>
              </w:rPr>
              <w:t>Proiectul actului normativ împreună cu AIR</w:t>
            </w:r>
            <w:r w:rsidR="00660E4A">
              <w:rPr>
                <w:sz w:val="24"/>
                <w:szCs w:val="24"/>
                <w:lang w:val="ro-MD"/>
              </w:rPr>
              <w:t>-ul</w:t>
            </w:r>
            <w:r w:rsidRPr="00D54095">
              <w:rPr>
                <w:sz w:val="24"/>
                <w:szCs w:val="24"/>
                <w:lang w:val="ro-MD"/>
              </w:rPr>
              <w:t xml:space="preserve"> va </w:t>
            </w:r>
            <w:r w:rsidR="00B3759B">
              <w:rPr>
                <w:sz w:val="24"/>
                <w:szCs w:val="24"/>
                <w:lang w:val="ro-MD"/>
              </w:rPr>
              <w:t>fi supus</w:t>
            </w:r>
            <w:r w:rsidRPr="00D54095">
              <w:rPr>
                <w:sz w:val="24"/>
                <w:szCs w:val="24"/>
                <w:lang w:val="ro-MD"/>
              </w:rPr>
              <w:t xml:space="preserve"> consultării publice</w:t>
            </w:r>
            <w:r w:rsidR="004F56D4">
              <w:rPr>
                <w:sz w:val="24"/>
                <w:szCs w:val="24"/>
                <w:lang w:val="ro-MD"/>
              </w:rPr>
              <w:t xml:space="preserve"> și avizării</w:t>
            </w:r>
            <w:r w:rsidRPr="00D54095">
              <w:rPr>
                <w:sz w:val="24"/>
                <w:szCs w:val="24"/>
                <w:lang w:val="ro-MD"/>
              </w:rPr>
              <w:t xml:space="preserve"> oficiale</w:t>
            </w:r>
            <w:r w:rsidR="006411D5">
              <w:rPr>
                <w:sz w:val="24"/>
                <w:szCs w:val="24"/>
                <w:lang w:val="ro-MD"/>
              </w:rPr>
              <w:t>,</w:t>
            </w:r>
            <w:r w:rsidR="001C5BA4">
              <w:rPr>
                <w:sz w:val="24"/>
                <w:szCs w:val="24"/>
                <w:lang w:val="ro-MD"/>
              </w:rPr>
              <w:t xml:space="preserve"> </w:t>
            </w:r>
            <w:r w:rsidR="006411D5" w:rsidRPr="00532FF2">
              <w:rPr>
                <w:sz w:val="24"/>
                <w:szCs w:val="24"/>
                <w:lang w:val="ro-MD"/>
              </w:rPr>
              <w:t>conform legislației în vigoare</w:t>
            </w:r>
            <w:r w:rsidR="006411D5">
              <w:rPr>
                <w:sz w:val="24"/>
                <w:szCs w:val="24"/>
                <w:lang w:val="ro-MD"/>
              </w:rPr>
              <w:t>.</w:t>
            </w:r>
          </w:p>
        </w:tc>
      </w:tr>
      <w:tr w:rsidR="00D62181" w:rsidRPr="00207783" w14:paraId="6B58397A" w14:textId="77777777" w:rsidTr="00C518BD">
        <w:trPr>
          <w:trHeight w:val="964"/>
        </w:trPr>
        <w:tc>
          <w:tcPr>
            <w:tcW w:w="5000" w:type="pct"/>
            <w:gridSpan w:val="5"/>
            <w:vAlign w:val="center"/>
            <w:hideMark/>
          </w:tcPr>
          <w:p w14:paraId="1AE55771" w14:textId="77777777" w:rsidR="00D62181" w:rsidRPr="00207783" w:rsidRDefault="00D62181" w:rsidP="00C518BD">
            <w:pPr>
              <w:ind w:firstLine="567"/>
              <w:jc w:val="left"/>
              <w:rPr>
                <w:sz w:val="24"/>
                <w:szCs w:val="24"/>
                <w:lang w:val="ro-MD"/>
              </w:rPr>
            </w:pPr>
            <w:r w:rsidRPr="00207783">
              <w:rPr>
                <w:i/>
                <w:sz w:val="24"/>
                <w:szCs w:val="24"/>
                <w:lang w:val="ro-MD"/>
              </w:rPr>
              <w:lastRenderedPageBreak/>
              <w:t>c) Expuneți succint poziţia fiecărei entităţi consultate față de documentul de analiză a impactului şi/sau intervenţia propusă (se expune poziția a cel puțin unui exponent din fiecare grup de interese identificat)</w:t>
            </w:r>
          </w:p>
        </w:tc>
      </w:tr>
      <w:tr w:rsidR="00C16C9F" w:rsidRPr="00207783" w14:paraId="0B6830C7" w14:textId="77777777" w:rsidTr="00C518BD">
        <w:trPr>
          <w:trHeight w:val="340"/>
        </w:trPr>
        <w:tc>
          <w:tcPr>
            <w:tcW w:w="5000" w:type="pct"/>
            <w:gridSpan w:val="5"/>
            <w:vAlign w:val="center"/>
          </w:tcPr>
          <w:p w14:paraId="32A1FCB3" w14:textId="7898F1FB" w:rsidR="00C16C9F" w:rsidRPr="00BC3CB3" w:rsidRDefault="00951CC4" w:rsidP="00EC77C3">
            <w:pPr>
              <w:spacing w:before="40" w:after="40"/>
              <w:ind w:firstLine="567"/>
              <w:jc w:val="left"/>
              <w:rPr>
                <w:sz w:val="24"/>
                <w:szCs w:val="24"/>
                <w:lang w:val="ro-MD"/>
              </w:rPr>
            </w:pPr>
            <w:r w:rsidRPr="00BC3CB3">
              <w:rPr>
                <w:bCs/>
                <w:sz w:val="24"/>
                <w:szCs w:val="24"/>
                <w:lang w:val="ro-MD"/>
              </w:rPr>
              <w:t>Opinia entităților consultate va fi luată în considerație la definitivarea proiectului.</w:t>
            </w:r>
          </w:p>
        </w:tc>
      </w:tr>
      <w:tr w:rsidR="00C16C9F" w:rsidRPr="00207783" w14:paraId="5E6BF209" w14:textId="77777777" w:rsidTr="00772AD3">
        <w:trPr>
          <w:trHeight w:val="684"/>
        </w:trPr>
        <w:tc>
          <w:tcPr>
            <w:tcW w:w="5000" w:type="pct"/>
            <w:gridSpan w:val="5"/>
          </w:tcPr>
          <w:p w14:paraId="3723FC4A" w14:textId="77777777" w:rsidR="00C16C9F" w:rsidRPr="004679C6" w:rsidRDefault="00C16C9F" w:rsidP="000E53FD">
            <w:pPr>
              <w:ind w:firstLine="0"/>
              <w:jc w:val="right"/>
              <w:rPr>
                <w:b/>
                <w:bCs/>
                <w:i/>
                <w:sz w:val="24"/>
                <w:szCs w:val="24"/>
                <w:lang w:val="ro-MD"/>
              </w:rPr>
            </w:pPr>
            <w:r w:rsidRPr="004679C6">
              <w:rPr>
                <w:b/>
                <w:bCs/>
                <w:i/>
                <w:sz w:val="24"/>
                <w:szCs w:val="24"/>
                <w:lang w:val="ro-MD"/>
              </w:rPr>
              <w:t xml:space="preserve">Anexă </w:t>
            </w:r>
          </w:p>
          <w:p w14:paraId="7A926CFC" w14:textId="77777777" w:rsidR="00C16C9F" w:rsidRPr="00207783" w:rsidRDefault="00C16C9F" w:rsidP="004679C6">
            <w:pPr>
              <w:spacing w:after="120"/>
              <w:ind w:firstLine="0"/>
              <w:jc w:val="center"/>
              <w:rPr>
                <w:b/>
                <w:bCs/>
                <w:sz w:val="24"/>
                <w:szCs w:val="24"/>
                <w:lang w:val="ro-MD"/>
              </w:rPr>
            </w:pPr>
            <w:r w:rsidRPr="00207783">
              <w:rPr>
                <w:b/>
                <w:bCs/>
                <w:sz w:val="24"/>
                <w:szCs w:val="24"/>
                <w:lang w:val="ro-MD"/>
              </w:rPr>
              <w:t>Tabel pentru identificarea impacturilor</w:t>
            </w:r>
          </w:p>
        </w:tc>
      </w:tr>
      <w:tr w:rsidR="00C16C9F" w:rsidRPr="00207783" w14:paraId="7DC9E564" w14:textId="77777777" w:rsidTr="000E53FD">
        <w:trPr>
          <w:trHeight w:val="340"/>
        </w:trPr>
        <w:tc>
          <w:tcPr>
            <w:tcW w:w="2691" w:type="pct"/>
            <w:gridSpan w:val="2"/>
            <w:vAlign w:val="center"/>
          </w:tcPr>
          <w:p w14:paraId="6E313216" w14:textId="77777777" w:rsidR="00C16C9F" w:rsidRPr="00E54B48" w:rsidRDefault="00C16C9F" w:rsidP="000E53FD">
            <w:pPr>
              <w:ind w:firstLine="0"/>
              <w:jc w:val="center"/>
              <w:rPr>
                <w:b/>
                <w:bCs/>
                <w:lang w:val="ro-MD"/>
              </w:rPr>
            </w:pPr>
            <w:r w:rsidRPr="00E54B48">
              <w:rPr>
                <w:b/>
                <w:bCs/>
                <w:lang w:val="ro-MD"/>
              </w:rPr>
              <w:t>Categorii de impact</w:t>
            </w:r>
          </w:p>
        </w:tc>
        <w:tc>
          <w:tcPr>
            <w:tcW w:w="2309" w:type="pct"/>
            <w:gridSpan w:val="3"/>
            <w:vAlign w:val="center"/>
          </w:tcPr>
          <w:p w14:paraId="705B68A1" w14:textId="77777777" w:rsidR="00C16C9F" w:rsidRPr="00E54B48" w:rsidRDefault="00C16C9F" w:rsidP="000E53FD">
            <w:pPr>
              <w:ind w:firstLine="0"/>
              <w:jc w:val="center"/>
              <w:rPr>
                <w:b/>
                <w:lang w:val="ro-MD"/>
              </w:rPr>
            </w:pPr>
            <w:r w:rsidRPr="00E54B48">
              <w:rPr>
                <w:b/>
                <w:lang w:val="ro-MD"/>
              </w:rPr>
              <w:t>Punctaj atribuit</w:t>
            </w:r>
          </w:p>
        </w:tc>
      </w:tr>
      <w:tr w:rsidR="00C16C9F" w:rsidRPr="00207783" w14:paraId="190884E2" w14:textId="77777777" w:rsidTr="00772AD3">
        <w:trPr>
          <w:trHeight w:val="444"/>
        </w:trPr>
        <w:tc>
          <w:tcPr>
            <w:tcW w:w="2691" w:type="pct"/>
            <w:gridSpan w:val="2"/>
          </w:tcPr>
          <w:p w14:paraId="457225BD" w14:textId="77777777" w:rsidR="00C16C9F" w:rsidRPr="00E54B48" w:rsidRDefault="00C16C9F" w:rsidP="009321D1">
            <w:pPr>
              <w:ind w:firstLine="0"/>
              <w:jc w:val="left"/>
              <w:rPr>
                <w:bCs/>
                <w:i/>
                <w:lang w:val="ro-MD"/>
              </w:rPr>
            </w:pPr>
          </w:p>
        </w:tc>
        <w:tc>
          <w:tcPr>
            <w:tcW w:w="780" w:type="pct"/>
          </w:tcPr>
          <w:p w14:paraId="471E999A" w14:textId="77777777" w:rsidR="00C16C9F" w:rsidRPr="00E54B48" w:rsidRDefault="00C16C9F" w:rsidP="009321D1">
            <w:pPr>
              <w:ind w:firstLine="0"/>
              <w:jc w:val="left"/>
              <w:rPr>
                <w:i/>
                <w:lang w:val="ro-MD"/>
              </w:rPr>
            </w:pPr>
            <w:r w:rsidRPr="00E54B48">
              <w:rPr>
                <w:i/>
                <w:lang w:val="ro-MD"/>
              </w:rPr>
              <w:t xml:space="preserve">Opțiunea </w:t>
            </w:r>
          </w:p>
          <w:p w14:paraId="7BF78FE5" w14:textId="77777777" w:rsidR="00C16C9F" w:rsidRPr="00E54B48" w:rsidRDefault="00C16C9F" w:rsidP="009321D1">
            <w:pPr>
              <w:ind w:firstLine="0"/>
              <w:jc w:val="left"/>
              <w:rPr>
                <w:i/>
                <w:lang w:val="ro-MD"/>
              </w:rPr>
            </w:pPr>
            <w:r w:rsidRPr="00E54B48">
              <w:rPr>
                <w:i/>
                <w:lang w:val="ro-MD"/>
              </w:rPr>
              <w:t>propusă</w:t>
            </w:r>
          </w:p>
        </w:tc>
        <w:tc>
          <w:tcPr>
            <w:tcW w:w="765" w:type="pct"/>
          </w:tcPr>
          <w:p w14:paraId="6358340F" w14:textId="77777777" w:rsidR="00C16C9F" w:rsidRPr="00E54B48" w:rsidRDefault="00C16C9F" w:rsidP="009321D1">
            <w:pPr>
              <w:ind w:firstLine="0"/>
              <w:jc w:val="left"/>
              <w:rPr>
                <w:bCs/>
                <w:i/>
                <w:lang w:val="ro-MD"/>
              </w:rPr>
            </w:pPr>
            <w:r w:rsidRPr="00E54B48">
              <w:rPr>
                <w:bCs/>
                <w:i/>
                <w:lang w:val="ro-MD"/>
              </w:rPr>
              <w:t>Opțiunea alterativă 1</w:t>
            </w:r>
          </w:p>
        </w:tc>
        <w:tc>
          <w:tcPr>
            <w:tcW w:w="764" w:type="pct"/>
          </w:tcPr>
          <w:p w14:paraId="49D204A2" w14:textId="77777777" w:rsidR="00C16C9F" w:rsidRPr="00E54B48" w:rsidRDefault="00C16C9F" w:rsidP="009321D1">
            <w:pPr>
              <w:ind w:firstLine="0"/>
              <w:jc w:val="left"/>
              <w:rPr>
                <w:bCs/>
                <w:i/>
                <w:lang w:val="ro-MD"/>
              </w:rPr>
            </w:pPr>
            <w:r w:rsidRPr="00E54B48">
              <w:rPr>
                <w:bCs/>
                <w:i/>
                <w:lang w:val="ro-MD"/>
              </w:rPr>
              <w:t>Opțiunea alterativă 2</w:t>
            </w:r>
          </w:p>
        </w:tc>
      </w:tr>
      <w:tr w:rsidR="00C16C9F" w:rsidRPr="00207783" w14:paraId="545DB1EA" w14:textId="77777777" w:rsidTr="00772AD3">
        <w:trPr>
          <w:trHeight w:val="237"/>
        </w:trPr>
        <w:tc>
          <w:tcPr>
            <w:tcW w:w="5000" w:type="pct"/>
            <w:gridSpan w:val="5"/>
          </w:tcPr>
          <w:p w14:paraId="76DE9742" w14:textId="77777777" w:rsidR="00C16C9F" w:rsidRPr="00E54B48" w:rsidRDefault="00C16C9F" w:rsidP="009321D1">
            <w:pPr>
              <w:ind w:firstLine="0"/>
              <w:jc w:val="left"/>
              <w:rPr>
                <w:b/>
                <w:lang w:val="ro-MD"/>
              </w:rPr>
            </w:pPr>
            <w:r w:rsidRPr="00E54B48">
              <w:rPr>
                <w:b/>
                <w:bCs/>
                <w:lang w:val="ro-MD"/>
              </w:rPr>
              <w:t>Economic</w:t>
            </w:r>
          </w:p>
        </w:tc>
      </w:tr>
      <w:tr w:rsidR="00C16C9F" w:rsidRPr="00207783" w14:paraId="6E5D26E3" w14:textId="77777777" w:rsidTr="00772AD3">
        <w:trPr>
          <w:trHeight w:val="219"/>
        </w:trPr>
        <w:tc>
          <w:tcPr>
            <w:tcW w:w="2691" w:type="pct"/>
            <w:gridSpan w:val="2"/>
          </w:tcPr>
          <w:p w14:paraId="297F506D" w14:textId="77777777" w:rsidR="00C16C9F" w:rsidRPr="00E54B48" w:rsidRDefault="00C16C9F" w:rsidP="009321D1">
            <w:pPr>
              <w:ind w:firstLine="0"/>
              <w:jc w:val="left"/>
              <w:rPr>
                <w:lang w:val="ro-MD"/>
              </w:rPr>
            </w:pPr>
            <w:r w:rsidRPr="00E54B48">
              <w:rPr>
                <w:bCs/>
                <w:lang w:val="ro-MD"/>
              </w:rPr>
              <w:t>costurile desfășurării afacerilor</w:t>
            </w:r>
          </w:p>
        </w:tc>
        <w:tc>
          <w:tcPr>
            <w:tcW w:w="780" w:type="pct"/>
          </w:tcPr>
          <w:p w14:paraId="143D2717" w14:textId="250A9BCB" w:rsidR="00C16C9F" w:rsidRPr="00E54B48" w:rsidRDefault="002C48CB" w:rsidP="009321D1">
            <w:pPr>
              <w:ind w:firstLine="0"/>
              <w:jc w:val="left"/>
              <w:rPr>
                <w:lang w:val="ro-MD"/>
              </w:rPr>
            </w:pPr>
            <w:r>
              <w:rPr>
                <w:lang w:val="ro-MD"/>
              </w:rPr>
              <w:t>0</w:t>
            </w:r>
          </w:p>
        </w:tc>
        <w:tc>
          <w:tcPr>
            <w:tcW w:w="765" w:type="pct"/>
          </w:tcPr>
          <w:p w14:paraId="09114765" w14:textId="1E88291D" w:rsidR="00C16C9F" w:rsidRPr="00E54B48" w:rsidRDefault="00C16C9F" w:rsidP="009321D1">
            <w:pPr>
              <w:ind w:firstLine="0"/>
              <w:jc w:val="left"/>
              <w:rPr>
                <w:bCs/>
                <w:lang w:val="ro-MD"/>
              </w:rPr>
            </w:pPr>
          </w:p>
        </w:tc>
        <w:tc>
          <w:tcPr>
            <w:tcW w:w="764" w:type="pct"/>
          </w:tcPr>
          <w:p w14:paraId="76EC9D58" w14:textId="77777777" w:rsidR="00C16C9F" w:rsidRPr="00E54B48" w:rsidRDefault="00C16C9F" w:rsidP="009321D1">
            <w:pPr>
              <w:ind w:firstLine="0"/>
              <w:jc w:val="left"/>
              <w:rPr>
                <w:lang w:val="ro-MD"/>
              </w:rPr>
            </w:pPr>
          </w:p>
        </w:tc>
      </w:tr>
      <w:tr w:rsidR="00C16C9F" w:rsidRPr="00207783" w14:paraId="10039524" w14:textId="77777777" w:rsidTr="00772AD3">
        <w:trPr>
          <w:trHeight w:val="228"/>
        </w:trPr>
        <w:tc>
          <w:tcPr>
            <w:tcW w:w="2691" w:type="pct"/>
            <w:gridSpan w:val="2"/>
          </w:tcPr>
          <w:p w14:paraId="06A9BE4A" w14:textId="77777777" w:rsidR="00C16C9F" w:rsidRPr="00E54B48" w:rsidRDefault="00C16C9F" w:rsidP="009321D1">
            <w:pPr>
              <w:ind w:firstLine="0"/>
              <w:jc w:val="left"/>
              <w:rPr>
                <w:bCs/>
                <w:lang w:val="ro-MD"/>
              </w:rPr>
            </w:pPr>
            <w:r w:rsidRPr="00E54B48">
              <w:rPr>
                <w:bCs/>
                <w:lang w:val="ro-MD"/>
              </w:rPr>
              <w:t>povara administrativă</w:t>
            </w:r>
          </w:p>
        </w:tc>
        <w:tc>
          <w:tcPr>
            <w:tcW w:w="780" w:type="pct"/>
          </w:tcPr>
          <w:p w14:paraId="38F5DF0C" w14:textId="77777777" w:rsidR="00C16C9F" w:rsidRPr="00E54B48" w:rsidRDefault="00D21A9C" w:rsidP="009321D1">
            <w:pPr>
              <w:ind w:firstLine="0"/>
              <w:jc w:val="left"/>
              <w:rPr>
                <w:lang w:val="ro-MD"/>
              </w:rPr>
            </w:pPr>
            <w:r w:rsidRPr="00E54B48">
              <w:rPr>
                <w:lang w:val="ro-MD"/>
              </w:rPr>
              <w:t>+1</w:t>
            </w:r>
          </w:p>
        </w:tc>
        <w:tc>
          <w:tcPr>
            <w:tcW w:w="765" w:type="pct"/>
          </w:tcPr>
          <w:p w14:paraId="4B7A91BF" w14:textId="689E0BFC" w:rsidR="00C16C9F" w:rsidRPr="00E54B48" w:rsidRDefault="00C16C9F" w:rsidP="009321D1">
            <w:pPr>
              <w:ind w:firstLine="0"/>
              <w:jc w:val="left"/>
              <w:rPr>
                <w:bCs/>
                <w:lang w:val="ro-MD"/>
              </w:rPr>
            </w:pPr>
          </w:p>
        </w:tc>
        <w:tc>
          <w:tcPr>
            <w:tcW w:w="764" w:type="pct"/>
          </w:tcPr>
          <w:p w14:paraId="383623AE" w14:textId="77777777" w:rsidR="00C16C9F" w:rsidRPr="00E54B48" w:rsidRDefault="00C16C9F" w:rsidP="009321D1">
            <w:pPr>
              <w:ind w:firstLine="0"/>
              <w:jc w:val="left"/>
              <w:rPr>
                <w:lang w:val="ro-MD"/>
              </w:rPr>
            </w:pPr>
          </w:p>
        </w:tc>
      </w:tr>
      <w:tr w:rsidR="00C16C9F" w:rsidRPr="00207783" w14:paraId="40193271" w14:textId="77777777" w:rsidTr="00772AD3">
        <w:trPr>
          <w:trHeight w:val="246"/>
        </w:trPr>
        <w:tc>
          <w:tcPr>
            <w:tcW w:w="2691" w:type="pct"/>
            <w:gridSpan w:val="2"/>
          </w:tcPr>
          <w:p w14:paraId="747D5221" w14:textId="77777777" w:rsidR="00C16C9F" w:rsidRPr="00E54B48" w:rsidRDefault="00C16C9F" w:rsidP="009321D1">
            <w:pPr>
              <w:ind w:firstLine="0"/>
              <w:jc w:val="left"/>
              <w:rPr>
                <w:lang w:val="ro-MD"/>
              </w:rPr>
            </w:pPr>
            <w:r w:rsidRPr="00E54B48">
              <w:rPr>
                <w:bCs/>
                <w:lang w:val="ro-MD"/>
              </w:rPr>
              <w:t>fluxurile comerciale și investiționale</w:t>
            </w:r>
          </w:p>
        </w:tc>
        <w:tc>
          <w:tcPr>
            <w:tcW w:w="780" w:type="pct"/>
          </w:tcPr>
          <w:p w14:paraId="06C4A3D8" w14:textId="4E5C6B92" w:rsidR="00C16C9F" w:rsidRPr="00E54B48" w:rsidRDefault="00A06034" w:rsidP="009321D1">
            <w:pPr>
              <w:ind w:firstLine="0"/>
              <w:jc w:val="left"/>
              <w:rPr>
                <w:lang w:val="ro-MD"/>
              </w:rPr>
            </w:pPr>
            <w:r>
              <w:rPr>
                <w:lang w:val="ro-MD"/>
              </w:rPr>
              <w:t>+1</w:t>
            </w:r>
          </w:p>
        </w:tc>
        <w:tc>
          <w:tcPr>
            <w:tcW w:w="765" w:type="pct"/>
          </w:tcPr>
          <w:p w14:paraId="40CE3FA7" w14:textId="77777777" w:rsidR="00C16C9F" w:rsidRPr="00E54B48" w:rsidRDefault="00C16C9F" w:rsidP="009321D1">
            <w:pPr>
              <w:ind w:firstLine="0"/>
              <w:jc w:val="left"/>
              <w:rPr>
                <w:bCs/>
                <w:lang w:val="ro-MD"/>
              </w:rPr>
            </w:pPr>
          </w:p>
        </w:tc>
        <w:tc>
          <w:tcPr>
            <w:tcW w:w="764" w:type="pct"/>
          </w:tcPr>
          <w:p w14:paraId="436CCD9F" w14:textId="77777777" w:rsidR="00C16C9F" w:rsidRPr="00E54B48" w:rsidRDefault="00C16C9F" w:rsidP="009321D1">
            <w:pPr>
              <w:ind w:firstLine="0"/>
              <w:jc w:val="left"/>
              <w:rPr>
                <w:lang w:val="ro-MD"/>
              </w:rPr>
            </w:pPr>
          </w:p>
        </w:tc>
      </w:tr>
      <w:tr w:rsidR="00C16C9F" w:rsidRPr="00207783" w14:paraId="32C714CB" w14:textId="77777777" w:rsidTr="00772AD3">
        <w:trPr>
          <w:trHeight w:val="237"/>
        </w:trPr>
        <w:tc>
          <w:tcPr>
            <w:tcW w:w="2691" w:type="pct"/>
            <w:gridSpan w:val="2"/>
          </w:tcPr>
          <w:p w14:paraId="21B0DF30" w14:textId="77777777" w:rsidR="00C16C9F" w:rsidRPr="00E54B48" w:rsidRDefault="00C16C9F" w:rsidP="009321D1">
            <w:pPr>
              <w:ind w:firstLine="0"/>
              <w:jc w:val="left"/>
              <w:rPr>
                <w:lang w:val="ro-MD"/>
              </w:rPr>
            </w:pPr>
            <w:r w:rsidRPr="00E54B48">
              <w:rPr>
                <w:bCs/>
                <w:lang w:val="ro-MD"/>
              </w:rPr>
              <w:t>competitivitatea afacerilor</w:t>
            </w:r>
          </w:p>
        </w:tc>
        <w:tc>
          <w:tcPr>
            <w:tcW w:w="780" w:type="pct"/>
          </w:tcPr>
          <w:p w14:paraId="196EE884" w14:textId="4702B812" w:rsidR="00C16C9F" w:rsidRPr="00E54B48" w:rsidRDefault="00A06034" w:rsidP="009321D1">
            <w:pPr>
              <w:ind w:firstLine="0"/>
              <w:jc w:val="left"/>
              <w:rPr>
                <w:lang w:val="ro-MD"/>
              </w:rPr>
            </w:pPr>
            <w:r>
              <w:rPr>
                <w:lang w:val="ro-MD"/>
              </w:rPr>
              <w:t>+1</w:t>
            </w:r>
          </w:p>
        </w:tc>
        <w:tc>
          <w:tcPr>
            <w:tcW w:w="765" w:type="pct"/>
          </w:tcPr>
          <w:p w14:paraId="4EDACCA5" w14:textId="77777777" w:rsidR="00C16C9F" w:rsidRPr="00E54B48" w:rsidRDefault="00C16C9F" w:rsidP="009321D1">
            <w:pPr>
              <w:ind w:firstLine="0"/>
              <w:jc w:val="left"/>
              <w:rPr>
                <w:bCs/>
                <w:lang w:val="ro-MD"/>
              </w:rPr>
            </w:pPr>
          </w:p>
        </w:tc>
        <w:tc>
          <w:tcPr>
            <w:tcW w:w="764" w:type="pct"/>
          </w:tcPr>
          <w:p w14:paraId="3AE9B4BA" w14:textId="77777777" w:rsidR="00C16C9F" w:rsidRPr="00E54B48" w:rsidRDefault="00C16C9F" w:rsidP="009321D1">
            <w:pPr>
              <w:ind w:firstLine="0"/>
              <w:jc w:val="left"/>
              <w:rPr>
                <w:lang w:val="ro-MD"/>
              </w:rPr>
            </w:pPr>
          </w:p>
        </w:tc>
      </w:tr>
      <w:tr w:rsidR="00C16C9F" w:rsidRPr="00207783" w14:paraId="39B93CF9" w14:textId="77777777" w:rsidTr="00772AD3">
        <w:trPr>
          <w:trHeight w:val="138"/>
        </w:trPr>
        <w:tc>
          <w:tcPr>
            <w:tcW w:w="2691" w:type="pct"/>
            <w:gridSpan w:val="2"/>
          </w:tcPr>
          <w:p w14:paraId="1A7585B1" w14:textId="77777777" w:rsidR="00C16C9F" w:rsidRPr="00E54B48" w:rsidRDefault="00C16C9F" w:rsidP="009321D1">
            <w:pPr>
              <w:ind w:firstLine="0"/>
              <w:jc w:val="left"/>
              <w:rPr>
                <w:bCs/>
                <w:lang w:val="ro-MD"/>
              </w:rPr>
            </w:pPr>
            <w:r w:rsidRPr="00E54B48">
              <w:rPr>
                <w:bCs/>
                <w:lang w:val="ro-MD"/>
              </w:rPr>
              <w:t>activitatea diferitor categorii de întreprinderi mici și mijlocii</w:t>
            </w:r>
          </w:p>
        </w:tc>
        <w:tc>
          <w:tcPr>
            <w:tcW w:w="780" w:type="pct"/>
          </w:tcPr>
          <w:p w14:paraId="299697E4" w14:textId="77777777" w:rsidR="00C16C9F" w:rsidRPr="00E54B48" w:rsidRDefault="00D21A9C" w:rsidP="009321D1">
            <w:pPr>
              <w:ind w:firstLine="0"/>
              <w:jc w:val="left"/>
              <w:rPr>
                <w:lang w:val="ro-MD"/>
              </w:rPr>
            </w:pPr>
            <w:r w:rsidRPr="00E54B48">
              <w:rPr>
                <w:lang w:val="ro-MD"/>
              </w:rPr>
              <w:t>+1</w:t>
            </w:r>
          </w:p>
        </w:tc>
        <w:tc>
          <w:tcPr>
            <w:tcW w:w="765" w:type="pct"/>
          </w:tcPr>
          <w:p w14:paraId="114DCF56" w14:textId="123EA335" w:rsidR="00C16C9F" w:rsidRPr="00E54B48" w:rsidRDefault="00C16C9F" w:rsidP="009321D1">
            <w:pPr>
              <w:ind w:firstLine="0"/>
              <w:jc w:val="left"/>
              <w:rPr>
                <w:bCs/>
                <w:lang w:val="ro-MD"/>
              </w:rPr>
            </w:pPr>
          </w:p>
        </w:tc>
        <w:tc>
          <w:tcPr>
            <w:tcW w:w="764" w:type="pct"/>
          </w:tcPr>
          <w:p w14:paraId="7117D0FC" w14:textId="77777777" w:rsidR="00C16C9F" w:rsidRPr="00E54B48" w:rsidRDefault="00C16C9F" w:rsidP="009321D1">
            <w:pPr>
              <w:ind w:firstLine="0"/>
              <w:jc w:val="left"/>
              <w:rPr>
                <w:lang w:val="ro-MD"/>
              </w:rPr>
            </w:pPr>
          </w:p>
        </w:tc>
      </w:tr>
      <w:tr w:rsidR="00C16C9F" w:rsidRPr="00207783" w14:paraId="2120E191" w14:textId="77777777" w:rsidTr="00772AD3">
        <w:trPr>
          <w:trHeight w:val="66"/>
        </w:trPr>
        <w:tc>
          <w:tcPr>
            <w:tcW w:w="2691" w:type="pct"/>
            <w:gridSpan w:val="2"/>
          </w:tcPr>
          <w:p w14:paraId="1264E5D1" w14:textId="77777777" w:rsidR="00C16C9F" w:rsidRPr="00E54B48" w:rsidRDefault="00C16C9F" w:rsidP="009321D1">
            <w:pPr>
              <w:ind w:firstLine="0"/>
              <w:jc w:val="left"/>
              <w:rPr>
                <w:bCs/>
                <w:lang w:val="ro-MD"/>
              </w:rPr>
            </w:pPr>
            <w:r w:rsidRPr="00E54B48">
              <w:rPr>
                <w:bCs/>
                <w:lang w:val="ro-MD"/>
              </w:rPr>
              <w:t>concurența pe piață</w:t>
            </w:r>
          </w:p>
        </w:tc>
        <w:tc>
          <w:tcPr>
            <w:tcW w:w="780" w:type="pct"/>
          </w:tcPr>
          <w:p w14:paraId="43D12FBC" w14:textId="6E978CD5" w:rsidR="00C16C9F" w:rsidRPr="00E54B48" w:rsidRDefault="00A06034" w:rsidP="009321D1">
            <w:pPr>
              <w:ind w:firstLine="0"/>
              <w:jc w:val="left"/>
              <w:rPr>
                <w:lang w:val="ro-MD"/>
              </w:rPr>
            </w:pPr>
            <w:r>
              <w:rPr>
                <w:lang w:val="ro-MD"/>
              </w:rPr>
              <w:t>0</w:t>
            </w:r>
          </w:p>
        </w:tc>
        <w:tc>
          <w:tcPr>
            <w:tcW w:w="765" w:type="pct"/>
          </w:tcPr>
          <w:p w14:paraId="4B210A99" w14:textId="77777777" w:rsidR="00C16C9F" w:rsidRPr="00E54B48" w:rsidRDefault="00C16C9F" w:rsidP="009321D1">
            <w:pPr>
              <w:ind w:firstLine="0"/>
              <w:jc w:val="left"/>
              <w:rPr>
                <w:bCs/>
                <w:lang w:val="ro-MD"/>
              </w:rPr>
            </w:pPr>
          </w:p>
        </w:tc>
        <w:tc>
          <w:tcPr>
            <w:tcW w:w="764" w:type="pct"/>
          </w:tcPr>
          <w:p w14:paraId="4DA07E7A" w14:textId="77777777" w:rsidR="00C16C9F" w:rsidRPr="00E54B48" w:rsidRDefault="00C16C9F" w:rsidP="009321D1">
            <w:pPr>
              <w:ind w:firstLine="0"/>
              <w:jc w:val="left"/>
              <w:rPr>
                <w:lang w:val="ro-MD"/>
              </w:rPr>
            </w:pPr>
          </w:p>
        </w:tc>
      </w:tr>
      <w:tr w:rsidR="00C16C9F" w:rsidRPr="00207783" w14:paraId="0507FF33" w14:textId="77777777" w:rsidTr="00772AD3">
        <w:trPr>
          <w:trHeight w:val="75"/>
        </w:trPr>
        <w:tc>
          <w:tcPr>
            <w:tcW w:w="2691" w:type="pct"/>
            <w:gridSpan w:val="2"/>
          </w:tcPr>
          <w:p w14:paraId="057A49F3" w14:textId="77777777" w:rsidR="00C16C9F" w:rsidRPr="00E54B48" w:rsidRDefault="00C16C9F" w:rsidP="009321D1">
            <w:pPr>
              <w:ind w:firstLine="0"/>
              <w:jc w:val="left"/>
              <w:rPr>
                <w:bCs/>
                <w:lang w:val="ro-MD"/>
              </w:rPr>
            </w:pPr>
            <w:r w:rsidRPr="00E54B48">
              <w:rPr>
                <w:bCs/>
                <w:lang w:val="ro-MD"/>
              </w:rPr>
              <w:t>activitatea de inovare și cercetare</w:t>
            </w:r>
          </w:p>
        </w:tc>
        <w:tc>
          <w:tcPr>
            <w:tcW w:w="780" w:type="pct"/>
          </w:tcPr>
          <w:p w14:paraId="3F73B3B0" w14:textId="5D6E2061" w:rsidR="00C16C9F" w:rsidRPr="00E54B48" w:rsidRDefault="002F17AA" w:rsidP="009321D1">
            <w:pPr>
              <w:ind w:firstLine="0"/>
              <w:jc w:val="left"/>
              <w:rPr>
                <w:lang w:val="ro-MD"/>
              </w:rPr>
            </w:pPr>
            <w:r>
              <w:rPr>
                <w:lang w:val="ro-MD"/>
              </w:rPr>
              <w:t>+1</w:t>
            </w:r>
          </w:p>
        </w:tc>
        <w:tc>
          <w:tcPr>
            <w:tcW w:w="765" w:type="pct"/>
          </w:tcPr>
          <w:p w14:paraId="54C13A8E" w14:textId="77777777" w:rsidR="00C16C9F" w:rsidRPr="00E54B48" w:rsidRDefault="00C16C9F" w:rsidP="009321D1">
            <w:pPr>
              <w:ind w:firstLine="0"/>
              <w:jc w:val="left"/>
              <w:rPr>
                <w:bCs/>
                <w:lang w:val="ro-MD"/>
              </w:rPr>
            </w:pPr>
          </w:p>
        </w:tc>
        <w:tc>
          <w:tcPr>
            <w:tcW w:w="764" w:type="pct"/>
          </w:tcPr>
          <w:p w14:paraId="13F04EB4" w14:textId="77777777" w:rsidR="00C16C9F" w:rsidRPr="00E54B48" w:rsidRDefault="00C16C9F" w:rsidP="009321D1">
            <w:pPr>
              <w:ind w:firstLine="0"/>
              <w:jc w:val="left"/>
              <w:rPr>
                <w:lang w:val="ro-MD"/>
              </w:rPr>
            </w:pPr>
          </w:p>
        </w:tc>
      </w:tr>
      <w:tr w:rsidR="00C16C9F" w:rsidRPr="00207783" w14:paraId="5D32D61C" w14:textId="77777777" w:rsidTr="00772AD3">
        <w:trPr>
          <w:trHeight w:val="53"/>
        </w:trPr>
        <w:tc>
          <w:tcPr>
            <w:tcW w:w="2691" w:type="pct"/>
            <w:gridSpan w:val="2"/>
          </w:tcPr>
          <w:p w14:paraId="1ED5F6A9" w14:textId="77777777" w:rsidR="00C16C9F" w:rsidRPr="00E54B48" w:rsidRDefault="00C16C9F" w:rsidP="009321D1">
            <w:pPr>
              <w:ind w:firstLine="0"/>
              <w:jc w:val="left"/>
              <w:rPr>
                <w:bCs/>
                <w:lang w:val="ro-MD"/>
              </w:rPr>
            </w:pPr>
            <w:r w:rsidRPr="00E54B48">
              <w:rPr>
                <w:bCs/>
                <w:lang w:val="ro-MD"/>
              </w:rPr>
              <w:t>veniturile și cheltuielile publice</w:t>
            </w:r>
          </w:p>
        </w:tc>
        <w:tc>
          <w:tcPr>
            <w:tcW w:w="780" w:type="pct"/>
          </w:tcPr>
          <w:p w14:paraId="11646E8A" w14:textId="3954358F" w:rsidR="00C16C9F" w:rsidRPr="00E54B48" w:rsidRDefault="00A06034" w:rsidP="009321D1">
            <w:pPr>
              <w:ind w:firstLine="0"/>
              <w:jc w:val="left"/>
              <w:rPr>
                <w:lang w:val="ro-MD"/>
              </w:rPr>
            </w:pPr>
            <w:r>
              <w:rPr>
                <w:lang w:val="ro-MD"/>
              </w:rPr>
              <w:t>0</w:t>
            </w:r>
          </w:p>
        </w:tc>
        <w:tc>
          <w:tcPr>
            <w:tcW w:w="765" w:type="pct"/>
          </w:tcPr>
          <w:p w14:paraId="54F16000" w14:textId="77777777" w:rsidR="00C16C9F" w:rsidRPr="00E54B48" w:rsidRDefault="00C16C9F" w:rsidP="009321D1">
            <w:pPr>
              <w:ind w:firstLine="0"/>
              <w:jc w:val="left"/>
              <w:rPr>
                <w:bCs/>
                <w:lang w:val="ro-MD"/>
              </w:rPr>
            </w:pPr>
          </w:p>
        </w:tc>
        <w:tc>
          <w:tcPr>
            <w:tcW w:w="764" w:type="pct"/>
          </w:tcPr>
          <w:p w14:paraId="4AFCBEDC" w14:textId="77777777" w:rsidR="00C16C9F" w:rsidRPr="00E54B48" w:rsidRDefault="00C16C9F" w:rsidP="009321D1">
            <w:pPr>
              <w:ind w:firstLine="0"/>
              <w:jc w:val="left"/>
              <w:rPr>
                <w:lang w:val="ro-MD"/>
              </w:rPr>
            </w:pPr>
          </w:p>
        </w:tc>
      </w:tr>
      <w:tr w:rsidR="00C16C9F" w:rsidRPr="00207783" w14:paraId="7013A0E2" w14:textId="77777777" w:rsidTr="00772AD3">
        <w:trPr>
          <w:trHeight w:val="210"/>
        </w:trPr>
        <w:tc>
          <w:tcPr>
            <w:tcW w:w="2691" w:type="pct"/>
            <w:gridSpan w:val="2"/>
          </w:tcPr>
          <w:p w14:paraId="024CE85C" w14:textId="77777777" w:rsidR="00C16C9F" w:rsidRPr="00E54B48" w:rsidRDefault="00C16C9F" w:rsidP="009321D1">
            <w:pPr>
              <w:ind w:firstLine="0"/>
              <w:jc w:val="left"/>
              <w:rPr>
                <w:bCs/>
                <w:lang w:val="ro-MD"/>
              </w:rPr>
            </w:pPr>
            <w:r w:rsidRPr="00E54B48">
              <w:rPr>
                <w:bCs/>
                <w:lang w:val="ro-MD"/>
              </w:rPr>
              <w:t>cadrul instituțional al autorităților publice</w:t>
            </w:r>
          </w:p>
        </w:tc>
        <w:tc>
          <w:tcPr>
            <w:tcW w:w="780" w:type="pct"/>
          </w:tcPr>
          <w:p w14:paraId="5B7AD262" w14:textId="5D705405" w:rsidR="00C16C9F" w:rsidRPr="00E54B48" w:rsidRDefault="00A06034" w:rsidP="009321D1">
            <w:pPr>
              <w:ind w:firstLine="0"/>
              <w:jc w:val="left"/>
              <w:rPr>
                <w:lang w:val="ro-MD"/>
              </w:rPr>
            </w:pPr>
            <w:r>
              <w:rPr>
                <w:lang w:val="ro-MD"/>
              </w:rPr>
              <w:t>+1</w:t>
            </w:r>
          </w:p>
        </w:tc>
        <w:tc>
          <w:tcPr>
            <w:tcW w:w="765" w:type="pct"/>
          </w:tcPr>
          <w:p w14:paraId="11E5E5F4" w14:textId="77777777" w:rsidR="00C16C9F" w:rsidRPr="00E54B48" w:rsidRDefault="00C16C9F" w:rsidP="009321D1">
            <w:pPr>
              <w:ind w:firstLine="0"/>
              <w:jc w:val="left"/>
              <w:rPr>
                <w:bCs/>
                <w:lang w:val="ro-MD"/>
              </w:rPr>
            </w:pPr>
          </w:p>
        </w:tc>
        <w:tc>
          <w:tcPr>
            <w:tcW w:w="764" w:type="pct"/>
          </w:tcPr>
          <w:p w14:paraId="3BB37EC8" w14:textId="77777777" w:rsidR="00C16C9F" w:rsidRPr="00E54B48" w:rsidRDefault="00C16C9F" w:rsidP="009321D1">
            <w:pPr>
              <w:ind w:firstLine="0"/>
              <w:jc w:val="left"/>
              <w:rPr>
                <w:lang w:val="ro-MD"/>
              </w:rPr>
            </w:pPr>
          </w:p>
        </w:tc>
      </w:tr>
      <w:tr w:rsidR="00C16C9F" w:rsidRPr="00207783" w14:paraId="1C254C95" w14:textId="77777777" w:rsidTr="00772AD3">
        <w:trPr>
          <w:trHeight w:val="147"/>
        </w:trPr>
        <w:tc>
          <w:tcPr>
            <w:tcW w:w="2691" w:type="pct"/>
            <w:gridSpan w:val="2"/>
          </w:tcPr>
          <w:p w14:paraId="3C100353" w14:textId="77777777" w:rsidR="00C16C9F" w:rsidRPr="00E54B48" w:rsidRDefault="00C16C9F" w:rsidP="009321D1">
            <w:pPr>
              <w:ind w:firstLine="0"/>
              <w:rPr>
                <w:bCs/>
                <w:lang w:val="ro-MD"/>
              </w:rPr>
            </w:pPr>
            <w:r w:rsidRPr="00E54B48">
              <w:rPr>
                <w:bCs/>
                <w:lang w:val="ro-MD"/>
              </w:rPr>
              <w:t>alegerea, calitatea și prețurile pentru consumatori</w:t>
            </w:r>
          </w:p>
        </w:tc>
        <w:tc>
          <w:tcPr>
            <w:tcW w:w="780" w:type="pct"/>
          </w:tcPr>
          <w:p w14:paraId="4D5C5F7E" w14:textId="003A7392" w:rsidR="00C16C9F" w:rsidRPr="00E54B48" w:rsidRDefault="00A06034" w:rsidP="009321D1">
            <w:pPr>
              <w:ind w:firstLine="0"/>
              <w:rPr>
                <w:lang w:val="ro-MD"/>
              </w:rPr>
            </w:pPr>
            <w:r>
              <w:rPr>
                <w:lang w:val="ro-MD"/>
              </w:rPr>
              <w:t>+1</w:t>
            </w:r>
          </w:p>
        </w:tc>
        <w:tc>
          <w:tcPr>
            <w:tcW w:w="765" w:type="pct"/>
          </w:tcPr>
          <w:p w14:paraId="6BC84488" w14:textId="77777777" w:rsidR="00C16C9F" w:rsidRPr="00E54B48" w:rsidRDefault="00C16C9F" w:rsidP="009321D1">
            <w:pPr>
              <w:ind w:firstLine="0"/>
              <w:rPr>
                <w:bCs/>
                <w:lang w:val="ro-MD"/>
              </w:rPr>
            </w:pPr>
          </w:p>
        </w:tc>
        <w:tc>
          <w:tcPr>
            <w:tcW w:w="764" w:type="pct"/>
          </w:tcPr>
          <w:p w14:paraId="7CF9F47D" w14:textId="77777777" w:rsidR="00C16C9F" w:rsidRPr="00E54B48" w:rsidRDefault="00C16C9F" w:rsidP="009321D1">
            <w:pPr>
              <w:ind w:firstLine="0"/>
              <w:rPr>
                <w:lang w:val="ro-MD"/>
              </w:rPr>
            </w:pPr>
          </w:p>
        </w:tc>
      </w:tr>
      <w:tr w:rsidR="00C16C9F" w:rsidRPr="00207783" w14:paraId="690D3A7C" w14:textId="77777777" w:rsidTr="00772AD3">
        <w:trPr>
          <w:trHeight w:val="53"/>
        </w:trPr>
        <w:tc>
          <w:tcPr>
            <w:tcW w:w="2691" w:type="pct"/>
            <w:gridSpan w:val="2"/>
          </w:tcPr>
          <w:p w14:paraId="5DF7BCA1" w14:textId="77777777" w:rsidR="00C16C9F" w:rsidRPr="00E54B48" w:rsidRDefault="00C16C9F" w:rsidP="009321D1">
            <w:pPr>
              <w:ind w:firstLine="0"/>
              <w:jc w:val="left"/>
              <w:rPr>
                <w:bCs/>
                <w:lang w:val="ro-MD"/>
              </w:rPr>
            </w:pPr>
            <w:r w:rsidRPr="00E54B48">
              <w:rPr>
                <w:bCs/>
                <w:lang w:val="ro-MD"/>
              </w:rPr>
              <w:t>bunăstarea gospodăriilor casnice și a cetățenilor</w:t>
            </w:r>
          </w:p>
        </w:tc>
        <w:tc>
          <w:tcPr>
            <w:tcW w:w="780" w:type="pct"/>
          </w:tcPr>
          <w:p w14:paraId="040C57CA" w14:textId="594D2968" w:rsidR="00C16C9F" w:rsidRPr="00E54B48" w:rsidRDefault="00A06034" w:rsidP="009321D1">
            <w:pPr>
              <w:ind w:firstLine="0"/>
              <w:jc w:val="left"/>
              <w:rPr>
                <w:lang w:val="ro-MD"/>
              </w:rPr>
            </w:pPr>
            <w:r>
              <w:rPr>
                <w:lang w:val="ro-MD"/>
              </w:rPr>
              <w:t>+1</w:t>
            </w:r>
          </w:p>
        </w:tc>
        <w:tc>
          <w:tcPr>
            <w:tcW w:w="765" w:type="pct"/>
          </w:tcPr>
          <w:p w14:paraId="6890980D" w14:textId="77777777" w:rsidR="00C16C9F" w:rsidRPr="00E54B48" w:rsidRDefault="00C16C9F" w:rsidP="009321D1">
            <w:pPr>
              <w:ind w:firstLine="0"/>
              <w:jc w:val="left"/>
              <w:rPr>
                <w:bCs/>
                <w:lang w:val="ro-MD"/>
              </w:rPr>
            </w:pPr>
          </w:p>
        </w:tc>
        <w:tc>
          <w:tcPr>
            <w:tcW w:w="764" w:type="pct"/>
          </w:tcPr>
          <w:p w14:paraId="0E26295B" w14:textId="77777777" w:rsidR="00C16C9F" w:rsidRPr="00E54B48" w:rsidRDefault="00C16C9F" w:rsidP="009321D1">
            <w:pPr>
              <w:ind w:firstLine="0"/>
              <w:jc w:val="left"/>
              <w:rPr>
                <w:lang w:val="ro-MD"/>
              </w:rPr>
            </w:pPr>
          </w:p>
        </w:tc>
      </w:tr>
      <w:tr w:rsidR="00C16C9F" w:rsidRPr="00207783" w14:paraId="20DB0626" w14:textId="77777777" w:rsidTr="00772AD3">
        <w:trPr>
          <w:trHeight w:val="246"/>
        </w:trPr>
        <w:tc>
          <w:tcPr>
            <w:tcW w:w="2691" w:type="pct"/>
            <w:gridSpan w:val="2"/>
          </w:tcPr>
          <w:p w14:paraId="3B898A41" w14:textId="77777777" w:rsidR="00C16C9F" w:rsidRPr="00E54B48" w:rsidRDefault="00C16C9F" w:rsidP="009321D1">
            <w:pPr>
              <w:ind w:firstLine="0"/>
              <w:jc w:val="left"/>
              <w:rPr>
                <w:bCs/>
                <w:lang w:val="ro-MD"/>
              </w:rPr>
            </w:pPr>
            <w:r w:rsidRPr="00E54B48">
              <w:rPr>
                <w:bCs/>
                <w:lang w:val="ro-MD"/>
              </w:rPr>
              <w:t>situația social-economică în anumite regiuni</w:t>
            </w:r>
          </w:p>
        </w:tc>
        <w:tc>
          <w:tcPr>
            <w:tcW w:w="780" w:type="pct"/>
          </w:tcPr>
          <w:p w14:paraId="2689A5F9" w14:textId="3D329A10" w:rsidR="00C16C9F" w:rsidRPr="00E54B48" w:rsidRDefault="00A06034" w:rsidP="009321D1">
            <w:pPr>
              <w:ind w:firstLine="0"/>
              <w:jc w:val="left"/>
              <w:rPr>
                <w:lang w:val="ro-MD"/>
              </w:rPr>
            </w:pPr>
            <w:r>
              <w:rPr>
                <w:lang w:val="ro-MD"/>
              </w:rPr>
              <w:t>0</w:t>
            </w:r>
          </w:p>
        </w:tc>
        <w:tc>
          <w:tcPr>
            <w:tcW w:w="765" w:type="pct"/>
          </w:tcPr>
          <w:p w14:paraId="09B10A71" w14:textId="77777777" w:rsidR="00C16C9F" w:rsidRPr="00E54B48" w:rsidRDefault="00C16C9F" w:rsidP="009321D1">
            <w:pPr>
              <w:ind w:firstLine="0"/>
              <w:jc w:val="left"/>
              <w:rPr>
                <w:bCs/>
                <w:lang w:val="ro-MD"/>
              </w:rPr>
            </w:pPr>
          </w:p>
        </w:tc>
        <w:tc>
          <w:tcPr>
            <w:tcW w:w="764" w:type="pct"/>
          </w:tcPr>
          <w:p w14:paraId="67EA4161" w14:textId="77777777" w:rsidR="00C16C9F" w:rsidRPr="00E54B48" w:rsidRDefault="00C16C9F" w:rsidP="009321D1">
            <w:pPr>
              <w:ind w:firstLine="0"/>
              <w:jc w:val="left"/>
              <w:rPr>
                <w:lang w:val="ro-MD"/>
              </w:rPr>
            </w:pPr>
          </w:p>
        </w:tc>
      </w:tr>
      <w:tr w:rsidR="00C16C9F" w:rsidRPr="00207783" w14:paraId="261CE2F2" w14:textId="77777777" w:rsidTr="00772AD3">
        <w:trPr>
          <w:trHeight w:val="246"/>
        </w:trPr>
        <w:tc>
          <w:tcPr>
            <w:tcW w:w="2691" w:type="pct"/>
            <w:gridSpan w:val="2"/>
          </w:tcPr>
          <w:p w14:paraId="0D87A677" w14:textId="77777777" w:rsidR="00C16C9F" w:rsidRPr="00E54B48" w:rsidRDefault="00C16C9F" w:rsidP="009321D1">
            <w:pPr>
              <w:ind w:firstLine="0"/>
              <w:jc w:val="left"/>
              <w:rPr>
                <w:bCs/>
                <w:lang w:val="ro-MD"/>
              </w:rPr>
            </w:pPr>
            <w:r w:rsidRPr="00E54B48">
              <w:rPr>
                <w:bCs/>
                <w:lang w:val="ro-MD"/>
              </w:rPr>
              <w:t>situația macroeconomică</w:t>
            </w:r>
          </w:p>
        </w:tc>
        <w:tc>
          <w:tcPr>
            <w:tcW w:w="780" w:type="pct"/>
          </w:tcPr>
          <w:p w14:paraId="2809E1B9" w14:textId="6BD749AE" w:rsidR="00C16C9F" w:rsidRPr="00E54B48" w:rsidRDefault="00A06034" w:rsidP="009321D1">
            <w:pPr>
              <w:ind w:firstLine="0"/>
              <w:jc w:val="left"/>
              <w:rPr>
                <w:lang w:val="ro-MD"/>
              </w:rPr>
            </w:pPr>
            <w:r>
              <w:rPr>
                <w:lang w:val="ro-MD"/>
              </w:rPr>
              <w:t>0</w:t>
            </w:r>
          </w:p>
        </w:tc>
        <w:tc>
          <w:tcPr>
            <w:tcW w:w="765" w:type="pct"/>
          </w:tcPr>
          <w:p w14:paraId="1E253C6B" w14:textId="77777777" w:rsidR="00C16C9F" w:rsidRPr="00E54B48" w:rsidRDefault="00C16C9F" w:rsidP="009321D1">
            <w:pPr>
              <w:ind w:firstLine="0"/>
              <w:jc w:val="left"/>
              <w:rPr>
                <w:bCs/>
                <w:lang w:val="ro-MD"/>
              </w:rPr>
            </w:pPr>
          </w:p>
        </w:tc>
        <w:tc>
          <w:tcPr>
            <w:tcW w:w="764" w:type="pct"/>
          </w:tcPr>
          <w:p w14:paraId="158B8FEB" w14:textId="77777777" w:rsidR="00C16C9F" w:rsidRPr="00E54B48" w:rsidRDefault="00C16C9F" w:rsidP="009321D1">
            <w:pPr>
              <w:ind w:firstLine="0"/>
              <w:jc w:val="left"/>
              <w:rPr>
                <w:lang w:val="ro-MD"/>
              </w:rPr>
            </w:pPr>
          </w:p>
        </w:tc>
      </w:tr>
      <w:tr w:rsidR="00C16C9F" w:rsidRPr="00207783" w14:paraId="76A87889" w14:textId="77777777" w:rsidTr="00772AD3">
        <w:trPr>
          <w:trHeight w:val="237"/>
        </w:trPr>
        <w:tc>
          <w:tcPr>
            <w:tcW w:w="2691" w:type="pct"/>
            <w:gridSpan w:val="2"/>
          </w:tcPr>
          <w:p w14:paraId="3D3B16B6" w14:textId="77777777" w:rsidR="00C16C9F" w:rsidRPr="00E54B48" w:rsidRDefault="00C16C9F" w:rsidP="009321D1">
            <w:pPr>
              <w:ind w:firstLine="0"/>
              <w:jc w:val="left"/>
              <w:rPr>
                <w:bCs/>
                <w:lang w:val="ro-MD"/>
              </w:rPr>
            </w:pPr>
            <w:r w:rsidRPr="00E54B48">
              <w:rPr>
                <w:bCs/>
                <w:lang w:val="ro-MD"/>
              </w:rPr>
              <w:t>alte aspecte economice</w:t>
            </w:r>
          </w:p>
        </w:tc>
        <w:tc>
          <w:tcPr>
            <w:tcW w:w="780" w:type="pct"/>
          </w:tcPr>
          <w:p w14:paraId="1EE311D2" w14:textId="6798CC02" w:rsidR="00C16C9F" w:rsidRPr="00E54B48" w:rsidRDefault="00A06034" w:rsidP="009321D1">
            <w:pPr>
              <w:ind w:firstLine="0"/>
              <w:jc w:val="left"/>
              <w:rPr>
                <w:lang w:val="ro-MD"/>
              </w:rPr>
            </w:pPr>
            <w:r>
              <w:rPr>
                <w:lang w:val="ro-MD"/>
              </w:rPr>
              <w:t>0</w:t>
            </w:r>
          </w:p>
        </w:tc>
        <w:tc>
          <w:tcPr>
            <w:tcW w:w="765" w:type="pct"/>
          </w:tcPr>
          <w:p w14:paraId="082F66A1" w14:textId="77777777" w:rsidR="00C16C9F" w:rsidRPr="00E54B48" w:rsidRDefault="00C16C9F" w:rsidP="009321D1">
            <w:pPr>
              <w:ind w:firstLine="0"/>
              <w:jc w:val="left"/>
              <w:rPr>
                <w:bCs/>
                <w:lang w:val="ro-MD"/>
              </w:rPr>
            </w:pPr>
          </w:p>
        </w:tc>
        <w:tc>
          <w:tcPr>
            <w:tcW w:w="764" w:type="pct"/>
          </w:tcPr>
          <w:p w14:paraId="1D80F0F4" w14:textId="77777777" w:rsidR="00C16C9F" w:rsidRPr="00E54B48" w:rsidRDefault="00C16C9F" w:rsidP="009321D1">
            <w:pPr>
              <w:ind w:firstLine="0"/>
              <w:jc w:val="left"/>
              <w:rPr>
                <w:lang w:val="ro-MD"/>
              </w:rPr>
            </w:pPr>
          </w:p>
        </w:tc>
      </w:tr>
      <w:tr w:rsidR="00C16C9F" w:rsidRPr="00207783" w14:paraId="006E460F" w14:textId="77777777" w:rsidTr="00772AD3">
        <w:trPr>
          <w:trHeight w:val="53"/>
        </w:trPr>
        <w:tc>
          <w:tcPr>
            <w:tcW w:w="5000" w:type="pct"/>
            <w:gridSpan w:val="5"/>
          </w:tcPr>
          <w:p w14:paraId="38250CF1" w14:textId="77777777" w:rsidR="00C16C9F" w:rsidRPr="00E54B48" w:rsidRDefault="00C16C9F" w:rsidP="009321D1">
            <w:pPr>
              <w:ind w:firstLine="0"/>
              <w:jc w:val="left"/>
              <w:rPr>
                <w:b/>
                <w:lang w:val="ro-MD"/>
              </w:rPr>
            </w:pPr>
            <w:r w:rsidRPr="00E54B48">
              <w:rPr>
                <w:b/>
                <w:bCs/>
                <w:lang w:val="ro-MD"/>
              </w:rPr>
              <w:t>Social</w:t>
            </w:r>
          </w:p>
        </w:tc>
      </w:tr>
      <w:tr w:rsidR="00C16C9F" w:rsidRPr="00207783" w14:paraId="22D29175" w14:textId="77777777" w:rsidTr="00772AD3">
        <w:trPr>
          <w:trHeight w:val="156"/>
        </w:trPr>
        <w:tc>
          <w:tcPr>
            <w:tcW w:w="2691" w:type="pct"/>
            <w:gridSpan w:val="2"/>
          </w:tcPr>
          <w:p w14:paraId="21824C06" w14:textId="77777777" w:rsidR="00C16C9F" w:rsidRPr="00E54B48" w:rsidRDefault="00C16C9F" w:rsidP="009321D1">
            <w:pPr>
              <w:ind w:firstLine="0"/>
              <w:jc w:val="left"/>
              <w:rPr>
                <w:bCs/>
                <w:lang w:val="ro-MD"/>
              </w:rPr>
            </w:pPr>
            <w:r w:rsidRPr="00E54B48">
              <w:rPr>
                <w:bCs/>
                <w:lang w:val="ro-MD"/>
              </w:rPr>
              <w:t>gradul de ocupare a forței de muncă</w:t>
            </w:r>
          </w:p>
        </w:tc>
        <w:tc>
          <w:tcPr>
            <w:tcW w:w="780" w:type="pct"/>
          </w:tcPr>
          <w:p w14:paraId="1EAB39DB" w14:textId="64C5203B" w:rsidR="00C16C9F" w:rsidRPr="00E54B48" w:rsidRDefault="00904CC4" w:rsidP="009321D1">
            <w:pPr>
              <w:ind w:firstLine="0"/>
              <w:jc w:val="left"/>
              <w:rPr>
                <w:lang w:val="ro-MD"/>
              </w:rPr>
            </w:pPr>
            <w:r>
              <w:rPr>
                <w:lang w:val="ro-MD"/>
              </w:rPr>
              <w:t>0</w:t>
            </w:r>
          </w:p>
        </w:tc>
        <w:tc>
          <w:tcPr>
            <w:tcW w:w="765" w:type="pct"/>
          </w:tcPr>
          <w:p w14:paraId="29D743F7" w14:textId="77777777" w:rsidR="00C16C9F" w:rsidRPr="00E54B48" w:rsidRDefault="00C16C9F" w:rsidP="009321D1">
            <w:pPr>
              <w:ind w:firstLine="0"/>
              <w:jc w:val="left"/>
              <w:rPr>
                <w:bCs/>
                <w:lang w:val="ro-MD"/>
              </w:rPr>
            </w:pPr>
          </w:p>
        </w:tc>
        <w:tc>
          <w:tcPr>
            <w:tcW w:w="764" w:type="pct"/>
          </w:tcPr>
          <w:p w14:paraId="42571BCE" w14:textId="77777777" w:rsidR="00C16C9F" w:rsidRPr="00E54B48" w:rsidRDefault="00C16C9F" w:rsidP="009321D1">
            <w:pPr>
              <w:ind w:firstLine="0"/>
              <w:jc w:val="left"/>
              <w:rPr>
                <w:lang w:val="ro-MD"/>
              </w:rPr>
            </w:pPr>
          </w:p>
        </w:tc>
      </w:tr>
      <w:tr w:rsidR="00C16C9F" w:rsidRPr="00207783" w14:paraId="42C2A3F0" w14:textId="77777777" w:rsidTr="00772AD3">
        <w:trPr>
          <w:trHeight w:val="53"/>
        </w:trPr>
        <w:tc>
          <w:tcPr>
            <w:tcW w:w="2691" w:type="pct"/>
            <w:gridSpan w:val="2"/>
          </w:tcPr>
          <w:p w14:paraId="0322E89C" w14:textId="77777777" w:rsidR="00C16C9F" w:rsidRPr="00E54B48" w:rsidRDefault="00C16C9F" w:rsidP="009321D1">
            <w:pPr>
              <w:ind w:firstLine="0"/>
              <w:jc w:val="left"/>
              <w:rPr>
                <w:bCs/>
                <w:lang w:val="ro-MD"/>
              </w:rPr>
            </w:pPr>
            <w:r w:rsidRPr="00E54B48">
              <w:rPr>
                <w:bCs/>
                <w:lang w:val="ro-MD"/>
              </w:rPr>
              <w:t>nivelul de salarizare</w:t>
            </w:r>
          </w:p>
        </w:tc>
        <w:tc>
          <w:tcPr>
            <w:tcW w:w="780" w:type="pct"/>
          </w:tcPr>
          <w:p w14:paraId="6D425780" w14:textId="3622813F" w:rsidR="00C16C9F" w:rsidRPr="00E54B48" w:rsidRDefault="00904CC4" w:rsidP="009321D1">
            <w:pPr>
              <w:ind w:firstLine="0"/>
              <w:jc w:val="left"/>
              <w:rPr>
                <w:lang w:val="ro-MD"/>
              </w:rPr>
            </w:pPr>
            <w:r>
              <w:rPr>
                <w:lang w:val="ro-MD"/>
              </w:rPr>
              <w:t>0</w:t>
            </w:r>
          </w:p>
        </w:tc>
        <w:tc>
          <w:tcPr>
            <w:tcW w:w="765" w:type="pct"/>
          </w:tcPr>
          <w:p w14:paraId="2523B780" w14:textId="77777777" w:rsidR="00C16C9F" w:rsidRPr="00E54B48" w:rsidRDefault="00C16C9F" w:rsidP="009321D1">
            <w:pPr>
              <w:ind w:firstLine="0"/>
              <w:jc w:val="left"/>
              <w:rPr>
                <w:bCs/>
                <w:lang w:val="ro-MD"/>
              </w:rPr>
            </w:pPr>
          </w:p>
        </w:tc>
        <w:tc>
          <w:tcPr>
            <w:tcW w:w="764" w:type="pct"/>
          </w:tcPr>
          <w:p w14:paraId="66436691" w14:textId="77777777" w:rsidR="00C16C9F" w:rsidRPr="00E54B48" w:rsidRDefault="00C16C9F" w:rsidP="009321D1">
            <w:pPr>
              <w:ind w:firstLine="0"/>
              <w:jc w:val="left"/>
              <w:rPr>
                <w:lang w:val="ro-MD"/>
              </w:rPr>
            </w:pPr>
          </w:p>
        </w:tc>
      </w:tr>
      <w:tr w:rsidR="00C16C9F" w:rsidRPr="00207783" w14:paraId="7437304C" w14:textId="77777777" w:rsidTr="00772AD3">
        <w:trPr>
          <w:trHeight w:val="53"/>
        </w:trPr>
        <w:tc>
          <w:tcPr>
            <w:tcW w:w="2691" w:type="pct"/>
            <w:gridSpan w:val="2"/>
          </w:tcPr>
          <w:p w14:paraId="4018112B" w14:textId="77777777" w:rsidR="00C16C9F" w:rsidRPr="00E54B48" w:rsidRDefault="00C16C9F" w:rsidP="009321D1">
            <w:pPr>
              <w:ind w:firstLine="0"/>
              <w:jc w:val="left"/>
              <w:rPr>
                <w:bCs/>
                <w:lang w:val="ro-MD"/>
              </w:rPr>
            </w:pPr>
            <w:r w:rsidRPr="00E54B48">
              <w:rPr>
                <w:bCs/>
                <w:lang w:val="ro-MD"/>
              </w:rPr>
              <w:t>condițiile și organizarea muncii</w:t>
            </w:r>
          </w:p>
        </w:tc>
        <w:tc>
          <w:tcPr>
            <w:tcW w:w="780" w:type="pct"/>
          </w:tcPr>
          <w:p w14:paraId="7657766F" w14:textId="341F76EF" w:rsidR="00C16C9F" w:rsidRPr="00E54B48" w:rsidRDefault="00904CC4" w:rsidP="009321D1">
            <w:pPr>
              <w:ind w:firstLine="0"/>
              <w:jc w:val="left"/>
              <w:rPr>
                <w:lang w:val="ro-MD"/>
              </w:rPr>
            </w:pPr>
            <w:r>
              <w:rPr>
                <w:lang w:val="ro-MD"/>
              </w:rPr>
              <w:t>0</w:t>
            </w:r>
          </w:p>
        </w:tc>
        <w:tc>
          <w:tcPr>
            <w:tcW w:w="765" w:type="pct"/>
          </w:tcPr>
          <w:p w14:paraId="14677C09" w14:textId="77777777" w:rsidR="00C16C9F" w:rsidRPr="00E54B48" w:rsidRDefault="00C16C9F" w:rsidP="009321D1">
            <w:pPr>
              <w:ind w:firstLine="0"/>
              <w:jc w:val="left"/>
              <w:rPr>
                <w:bCs/>
                <w:lang w:val="ro-MD"/>
              </w:rPr>
            </w:pPr>
          </w:p>
        </w:tc>
        <w:tc>
          <w:tcPr>
            <w:tcW w:w="764" w:type="pct"/>
          </w:tcPr>
          <w:p w14:paraId="610E148C" w14:textId="77777777" w:rsidR="00C16C9F" w:rsidRPr="00E54B48" w:rsidRDefault="00C16C9F" w:rsidP="009321D1">
            <w:pPr>
              <w:ind w:firstLine="0"/>
              <w:jc w:val="left"/>
              <w:rPr>
                <w:lang w:val="ro-MD"/>
              </w:rPr>
            </w:pPr>
          </w:p>
        </w:tc>
      </w:tr>
      <w:tr w:rsidR="00C16C9F" w:rsidRPr="00207783" w14:paraId="404BEA87" w14:textId="77777777" w:rsidTr="00772AD3">
        <w:trPr>
          <w:trHeight w:val="53"/>
        </w:trPr>
        <w:tc>
          <w:tcPr>
            <w:tcW w:w="2691" w:type="pct"/>
            <w:gridSpan w:val="2"/>
          </w:tcPr>
          <w:p w14:paraId="0444D3F7" w14:textId="77777777" w:rsidR="00C16C9F" w:rsidRPr="00E54B48" w:rsidRDefault="00C16C9F" w:rsidP="009321D1">
            <w:pPr>
              <w:ind w:firstLine="0"/>
              <w:jc w:val="left"/>
              <w:rPr>
                <w:bCs/>
                <w:lang w:val="ro-MD"/>
              </w:rPr>
            </w:pPr>
            <w:r w:rsidRPr="00E54B48">
              <w:rPr>
                <w:bCs/>
                <w:lang w:val="ro-MD"/>
              </w:rPr>
              <w:t>sănătatea și securitatea muncii</w:t>
            </w:r>
          </w:p>
        </w:tc>
        <w:tc>
          <w:tcPr>
            <w:tcW w:w="780" w:type="pct"/>
          </w:tcPr>
          <w:p w14:paraId="5F84640D" w14:textId="4A29794E" w:rsidR="00C16C9F" w:rsidRPr="00E54B48" w:rsidRDefault="00904CC4" w:rsidP="009321D1">
            <w:pPr>
              <w:ind w:firstLine="0"/>
              <w:jc w:val="left"/>
              <w:rPr>
                <w:lang w:val="ro-MD"/>
              </w:rPr>
            </w:pPr>
            <w:r>
              <w:rPr>
                <w:lang w:val="ro-MD"/>
              </w:rPr>
              <w:t>0</w:t>
            </w:r>
          </w:p>
        </w:tc>
        <w:tc>
          <w:tcPr>
            <w:tcW w:w="765" w:type="pct"/>
          </w:tcPr>
          <w:p w14:paraId="74FF1ED6" w14:textId="77777777" w:rsidR="00C16C9F" w:rsidRPr="00E54B48" w:rsidRDefault="00C16C9F" w:rsidP="009321D1">
            <w:pPr>
              <w:ind w:firstLine="0"/>
              <w:jc w:val="left"/>
              <w:rPr>
                <w:bCs/>
                <w:lang w:val="ro-MD"/>
              </w:rPr>
            </w:pPr>
          </w:p>
        </w:tc>
        <w:tc>
          <w:tcPr>
            <w:tcW w:w="764" w:type="pct"/>
          </w:tcPr>
          <w:p w14:paraId="7A4EE8F5" w14:textId="77777777" w:rsidR="00C16C9F" w:rsidRPr="00E54B48" w:rsidRDefault="00C16C9F" w:rsidP="009321D1">
            <w:pPr>
              <w:ind w:firstLine="0"/>
              <w:jc w:val="left"/>
              <w:rPr>
                <w:lang w:val="ro-MD"/>
              </w:rPr>
            </w:pPr>
          </w:p>
        </w:tc>
      </w:tr>
      <w:tr w:rsidR="00C16C9F" w:rsidRPr="00207783" w14:paraId="168BBA23" w14:textId="77777777" w:rsidTr="00772AD3">
        <w:trPr>
          <w:trHeight w:val="102"/>
        </w:trPr>
        <w:tc>
          <w:tcPr>
            <w:tcW w:w="2691" w:type="pct"/>
            <w:gridSpan w:val="2"/>
          </w:tcPr>
          <w:p w14:paraId="3B7109B2" w14:textId="77777777" w:rsidR="00C16C9F" w:rsidRPr="00E54B48" w:rsidRDefault="00C16C9F" w:rsidP="009321D1">
            <w:pPr>
              <w:ind w:firstLine="0"/>
              <w:jc w:val="left"/>
              <w:rPr>
                <w:bCs/>
                <w:lang w:val="ro-MD"/>
              </w:rPr>
            </w:pPr>
            <w:r w:rsidRPr="00E54B48">
              <w:rPr>
                <w:bCs/>
                <w:lang w:val="ro-MD"/>
              </w:rPr>
              <w:t>formarea profesională</w:t>
            </w:r>
          </w:p>
        </w:tc>
        <w:tc>
          <w:tcPr>
            <w:tcW w:w="780" w:type="pct"/>
          </w:tcPr>
          <w:p w14:paraId="7A8DC488" w14:textId="5C5C9AF5" w:rsidR="00C16C9F" w:rsidRPr="00E54B48" w:rsidRDefault="002F17AA" w:rsidP="009321D1">
            <w:pPr>
              <w:ind w:firstLine="0"/>
              <w:jc w:val="left"/>
              <w:rPr>
                <w:lang w:val="ro-MD"/>
              </w:rPr>
            </w:pPr>
            <w:r>
              <w:rPr>
                <w:lang w:val="ro-MD"/>
              </w:rPr>
              <w:t>+1</w:t>
            </w:r>
          </w:p>
        </w:tc>
        <w:tc>
          <w:tcPr>
            <w:tcW w:w="765" w:type="pct"/>
          </w:tcPr>
          <w:p w14:paraId="2BB99190" w14:textId="77777777" w:rsidR="00C16C9F" w:rsidRPr="00E54B48" w:rsidRDefault="00C16C9F" w:rsidP="009321D1">
            <w:pPr>
              <w:ind w:firstLine="0"/>
              <w:jc w:val="left"/>
              <w:rPr>
                <w:bCs/>
                <w:lang w:val="ro-MD"/>
              </w:rPr>
            </w:pPr>
          </w:p>
        </w:tc>
        <w:tc>
          <w:tcPr>
            <w:tcW w:w="764" w:type="pct"/>
          </w:tcPr>
          <w:p w14:paraId="09121A68" w14:textId="77777777" w:rsidR="00C16C9F" w:rsidRPr="00E54B48" w:rsidRDefault="00C16C9F" w:rsidP="009321D1">
            <w:pPr>
              <w:ind w:firstLine="0"/>
              <w:jc w:val="left"/>
              <w:rPr>
                <w:lang w:val="ro-MD"/>
              </w:rPr>
            </w:pPr>
          </w:p>
        </w:tc>
      </w:tr>
      <w:tr w:rsidR="00C16C9F" w:rsidRPr="00207783" w14:paraId="251ADD83" w14:textId="77777777" w:rsidTr="00772AD3">
        <w:trPr>
          <w:trHeight w:val="210"/>
        </w:trPr>
        <w:tc>
          <w:tcPr>
            <w:tcW w:w="2691" w:type="pct"/>
            <w:gridSpan w:val="2"/>
          </w:tcPr>
          <w:p w14:paraId="09708698" w14:textId="77777777" w:rsidR="00C16C9F" w:rsidRPr="00E54B48" w:rsidRDefault="00C16C9F" w:rsidP="009321D1">
            <w:pPr>
              <w:ind w:firstLine="0"/>
              <w:jc w:val="left"/>
              <w:rPr>
                <w:bCs/>
                <w:lang w:val="ro-MD"/>
              </w:rPr>
            </w:pPr>
            <w:r w:rsidRPr="00E54B48">
              <w:rPr>
                <w:bCs/>
                <w:lang w:val="ro-MD"/>
              </w:rPr>
              <w:t>inegalitatea și distribuția veniturilor</w:t>
            </w:r>
          </w:p>
        </w:tc>
        <w:tc>
          <w:tcPr>
            <w:tcW w:w="780" w:type="pct"/>
          </w:tcPr>
          <w:p w14:paraId="3CE81956" w14:textId="14C505C7" w:rsidR="00C16C9F" w:rsidRPr="00E54B48" w:rsidRDefault="00904CC4" w:rsidP="009321D1">
            <w:pPr>
              <w:ind w:firstLine="0"/>
              <w:jc w:val="left"/>
              <w:rPr>
                <w:lang w:val="ro-MD"/>
              </w:rPr>
            </w:pPr>
            <w:r>
              <w:rPr>
                <w:lang w:val="ro-MD"/>
              </w:rPr>
              <w:t>0</w:t>
            </w:r>
          </w:p>
        </w:tc>
        <w:tc>
          <w:tcPr>
            <w:tcW w:w="765" w:type="pct"/>
          </w:tcPr>
          <w:p w14:paraId="2F20C0D9" w14:textId="77777777" w:rsidR="00C16C9F" w:rsidRPr="00E54B48" w:rsidRDefault="00C16C9F" w:rsidP="009321D1">
            <w:pPr>
              <w:ind w:firstLine="0"/>
              <w:jc w:val="left"/>
              <w:rPr>
                <w:bCs/>
                <w:lang w:val="ro-MD"/>
              </w:rPr>
            </w:pPr>
          </w:p>
        </w:tc>
        <w:tc>
          <w:tcPr>
            <w:tcW w:w="764" w:type="pct"/>
          </w:tcPr>
          <w:p w14:paraId="16931F0C" w14:textId="77777777" w:rsidR="00C16C9F" w:rsidRPr="00E54B48" w:rsidRDefault="00C16C9F" w:rsidP="009321D1">
            <w:pPr>
              <w:ind w:firstLine="0"/>
              <w:jc w:val="left"/>
              <w:rPr>
                <w:lang w:val="ro-MD"/>
              </w:rPr>
            </w:pPr>
          </w:p>
        </w:tc>
      </w:tr>
      <w:tr w:rsidR="00C16C9F" w:rsidRPr="00207783" w14:paraId="4FE087D0" w14:textId="77777777" w:rsidTr="00772AD3">
        <w:trPr>
          <w:trHeight w:val="210"/>
        </w:trPr>
        <w:tc>
          <w:tcPr>
            <w:tcW w:w="2691" w:type="pct"/>
            <w:gridSpan w:val="2"/>
          </w:tcPr>
          <w:p w14:paraId="12B0AF61" w14:textId="77777777" w:rsidR="00C16C9F" w:rsidRPr="00E54B48" w:rsidRDefault="00C16C9F" w:rsidP="009321D1">
            <w:pPr>
              <w:ind w:firstLine="0"/>
              <w:jc w:val="left"/>
              <w:rPr>
                <w:bCs/>
                <w:lang w:val="ro-MD"/>
              </w:rPr>
            </w:pPr>
            <w:r w:rsidRPr="00E54B48">
              <w:rPr>
                <w:bCs/>
                <w:lang w:val="ro-MD"/>
              </w:rPr>
              <w:t>nivelul veniturilor populației</w:t>
            </w:r>
          </w:p>
        </w:tc>
        <w:tc>
          <w:tcPr>
            <w:tcW w:w="780" w:type="pct"/>
          </w:tcPr>
          <w:p w14:paraId="1F44C5FA" w14:textId="73295C40" w:rsidR="00C16C9F" w:rsidRPr="00E54B48" w:rsidRDefault="00904CC4" w:rsidP="009321D1">
            <w:pPr>
              <w:ind w:firstLine="0"/>
              <w:jc w:val="left"/>
              <w:rPr>
                <w:lang w:val="ro-MD"/>
              </w:rPr>
            </w:pPr>
            <w:r>
              <w:rPr>
                <w:lang w:val="ro-MD"/>
              </w:rPr>
              <w:t>0</w:t>
            </w:r>
          </w:p>
        </w:tc>
        <w:tc>
          <w:tcPr>
            <w:tcW w:w="765" w:type="pct"/>
          </w:tcPr>
          <w:p w14:paraId="2C6BC1F7" w14:textId="77777777" w:rsidR="00C16C9F" w:rsidRPr="00E54B48" w:rsidRDefault="00C16C9F" w:rsidP="009321D1">
            <w:pPr>
              <w:ind w:firstLine="0"/>
              <w:jc w:val="left"/>
              <w:rPr>
                <w:bCs/>
                <w:lang w:val="ro-MD"/>
              </w:rPr>
            </w:pPr>
          </w:p>
        </w:tc>
        <w:tc>
          <w:tcPr>
            <w:tcW w:w="764" w:type="pct"/>
          </w:tcPr>
          <w:p w14:paraId="3CFCF8C6" w14:textId="77777777" w:rsidR="00C16C9F" w:rsidRPr="00E54B48" w:rsidRDefault="00C16C9F" w:rsidP="009321D1">
            <w:pPr>
              <w:ind w:firstLine="0"/>
              <w:jc w:val="left"/>
              <w:rPr>
                <w:lang w:val="ro-MD"/>
              </w:rPr>
            </w:pPr>
          </w:p>
        </w:tc>
      </w:tr>
      <w:tr w:rsidR="00C16C9F" w:rsidRPr="00207783" w14:paraId="28061CCC" w14:textId="77777777" w:rsidTr="00772AD3">
        <w:trPr>
          <w:trHeight w:val="129"/>
        </w:trPr>
        <w:tc>
          <w:tcPr>
            <w:tcW w:w="2691" w:type="pct"/>
            <w:gridSpan w:val="2"/>
          </w:tcPr>
          <w:p w14:paraId="73C72621" w14:textId="77777777" w:rsidR="00C16C9F" w:rsidRPr="00E54B48" w:rsidRDefault="00C16C9F" w:rsidP="009321D1">
            <w:pPr>
              <w:ind w:firstLine="0"/>
              <w:jc w:val="left"/>
              <w:rPr>
                <w:bCs/>
                <w:lang w:val="ro-MD"/>
              </w:rPr>
            </w:pPr>
            <w:r w:rsidRPr="00E54B48">
              <w:rPr>
                <w:bCs/>
                <w:lang w:val="ro-MD"/>
              </w:rPr>
              <w:t>nivelul sărăciei</w:t>
            </w:r>
          </w:p>
        </w:tc>
        <w:tc>
          <w:tcPr>
            <w:tcW w:w="780" w:type="pct"/>
          </w:tcPr>
          <w:p w14:paraId="3A0EAB96" w14:textId="27F81423" w:rsidR="00C16C9F" w:rsidRPr="00E54B48" w:rsidRDefault="00904CC4" w:rsidP="009321D1">
            <w:pPr>
              <w:ind w:firstLine="0"/>
              <w:jc w:val="left"/>
              <w:rPr>
                <w:lang w:val="ro-MD"/>
              </w:rPr>
            </w:pPr>
            <w:r>
              <w:rPr>
                <w:lang w:val="ro-MD"/>
              </w:rPr>
              <w:t>0</w:t>
            </w:r>
          </w:p>
        </w:tc>
        <w:tc>
          <w:tcPr>
            <w:tcW w:w="765" w:type="pct"/>
          </w:tcPr>
          <w:p w14:paraId="5FD96D09" w14:textId="77777777" w:rsidR="00C16C9F" w:rsidRPr="00E54B48" w:rsidRDefault="00C16C9F" w:rsidP="009321D1">
            <w:pPr>
              <w:ind w:firstLine="0"/>
              <w:jc w:val="left"/>
              <w:rPr>
                <w:bCs/>
                <w:lang w:val="ro-MD"/>
              </w:rPr>
            </w:pPr>
          </w:p>
        </w:tc>
        <w:tc>
          <w:tcPr>
            <w:tcW w:w="764" w:type="pct"/>
          </w:tcPr>
          <w:p w14:paraId="3338E06A" w14:textId="77777777" w:rsidR="00C16C9F" w:rsidRPr="00E54B48" w:rsidRDefault="00C16C9F" w:rsidP="009321D1">
            <w:pPr>
              <w:ind w:firstLine="0"/>
              <w:jc w:val="left"/>
              <w:rPr>
                <w:lang w:val="ro-MD"/>
              </w:rPr>
            </w:pPr>
          </w:p>
        </w:tc>
      </w:tr>
      <w:tr w:rsidR="00C16C9F" w:rsidRPr="00207783" w14:paraId="77B920D6" w14:textId="77777777" w:rsidTr="00772AD3">
        <w:trPr>
          <w:trHeight w:val="444"/>
        </w:trPr>
        <w:tc>
          <w:tcPr>
            <w:tcW w:w="2691" w:type="pct"/>
            <w:gridSpan w:val="2"/>
          </w:tcPr>
          <w:p w14:paraId="0D8B933B" w14:textId="77777777" w:rsidR="00C16C9F" w:rsidRPr="00E54B48" w:rsidRDefault="00C16C9F" w:rsidP="009321D1">
            <w:pPr>
              <w:ind w:firstLine="0"/>
              <w:jc w:val="left"/>
              <w:rPr>
                <w:bCs/>
                <w:lang w:val="ro-MD"/>
              </w:rPr>
            </w:pPr>
            <w:r w:rsidRPr="00E54B48">
              <w:rPr>
                <w:bCs/>
                <w:lang w:val="ro-MD"/>
              </w:rPr>
              <w:t>accesul la bunuri și servicii de bază, în special pentru persoanele social-vulnerabile</w:t>
            </w:r>
          </w:p>
        </w:tc>
        <w:tc>
          <w:tcPr>
            <w:tcW w:w="780" w:type="pct"/>
          </w:tcPr>
          <w:p w14:paraId="3E9BFF19" w14:textId="2100BE1E" w:rsidR="00C16C9F" w:rsidRPr="00E54B48" w:rsidRDefault="002F17AA" w:rsidP="009321D1">
            <w:pPr>
              <w:ind w:firstLine="0"/>
              <w:jc w:val="left"/>
              <w:rPr>
                <w:lang w:val="ro-MD"/>
              </w:rPr>
            </w:pPr>
            <w:r>
              <w:rPr>
                <w:lang w:val="ro-MD"/>
              </w:rPr>
              <w:t>0</w:t>
            </w:r>
          </w:p>
        </w:tc>
        <w:tc>
          <w:tcPr>
            <w:tcW w:w="765" w:type="pct"/>
          </w:tcPr>
          <w:p w14:paraId="0196328F" w14:textId="77777777" w:rsidR="00C16C9F" w:rsidRPr="00E54B48" w:rsidRDefault="00C16C9F" w:rsidP="009321D1">
            <w:pPr>
              <w:ind w:firstLine="0"/>
              <w:jc w:val="left"/>
              <w:rPr>
                <w:bCs/>
                <w:lang w:val="ro-MD"/>
              </w:rPr>
            </w:pPr>
          </w:p>
        </w:tc>
        <w:tc>
          <w:tcPr>
            <w:tcW w:w="764" w:type="pct"/>
          </w:tcPr>
          <w:p w14:paraId="7A1E4E92" w14:textId="77777777" w:rsidR="00C16C9F" w:rsidRPr="00E54B48" w:rsidRDefault="00C16C9F" w:rsidP="009321D1">
            <w:pPr>
              <w:ind w:firstLine="0"/>
              <w:jc w:val="left"/>
              <w:rPr>
                <w:lang w:val="ro-MD"/>
              </w:rPr>
            </w:pPr>
          </w:p>
        </w:tc>
      </w:tr>
      <w:tr w:rsidR="00C16C9F" w:rsidRPr="00207783" w14:paraId="73275B67" w14:textId="77777777" w:rsidTr="00772AD3">
        <w:trPr>
          <w:trHeight w:val="53"/>
        </w:trPr>
        <w:tc>
          <w:tcPr>
            <w:tcW w:w="2691" w:type="pct"/>
            <w:gridSpan w:val="2"/>
          </w:tcPr>
          <w:p w14:paraId="142DA968" w14:textId="77777777" w:rsidR="00C16C9F" w:rsidRPr="00E54B48" w:rsidRDefault="00C16C9F" w:rsidP="009321D1">
            <w:pPr>
              <w:ind w:firstLine="0"/>
              <w:jc w:val="left"/>
              <w:rPr>
                <w:bCs/>
                <w:lang w:val="ro-MD"/>
              </w:rPr>
            </w:pPr>
            <w:r w:rsidRPr="00E54B48">
              <w:rPr>
                <w:bCs/>
                <w:lang w:val="ro-MD"/>
              </w:rPr>
              <w:t>diversitatea culturală și lingvistică</w:t>
            </w:r>
          </w:p>
        </w:tc>
        <w:tc>
          <w:tcPr>
            <w:tcW w:w="780" w:type="pct"/>
          </w:tcPr>
          <w:p w14:paraId="36C8B168" w14:textId="27296D50" w:rsidR="00C16C9F" w:rsidRPr="00E54B48" w:rsidRDefault="00904CC4" w:rsidP="009321D1">
            <w:pPr>
              <w:ind w:firstLine="0"/>
              <w:jc w:val="left"/>
              <w:rPr>
                <w:lang w:val="ro-MD"/>
              </w:rPr>
            </w:pPr>
            <w:r>
              <w:rPr>
                <w:lang w:val="ro-MD"/>
              </w:rPr>
              <w:t>0</w:t>
            </w:r>
          </w:p>
        </w:tc>
        <w:tc>
          <w:tcPr>
            <w:tcW w:w="765" w:type="pct"/>
          </w:tcPr>
          <w:p w14:paraId="4C4AA637" w14:textId="77777777" w:rsidR="00C16C9F" w:rsidRPr="00E54B48" w:rsidRDefault="00C16C9F" w:rsidP="009321D1">
            <w:pPr>
              <w:ind w:firstLine="0"/>
              <w:jc w:val="left"/>
              <w:rPr>
                <w:bCs/>
                <w:lang w:val="ro-MD"/>
              </w:rPr>
            </w:pPr>
          </w:p>
        </w:tc>
        <w:tc>
          <w:tcPr>
            <w:tcW w:w="764" w:type="pct"/>
          </w:tcPr>
          <w:p w14:paraId="66D7781A" w14:textId="77777777" w:rsidR="00C16C9F" w:rsidRPr="00E54B48" w:rsidRDefault="00C16C9F" w:rsidP="009321D1">
            <w:pPr>
              <w:ind w:firstLine="0"/>
              <w:jc w:val="left"/>
              <w:rPr>
                <w:lang w:val="ro-MD"/>
              </w:rPr>
            </w:pPr>
          </w:p>
        </w:tc>
      </w:tr>
      <w:tr w:rsidR="00C16C9F" w:rsidRPr="00207783" w14:paraId="4AC40FA5" w14:textId="77777777" w:rsidTr="00772AD3">
        <w:trPr>
          <w:trHeight w:val="53"/>
        </w:trPr>
        <w:tc>
          <w:tcPr>
            <w:tcW w:w="2691" w:type="pct"/>
            <w:gridSpan w:val="2"/>
          </w:tcPr>
          <w:p w14:paraId="47EA7614" w14:textId="77777777" w:rsidR="00C16C9F" w:rsidRPr="00E54B48" w:rsidRDefault="00C16C9F" w:rsidP="009321D1">
            <w:pPr>
              <w:ind w:firstLine="0"/>
              <w:jc w:val="left"/>
              <w:rPr>
                <w:bCs/>
                <w:lang w:val="ro-MD"/>
              </w:rPr>
            </w:pPr>
            <w:r w:rsidRPr="00E54B48">
              <w:rPr>
                <w:bCs/>
                <w:lang w:val="ro-MD"/>
              </w:rPr>
              <w:t>partidele politice și organizațiile civice</w:t>
            </w:r>
          </w:p>
        </w:tc>
        <w:tc>
          <w:tcPr>
            <w:tcW w:w="780" w:type="pct"/>
          </w:tcPr>
          <w:p w14:paraId="08C0BA41" w14:textId="7B535C0B" w:rsidR="00C16C9F" w:rsidRPr="00E54B48" w:rsidRDefault="00904CC4" w:rsidP="009321D1">
            <w:pPr>
              <w:ind w:firstLine="0"/>
              <w:jc w:val="left"/>
              <w:rPr>
                <w:lang w:val="ro-MD"/>
              </w:rPr>
            </w:pPr>
            <w:r>
              <w:rPr>
                <w:lang w:val="ro-MD"/>
              </w:rPr>
              <w:t>0</w:t>
            </w:r>
          </w:p>
        </w:tc>
        <w:tc>
          <w:tcPr>
            <w:tcW w:w="765" w:type="pct"/>
          </w:tcPr>
          <w:p w14:paraId="64B6130C" w14:textId="77777777" w:rsidR="00C16C9F" w:rsidRPr="00E54B48" w:rsidRDefault="00C16C9F" w:rsidP="009321D1">
            <w:pPr>
              <w:ind w:firstLine="0"/>
              <w:jc w:val="left"/>
              <w:rPr>
                <w:bCs/>
                <w:lang w:val="ro-MD"/>
              </w:rPr>
            </w:pPr>
          </w:p>
        </w:tc>
        <w:tc>
          <w:tcPr>
            <w:tcW w:w="764" w:type="pct"/>
          </w:tcPr>
          <w:p w14:paraId="38059F7B" w14:textId="77777777" w:rsidR="00C16C9F" w:rsidRPr="00E54B48" w:rsidRDefault="00C16C9F" w:rsidP="009321D1">
            <w:pPr>
              <w:ind w:firstLine="0"/>
              <w:jc w:val="left"/>
              <w:rPr>
                <w:lang w:val="ro-MD"/>
              </w:rPr>
            </w:pPr>
          </w:p>
        </w:tc>
      </w:tr>
      <w:tr w:rsidR="00C16C9F" w:rsidRPr="00207783" w14:paraId="765D680F" w14:textId="77777777" w:rsidTr="00772AD3">
        <w:trPr>
          <w:trHeight w:val="120"/>
        </w:trPr>
        <w:tc>
          <w:tcPr>
            <w:tcW w:w="2691" w:type="pct"/>
            <w:gridSpan w:val="2"/>
          </w:tcPr>
          <w:p w14:paraId="5E98FE3D" w14:textId="77777777" w:rsidR="00C16C9F" w:rsidRPr="00E54B48" w:rsidRDefault="00C16C9F" w:rsidP="009321D1">
            <w:pPr>
              <w:ind w:firstLine="0"/>
              <w:jc w:val="left"/>
              <w:rPr>
                <w:bCs/>
                <w:lang w:val="ro-MD"/>
              </w:rPr>
            </w:pPr>
            <w:r w:rsidRPr="00E54B48">
              <w:rPr>
                <w:bCs/>
                <w:lang w:val="ro-MD"/>
              </w:rPr>
              <w:t>sănătatea publică, inclusiv mortalitatea și morbiditatea</w:t>
            </w:r>
          </w:p>
        </w:tc>
        <w:tc>
          <w:tcPr>
            <w:tcW w:w="780" w:type="pct"/>
          </w:tcPr>
          <w:p w14:paraId="2E5E4713" w14:textId="47FF04DC" w:rsidR="00C16C9F" w:rsidRPr="00E54B48" w:rsidRDefault="00904CC4" w:rsidP="009321D1">
            <w:pPr>
              <w:ind w:firstLine="0"/>
              <w:jc w:val="left"/>
              <w:rPr>
                <w:lang w:val="ro-MD"/>
              </w:rPr>
            </w:pPr>
            <w:r>
              <w:rPr>
                <w:lang w:val="ro-MD"/>
              </w:rPr>
              <w:t>0</w:t>
            </w:r>
          </w:p>
        </w:tc>
        <w:tc>
          <w:tcPr>
            <w:tcW w:w="765" w:type="pct"/>
          </w:tcPr>
          <w:p w14:paraId="71D9605E" w14:textId="77777777" w:rsidR="00C16C9F" w:rsidRPr="00E54B48" w:rsidRDefault="00C16C9F" w:rsidP="009321D1">
            <w:pPr>
              <w:ind w:firstLine="0"/>
              <w:jc w:val="left"/>
              <w:rPr>
                <w:bCs/>
                <w:lang w:val="ro-MD"/>
              </w:rPr>
            </w:pPr>
          </w:p>
        </w:tc>
        <w:tc>
          <w:tcPr>
            <w:tcW w:w="764" w:type="pct"/>
          </w:tcPr>
          <w:p w14:paraId="3B52E664" w14:textId="77777777" w:rsidR="00C16C9F" w:rsidRPr="00E54B48" w:rsidRDefault="00C16C9F" w:rsidP="009321D1">
            <w:pPr>
              <w:ind w:firstLine="0"/>
              <w:jc w:val="left"/>
              <w:rPr>
                <w:lang w:val="ro-MD"/>
              </w:rPr>
            </w:pPr>
          </w:p>
        </w:tc>
      </w:tr>
      <w:tr w:rsidR="00C16C9F" w:rsidRPr="00207783" w14:paraId="313FE63F" w14:textId="77777777" w:rsidTr="00772AD3">
        <w:trPr>
          <w:trHeight w:val="53"/>
        </w:trPr>
        <w:tc>
          <w:tcPr>
            <w:tcW w:w="2691" w:type="pct"/>
            <w:gridSpan w:val="2"/>
          </w:tcPr>
          <w:p w14:paraId="786E1091" w14:textId="77777777" w:rsidR="00C16C9F" w:rsidRPr="00E54B48" w:rsidRDefault="00C16C9F" w:rsidP="009321D1">
            <w:pPr>
              <w:ind w:firstLine="0"/>
              <w:jc w:val="left"/>
              <w:rPr>
                <w:bCs/>
                <w:lang w:val="ro-MD"/>
              </w:rPr>
            </w:pPr>
            <w:r w:rsidRPr="00E54B48">
              <w:rPr>
                <w:bCs/>
                <w:lang w:val="ro-MD"/>
              </w:rPr>
              <w:t>modul sănătos de viață al populației</w:t>
            </w:r>
          </w:p>
        </w:tc>
        <w:tc>
          <w:tcPr>
            <w:tcW w:w="780" w:type="pct"/>
          </w:tcPr>
          <w:p w14:paraId="317E741A" w14:textId="1D6A574C" w:rsidR="00C16C9F" w:rsidRPr="00E54B48" w:rsidRDefault="00904CC4" w:rsidP="009321D1">
            <w:pPr>
              <w:ind w:firstLine="0"/>
              <w:jc w:val="left"/>
              <w:rPr>
                <w:lang w:val="ro-MD"/>
              </w:rPr>
            </w:pPr>
            <w:r>
              <w:rPr>
                <w:lang w:val="ro-MD"/>
              </w:rPr>
              <w:t>0</w:t>
            </w:r>
          </w:p>
        </w:tc>
        <w:tc>
          <w:tcPr>
            <w:tcW w:w="765" w:type="pct"/>
          </w:tcPr>
          <w:p w14:paraId="5B38D2CC" w14:textId="77777777" w:rsidR="00C16C9F" w:rsidRPr="00E54B48" w:rsidRDefault="00C16C9F" w:rsidP="009321D1">
            <w:pPr>
              <w:ind w:firstLine="0"/>
              <w:jc w:val="left"/>
              <w:rPr>
                <w:bCs/>
                <w:lang w:val="ro-MD"/>
              </w:rPr>
            </w:pPr>
          </w:p>
        </w:tc>
        <w:tc>
          <w:tcPr>
            <w:tcW w:w="764" w:type="pct"/>
          </w:tcPr>
          <w:p w14:paraId="2DFBD5A5" w14:textId="77777777" w:rsidR="00C16C9F" w:rsidRPr="00E54B48" w:rsidRDefault="00C16C9F" w:rsidP="009321D1">
            <w:pPr>
              <w:ind w:firstLine="0"/>
              <w:jc w:val="left"/>
              <w:rPr>
                <w:lang w:val="ro-MD"/>
              </w:rPr>
            </w:pPr>
          </w:p>
        </w:tc>
      </w:tr>
      <w:tr w:rsidR="00C16C9F" w:rsidRPr="00207783" w14:paraId="260C2834" w14:textId="77777777" w:rsidTr="00772AD3">
        <w:trPr>
          <w:trHeight w:val="228"/>
        </w:trPr>
        <w:tc>
          <w:tcPr>
            <w:tcW w:w="2691" w:type="pct"/>
            <w:gridSpan w:val="2"/>
          </w:tcPr>
          <w:p w14:paraId="7B70C76A" w14:textId="77777777" w:rsidR="00C16C9F" w:rsidRPr="00E54B48" w:rsidRDefault="00C16C9F" w:rsidP="009321D1">
            <w:pPr>
              <w:ind w:firstLine="0"/>
              <w:jc w:val="left"/>
              <w:rPr>
                <w:bCs/>
                <w:lang w:val="ro-MD"/>
              </w:rPr>
            </w:pPr>
            <w:r w:rsidRPr="00E54B48">
              <w:rPr>
                <w:bCs/>
                <w:lang w:val="ro-MD"/>
              </w:rPr>
              <w:t>nivelul criminalității și securității publice</w:t>
            </w:r>
          </w:p>
        </w:tc>
        <w:tc>
          <w:tcPr>
            <w:tcW w:w="780" w:type="pct"/>
          </w:tcPr>
          <w:p w14:paraId="309F271E" w14:textId="13A3BD41" w:rsidR="00C16C9F" w:rsidRPr="00E54B48" w:rsidRDefault="00904CC4" w:rsidP="009321D1">
            <w:pPr>
              <w:ind w:firstLine="0"/>
              <w:jc w:val="left"/>
              <w:rPr>
                <w:lang w:val="ro-MD"/>
              </w:rPr>
            </w:pPr>
            <w:r>
              <w:rPr>
                <w:lang w:val="ro-MD"/>
              </w:rPr>
              <w:t>0</w:t>
            </w:r>
          </w:p>
        </w:tc>
        <w:tc>
          <w:tcPr>
            <w:tcW w:w="765" w:type="pct"/>
          </w:tcPr>
          <w:p w14:paraId="64AC7C3E" w14:textId="77777777" w:rsidR="00C16C9F" w:rsidRPr="00E54B48" w:rsidRDefault="00C16C9F" w:rsidP="009321D1">
            <w:pPr>
              <w:ind w:firstLine="0"/>
              <w:jc w:val="left"/>
              <w:rPr>
                <w:bCs/>
                <w:lang w:val="ro-MD"/>
              </w:rPr>
            </w:pPr>
          </w:p>
        </w:tc>
        <w:tc>
          <w:tcPr>
            <w:tcW w:w="764" w:type="pct"/>
          </w:tcPr>
          <w:p w14:paraId="48274844" w14:textId="77777777" w:rsidR="00C16C9F" w:rsidRPr="00E54B48" w:rsidRDefault="00C16C9F" w:rsidP="009321D1">
            <w:pPr>
              <w:ind w:firstLine="0"/>
              <w:jc w:val="left"/>
              <w:rPr>
                <w:lang w:val="ro-MD"/>
              </w:rPr>
            </w:pPr>
          </w:p>
        </w:tc>
      </w:tr>
      <w:tr w:rsidR="00C16C9F" w:rsidRPr="00207783" w14:paraId="2A1EC29A" w14:textId="77777777" w:rsidTr="00772AD3">
        <w:trPr>
          <w:trHeight w:val="57"/>
        </w:trPr>
        <w:tc>
          <w:tcPr>
            <w:tcW w:w="2691" w:type="pct"/>
            <w:gridSpan w:val="2"/>
          </w:tcPr>
          <w:p w14:paraId="3B6F2204" w14:textId="77777777" w:rsidR="00C16C9F" w:rsidRPr="00E54B48" w:rsidRDefault="00C16C9F" w:rsidP="009321D1">
            <w:pPr>
              <w:ind w:firstLine="0"/>
              <w:jc w:val="left"/>
              <w:rPr>
                <w:bCs/>
                <w:lang w:val="ro-MD"/>
              </w:rPr>
            </w:pPr>
            <w:r w:rsidRPr="00E54B48">
              <w:rPr>
                <w:bCs/>
                <w:lang w:val="ro-MD"/>
              </w:rPr>
              <w:t>accesul și calitatea serviciilor de protecție socială</w:t>
            </w:r>
          </w:p>
        </w:tc>
        <w:tc>
          <w:tcPr>
            <w:tcW w:w="780" w:type="pct"/>
          </w:tcPr>
          <w:p w14:paraId="3178C61A" w14:textId="0BA01466" w:rsidR="00C16C9F" w:rsidRPr="00E54B48" w:rsidRDefault="00904CC4" w:rsidP="009321D1">
            <w:pPr>
              <w:ind w:firstLine="0"/>
              <w:jc w:val="left"/>
              <w:rPr>
                <w:lang w:val="ro-MD"/>
              </w:rPr>
            </w:pPr>
            <w:r>
              <w:rPr>
                <w:lang w:val="ro-MD"/>
              </w:rPr>
              <w:t>0</w:t>
            </w:r>
          </w:p>
        </w:tc>
        <w:tc>
          <w:tcPr>
            <w:tcW w:w="765" w:type="pct"/>
          </w:tcPr>
          <w:p w14:paraId="01549456" w14:textId="77777777" w:rsidR="00C16C9F" w:rsidRPr="00E54B48" w:rsidRDefault="00C16C9F" w:rsidP="009321D1">
            <w:pPr>
              <w:ind w:firstLine="0"/>
              <w:jc w:val="left"/>
              <w:rPr>
                <w:bCs/>
                <w:lang w:val="ro-MD"/>
              </w:rPr>
            </w:pPr>
          </w:p>
        </w:tc>
        <w:tc>
          <w:tcPr>
            <w:tcW w:w="764" w:type="pct"/>
          </w:tcPr>
          <w:p w14:paraId="24CB6642" w14:textId="77777777" w:rsidR="00C16C9F" w:rsidRPr="00E54B48" w:rsidRDefault="00C16C9F" w:rsidP="009321D1">
            <w:pPr>
              <w:ind w:firstLine="0"/>
              <w:jc w:val="left"/>
              <w:rPr>
                <w:lang w:val="ro-MD"/>
              </w:rPr>
            </w:pPr>
          </w:p>
        </w:tc>
      </w:tr>
      <w:tr w:rsidR="00C16C9F" w:rsidRPr="00207783" w14:paraId="7A0C5415" w14:textId="77777777" w:rsidTr="00772AD3">
        <w:trPr>
          <w:trHeight w:val="165"/>
        </w:trPr>
        <w:tc>
          <w:tcPr>
            <w:tcW w:w="2691" w:type="pct"/>
            <w:gridSpan w:val="2"/>
          </w:tcPr>
          <w:p w14:paraId="791C5E01" w14:textId="77777777" w:rsidR="00C16C9F" w:rsidRPr="00E54B48" w:rsidRDefault="00C16C9F" w:rsidP="009321D1">
            <w:pPr>
              <w:ind w:firstLine="0"/>
              <w:jc w:val="left"/>
              <w:rPr>
                <w:bCs/>
                <w:lang w:val="ro-MD"/>
              </w:rPr>
            </w:pPr>
            <w:r w:rsidRPr="00E54B48">
              <w:rPr>
                <w:bCs/>
                <w:lang w:val="ro-MD"/>
              </w:rPr>
              <w:t>accesul și calitatea serviciilor educaționale</w:t>
            </w:r>
          </w:p>
        </w:tc>
        <w:tc>
          <w:tcPr>
            <w:tcW w:w="780" w:type="pct"/>
          </w:tcPr>
          <w:p w14:paraId="504F3C91" w14:textId="173B3FDC" w:rsidR="00C16C9F" w:rsidRPr="00E54B48" w:rsidRDefault="00904CC4" w:rsidP="009321D1">
            <w:pPr>
              <w:ind w:firstLine="0"/>
              <w:jc w:val="left"/>
              <w:rPr>
                <w:lang w:val="ro-MD"/>
              </w:rPr>
            </w:pPr>
            <w:r>
              <w:rPr>
                <w:lang w:val="ro-MD"/>
              </w:rPr>
              <w:t>0</w:t>
            </w:r>
          </w:p>
        </w:tc>
        <w:tc>
          <w:tcPr>
            <w:tcW w:w="765" w:type="pct"/>
          </w:tcPr>
          <w:p w14:paraId="0AD37400" w14:textId="77777777" w:rsidR="00C16C9F" w:rsidRPr="00E54B48" w:rsidRDefault="00C16C9F" w:rsidP="009321D1">
            <w:pPr>
              <w:ind w:firstLine="0"/>
              <w:jc w:val="left"/>
              <w:rPr>
                <w:bCs/>
                <w:lang w:val="ro-MD"/>
              </w:rPr>
            </w:pPr>
          </w:p>
        </w:tc>
        <w:tc>
          <w:tcPr>
            <w:tcW w:w="764" w:type="pct"/>
          </w:tcPr>
          <w:p w14:paraId="6D15D7FF" w14:textId="77777777" w:rsidR="00C16C9F" w:rsidRPr="00E54B48" w:rsidRDefault="00C16C9F" w:rsidP="009321D1">
            <w:pPr>
              <w:ind w:firstLine="0"/>
              <w:jc w:val="left"/>
              <w:rPr>
                <w:lang w:val="ro-MD"/>
              </w:rPr>
            </w:pPr>
          </w:p>
        </w:tc>
      </w:tr>
      <w:tr w:rsidR="00C16C9F" w:rsidRPr="00207783" w14:paraId="23E89BD1" w14:textId="77777777" w:rsidTr="00772AD3">
        <w:trPr>
          <w:trHeight w:val="53"/>
        </w:trPr>
        <w:tc>
          <w:tcPr>
            <w:tcW w:w="2691" w:type="pct"/>
            <w:gridSpan w:val="2"/>
          </w:tcPr>
          <w:p w14:paraId="4602B2F9" w14:textId="77777777" w:rsidR="00C16C9F" w:rsidRPr="00E54B48" w:rsidRDefault="00C16C9F" w:rsidP="009321D1">
            <w:pPr>
              <w:ind w:firstLine="0"/>
              <w:jc w:val="left"/>
              <w:rPr>
                <w:bCs/>
                <w:lang w:val="ro-MD"/>
              </w:rPr>
            </w:pPr>
            <w:r w:rsidRPr="00E54B48">
              <w:rPr>
                <w:bCs/>
                <w:lang w:val="ro-MD"/>
              </w:rPr>
              <w:t>accesul și calitatea serviciilor medicale</w:t>
            </w:r>
          </w:p>
        </w:tc>
        <w:tc>
          <w:tcPr>
            <w:tcW w:w="780" w:type="pct"/>
          </w:tcPr>
          <w:p w14:paraId="7098D258" w14:textId="570D943E" w:rsidR="00C16C9F" w:rsidRPr="00E54B48" w:rsidRDefault="00904CC4" w:rsidP="009321D1">
            <w:pPr>
              <w:ind w:firstLine="0"/>
              <w:jc w:val="left"/>
              <w:rPr>
                <w:lang w:val="ro-MD"/>
              </w:rPr>
            </w:pPr>
            <w:r>
              <w:rPr>
                <w:lang w:val="ro-MD"/>
              </w:rPr>
              <w:t>0</w:t>
            </w:r>
          </w:p>
        </w:tc>
        <w:tc>
          <w:tcPr>
            <w:tcW w:w="765" w:type="pct"/>
          </w:tcPr>
          <w:p w14:paraId="31CA7CA5" w14:textId="77777777" w:rsidR="00C16C9F" w:rsidRPr="00E54B48" w:rsidRDefault="00C16C9F" w:rsidP="009321D1">
            <w:pPr>
              <w:ind w:firstLine="0"/>
              <w:jc w:val="left"/>
              <w:rPr>
                <w:bCs/>
                <w:lang w:val="ro-MD"/>
              </w:rPr>
            </w:pPr>
          </w:p>
        </w:tc>
        <w:tc>
          <w:tcPr>
            <w:tcW w:w="764" w:type="pct"/>
          </w:tcPr>
          <w:p w14:paraId="401C9764" w14:textId="77777777" w:rsidR="00C16C9F" w:rsidRPr="00E54B48" w:rsidRDefault="00C16C9F" w:rsidP="009321D1">
            <w:pPr>
              <w:ind w:firstLine="0"/>
              <w:jc w:val="left"/>
              <w:rPr>
                <w:lang w:val="ro-MD"/>
              </w:rPr>
            </w:pPr>
          </w:p>
        </w:tc>
      </w:tr>
      <w:tr w:rsidR="00C16C9F" w:rsidRPr="00207783" w14:paraId="3A45117A" w14:textId="77777777" w:rsidTr="00772AD3">
        <w:trPr>
          <w:trHeight w:val="84"/>
        </w:trPr>
        <w:tc>
          <w:tcPr>
            <w:tcW w:w="2691" w:type="pct"/>
            <w:gridSpan w:val="2"/>
          </w:tcPr>
          <w:p w14:paraId="2DAE5527" w14:textId="77777777" w:rsidR="00C16C9F" w:rsidRPr="00E54B48" w:rsidRDefault="00C16C9F" w:rsidP="009321D1">
            <w:pPr>
              <w:ind w:firstLine="0"/>
              <w:jc w:val="left"/>
              <w:rPr>
                <w:bCs/>
                <w:lang w:val="ro-MD"/>
              </w:rPr>
            </w:pPr>
            <w:r w:rsidRPr="00E54B48">
              <w:rPr>
                <w:bCs/>
                <w:lang w:val="ro-MD"/>
              </w:rPr>
              <w:t>accesul și calitatea serviciilor publice administrative</w:t>
            </w:r>
          </w:p>
        </w:tc>
        <w:tc>
          <w:tcPr>
            <w:tcW w:w="780" w:type="pct"/>
          </w:tcPr>
          <w:p w14:paraId="140583CD" w14:textId="3EFCE6A4" w:rsidR="00C16C9F" w:rsidRPr="00E54B48" w:rsidRDefault="00904CC4" w:rsidP="009321D1">
            <w:pPr>
              <w:ind w:firstLine="0"/>
              <w:jc w:val="left"/>
              <w:rPr>
                <w:lang w:val="ro-MD"/>
              </w:rPr>
            </w:pPr>
            <w:r>
              <w:rPr>
                <w:lang w:val="ro-MD"/>
              </w:rPr>
              <w:t>0</w:t>
            </w:r>
          </w:p>
        </w:tc>
        <w:tc>
          <w:tcPr>
            <w:tcW w:w="765" w:type="pct"/>
          </w:tcPr>
          <w:p w14:paraId="329DFFA7" w14:textId="77777777" w:rsidR="00C16C9F" w:rsidRPr="00E54B48" w:rsidRDefault="00C16C9F" w:rsidP="009321D1">
            <w:pPr>
              <w:ind w:firstLine="0"/>
              <w:jc w:val="left"/>
              <w:rPr>
                <w:bCs/>
                <w:lang w:val="ro-MD"/>
              </w:rPr>
            </w:pPr>
          </w:p>
        </w:tc>
        <w:tc>
          <w:tcPr>
            <w:tcW w:w="764" w:type="pct"/>
          </w:tcPr>
          <w:p w14:paraId="72657BA3" w14:textId="77777777" w:rsidR="00C16C9F" w:rsidRPr="00E54B48" w:rsidRDefault="00C16C9F" w:rsidP="009321D1">
            <w:pPr>
              <w:ind w:firstLine="0"/>
              <w:jc w:val="left"/>
              <w:rPr>
                <w:lang w:val="ro-MD"/>
              </w:rPr>
            </w:pPr>
          </w:p>
        </w:tc>
      </w:tr>
      <w:tr w:rsidR="00C16C9F" w:rsidRPr="00207783" w14:paraId="483E9E2B" w14:textId="77777777" w:rsidTr="00772AD3">
        <w:trPr>
          <w:trHeight w:val="53"/>
        </w:trPr>
        <w:tc>
          <w:tcPr>
            <w:tcW w:w="2691" w:type="pct"/>
            <w:gridSpan w:val="2"/>
          </w:tcPr>
          <w:p w14:paraId="06BC5981" w14:textId="77777777" w:rsidR="00C16C9F" w:rsidRPr="00E54B48" w:rsidRDefault="00C16C9F" w:rsidP="009321D1">
            <w:pPr>
              <w:ind w:firstLine="0"/>
              <w:jc w:val="left"/>
              <w:rPr>
                <w:bCs/>
                <w:lang w:val="ro-MD"/>
              </w:rPr>
            </w:pPr>
            <w:r w:rsidRPr="00E54B48">
              <w:rPr>
                <w:bCs/>
                <w:lang w:val="ro-MD"/>
              </w:rPr>
              <w:lastRenderedPageBreak/>
              <w:t>nivelul și calitatea educației populației</w:t>
            </w:r>
          </w:p>
        </w:tc>
        <w:tc>
          <w:tcPr>
            <w:tcW w:w="780" w:type="pct"/>
          </w:tcPr>
          <w:p w14:paraId="02C257B9" w14:textId="0728EC6F" w:rsidR="00C16C9F" w:rsidRPr="00E54B48" w:rsidRDefault="00904CC4" w:rsidP="009321D1">
            <w:pPr>
              <w:ind w:firstLine="0"/>
              <w:jc w:val="left"/>
              <w:rPr>
                <w:lang w:val="ro-MD"/>
              </w:rPr>
            </w:pPr>
            <w:r>
              <w:rPr>
                <w:lang w:val="ro-MD"/>
              </w:rPr>
              <w:t>0</w:t>
            </w:r>
          </w:p>
        </w:tc>
        <w:tc>
          <w:tcPr>
            <w:tcW w:w="765" w:type="pct"/>
          </w:tcPr>
          <w:p w14:paraId="74AC0DF9" w14:textId="77777777" w:rsidR="00C16C9F" w:rsidRPr="00E54B48" w:rsidRDefault="00C16C9F" w:rsidP="009321D1">
            <w:pPr>
              <w:ind w:firstLine="0"/>
              <w:jc w:val="left"/>
              <w:rPr>
                <w:bCs/>
                <w:lang w:val="ro-MD"/>
              </w:rPr>
            </w:pPr>
          </w:p>
        </w:tc>
        <w:tc>
          <w:tcPr>
            <w:tcW w:w="764" w:type="pct"/>
          </w:tcPr>
          <w:p w14:paraId="07A10B64" w14:textId="77777777" w:rsidR="00C16C9F" w:rsidRPr="00E54B48" w:rsidRDefault="00C16C9F" w:rsidP="009321D1">
            <w:pPr>
              <w:ind w:firstLine="0"/>
              <w:jc w:val="left"/>
              <w:rPr>
                <w:lang w:val="ro-MD"/>
              </w:rPr>
            </w:pPr>
          </w:p>
        </w:tc>
      </w:tr>
      <w:tr w:rsidR="00C16C9F" w:rsidRPr="00207783" w14:paraId="1D190C7D" w14:textId="77777777" w:rsidTr="00772AD3">
        <w:trPr>
          <w:trHeight w:val="111"/>
        </w:trPr>
        <w:tc>
          <w:tcPr>
            <w:tcW w:w="2691" w:type="pct"/>
            <w:gridSpan w:val="2"/>
          </w:tcPr>
          <w:p w14:paraId="2546C338" w14:textId="77777777" w:rsidR="00C16C9F" w:rsidRPr="00E54B48" w:rsidRDefault="00C16C9F" w:rsidP="009321D1">
            <w:pPr>
              <w:ind w:firstLine="0"/>
              <w:jc w:val="left"/>
              <w:rPr>
                <w:bCs/>
                <w:lang w:val="ro-MD"/>
              </w:rPr>
            </w:pPr>
            <w:r w:rsidRPr="00E54B48">
              <w:rPr>
                <w:bCs/>
                <w:lang w:val="ro-MD"/>
              </w:rPr>
              <w:t>conservarea patrimoniului cultural</w:t>
            </w:r>
          </w:p>
        </w:tc>
        <w:tc>
          <w:tcPr>
            <w:tcW w:w="780" w:type="pct"/>
          </w:tcPr>
          <w:p w14:paraId="26BC0EE4" w14:textId="48032368" w:rsidR="00C16C9F" w:rsidRPr="00E54B48" w:rsidRDefault="00904CC4" w:rsidP="009321D1">
            <w:pPr>
              <w:ind w:firstLine="0"/>
              <w:jc w:val="left"/>
              <w:rPr>
                <w:lang w:val="ro-MD"/>
              </w:rPr>
            </w:pPr>
            <w:r>
              <w:rPr>
                <w:lang w:val="ro-MD"/>
              </w:rPr>
              <w:t>0</w:t>
            </w:r>
          </w:p>
        </w:tc>
        <w:tc>
          <w:tcPr>
            <w:tcW w:w="765" w:type="pct"/>
          </w:tcPr>
          <w:p w14:paraId="1794089D" w14:textId="77777777" w:rsidR="00C16C9F" w:rsidRPr="00E54B48" w:rsidRDefault="00C16C9F" w:rsidP="009321D1">
            <w:pPr>
              <w:ind w:firstLine="0"/>
              <w:jc w:val="left"/>
              <w:rPr>
                <w:bCs/>
                <w:lang w:val="ro-MD"/>
              </w:rPr>
            </w:pPr>
          </w:p>
        </w:tc>
        <w:tc>
          <w:tcPr>
            <w:tcW w:w="764" w:type="pct"/>
          </w:tcPr>
          <w:p w14:paraId="251B22F6" w14:textId="77777777" w:rsidR="00C16C9F" w:rsidRPr="00E54B48" w:rsidRDefault="00C16C9F" w:rsidP="009321D1">
            <w:pPr>
              <w:ind w:firstLine="0"/>
              <w:jc w:val="left"/>
              <w:rPr>
                <w:lang w:val="ro-MD"/>
              </w:rPr>
            </w:pPr>
          </w:p>
        </w:tc>
      </w:tr>
      <w:tr w:rsidR="00C16C9F" w:rsidRPr="00207783" w14:paraId="0C1237D7" w14:textId="77777777" w:rsidTr="00772AD3">
        <w:trPr>
          <w:trHeight w:val="444"/>
        </w:trPr>
        <w:tc>
          <w:tcPr>
            <w:tcW w:w="2691" w:type="pct"/>
            <w:gridSpan w:val="2"/>
          </w:tcPr>
          <w:p w14:paraId="6500D812" w14:textId="77777777" w:rsidR="00C16C9F" w:rsidRPr="00E54B48" w:rsidRDefault="00C16C9F" w:rsidP="009321D1">
            <w:pPr>
              <w:ind w:firstLine="0"/>
              <w:jc w:val="left"/>
              <w:rPr>
                <w:bCs/>
                <w:lang w:val="ro-MD"/>
              </w:rPr>
            </w:pPr>
            <w:r w:rsidRPr="00E54B48">
              <w:rPr>
                <w:bCs/>
                <w:lang w:val="ro-MD"/>
              </w:rPr>
              <w:t>accesul populației la resurse culturale și participarea în manifestații culturale</w:t>
            </w:r>
          </w:p>
        </w:tc>
        <w:tc>
          <w:tcPr>
            <w:tcW w:w="780" w:type="pct"/>
          </w:tcPr>
          <w:p w14:paraId="6C6E215F" w14:textId="2D72C62D" w:rsidR="00C16C9F" w:rsidRPr="00E54B48" w:rsidRDefault="00904CC4" w:rsidP="009321D1">
            <w:pPr>
              <w:ind w:firstLine="0"/>
              <w:jc w:val="left"/>
              <w:rPr>
                <w:lang w:val="ro-MD"/>
              </w:rPr>
            </w:pPr>
            <w:r>
              <w:rPr>
                <w:lang w:val="ro-MD"/>
              </w:rPr>
              <w:t>0</w:t>
            </w:r>
          </w:p>
        </w:tc>
        <w:tc>
          <w:tcPr>
            <w:tcW w:w="765" w:type="pct"/>
          </w:tcPr>
          <w:p w14:paraId="58033CDC" w14:textId="77777777" w:rsidR="00C16C9F" w:rsidRPr="00E54B48" w:rsidRDefault="00C16C9F" w:rsidP="009321D1">
            <w:pPr>
              <w:ind w:firstLine="0"/>
              <w:jc w:val="left"/>
              <w:rPr>
                <w:bCs/>
                <w:lang w:val="ro-MD"/>
              </w:rPr>
            </w:pPr>
          </w:p>
        </w:tc>
        <w:tc>
          <w:tcPr>
            <w:tcW w:w="764" w:type="pct"/>
          </w:tcPr>
          <w:p w14:paraId="0F42ADCD" w14:textId="77777777" w:rsidR="00C16C9F" w:rsidRPr="00E54B48" w:rsidRDefault="00C16C9F" w:rsidP="009321D1">
            <w:pPr>
              <w:ind w:firstLine="0"/>
              <w:jc w:val="left"/>
              <w:rPr>
                <w:lang w:val="ro-MD"/>
              </w:rPr>
            </w:pPr>
          </w:p>
        </w:tc>
      </w:tr>
      <w:tr w:rsidR="00C16C9F" w:rsidRPr="00207783" w14:paraId="072A8159" w14:textId="77777777" w:rsidTr="00772AD3">
        <w:trPr>
          <w:trHeight w:val="174"/>
        </w:trPr>
        <w:tc>
          <w:tcPr>
            <w:tcW w:w="2691" w:type="pct"/>
            <w:gridSpan w:val="2"/>
          </w:tcPr>
          <w:p w14:paraId="31F4E695" w14:textId="77777777" w:rsidR="00C16C9F" w:rsidRPr="00E54B48" w:rsidRDefault="00C16C9F" w:rsidP="009321D1">
            <w:pPr>
              <w:ind w:firstLine="0"/>
              <w:jc w:val="left"/>
              <w:rPr>
                <w:bCs/>
                <w:lang w:val="ro-MD"/>
              </w:rPr>
            </w:pPr>
            <w:r w:rsidRPr="00E54B48">
              <w:rPr>
                <w:bCs/>
                <w:lang w:val="ro-MD"/>
              </w:rPr>
              <w:t>accesul și participarea populației în activități sportive</w:t>
            </w:r>
          </w:p>
        </w:tc>
        <w:tc>
          <w:tcPr>
            <w:tcW w:w="780" w:type="pct"/>
          </w:tcPr>
          <w:p w14:paraId="1B3EB3CE" w14:textId="6D749B32" w:rsidR="00C16C9F" w:rsidRPr="00E54B48" w:rsidRDefault="00904CC4" w:rsidP="009321D1">
            <w:pPr>
              <w:ind w:firstLine="0"/>
              <w:jc w:val="left"/>
              <w:rPr>
                <w:lang w:val="ro-MD"/>
              </w:rPr>
            </w:pPr>
            <w:r>
              <w:rPr>
                <w:lang w:val="ro-MD"/>
              </w:rPr>
              <w:t>0</w:t>
            </w:r>
          </w:p>
        </w:tc>
        <w:tc>
          <w:tcPr>
            <w:tcW w:w="765" w:type="pct"/>
          </w:tcPr>
          <w:p w14:paraId="4F8498DD" w14:textId="77777777" w:rsidR="00C16C9F" w:rsidRPr="00E54B48" w:rsidRDefault="00C16C9F" w:rsidP="009321D1">
            <w:pPr>
              <w:ind w:firstLine="0"/>
              <w:jc w:val="left"/>
              <w:rPr>
                <w:bCs/>
                <w:lang w:val="ro-MD"/>
              </w:rPr>
            </w:pPr>
          </w:p>
        </w:tc>
        <w:tc>
          <w:tcPr>
            <w:tcW w:w="764" w:type="pct"/>
          </w:tcPr>
          <w:p w14:paraId="2CE92483" w14:textId="77777777" w:rsidR="00C16C9F" w:rsidRPr="00E54B48" w:rsidRDefault="00C16C9F" w:rsidP="009321D1">
            <w:pPr>
              <w:ind w:firstLine="0"/>
              <w:jc w:val="left"/>
              <w:rPr>
                <w:lang w:val="ro-MD"/>
              </w:rPr>
            </w:pPr>
          </w:p>
        </w:tc>
      </w:tr>
      <w:tr w:rsidR="00C16C9F" w:rsidRPr="00207783" w14:paraId="00C2636F" w14:textId="77777777" w:rsidTr="00772AD3">
        <w:trPr>
          <w:trHeight w:val="273"/>
        </w:trPr>
        <w:tc>
          <w:tcPr>
            <w:tcW w:w="2691" w:type="pct"/>
            <w:gridSpan w:val="2"/>
          </w:tcPr>
          <w:p w14:paraId="04B0D8F3" w14:textId="77777777" w:rsidR="00C16C9F" w:rsidRPr="00E54B48" w:rsidRDefault="00C16C9F" w:rsidP="009321D1">
            <w:pPr>
              <w:ind w:firstLine="0"/>
              <w:jc w:val="left"/>
              <w:rPr>
                <w:bCs/>
                <w:lang w:val="ro-MD"/>
              </w:rPr>
            </w:pPr>
            <w:r w:rsidRPr="00E54B48">
              <w:rPr>
                <w:bCs/>
                <w:lang w:val="ro-MD"/>
              </w:rPr>
              <w:t>discriminarea</w:t>
            </w:r>
          </w:p>
        </w:tc>
        <w:tc>
          <w:tcPr>
            <w:tcW w:w="780" w:type="pct"/>
          </w:tcPr>
          <w:p w14:paraId="0F7F9CCD" w14:textId="7E35B52E" w:rsidR="00C16C9F" w:rsidRPr="00E54B48" w:rsidRDefault="00904CC4" w:rsidP="009321D1">
            <w:pPr>
              <w:ind w:firstLine="0"/>
              <w:jc w:val="left"/>
              <w:rPr>
                <w:lang w:val="ro-MD"/>
              </w:rPr>
            </w:pPr>
            <w:r>
              <w:rPr>
                <w:lang w:val="ro-MD"/>
              </w:rPr>
              <w:t>0</w:t>
            </w:r>
          </w:p>
        </w:tc>
        <w:tc>
          <w:tcPr>
            <w:tcW w:w="765" w:type="pct"/>
          </w:tcPr>
          <w:p w14:paraId="2DAF12A1" w14:textId="77777777" w:rsidR="00C16C9F" w:rsidRPr="00E54B48" w:rsidRDefault="00C16C9F" w:rsidP="009321D1">
            <w:pPr>
              <w:ind w:firstLine="0"/>
              <w:jc w:val="left"/>
              <w:rPr>
                <w:bCs/>
                <w:lang w:val="ro-MD"/>
              </w:rPr>
            </w:pPr>
          </w:p>
        </w:tc>
        <w:tc>
          <w:tcPr>
            <w:tcW w:w="764" w:type="pct"/>
          </w:tcPr>
          <w:p w14:paraId="306A8022" w14:textId="77777777" w:rsidR="00C16C9F" w:rsidRPr="00E54B48" w:rsidRDefault="00C16C9F" w:rsidP="009321D1">
            <w:pPr>
              <w:ind w:firstLine="0"/>
              <w:jc w:val="left"/>
              <w:rPr>
                <w:lang w:val="ro-MD"/>
              </w:rPr>
            </w:pPr>
          </w:p>
        </w:tc>
      </w:tr>
      <w:tr w:rsidR="00C16C9F" w:rsidRPr="00207783" w14:paraId="1CED7513" w14:textId="77777777" w:rsidTr="00772AD3">
        <w:trPr>
          <w:trHeight w:val="246"/>
        </w:trPr>
        <w:tc>
          <w:tcPr>
            <w:tcW w:w="2691" w:type="pct"/>
            <w:gridSpan w:val="2"/>
          </w:tcPr>
          <w:p w14:paraId="3C6D4CF3" w14:textId="77777777" w:rsidR="00C16C9F" w:rsidRPr="00E54B48" w:rsidRDefault="00C16C9F" w:rsidP="009321D1">
            <w:pPr>
              <w:ind w:firstLine="0"/>
              <w:jc w:val="left"/>
              <w:rPr>
                <w:bCs/>
                <w:lang w:val="ro-MD"/>
              </w:rPr>
            </w:pPr>
            <w:r w:rsidRPr="00E54B48">
              <w:rPr>
                <w:bCs/>
                <w:lang w:val="ro-MD"/>
              </w:rPr>
              <w:t>alte aspecte sociale</w:t>
            </w:r>
          </w:p>
        </w:tc>
        <w:tc>
          <w:tcPr>
            <w:tcW w:w="780" w:type="pct"/>
          </w:tcPr>
          <w:p w14:paraId="482DE5E3" w14:textId="503AE37B" w:rsidR="00C16C9F" w:rsidRPr="00E54B48" w:rsidRDefault="00904CC4" w:rsidP="009321D1">
            <w:pPr>
              <w:ind w:firstLine="0"/>
              <w:jc w:val="left"/>
              <w:rPr>
                <w:lang w:val="ro-MD"/>
              </w:rPr>
            </w:pPr>
            <w:r>
              <w:rPr>
                <w:lang w:val="ro-MD"/>
              </w:rPr>
              <w:t>0</w:t>
            </w:r>
          </w:p>
        </w:tc>
        <w:tc>
          <w:tcPr>
            <w:tcW w:w="765" w:type="pct"/>
          </w:tcPr>
          <w:p w14:paraId="23D91214" w14:textId="77777777" w:rsidR="00C16C9F" w:rsidRPr="00E54B48" w:rsidRDefault="00C16C9F" w:rsidP="009321D1">
            <w:pPr>
              <w:ind w:firstLine="0"/>
              <w:jc w:val="left"/>
              <w:rPr>
                <w:bCs/>
                <w:lang w:val="ro-MD"/>
              </w:rPr>
            </w:pPr>
          </w:p>
        </w:tc>
        <w:tc>
          <w:tcPr>
            <w:tcW w:w="764" w:type="pct"/>
          </w:tcPr>
          <w:p w14:paraId="59975039" w14:textId="77777777" w:rsidR="00C16C9F" w:rsidRPr="00E54B48" w:rsidRDefault="00C16C9F" w:rsidP="009321D1">
            <w:pPr>
              <w:ind w:firstLine="0"/>
              <w:jc w:val="left"/>
              <w:rPr>
                <w:lang w:val="ro-MD"/>
              </w:rPr>
            </w:pPr>
          </w:p>
        </w:tc>
      </w:tr>
      <w:tr w:rsidR="00C16C9F" w:rsidRPr="00207783" w14:paraId="0FB15009" w14:textId="77777777" w:rsidTr="00772AD3">
        <w:trPr>
          <w:trHeight w:val="237"/>
        </w:trPr>
        <w:tc>
          <w:tcPr>
            <w:tcW w:w="5000" w:type="pct"/>
            <w:gridSpan w:val="5"/>
          </w:tcPr>
          <w:p w14:paraId="5CB10FA0" w14:textId="77777777" w:rsidR="00C16C9F" w:rsidRPr="00E54B48" w:rsidRDefault="00C16C9F" w:rsidP="009321D1">
            <w:pPr>
              <w:ind w:firstLine="0"/>
              <w:jc w:val="left"/>
              <w:rPr>
                <w:b/>
                <w:lang w:val="ro-MD"/>
              </w:rPr>
            </w:pPr>
            <w:r w:rsidRPr="00E54B48">
              <w:rPr>
                <w:b/>
                <w:lang w:val="ro-MD"/>
              </w:rPr>
              <w:t>De mediu</w:t>
            </w:r>
          </w:p>
        </w:tc>
      </w:tr>
      <w:tr w:rsidR="00C16C9F" w:rsidRPr="00207783" w14:paraId="3FD28B39" w14:textId="77777777" w:rsidTr="00772AD3">
        <w:trPr>
          <w:trHeight w:val="444"/>
        </w:trPr>
        <w:tc>
          <w:tcPr>
            <w:tcW w:w="2691" w:type="pct"/>
            <w:gridSpan w:val="2"/>
          </w:tcPr>
          <w:p w14:paraId="205813C2" w14:textId="77777777" w:rsidR="00C16C9F" w:rsidRPr="00E54B48" w:rsidRDefault="00C16C9F" w:rsidP="009321D1">
            <w:pPr>
              <w:ind w:firstLine="0"/>
              <w:jc w:val="left"/>
              <w:rPr>
                <w:bCs/>
                <w:lang w:val="ro-MD"/>
              </w:rPr>
            </w:pPr>
            <w:r w:rsidRPr="00E54B48">
              <w:rPr>
                <w:bCs/>
                <w:lang w:val="ro-MD"/>
              </w:rPr>
              <w:t>clima, inclusiv emisiile gazelor cu efect de seră și celor care afectează stratul de ozon</w:t>
            </w:r>
          </w:p>
        </w:tc>
        <w:tc>
          <w:tcPr>
            <w:tcW w:w="780" w:type="pct"/>
          </w:tcPr>
          <w:p w14:paraId="6DFAAC93" w14:textId="584D6628" w:rsidR="00C16C9F" w:rsidRPr="00E54B48" w:rsidRDefault="00BA2C14" w:rsidP="009321D1">
            <w:pPr>
              <w:ind w:firstLine="0"/>
              <w:jc w:val="left"/>
              <w:rPr>
                <w:lang w:val="ro-MD"/>
              </w:rPr>
            </w:pPr>
            <w:r>
              <w:rPr>
                <w:lang w:val="ro-MD"/>
              </w:rPr>
              <w:t>+1</w:t>
            </w:r>
          </w:p>
        </w:tc>
        <w:tc>
          <w:tcPr>
            <w:tcW w:w="765" w:type="pct"/>
          </w:tcPr>
          <w:p w14:paraId="44BB7EF6" w14:textId="77777777" w:rsidR="00C16C9F" w:rsidRPr="00E54B48" w:rsidRDefault="00C16C9F" w:rsidP="009321D1">
            <w:pPr>
              <w:ind w:firstLine="0"/>
              <w:jc w:val="left"/>
              <w:rPr>
                <w:bCs/>
                <w:lang w:val="ro-MD"/>
              </w:rPr>
            </w:pPr>
          </w:p>
        </w:tc>
        <w:tc>
          <w:tcPr>
            <w:tcW w:w="764" w:type="pct"/>
          </w:tcPr>
          <w:p w14:paraId="68026B12" w14:textId="77777777" w:rsidR="00C16C9F" w:rsidRPr="00E54B48" w:rsidRDefault="00C16C9F" w:rsidP="009321D1">
            <w:pPr>
              <w:ind w:firstLine="0"/>
              <w:jc w:val="left"/>
              <w:rPr>
                <w:lang w:val="ro-MD"/>
              </w:rPr>
            </w:pPr>
          </w:p>
        </w:tc>
      </w:tr>
      <w:tr w:rsidR="00C16C9F" w:rsidRPr="00207783" w14:paraId="48B7AD0B" w14:textId="77777777" w:rsidTr="00772AD3">
        <w:trPr>
          <w:trHeight w:val="53"/>
        </w:trPr>
        <w:tc>
          <w:tcPr>
            <w:tcW w:w="2691" w:type="pct"/>
            <w:gridSpan w:val="2"/>
          </w:tcPr>
          <w:p w14:paraId="0B33E2F3" w14:textId="77777777" w:rsidR="00C16C9F" w:rsidRPr="00E54B48" w:rsidRDefault="00C16C9F" w:rsidP="009321D1">
            <w:pPr>
              <w:ind w:firstLine="0"/>
              <w:jc w:val="left"/>
              <w:rPr>
                <w:bCs/>
                <w:lang w:val="ro-MD"/>
              </w:rPr>
            </w:pPr>
            <w:r w:rsidRPr="00E54B48">
              <w:rPr>
                <w:bCs/>
                <w:lang w:val="ro-MD"/>
              </w:rPr>
              <w:t>calitatea aerului</w:t>
            </w:r>
          </w:p>
        </w:tc>
        <w:tc>
          <w:tcPr>
            <w:tcW w:w="780" w:type="pct"/>
          </w:tcPr>
          <w:p w14:paraId="60964490" w14:textId="2356E9A0" w:rsidR="00C16C9F" w:rsidRPr="00E54B48" w:rsidRDefault="00BA2C14" w:rsidP="009321D1">
            <w:pPr>
              <w:ind w:firstLine="0"/>
              <w:jc w:val="left"/>
              <w:rPr>
                <w:lang w:val="ro-MD"/>
              </w:rPr>
            </w:pPr>
            <w:r>
              <w:rPr>
                <w:lang w:val="ro-MD"/>
              </w:rPr>
              <w:t>0</w:t>
            </w:r>
          </w:p>
        </w:tc>
        <w:tc>
          <w:tcPr>
            <w:tcW w:w="765" w:type="pct"/>
          </w:tcPr>
          <w:p w14:paraId="7FD142AB" w14:textId="77777777" w:rsidR="00C16C9F" w:rsidRPr="00E54B48" w:rsidRDefault="00C16C9F" w:rsidP="009321D1">
            <w:pPr>
              <w:ind w:firstLine="0"/>
              <w:jc w:val="left"/>
              <w:rPr>
                <w:bCs/>
                <w:lang w:val="ro-MD"/>
              </w:rPr>
            </w:pPr>
          </w:p>
        </w:tc>
        <w:tc>
          <w:tcPr>
            <w:tcW w:w="764" w:type="pct"/>
          </w:tcPr>
          <w:p w14:paraId="19F78BB7" w14:textId="77777777" w:rsidR="00C16C9F" w:rsidRPr="00E54B48" w:rsidRDefault="00C16C9F" w:rsidP="009321D1">
            <w:pPr>
              <w:ind w:firstLine="0"/>
              <w:jc w:val="left"/>
              <w:rPr>
                <w:lang w:val="ro-MD"/>
              </w:rPr>
            </w:pPr>
          </w:p>
        </w:tc>
      </w:tr>
      <w:tr w:rsidR="00C16C9F" w:rsidRPr="00207783" w14:paraId="72B52C3B" w14:textId="77777777" w:rsidTr="00772AD3">
        <w:trPr>
          <w:trHeight w:val="444"/>
        </w:trPr>
        <w:tc>
          <w:tcPr>
            <w:tcW w:w="2691" w:type="pct"/>
            <w:gridSpan w:val="2"/>
          </w:tcPr>
          <w:p w14:paraId="4976565D" w14:textId="77777777" w:rsidR="00C16C9F" w:rsidRPr="00E54B48" w:rsidRDefault="00C16C9F" w:rsidP="009321D1">
            <w:pPr>
              <w:ind w:firstLine="0"/>
              <w:jc w:val="left"/>
              <w:rPr>
                <w:lang w:val="ro-MD"/>
              </w:rPr>
            </w:pPr>
            <w:r w:rsidRPr="00E54B48">
              <w:rPr>
                <w:bCs/>
                <w:lang w:val="ro-MD"/>
              </w:rPr>
              <w:t>calitatea și cantitatea apei și resurselor acvatice, inclusiv a apei potabile și de alt gen</w:t>
            </w:r>
          </w:p>
        </w:tc>
        <w:tc>
          <w:tcPr>
            <w:tcW w:w="780" w:type="pct"/>
          </w:tcPr>
          <w:p w14:paraId="5BDBFFAE" w14:textId="67E6FBCE" w:rsidR="00C16C9F" w:rsidRPr="00E54B48" w:rsidRDefault="00BA2C14" w:rsidP="009321D1">
            <w:pPr>
              <w:ind w:firstLine="0"/>
              <w:jc w:val="left"/>
              <w:rPr>
                <w:lang w:val="ro-MD"/>
              </w:rPr>
            </w:pPr>
            <w:r>
              <w:rPr>
                <w:lang w:val="ro-MD"/>
              </w:rPr>
              <w:t>0</w:t>
            </w:r>
          </w:p>
        </w:tc>
        <w:tc>
          <w:tcPr>
            <w:tcW w:w="765" w:type="pct"/>
          </w:tcPr>
          <w:p w14:paraId="21ECA482" w14:textId="77777777" w:rsidR="00C16C9F" w:rsidRPr="00E54B48" w:rsidRDefault="00C16C9F" w:rsidP="009321D1">
            <w:pPr>
              <w:ind w:firstLine="0"/>
              <w:jc w:val="left"/>
              <w:rPr>
                <w:bCs/>
                <w:lang w:val="ro-MD"/>
              </w:rPr>
            </w:pPr>
          </w:p>
        </w:tc>
        <w:tc>
          <w:tcPr>
            <w:tcW w:w="764" w:type="pct"/>
          </w:tcPr>
          <w:p w14:paraId="0E6FD118" w14:textId="77777777" w:rsidR="00C16C9F" w:rsidRPr="00E54B48" w:rsidRDefault="00C16C9F" w:rsidP="009321D1">
            <w:pPr>
              <w:ind w:firstLine="0"/>
              <w:jc w:val="left"/>
              <w:rPr>
                <w:lang w:val="ro-MD"/>
              </w:rPr>
            </w:pPr>
          </w:p>
        </w:tc>
      </w:tr>
      <w:tr w:rsidR="00C16C9F" w:rsidRPr="00207783" w14:paraId="4D4FB9AF" w14:textId="77777777" w:rsidTr="00772AD3">
        <w:trPr>
          <w:trHeight w:val="129"/>
        </w:trPr>
        <w:tc>
          <w:tcPr>
            <w:tcW w:w="2691" w:type="pct"/>
            <w:gridSpan w:val="2"/>
          </w:tcPr>
          <w:p w14:paraId="2B6EBB36" w14:textId="77777777" w:rsidR="00C16C9F" w:rsidRPr="00E54B48" w:rsidRDefault="00C16C9F" w:rsidP="009321D1">
            <w:pPr>
              <w:ind w:firstLine="0"/>
              <w:jc w:val="left"/>
              <w:rPr>
                <w:bCs/>
                <w:lang w:val="ro-MD"/>
              </w:rPr>
            </w:pPr>
            <w:r w:rsidRPr="00E54B48">
              <w:rPr>
                <w:bCs/>
                <w:lang w:val="ro-MD"/>
              </w:rPr>
              <w:t>biodiversitatea</w:t>
            </w:r>
          </w:p>
        </w:tc>
        <w:tc>
          <w:tcPr>
            <w:tcW w:w="780" w:type="pct"/>
          </w:tcPr>
          <w:p w14:paraId="5210D01F" w14:textId="5649CA69" w:rsidR="00C16C9F" w:rsidRPr="00E54B48" w:rsidRDefault="00BA2C14" w:rsidP="009321D1">
            <w:pPr>
              <w:ind w:firstLine="0"/>
              <w:jc w:val="left"/>
              <w:rPr>
                <w:lang w:val="ro-MD"/>
              </w:rPr>
            </w:pPr>
            <w:r>
              <w:rPr>
                <w:lang w:val="ro-MD"/>
              </w:rPr>
              <w:t>0</w:t>
            </w:r>
          </w:p>
        </w:tc>
        <w:tc>
          <w:tcPr>
            <w:tcW w:w="765" w:type="pct"/>
          </w:tcPr>
          <w:p w14:paraId="6A0D165E" w14:textId="77777777" w:rsidR="00C16C9F" w:rsidRPr="00E54B48" w:rsidRDefault="00C16C9F" w:rsidP="009321D1">
            <w:pPr>
              <w:ind w:firstLine="0"/>
              <w:jc w:val="left"/>
              <w:rPr>
                <w:bCs/>
                <w:lang w:val="ro-MD"/>
              </w:rPr>
            </w:pPr>
          </w:p>
        </w:tc>
        <w:tc>
          <w:tcPr>
            <w:tcW w:w="764" w:type="pct"/>
          </w:tcPr>
          <w:p w14:paraId="131FFD93" w14:textId="77777777" w:rsidR="00C16C9F" w:rsidRPr="00E54B48" w:rsidRDefault="00C16C9F" w:rsidP="009321D1">
            <w:pPr>
              <w:ind w:firstLine="0"/>
              <w:jc w:val="left"/>
              <w:rPr>
                <w:lang w:val="ro-MD"/>
              </w:rPr>
            </w:pPr>
          </w:p>
        </w:tc>
      </w:tr>
      <w:tr w:rsidR="00C16C9F" w:rsidRPr="00207783" w14:paraId="3C9BF63B" w14:textId="77777777" w:rsidTr="00772AD3">
        <w:trPr>
          <w:trHeight w:val="228"/>
        </w:trPr>
        <w:tc>
          <w:tcPr>
            <w:tcW w:w="2691" w:type="pct"/>
            <w:gridSpan w:val="2"/>
          </w:tcPr>
          <w:p w14:paraId="06933AC8" w14:textId="77777777" w:rsidR="00C16C9F" w:rsidRPr="00E54B48" w:rsidRDefault="00C16C9F" w:rsidP="009321D1">
            <w:pPr>
              <w:ind w:firstLine="0"/>
              <w:jc w:val="left"/>
              <w:rPr>
                <w:bCs/>
                <w:lang w:val="ro-MD"/>
              </w:rPr>
            </w:pPr>
            <w:r w:rsidRPr="00E54B48">
              <w:rPr>
                <w:bCs/>
                <w:lang w:val="ro-MD"/>
              </w:rPr>
              <w:t>flora</w:t>
            </w:r>
          </w:p>
        </w:tc>
        <w:tc>
          <w:tcPr>
            <w:tcW w:w="780" w:type="pct"/>
          </w:tcPr>
          <w:p w14:paraId="5942B3B7" w14:textId="0D88DB17" w:rsidR="00C16C9F" w:rsidRPr="00E54B48" w:rsidRDefault="00BA2C14" w:rsidP="009321D1">
            <w:pPr>
              <w:ind w:firstLine="0"/>
              <w:jc w:val="left"/>
              <w:rPr>
                <w:lang w:val="ro-MD"/>
              </w:rPr>
            </w:pPr>
            <w:r>
              <w:rPr>
                <w:lang w:val="ro-MD"/>
              </w:rPr>
              <w:t>0</w:t>
            </w:r>
          </w:p>
        </w:tc>
        <w:tc>
          <w:tcPr>
            <w:tcW w:w="765" w:type="pct"/>
          </w:tcPr>
          <w:p w14:paraId="6EF561FF" w14:textId="77777777" w:rsidR="00C16C9F" w:rsidRPr="00E54B48" w:rsidRDefault="00C16C9F" w:rsidP="009321D1">
            <w:pPr>
              <w:ind w:firstLine="0"/>
              <w:jc w:val="left"/>
              <w:rPr>
                <w:bCs/>
                <w:lang w:val="ro-MD"/>
              </w:rPr>
            </w:pPr>
          </w:p>
        </w:tc>
        <w:tc>
          <w:tcPr>
            <w:tcW w:w="764" w:type="pct"/>
          </w:tcPr>
          <w:p w14:paraId="56BD70C4" w14:textId="77777777" w:rsidR="00C16C9F" w:rsidRPr="00E54B48" w:rsidRDefault="00C16C9F" w:rsidP="009321D1">
            <w:pPr>
              <w:ind w:firstLine="0"/>
              <w:jc w:val="left"/>
              <w:rPr>
                <w:lang w:val="ro-MD"/>
              </w:rPr>
            </w:pPr>
          </w:p>
        </w:tc>
      </w:tr>
      <w:tr w:rsidR="00C16C9F" w:rsidRPr="00207783" w14:paraId="6F9EC7B8" w14:textId="77777777" w:rsidTr="00772AD3">
        <w:trPr>
          <w:trHeight w:val="53"/>
        </w:trPr>
        <w:tc>
          <w:tcPr>
            <w:tcW w:w="2691" w:type="pct"/>
            <w:gridSpan w:val="2"/>
          </w:tcPr>
          <w:p w14:paraId="464205E8" w14:textId="77777777" w:rsidR="00C16C9F" w:rsidRPr="00E54B48" w:rsidRDefault="00C16C9F" w:rsidP="009321D1">
            <w:pPr>
              <w:ind w:firstLine="0"/>
              <w:jc w:val="left"/>
              <w:rPr>
                <w:bCs/>
                <w:lang w:val="ro-MD"/>
              </w:rPr>
            </w:pPr>
            <w:r w:rsidRPr="00E54B48">
              <w:rPr>
                <w:bCs/>
                <w:lang w:val="ro-MD"/>
              </w:rPr>
              <w:t>fauna</w:t>
            </w:r>
          </w:p>
        </w:tc>
        <w:tc>
          <w:tcPr>
            <w:tcW w:w="780" w:type="pct"/>
          </w:tcPr>
          <w:p w14:paraId="6DE97244" w14:textId="2B2A36E6" w:rsidR="00C16C9F" w:rsidRPr="00E54B48" w:rsidRDefault="00BA2C14" w:rsidP="009321D1">
            <w:pPr>
              <w:ind w:firstLine="0"/>
              <w:jc w:val="left"/>
              <w:rPr>
                <w:lang w:val="ro-MD"/>
              </w:rPr>
            </w:pPr>
            <w:r>
              <w:rPr>
                <w:lang w:val="ro-MD"/>
              </w:rPr>
              <w:t>0</w:t>
            </w:r>
          </w:p>
        </w:tc>
        <w:tc>
          <w:tcPr>
            <w:tcW w:w="765" w:type="pct"/>
          </w:tcPr>
          <w:p w14:paraId="2FD18481" w14:textId="77777777" w:rsidR="00C16C9F" w:rsidRPr="00E54B48" w:rsidRDefault="00C16C9F" w:rsidP="009321D1">
            <w:pPr>
              <w:ind w:firstLine="0"/>
              <w:jc w:val="left"/>
              <w:rPr>
                <w:bCs/>
                <w:lang w:val="ro-MD"/>
              </w:rPr>
            </w:pPr>
          </w:p>
        </w:tc>
        <w:tc>
          <w:tcPr>
            <w:tcW w:w="764" w:type="pct"/>
          </w:tcPr>
          <w:p w14:paraId="13D50EA0" w14:textId="77777777" w:rsidR="00C16C9F" w:rsidRPr="00E54B48" w:rsidRDefault="00C16C9F" w:rsidP="009321D1">
            <w:pPr>
              <w:ind w:firstLine="0"/>
              <w:jc w:val="left"/>
              <w:rPr>
                <w:lang w:val="ro-MD"/>
              </w:rPr>
            </w:pPr>
          </w:p>
        </w:tc>
      </w:tr>
      <w:tr w:rsidR="00C16C9F" w:rsidRPr="00207783" w14:paraId="68ECD2A1" w14:textId="77777777" w:rsidTr="00772AD3">
        <w:trPr>
          <w:trHeight w:val="66"/>
        </w:trPr>
        <w:tc>
          <w:tcPr>
            <w:tcW w:w="2691" w:type="pct"/>
            <w:gridSpan w:val="2"/>
          </w:tcPr>
          <w:p w14:paraId="3960D581" w14:textId="77777777" w:rsidR="00C16C9F" w:rsidRPr="00E54B48" w:rsidRDefault="00C16C9F" w:rsidP="009321D1">
            <w:pPr>
              <w:ind w:firstLine="0"/>
              <w:jc w:val="left"/>
              <w:rPr>
                <w:bCs/>
                <w:lang w:val="ro-MD"/>
              </w:rPr>
            </w:pPr>
            <w:r w:rsidRPr="00E54B48">
              <w:rPr>
                <w:bCs/>
                <w:lang w:val="ro-MD"/>
              </w:rPr>
              <w:t>peisajele naturale</w:t>
            </w:r>
          </w:p>
        </w:tc>
        <w:tc>
          <w:tcPr>
            <w:tcW w:w="780" w:type="pct"/>
          </w:tcPr>
          <w:p w14:paraId="52EB92D9" w14:textId="00E22B87" w:rsidR="00C16C9F" w:rsidRPr="00E54B48" w:rsidRDefault="00F506D1" w:rsidP="009321D1">
            <w:pPr>
              <w:ind w:firstLine="0"/>
              <w:jc w:val="left"/>
              <w:rPr>
                <w:lang w:val="ro-MD"/>
              </w:rPr>
            </w:pPr>
            <w:r>
              <w:rPr>
                <w:lang w:val="ro-MD"/>
              </w:rPr>
              <w:t>0</w:t>
            </w:r>
          </w:p>
        </w:tc>
        <w:tc>
          <w:tcPr>
            <w:tcW w:w="765" w:type="pct"/>
          </w:tcPr>
          <w:p w14:paraId="326D78A2" w14:textId="77777777" w:rsidR="00C16C9F" w:rsidRPr="00E54B48" w:rsidRDefault="00C16C9F" w:rsidP="009321D1">
            <w:pPr>
              <w:ind w:firstLine="0"/>
              <w:jc w:val="left"/>
              <w:rPr>
                <w:bCs/>
                <w:lang w:val="ro-MD"/>
              </w:rPr>
            </w:pPr>
          </w:p>
        </w:tc>
        <w:tc>
          <w:tcPr>
            <w:tcW w:w="764" w:type="pct"/>
          </w:tcPr>
          <w:p w14:paraId="2CB9A49C" w14:textId="77777777" w:rsidR="00C16C9F" w:rsidRPr="00E54B48" w:rsidRDefault="00C16C9F" w:rsidP="009321D1">
            <w:pPr>
              <w:ind w:firstLine="0"/>
              <w:jc w:val="left"/>
              <w:rPr>
                <w:lang w:val="ro-MD"/>
              </w:rPr>
            </w:pPr>
          </w:p>
        </w:tc>
      </w:tr>
      <w:tr w:rsidR="00C16C9F" w:rsidRPr="00207783" w14:paraId="1641B84A" w14:textId="77777777" w:rsidTr="00772AD3">
        <w:trPr>
          <w:trHeight w:val="165"/>
        </w:trPr>
        <w:tc>
          <w:tcPr>
            <w:tcW w:w="2691" w:type="pct"/>
            <w:gridSpan w:val="2"/>
          </w:tcPr>
          <w:p w14:paraId="60596226" w14:textId="77777777" w:rsidR="00C16C9F" w:rsidRPr="00E54B48" w:rsidRDefault="00C16C9F" w:rsidP="009321D1">
            <w:pPr>
              <w:ind w:firstLine="0"/>
              <w:jc w:val="left"/>
              <w:rPr>
                <w:bCs/>
                <w:lang w:val="ro-MD"/>
              </w:rPr>
            </w:pPr>
            <w:r w:rsidRPr="00E54B48">
              <w:rPr>
                <w:bCs/>
                <w:lang w:val="ro-MD"/>
              </w:rPr>
              <w:t>starea și resursele solului</w:t>
            </w:r>
          </w:p>
        </w:tc>
        <w:tc>
          <w:tcPr>
            <w:tcW w:w="780" w:type="pct"/>
          </w:tcPr>
          <w:p w14:paraId="601728B7" w14:textId="1EB0D4D8" w:rsidR="00C16C9F" w:rsidRPr="00E54B48" w:rsidRDefault="00F506D1" w:rsidP="009321D1">
            <w:pPr>
              <w:ind w:firstLine="0"/>
              <w:jc w:val="left"/>
              <w:rPr>
                <w:lang w:val="ro-MD"/>
              </w:rPr>
            </w:pPr>
            <w:r>
              <w:rPr>
                <w:lang w:val="ro-MD"/>
              </w:rPr>
              <w:t>0</w:t>
            </w:r>
          </w:p>
        </w:tc>
        <w:tc>
          <w:tcPr>
            <w:tcW w:w="765" w:type="pct"/>
          </w:tcPr>
          <w:p w14:paraId="7381D74F" w14:textId="77777777" w:rsidR="00C16C9F" w:rsidRPr="00E54B48" w:rsidRDefault="00C16C9F" w:rsidP="009321D1">
            <w:pPr>
              <w:ind w:firstLine="0"/>
              <w:jc w:val="left"/>
              <w:rPr>
                <w:bCs/>
                <w:lang w:val="ro-MD"/>
              </w:rPr>
            </w:pPr>
          </w:p>
        </w:tc>
        <w:tc>
          <w:tcPr>
            <w:tcW w:w="764" w:type="pct"/>
          </w:tcPr>
          <w:p w14:paraId="572DE1F1" w14:textId="77777777" w:rsidR="00C16C9F" w:rsidRPr="00E54B48" w:rsidRDefault="00C16C9F" w:rsidP="009321D1">
            <w:pPr>
              <w:ind w:firstLine="0"/>
              <w:jc w:val="left"/>
              <w:rPr>
                <w:lang w:val="ro-MD"/>
              </w:rPr>
            </w:pPr>
          </w:p>
        </w:tc>
      </w:tr>
      <w:tr w:rsidR="00C16C9F" w:rsidRPr="00207783" w14:paraId="5BAD669B" w14:textId="77777777" w:rsidTr="00772AD3">
        <w:trPr>
          <w:trHeight w:val="53"/>
        </w:trPr>
        <w:tc>
          <w:tcPr>
            <w:tcW w:w="2691" w:type="pct"/>
            <w:gridSpan w:val="2"/>
          </w:tcPr>
          <w:p w14:paraId="7247AB46" w14:textId="77777777" w:rsidR="00C16C9F" w:rsidRPr="00E54B48" w:rsidRDefault="00C16C9F" w:rsidP="009321D1">
            <w:pPr>
              <w:ind w:firstLine="0"/>
              <w:jc w:val="left"/>
              <w:rPr>
                <w:bCs/>
                <w:lang w:val="ro-MD"/>
              </w:rPr>
            </w:pPr>
            <w:r w:rsidRPr="00E54B48">
              <w:rPr>
                <w:bCs/>
                <w:lang w:val="ro-MD"/>
              </w:rPr>
              <w:t>producerea și reciclarea deșeurilor</w:t>
            </w:r>
          </w:p>
        </w:tc>
        <w:tc>
          <w:tcPr>
            <w:tcW w:w="780" w:type="pct"/>
          </w:tcPr>
          <w:p w14:paraId="428285B4" w14:textId="7FAC9156" w:rsidR="00C16C9F" w:rsidRPr="00E54B48" w:rsidRDefault="00F506D1" w:rsidP="009321D1">
            <w:pPr>
              <w:ind w:firstLine="0"/>
              <w:jc w:val="left"/>
              <w:rPr>
                <w:lang w:val="ro-MD"/>
              </w:rPr>
            </w:pPr>
            <w:r>
              <w:rPr>
                <w:lang w:val="ro-MD"/>
              </w:rPr>
              <w:t>0</w:t>
            </w:r>
          </w:p>
        </w:tc>
        <w:tc>
          <w:tcPr>
            <w:tcW w:w="765" w:type="pct"/>
          </w:tcPr>
          <w:p w14:paraId="24502C2D" w14:textId="77777777" w:rsidR="00C16C9F" w:rsidRPr="00E54B48" w:rsidRDefault="00C16C9F" w:rsidP="009321D1">
            <w:pPr>
              <w:ind w:firstLine="0"/>
              <w:jc w:val="left"/>
              <w:rPr>
                <w:bCs/>
                <w:lang w:val="ro-MD"/>
              </w:rPr>
            </w:pPr>
          </w:p>
        </w:tc>
        <w:tc>
          <w:tcPr>
            <w:tcW w:w="764" w:type="pct"/>
          </w:tcPr>
          <w:p w14:paraId="32BB6F66" w14:textId="77777777" w:rsidR="00C16C9F" w:rsidRPr="00E54B48" w:rsidRDefault="00C16C9F" w:rsidP="009321D1">
            <w:pPr>
              <w:ind w:firstLine="0"/>
              <w:jc w:val="left"/>
              <w:rPr>
                <w:lang w:val="ro-MD"/>
              </w:rPr>
            </w:pPr>
          </w:p>
        </w:tc>
      </w:tr>
      <w:tr w:rsidR="00C16C9F" w:rsidRPr="00207783" w14:paraId="34AEF52C" w14:textId="77777777" w:rsidTr="00772AD3">
        <w:trPr>
          <w:trHeight w:val="102"/>
        </w:trPr>
        <w:tc>
          <w:tcPr>
            <w:tcW w:w="2691" w:type="pct"/>
            <w:gridSpan w:val="2"/>
          </w:tcPr>
          <w:p w14:paraId="26463E3F" w14:textId="77777777" w:rsidR="00C16C9F" w:rsidRPr="00E54B48" w:rsidRDefault="00C16C9F" w:rsidP="009321D1">
            <w:pPr>
              <w:ind w:firstLine="0"/>
              <w:jc w:val="left"/>
              <w:rPr>
                <w:bCs/>
                <w:lang w:val="ro-MD"/>
              </w:rPr>
            </w:pPr>
            <w:r w:rsidRPr="00E54B48">
              <w:rPr>
                <w:bCs/>
                <w:lang w:val="ro-MD"/>
              </w:rPr>
              <w:t>utilizarea eficientă a resurselor regenerabile și neregenerabile</w:t>
            </w:r>
          </w:p>
        </w:tc>
        <w:tc>
          <w:tcPr>
            <w:tcW w:w="780" w:type="pct"/>
          </w:tcPr>
          <w:p w14:paraId="6FCECCFA" w14:textId="1A509265" w:rsidR="00C16C9F" w:rsidRPr="00E54B48" w:rsidRDefault="00F506D1" w:rsidP="009321D1">
            <w:pPr>
              <w:ind w:firstLine="0"/>
              <w:jc w:val="left"/>
              <w:rPr>
                <w:lang w:val="ro-MD"/>
              </w:rPr>
            </w:pPr>
            <w:r>
              <w:rPr>
                <w:lang w:val="ro-MD"/>
              </w:rPr>
              <w:t>0</w:t>
            </w:r>
          </w:p>
        </w:tc>
        <w:tc>
          <w:tcPr>
            <w:tcW w:w="765" w:type="pct"/>
          </w:tcPr>
          <w:p w14:paraId="6B9A87B5" w14:textId="77777777" w:rsidR="00C16C9F" w:rsidRPr="00E54B48" w:rsidRDefault="00C16C9F" w:rsidP="009321D1">
            <w:pPr>
              <w:ind w:firstLine="0"/>
              <w:jc w:val="left"/>
              <w:rPr>
                <w:bCs/>
                <w:lang w:val="ro-MD"/>
              </w:rPr>
            </w:pPr>
          </w:p>
        </w:tc>
        <w:tc>
          <w:tcPr>
            <w:tcW w:w="764" w:type="pct"/>
          </w:tcPr>
          <w:p w14:paraId="22551262" w14:textId="77777777" w:rsidR="00C16C9F" w:rsidRPr="00E54B48" w:rsidRDefault="00C16C9F" w:rsidP="009321D1">
            <w:pPr>
              <w:ind w:firstLine="0"/>
              <w:jc w:val="left"/>
              <w:rPr>
                <w:lang w:val="ro-MD"/>
              </w:rPr>
            </w:pPr>
          </w:p>
        </w:tc>
      </w:tr>
      <w:tr w:rsidR="00C16C9F" w:rsidRPr="00207783" w14:paraId="5C245A6A" w14:textId="77777777" w:rsidTr="00772AD3">
        <w:trPr>
          <w:trHeight w:val="53"/>
        </w:trPr>
        <w:tc>
          <w:tcPr>
            <w:tcW w:w="2691" w:type="pct"/>
            <w:gridSpan w:val="2"/>
          </w:tcPr>
          <w:p w14:paraId="37005BF9" w14:textId="77777777" w:rsidR="00C16C9F" w:rsidRPr="00E54B48" w:rsidRDefault="00C16C9F" w:rsidP="009321D1">
            <w:pPr>
              <w:ind w:firstLine="0"/>
              <w:jc w:val="left"/>
              <w:rPr>
                <w:bCs/>
                <w:lang w:val="ro-MD"/>
              </w:rPr>
            </w:pPr>
            <w:r w:rsidRPr="00E54B48">
              <w:rPr>
                <w:bCs/>
                <w:lang w:val="ro-MD"/>
              </w:rPr>
              <w:t>consumul și producția durabilă</w:t>
            </w:r>
          </w:p>
        </w:tc>
        <w:tc>
          <w:tcPr>
            <w:tcW w:w="780" w:type="pct"/>
          </w:tcPr>
          <w:p w14:paraId="23D521C5" w14:textId="2EA8D99B" w:rsidR="00C16C9F" w:rsidRPr="00E54B48" w:rsidRDefault="00F506D1" w:rsidP="009321D1">
            <w:pPr>
              <w:ind w:firstLine="0"/>
              <w:jc w:val="left"/>
              <w:rPr>
                <w:lang w:val="ro-MD"/>
              </w:rPr>
            </w:pPr>
            <w:r>
              <w:rPr>
                <w:lang w:val="ro-MD"/>
              </w:rPr>
              <w:t>+1</w:t>
            </w:r>
          </w:p>
        </w:tc>
        <w:tc>
          <w:tcPr>
            <w:tcW w:w="765" w:type="pct"/>
          </w:tcPr>
          <w:p w14:paraId="427D52E4" w14:textId="77777777" w:rsidR="00C16C9F" w:rsidRPr="00E54B48" w:rsidRDefault="00C16C9F" w:rsidP="009321D1">
            <w:pPr>
              <w:ind w:firstLine="0"/>
              <w:jc w:val="left"/>
              <w:rPr>
                <w:bCs/>
                <w:lang w:val="ro-MD"/>
              </w:rPr>
            </w:pPr>
          </w:p>
        </w:tc>
        <w:tc>
          <w:tcPr>
            <w:tcW w:w="764" w:type="pct"/>
          </w:tcPr>
          <w:p w14:paraId="5CE1C3E0" w14:textId="77777777" w:rsidR="00C16C9F" w:rsidRPr="00E54B48" w:rsidRDefault="00C16C9F" w:rsidP="009321D1">
            <w:pPr>
              <w:ind w:firstLine="0"/>
              <w:jc w:val="left"/>
              <w:rPr>
                <w:lang w:val="ro-MD"/>
              </w:rPr>
            </w:pPr>
          </w:p>
        </w:tc>
      </w:tr>
      <w:tr w:rsidR="00C16C9F" w:rsidRPr="00207783" w14:paraId="1CF610B5" w14:textId="77777777" w:rsidTr="00772AD3">
        <w:trPr>
          <w:trHeight w:val="111"/>
        </w:trPr>
        <w:tc>
          <w:tcPr>
            <w:tcW w:w="2691" w:type="pct"/>
            <w:gridSpan w:val="2"/>
          </w:tcPr>
          <w:p w14:paraId="79AD7FE0" w14:textId="77777777" w:rsidR="00C16C9F" w:rsidRPr="00E54B48" w:rsidRDefault="00C16C9F" w:rsidP="009321D1">
            <w:pPr>
              <w:ind w:firstLine="0"/>
              <w:jc w:val="left"/>
              <w:rPr>
                <w:bCs/>
                <w:lang w:val="ro-MD"/>
              </w:rPr>
            </w:pPr>
            <w:r w:rsidRPr="00E54B48">
              <w:rPr>
                <w:bCs/>
                <w:lang w:val="ro-MD"/>
              </w:rPr>
              <w:t>intensitatea energetică</w:t>
            </w:r>
          </w:p>
        </w:tc>
        <w:tc>
          <w:tcPr>
            <w:tcW w:w="780" w:type="pct"/>
          </w:tcPr>
          <w:p w14:paraId="100FBFBF" w14:textId="24A63ABE" w:rsidR="00C16C9F" w:rsidRPr="00E54B48" w:rsidRDefault="00A821B0" w:rsidP="009321D1">
            <w:pPr>
              <w:ind w:firstLine="0"/>
              <w:jc w:val="left"/>
              <w:rPr>
                <w:lang w:val="ro-MD"/>
              </w:rPr>
            </w:pPr>
            <w:r>
              <w:rPr>
                <w:lang w:val="ro-MD"/>
              </w:rPr>
              <w:t>0</w:t>
            </w:r>
          </w:p>
        </w:tc>
        <w:tc>
          <w:tcPr>
            <w:tcW w:w="765" w:type="pct"/>
          </w:tcPr>
          <w:p w14:paraId="473BB02B" w14:textId="77777777" w:rsidR="00C16C9F" w:rsidRPr="00E54B48" w:rsidRDefault="00C16C9F" w:rsidP="009321D1">
            <w:pPr>
              <w:ind w:firstLine="0"/>
              <w:jc w:val="left"/>
              <w:rPr>
                <w:bCs/>
                <w:lang w:val="ro-MD"/>
              </w:rPr>
            </w:pPr>
          </w:p>
        </w:tc>
        <w:tc>
          <w:tcPr>
            <w:tcW w:w="764" w:type="pct"/>
          </w:tcPr>
          <w:p w14:paraId="57E23AC9" w14:textId="77777777" w:rsidR="00C16C9F" w:rsidRPr="00E54B48" w:rsidRDefault="00C16C9F" w:rsidP="009321D1">
            <w:pPr>
              <w:ind w:firstLine="0"/>
              <w:jc w:val="left"/>
              <w:rPr>
                <w:lang w:val="ro-MD"/>
              </w:rPr>
            </w:pPr>
          </w:p>
        </w:tc>
      </w:tr>
      <w:tr w:rsidR="00C16C9F" w:rsidRPr="00207783" w14:paraId="29CDF561" w14:textId="77777777" w:rsidTr="00772AD3">
        <w:trPr>
          <w:trHeight w:val="129"/>
        </w:trPr>
        <w:tc>
          <w:tcPr>
            <w:tcW w:w="2691" w:type="pct"/>
            <w:gridSpan w:val="2"/>
          </w:tcPr>
          <w:p w14:paraId="26EBA182" w14:textId="77777777" w:rsidR="00C16C9F" w:rsidRPr="00E54B48" w:rsidRDefault="00C16C9F" w:rsidP="009321D1">
            <w:pPr>
              <w:ind w:firstLine="0"/>
              <w:jc w:val="left"/>
              <w:rPr>
                <w:bCs/>
                <w:lang w:val="ro-MD"/>
              </w:rPr>
            </w:pPr>
            <w:r w:rsidRPr="00E54B48">
              <w:rPr>
                <w:bCs/>
                <w:lang w:val="ro-MD"/>
              </w:rPr>
              <w:t>eficiența și performanța energetică</w:t>
            </w:r>
          </w:p>
        </w:tc>
        <w:tc>
          <w:tcPr>
            <w:tcW w:w="780" w:type="pct"/>
          </w:tcPr>
          <w:p w14:paraId="389FC315" w14:textId="18284997" w:rsidR="00C16C9F" w:rsidRPr="00E54B48" w:rsidRDefault="00A821B0" w:rsidP="009321D1">
            <w:pPr>
              <w:ind w:firstLine="0"/>
              <w:jc w:val="left"/>
              <w:rPr>
                <w:lang w:val="ro-MD"/>
              </w:rPr>
            </w:pPr>
            <w:r>
              <w:rPr>
                <w:lang w:val="ro-MD"/>
              </w:rPr>
              <w:t>+1</w:t>
            </w:r>
          </w:p>
        </w:tc>
        <w:tc>
          <w:tcPr>
            <w:tcW w:w="765" w:type="pct"/>
          </w:tcPr>
          <w:p w14:paraId="640BC1B6" w14:textId="77777777" w:rsidR="00C16C9F" w:rsidRPr="00E54B48" w:rsidRDefault="00C16C9F" w:rsidP="009321D1">
            <w:pPr>
              <w:ind w:firstLine="0"/>
              <w:jc w:val="left"/>
              <w:rPr>
                <w:bCs/>
                <w:lang w:val="ro-MD"/>
              </w:rPr>
            </w:pPr>
          </w:p>
        </w:tc>
        <w:tc>
          <w:tcPr>
            <w:tcW w:w="764" w:type="pct"/>
          </w:tcPr>
          <w:p w14:paraId="32134F17" w14:textId="77777777" w:rsidR="00C16C9F" w:rsidRPr="00E54B48" w:rsidRDefault="00C16C9F" w:rsidP="009321D1">
            <w:pPr>
              <w:ind w:firstLine="0"/>
              <w:jc w:val="left"/>
              <w:rPr>
                <w:lang w:val="ro-MD"/>
              </w:rPr>
            </w:pPr>
          </w:p>
        </w:tc>
      </w:tr>
      <w:tr w:rsidR="00C16C9F" w:rsidRPr="00207783" w14:paraId="7221B18C" w14:textId="77777777" w:rsidTr="00772AD3">
        <w:trPr>
          <w:trHeight w:val="192"/>
        </w:trPr>
        <w:tc>
          <w:tcPr>
            <w:tcW w:w="2691" w:type="pct"/>
            <w:gridSpan w:val="2"/>
          </w:tcPr>
          <w:p w14:paraId="5D4B63C7" w14:textId="77777777" w:rsidR="00C16C9F" w:rsidRPr="00E54B48" w:rsidRDefault="00C16C9F" w:rsidP="009321D1">
            <w:pPr>
              <w:ind w:firstLine="0"/>
              <w:jc w:val="left"/>
              <w:rPr>
                <w:bCs/>
                <w:lang w:val="ro-MD"/>
              </w:rPr>
            </w:pPr>
            <w:r w:rsidRPr="00E54B48">
              <w:rPr>
                <w:bCs/>
                <w:lang w:val="ro-MD"/>
              </w:rPr>
              <w:t>bunăstarea animalelor</w:t>
            </w:r>
          </w:p>
        </w:tc>
        <w:tc>
          <w:tcPr>
            <w:tcW w:w="780" w:type="pct"/>
          </w:tcPr>
          <w:p w14:paraId="303FA575" w14:textId="1CDFB387" w:rsidR="00C16C9F" w:rsidRPr="00E54B48" w:rsidRDefault="00C623FD" w:rsidP="009321D1">
            <w:pPr>
              <w:ind w:firstLine="0"/>
              <w:jc w:val="left"/>
              <w:rPr>
                <w:lang w:val="ro-MD"/>
              </w:rPr>
            </w:pPr>
            <w:r>
              <w:rPr>
                <w:lang w:val="ro-MD"/>
              </w:rPr>
              <w:t>0</w:t>
            </w:r>
          </w:p>
        </w:tc>
        <w:tc>
          <w:tcPr>
            <w:tcW w:w="765" w:type="pct"/>
          </w:tcPr>
          <w:p w14:paraId="14BB3D04" w14:textId="77777777" w:rsidR="00C16C9F" w:rsidRPr="00E54B48" w:rsidRDefault="00C16C9F" w:rsidP="009321D1">
            <w:pPr>
              <w:ind w:firstLine="0"/>
              <w:jc w:val="left"/>
              <w:rPr>
                <w:bCs/>
                <w:lang w:val="ro-MD"/>
              </w:rPr>
            </w:pPr>
          </w:p>
        </w:tc>
        <w:tc>
          <w:tcPr>
            <w:tcW w:w="764" w:type="pct"/>
          </w:tcPr>
          <w:p w14:paraId="6E208F2D" w14:textId="77777777" w:rsidR="00C16C9F" w:rsidRPr="00E54B48" w:rsidRDefault="00C16C9F" w:rsidP="009321D1">
            <w:pPr>
              <w:ind w:firstLine="0"/>
              <w:jc w:val="left"/>
              <w:rPr>
                <w:lang w:val="ro-MD"/>
              </w:rPr>
            </w:pPr>
          </w:p>
        </w:tc>
      </w:tr>
      <w:tr w:rsidR="00C16C9F" w:rsidRPr="00207783" w14:paraId="49B4081C" w14:textId="77777777" w:rsidTr="00772AD3">
        <w:tc>
          <w:tcPr>
            <w:tcW w:w="2691" w:type="pct"/>
            <w:gridSpan w:val="2"/>
          </w:tcPr>
          <w:p w14:paraId="11A53FF9" w14:textId="77777777" w:rsidR="00C16C9F" w:rsidRPr="00E54B48" w:rsidRDefault="00C16C9F" w:rsidP="009321D1">
            <w:pPr>
              <w:ind w:firstLine="0"/>
              <w:jc w:val="left"/>
              <w:rPr>
                <w:bCs/>
                <w:lang w:val="ro-MD"/>
              </w:rPr>
            </w:pPr>
            <w:r w:rsidRPr="00E54B48">
              <w:rPr>
                <w:bCs/>
                <w:lang w:val="ro-MD"/>
              </w:rPr>
              <w:t>riscuri majore pentru mediu (incendii, explozii, accidente etc.)</w:t>
            </w:r>
          </w:p>
        </w:tc>
        <w:tc>
          <w:tcPr>
            <w:tcW w:w="780" w:type="pct"/>
          </w:tcPr>
          <w:p w14:paraId="0B93ED88" w14:textId="1F01A33A" w:rsidR="00C16C9F" w:rsidRPr="00E54B48" w:rsidRDefault="00C623FD" w:rsidP="009321D1">
            <w:pPr>
              <w:ind w:firstLine="0"/>
              <w:jc w:val="left"/>
              <w:rPr>
                <w:lang w:val="ro-MD"/>
              </w:rPr>
            </w:pPr>
            <w:r>
              <w:rPr>
                <w:lang w:val="ro-MD"/>
              </w:rPr>
              <w:t>0</w:t>
            </w:r>
          </w:p>
        </w:tc>
        <w:tc>
          <w:tcPr>
            <w:tcW w:w="765" w:type="pct"/>
          </w:tcPr>
          <w:p w14:paraId="450C251E" w14:textId="77777777" w:rsidR="00C16C9F" w:rsidRPr="00E54B48" w:rsidRDefault="00C16C9F" w:rsidP="009321D1">
            <w:pPr>
              <w:ind w:firstLine="0"/>
              <w:jc w:val="left"/>
              <w:rPr>
                <w:bCs/>
                <w:lang w:val="ro-MD"/>
              </w:rPr>
            </w:pPr>
          </w:p>
        </w:tc>
        <w:tc>
          <w:tcPr>
            <w:tcW w:w="764" w:type="pct"/>
          </w:tcPr>
          <w:p w14:paraId="7DF8B7E7" w14:textId="77777777" w:rsidR="00C16C9F" w:rsidRPr="00E54B48" w:rsidRDefault="00C16C9F" w:rsidP="009321D1">
            <w:pPr>
              <w:ind w:firstLine="0"/>
              <w:jc w:val="left"/>
              <w:rPr>
                <w:lang w:val="ro-MD"/>
              </w:rPr>
            </w:pPr>
          </w:p>
        </w:tc>
      </w:tr>
      <w:tr w:rsidR="00C16C9F" w:rsidRPr="00207783" w14:paraId="1AEEA6F2" w14:textId="77777777" w:rsidTr="00772AD3">
        <w:tc>
          <w:tcPr>
            <w:tcW w:w="2691" w:type="pct"/>
            <w:gridSpan w:val="2"/>
          </w:tcPr>
          <w:p w14:paraId="1AA8094B" w14:textId="77777777" w:rsidR="00C16C9F" w:rsidRPr="00E54B48" w:rsidRDefault="00C16C9F" w:rsidP="009321D1">
            <w:pPr>
              <w:ind w:firstLine="0"/>
              <w:jc w:val="left"/>
              <w:rPr>
                <w:bCs/>
                <w:lang w:val="ro-MD"/>
              </w:rPr>
            </w:pPr>
            <w:r w:rsidRPr="00E54B48">
              <w:rPr>
                <w:bCs/>
                <w:lang w:val="ro-MD"/>
              </w:rPr>
              <w:t>utilizarea terenurilor</w:t>
            </w:r>
          </w:p>
        </w:tc>
        <w:tc>
          <w:tcPr>
            <w:tcW w:w="780" w:type="pct"/>
          </w:tcPr>
          <w:p w14:paraId="3B794409" w14:textId="4D891544" w:rsidR="00C16C9F" w:rsidRPr="00E54B48" w:rsidRDefault="00C623FD" w:rsidP="009321D1">
            <w:pPr>
              <w:ind w:firstLine="0"/>
              <w:jc w:val="left"/>
              <w:rPr>
                <w:lang w:val="ro-MD"/>
              </w:rPr>
            </w:pPr>
            <w:r>
              <w:rPr>
                <w:lang w:val="ro-MD"/>
              </w:rPr>
              <w:t>0</w:t>
            </w:r>
          </w:p>
        </w:tc>
        <w:tc>
          <w:tcPr>
            <w:tcW w:w="765" w:type="pct"/>
          </w:tcPr>
          <w:p w14:paraId="3633D32E" w14:textId="77777777" w:rsidR="00C16C9F" w:rsidRPr="00E54B48" w:rsidRDefault="00C16C9F" w:rsidP="009321D1">
            <w:pPr>
              <w:ind w:firstLine="0"/>
              <w:jc w:val="left"/>
              <w:rPr>
                <w:bCs/>
                <w:lang w:val="ro-MD"/>
              </w:rPr>
            </w:pPr>
          </w:p>
        </w:tc>
        <w:tc>
          <w:tcPr>
            <w:tcW w:w="764" w:type="pct"/>
          </w:tcPr>
          <w:p w14:paraId="7D39513E" w14:textId="77777777" w:rsidR="00C16C9F" w:rsidRPr="00E54B48" w:rsidRDefault="00C16C9F" w:rsidP="009321D1">
            <w:pPr>
              <w:ind w:firstLine="0"/>
              <w:jc w:val="left"/>
              <w:rPr>
                <w:lang w:val="ro-MD"/>
              </w:rPr>
            </w:pPr>
          </w:p>
        </w:tc>
      </w:tr>
      <w:tr w:rsidR="00C16C9F" w:rsidRPr="00207783" w14:paraId="62DDD065" w14:textId="77777777" w:rsidTr="00772AD3">
        <w:tc>
          <w:tcPr>
            <w:tcW w:w="2691" w:type="pct"/>
            <w:gridSpan w:val="2"/>
          </w:tcPr>
          <w:p w14:paraId="50874949" w14:textId="77777777" w:rsidR="00C16C9F" w:rsidRPr="00E54B48" w:rsidRDefault="00C16C9F" w:rsidP="009321D1">
            <w:pPr>
              <w:ind w:firstLine="0"/>
              <w:jc w:val="left"/>
              <w:rPr>
                <w:bCs/>
                <w:lang w:val="ro-MD"/>
              </w:rPr>
            </w:pPr>
            <w:r w:rsidRPr="00E54B48">
              <w:rPr>
                <w:bCs/>
                <w:lang w:val="ro-MD"/>
              </w:rPr>
              <w:t>alte aspecte de mediu</w:t>
            </w:r>
          </w:p>
        </w:tc>
        <w:tc>
          <w:tcPr>
            <w:tcW w:w="780" w:type="pct"/>
          </w:tcPr>
          <w:p w14:paraId="71135846" w14:textId="5BAB1673" w:rsidR="00C16C9F" w:rsidRPr="00E54B48" w:rsidRDefault="00C623FD" w:rsidP="009321D1">
            <w:pPr>
              <w:ind w:firstLine="0"/>
              <w:jc w:val="left"/>
              <w:rPr>
                <w:lang w:val="ro-MD"/>
              </w:rPr>
            </w:pPr>
            <w:r>
              <w:rPr>
                <w:lang w:val="ro-MD"/>
              </w:rPr>
              <w:t>0</w:t>
            </w:r>
          </w:p>
        </w:tc>
        <w:tc>
          <w:tcPr>
            <w:tcW w:w="765" w:type="pct"/>
          </w:tcPr>
          <w:p w14:paraId="0E2E5EB5" w14:textId="77777777" w:rsidR="00C16C9F" w:rsidRPr="00E54B48" w:rsidRDefault="00C16C9F" w:rsidP="009321D1">
            <w:pPr>
              <w:ind w:firstLine="0"/>
              <w:jc w:val="left"/>
              <w:rPr>
                <w:bCs/>
                <w:lang w:val="ro-MD"/>
              </w:rPr>
            </w:pPr>
          </w:p>
        </w:tc>
        <w:tc>
          <w:tcPr>
            <w:tcW w:w="764" w:type="pct"/>
          </w:tcPr>
          <w:p w14:paraId="23F4012D" w14:textId="77777777" w:rsidR="00C16C9F" w:rsidRPr="00E54B48" w:rsidRDefault="00C16C9F" w:rsidP="009321D1">
            <w:pPr>
              <w:ind w:firstLine="0"/>
              <w:jc w:val="left"/>
              <w:rPr>
                <w:lang w:val="ro-MD"/>
              </w:rPr>
            </w:pPr>
          </w:p>
        </w:tc>
      </w:tr>
      <w:tr w:rsidR="00041F9F" w:rsidRPr="00207783" w14:paraId="2F42B221" w14:textId="77777777" w:rsidTr="00772AD3">
        <w:tc>
          <w:tcPr>
            <w:tcW w:w="5000" w:type="pct"/>
            <w:gridSpan w:val="5"/>
          </w:tcPr>
          <w:p w14:paraId="31E1673F" w14:textId="1290ADAA" w:rsidR="00041F9F" w:rsidRPr="00480D86" w:rsidRDefault="00041F9F" w:rsidP="00B43058">
            <w:pPr>
              <w:spacing w:before="120" w:after="120"/>
              <w:ind w:firstLine="0"/>
              <w:rPr>
                <w:sz w:val="22"/>
                <w:szCs w:val="22"/>
                <w:lang w:val="ro-MD"/>
              </w:rPr>
            </w:pPr>
            <w:r w:rsidRPr="00480D86">
              <w:rPr>
                <w:i/>
                <w:sz w:val="22"/>
                <w:szCs w:val="22"/>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5587E">
              <w:rPr>
                <w:i/>
                <w:sz w:val="22"/>
                <w:szCs w:val="22"/>
                <w:vertAlign w:val="superscript"/>
                <w:lang w:val="ro-MD"/>
              </w:rPr>
              <w:t>1</w:t>
            </w:r>
            <w:r w:rsidRPr="00480D86">
              <w:rPr>
                <w:i/>
                <w:sz w:val="22"/>
                <w:szCs w:val="22"/>
                <w:lang w:val="ro-MD"/>
              </w:rPr>
              <w:t>) și, după caz, b</w:t>
            </w:r>
            <w:r w:rsidRPr="0025587E">
              <w:rPr>
                <w:i/>
                <w:sz w:val="22"/>
                <w:szCs w:val="22"/>
                <w:vertAlign w:val="superscript"/>
                <w:lang w:val="ro-MD"/>
              </w:rPr>
              <w:t>2</w:t>
            </w:r>
            <w:r w:rsidRPr="00480D86">
              <w:rPr>
                <w:i/>
                <w:sz w:val="22"/>
                <w:szCs w:val="22"/>
                <w:lang w:val="ro-MD"/>
              </w:rPr>
              <w:t>), privind analiza impacturilor opțiunilor.</w:t>
            </w:r>
          </w:p>
        </w:tc>
      </w:tr>
      <w:tr w:rsidR="00115957" w:rsidRPr="00207783" w14:paraId="013AF0C4" w14:textId="77777777" w:rsidTr="00F90198">
        <w:trPr>
          <w:trHeight w:val="454"/>
        </w:trPr>
        <w:tc>
          <w:tcPr>
            <w:tcW w:w="5000" w:type="pct"/>
            <w:gridSpan w:val="5"/>
            <w:vAlign w:val="center"/>
          </w:tcPr>
          <w:p w14:paraId="6A6D614F" w14:textId="5BFEBB71" w:rsidR="00115957" w:rsidRPr="00821FA2" w:rsidRDefault="00115957" w:rsidP="00F90198">
            <w:pPr>
              <w:ind w:firstLine="0"/>
              <w:jc w:val="right"/>
              <w:rPr>
                <w:i/>
                <w:sz w:val="24"/>
                <w:szCs w:val="24"/>
                <w:lang w:val="ro-MD"/>
              </w:rPr>
            </w:pPr>
            <w:r w:rsidRPr="00821FA2">
              <w:rPr>
                <w:i/>
                <w:sz w:val="24"/>
                <w:szCs w:val="24"/>
                <w:lang w:val="ro-MD"/>
              </w:rPr>
              <w:t>Anexe</w:t>
            </w:r>
          </w:p>
        </w:tc>
      </w:tr>
      <w:tr w:rsidR="00115957" w:rsidRPr="00207783" w14:paraId="3477337B" w14:textId="77777777" w:rsidTr="00F61F59">
        <w:trPr>
          <w:trHeight w:val="567"/>
        </w:trPr>
        <w:tc>
          <w:tcPr>
            <w:tcW w:w="5000" w:type="pct"/>
            <w:gridSpan w:val="5"/>
          </w:tcPr>
          <w:p w14:paraId="4041B986" w14:textId="41BCDABC" w:rsidR="00F90198" w:rsidRPr="00772AD3" w:rsidRDefault="00772AD3" w:rsidP="00E06E08">
            <w:pPr>
              <w:spacing w:line="276" w:lineRule="auto"/>
              <w:ind w:firstLine="0"/>
              <w:rPr>
                <w:sz w:val="24"/>
                <w:szCs w:val="24"/>
                <w:lang w:val="ro-MD"/>
              </w:rPr>
            </w:pPr>
            <w:r w:rsidRPr="00772AD3">
              <w:rPr>
                <w:sz w:val="24"/>
                <w:szCs w:val="24"/>
                <w:lang w:val="ro-MD"/>
              </w:rPr>
              <w:t>Proiectul preliminar de act normativ</w:t>
            </w:r>
          </w:p>
        </w:tc>
      </w:tr>
    </w:tbl>
    <w:p w14:paraId="239EB0A5" w14:textId="77777777" w:rsidR="00F227BF" w:rsidRPr="00207783" w:rsidRDefault="00F227BF" w:rsidP="00F227BF">
      <w:pPr>
        <w:ind w:firstLine="0"/>
        <w:rPr>
          <w:lang w:val="ro-MD"/>
        </w:rPr>
      </w:pPr>
    </w:p>
    <w:sectPr w:rsidR="00F227BF" w:rsidRPr="00207783" w:rsidSect="00BE722D">
      <w:footerReference w:type="default" r:id="rId11"/>
      <w:pgSz w:w="11906" w:h="16838" w:code="9"/>
      <w:pgMar w:top="851" w:right="567" w:bottom="624" w:left="1134" w:header="57" w:footer="5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8E95B" w14:textId="77777777" w:rsidR="0063053E" w:rsidRDefault="0063053E" w:rsidP="001322F7">
      <w:r>
        <w:separator/>
      </w:r>
    </w:p>
  </w:endnote>
  <w:endnote w:type="continuationSeparator" w:id="0">
    <w:p w14:paraId="5B14D75A" w14:textId="77777777" w:rsidR="0063053E" w:rsidRDefault="0063053E" w:rsidP="0013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351300"/>
      <w:docPartObj>
        <w:docPartGallery w:val="Page Numbers (Bottom of Page)"/>
        <w:docPartUnique/>
      </w:docPartObj>
    </w:sdtPr>
    <w:sdtEndPr>
      <w:rPr>
        <w:noProof/>
      </w:rPr>
    </w:sdtEndPr>
    <w:sdtContent>
      <w:p w14:paraId="1EECD6D4" w14:textId="69BF3E73" w:rsidR="00582B8E" w:rsidRDefault="00582B8E">
        <w:pPr>
          <w:pStyle w:val="Footer"/>
          <w:jc w:val="center"/>
        </w:pPr>
        <w:r>
          <w:fldChar w:fldCharType="begin"/>
        </w:r>
        <w:r>
          <w:instrText xml:space="preserve"> PAGE   \* MERGEFORMAT </w:instrText>
        </w:r>
        <w:r>
          <w:fldChar w:fldCharType="separate"/>
        </w:r>
        <w:r w:rsidR="008907C4">
          <w:rPr>
            <w:noProof/>
          </w:rPr>
          <w:t>17</w:t>
        </w:r>
        <w:r>
          <w:rPr>
            <w:noProof/>
          </w:rPr>
          <w:fldChar w:fldCharType="end"/>
        </w:r>
      </w:p>
    </w:sdtContent>
  </w:sdt>
  <w:p w14:paraId="7577B104" w14:textId="77777777" w:rsidR="00582B8E" w:rsidRDefault="00582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0B3BB" w14:textId="77777777" w:rsidR="0063053E" w:rsidRDefault="0063053E" w:rsidP="001322F7">
      <w:r>
        <w:separator/>
      </w:r>
    </w:p>
  </w:footnote>
  <w:footnote w:type="continuationSeparator" w:id="0">
    <w:p w14:paraId="130E4CD7" w14:textId="77777777" w:rsidR="0063053E" w:rsidRDefault="0063053E" w:rsidP="001322F7">
      <w:r>
        <w:continuationSeparator/>
      </w:r>
    </w:p>
  </w:footnote>
  <w:footnote w:id="1">
    <w:p w14:paraId="1248900B" w14:textId="77777777" w:rsidR="00582B8E" w:rsidRPr="00A9649F" w:rsidRDefault="00582B8E" w:rsidP="006818E5">
      <w:pPr>
        <w:pStyle w:val="FootnoteText"/>
        <w:rPr>
          <w:lang w:val="ro-MD"/>
        </w:rPr>
      </w:pPr>
      <w:r>
        <w:rPr>
          <w:rStyle w:val="FootnoteReference"/>
        </w:rPr>
        <w:footnoteRef/>
      </w:r>
      <w:r>
        <w:t xml:space="preserve"> </w:t>
      </w:r>
      <w:r>
        <w:rPr>
          <w:lang w:val="ro-MD"/>
        </w:rPr>
        <w:t>Informația Ministerului Finanțelor nr.07/5-09/185 din 03.06.2024 referitor la volumul defalcărilor.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F0"/>
    <w:multiLevelType w:val="hybridMultilevel"/>
    <w:tmpl w:val="D48ECEC0"/>
    <w:lvl w:ilvl="0" w:tplc="07B2AE00">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28C51C0"/>
    <w:multiLevelType w:val="hybridMultilevel"/>
    <w:tmpl w:val="EEE2E400"/>
    <w:lvl w:ilvl="0" w:tplc="0409000F">
      <w:start w:val="1"/>
      <w:numFmt w:val="decimal"/>
      <w:lvlText w:val="%1."/>
      <w:lvlJc w:val="left"/>
      <w:pPr>
        <w:ind w:left="1101" w:hanging="360"/>
      </w:p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2" w15:restartNumberingAfterBreak="0">
    <w:nsid w:val="0AA939C4"/>
    <w:multiLevelType w:val="hybridMultilevel"/>
    <w:tmpl w:val="F5820092"/>
    <w:lvl w:ilvl="0" w:tplc="C74E87E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F6E314A"/>
    <w:multiLevelType w:val="hybridMultilevel"/>
    <w:tmpl w:val="1E4248F4"/>
    <w:lvl w:ilvl="0" w:tplc="D55268F6">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136E219B"/>
    <w:multiLevelType w:val="hybridMultilevel"/>
    <w:tmpl w:val="3508EDC4"/>
    <w:lvl w:ilvl="0" w:tplc="B9905DB4">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1CAF19DB"/>
    <w:multiLevelType w:val="hybridMultilevel"/>
    <w:tmpl w:val="7C0EB430"/>
    <w:lvl w:ilvl="0" w:tplc="302A3AAE">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15:restartNumberingAfterBreak="0">
    <w:nsid w:val="29666438"/>
    <w:multiLevelType w:val="hybridMultilevel"/>
    <w:tmpl w:val="CC98732A"/>
    <w:lvl w:ilvl="0" w:tplc="9782BD22">
      <w:start w:val="1"/>
      <w:numFmt w:val="decimal"/>
      <w:lvlText w:val="%1."/>
      <w:lvlJc w:val="left"/>
      <w:pPr>
        <w:ind w:left="798" w:hanging="360"/>
      </w:pPr>
      <w:rPr>
        <w:rFonts w:hint="default"/>
        <w:b/>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7" w15:restartNumberingAfterBreak="0">
    <w:nsid w:val="2FC13566"/>
    <w:multiLevelType w:val="hybridMultilevel"/>
    <w:tmpl w:val="3656D34C"/>
    <w:lvl w:ilvl="0" w:tplc="9338412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32466E0F"/>
    <w:multiLevelType w:val="hybridMultilevel"/>
    <w:tmpl w:val="0E3C4FCA"/>
    <w:lvl w:ilvl="0" w:tplc="808856FE">
      <w:numFmt w:val="bullet"/>
      <w:lvlText w:val="⁃"/>
      <w:lvlJc w:val="left"/>
      <w:pPr>
        <w:ind w:left="958" w:hanging="360"/>
      </w:pPr>
      <w:rPr>
        <w:rFonts w:ascii="Times New Roman" w:eastAsiaTheme="minorHAnsi" w:hAnsi="Times New Roman" w:cs="Times New Roman"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9" w15:restartNumberingAfterBreak="0">
    <w:nsid w:val="4C371ED1"/>
    <w:multiLevelType w:val="hybridMultilevel"/>
    <w:tmpl w:val="73A6148C"/>
    <w:lvl w:ilvl="0" w:tplc="368E5BC2">
      <w:start w:val="1"/>
      <w:numFmt w:val="decimal"/>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0" w15:restartNumberingAfterBreak="0">
    <w:nsid w:val="59D179AC"/>
    <w:multiLevelType w:val="hybridMultilevel"/>
    <w:tmpl w:val="FD6E1308"/>
    <w:lvl w:ilvl="0" w:tplc="B9905DB4">
      <w:start w:val="1"/>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5B162069"/>
    <w:multiLevelType w:val="hybridMultilevel"/>
    <w:tmpl w:val="B09282A4"/>
    <w:lvl w:ilvl="0" w:tplc="F864DA64">
      <w:numFmt w:val="bullet"/>
      <w:lvlText w:val="-"/>
      <w:lvlJc w:val="left"/>
      <w:pPr>
        <w:ind w:left="598" w:hanging="360"/>
      </w:pPr>
      <w:rPr>
        <w:rFonts w:ascii="Times New Roman" w:eastAsia="Times New Roman" w:hAnsi="Times New Roman"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2" w15:restartNumberingAfterBreak="0">
    <w:nsid w:val="5C5B6250"/>
    <w:multiLevelType w:val="hybridMultilevel"/>
    <w:tmpl w:val="B67AE0D8"/>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DE604D7"/>
    <w:multiLevelType w:val="hybridMultilevel"/>
    <w:tmpl w:val="70C8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280D26"/>
    <w:multiLevelType w:val="hybridMultilevel"/>
    <w:tmpl w:val="4390608A"/>
    <w:lvl w:ilvl="0" w:tplc="B43269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703417"/>
    <w:multiLevelType w:val="hybridMultilevel"/>
    <w:tmpl w:val="2F1243B2"/>
    <w:lvl w:ilvl="0" w:tplc="04090011">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num w:numId="1">
    <w:abstractNumId w:val="7"/>
  </w:num>
  <w:num w:numId="2">
    <w:abstractNumId w:val="4"/>
  </w:num>
  <w:num w:numId="3">
    <w:abstractNumId w:val="10"/>
  </w:num>
  <w:num w:numId="4">
    <w:abstractNumId w:val="0"/>
  </w:num>
  <w:num w:numId="5">
    <w:abstractNumId w:val="13"/>
  </w:num>
  <w:num w:numId="6">
    <w:abstractNumId w:val="1"/>
  </w:num>
  <w:num w:numId="7">
    <w:abstractNumId w:val="9"/>
  </w:num>
  <w:num w:numId="8">
    <w:abstractNumId w:val="6"/>
  </w:num>
  <w:num w:numId="9">
    <w:abstractNumId w:val="3"/>
  </w:num>
  <w:num w:numId="10">
    <w:abstractNumId w:val="12"/>
  </w:num>
  <w:num w:numId="11">
    <w:abstractNumId w:val="2"/>
  </w:num>
  <w:num w:numId="12">
    <w:abstractNumId w:val="8"/>
  </w:num>
  <w:num w:numId="13">
    <w:abstractNumId w:val="11"/>
  </w:num>
  <w:num w:numId="14">
    <w:abstractNumId w:val="15"/>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9F"/>
    <w:rsid w:val="000001FF"/>
    <w:rsid w:val="000008F6"/>
    <w:rsid w:val="00000EB4"/>
    <w:rsid w:val="00001A1F"/>
    <w:rsid w:val="0000342E"/>
    <w:rsid w:val="00003762"/>
    <w:rsid w:val="00005930"/>
    <w:rsid w:val="00005954"/>
    <w:rsid w:val="00005AD1"/>
    <w:rsid w:val="00005C2D"/>
    <w:rsid w:val="00005C95"/>
    <w:rsid w:val="000062EE"/>
    <w:rsid w:val="00007046"/>
    <w:rsid w:val="00007224"/>
    <w:rsid w:val="00010BA1"/>
    <w:rsid w:val="000118E1"/>
    <w:rsid w:val="00011E25"/>
    <w:rsid w:val="000133B8"/>
    <w:rsid w:val="00013E61"/>
    <w:rsid w:val="00013EEA"/>
    <w:rsid w:val="00014EC9"/>
    <w:rsid w:val="00015287"/>
    <w:rsid w:val="00015A9F"/>
    <w:rsid w:val="00017196"/>
    <w:rsid w:val="00017252"/>
    <w:rsid w:val="00021080"/>
    <w:rsid w:val="00021849"/>
    <w:rsid w:val="000218A5"/>
    <w:rsid w:val="00021E74"/>
    <w:rsid w:val="0002284A"/>
    <w:rsid w:val="00022FBF"/>
    <w:rsid w:val="0002330B"/>
    <w:rsid w:val="000239E7"/>
    <w:rsid w:val="0002436B"/>
    <w:rsid w:val="00024B9C"/>
    <w:rsid w:val="00025606"/>
    <w:rsid w:val="00025855"/>
    <w:rsid w:val="0002698A"/>
    <w:rsid w:val="00026F43"/>
    <w:rsid w:val="0002726C"/>
    <w:rsid w:val="00027F70"/>
    <w:rsid w:val="0003024B"/>
    <w:rsid w:val="000302CF"/>
    <w:rsid w:val="00030F56"/>
    <w:rsid w:val="00030FE9"/>
    <w:rsid w:val="000310C3"/>
    <w:rsid w:val="0003132C"/>
    <w:rsid w:val="00031538"/>
    <w:rsid w:val="00031D5A"/>
    <w:rsid w:val="00032A72"/>
    <w:rsid w:val="00032D38"/>
    <w:rsid w:val="00032F07"/>
    <w:rsid w:val="000333F5"/>
    <w:rsid w:val="00033F68"/>
    <w:rsid w:val="000349D7"/>
    <w:rsid w:val="00036214"/>
    <w:rsid w:val="000363A1"/>
    <w:rsid w:val="0003660B"/>
    <w:rsid w:val="00036695"/>
    <w:rsid w:val="0003737D"/>
    <w:rsid w:val="0003776C"/>
    <w:rsid w:val="00041BFE"/>
    <w:rsid w:val="00041D7F"/>
    <w:rsid w:val="00041F9F"/>
    <w:rsid w:val="000428A9"/>
    <w:rsid w:val="00042BC3"/>
    <w:rsid w:val="000441B9"/>
    <w:rsid w:val="0004507D"/>
    <w:rsid w:val="00045172"/>
    <w:rsid w:val="00045C23"/>
    <w:rsid w:val="00046F62"/>
    <w:rsid w:val="00047562"/>
    <w:rsid w:val="000477C7"/>
    <w:rsid w:val="0005199A"/>
    <w:rsid w:val="0005401B"/>
    <w:rsid w:val="00054128"/>
    <w:rsid w:val="00054438"/>
    <w:rsid w:val="00054766"/>
    <w:rsid w:val="00055376"/>
    <w:rsid w:val="00055473"/>
    <w:rsid w:val="000558CA"/>
    <w:rsid w:val="00055DFB"/>
    <w:rsid w:val="00055ED0"/>
    <w:rsid w:val="00056F72"/>
    <w:rsid w:val="00057091"/>
    <w:rsid w:val="000573BB"/>
    <w:rsid w:val="00060AC1"/>
    <w:rsid w:val="00060B91"/>
    <w:rsid w:val="000611A0"/>
    <w:rsid w:val="00061615"/>
    <w:rsid w:val="0006289E"/>
    <w:rsid w:val="00062F60"/>
    <w:rsid w:val="00063201"/>
    <w:rsid w:val="00064751"/>
    <w:rsid w:val="00064AD2"/>
    <w:rsid w:val="00064F11"/>
    <w:rsid w:val="00066238"/>
    <w:rsid w:val="00066682"/>
    <w:rsid w:val="00066D6F"/>
    <w:rsid w:val="000704DC"/>
    <w:rsid w:val="000706E0"/>
    <w:rsid w:val="00070C90"/>
    <w:rsid w:val="00071047"/>
    <w:rsid w:val="00071C31"/>
    <w:rsid w:val="00071ED1"/>
    <w:rsid w:val="00073158"/>
    <w:rsid w:val="000738A7"/>
    <w:rsid w:val="00073E7E"/>
    <w:rsid w:val="000764CA"/>
    <w:rsid w:val="00076F95"/>
    <w:rsid w:val="00077AB3"/>
    <w:rsid w:val="00077D67"/>
    <w:rsid w:val="00077F2D"/>
    <w:rsid w:val="000802ED"/>
    <w:rsid w:val="000819BB"/>
    <w:rsid w:val="00081B59"/>
    <w:rsid w:val="000820F4"/>
    <w:rsid w:val="00082E0A"/>
    <w:rsid w:val="0008314A"/>
    <w:rsid w:val="000835E3"/>
    <w:rsid w:val="0008416C"/>
    <w:rsid w:val="000849A2"/>
    <w:rsid w:val="000853F9"/>
    <w:rsid w:val="00085771"/>
    <w:rsid w:val="00086A2A"/>
    <w:rsid w:val="000873DD"/>
    <w:rsid w:val="000903C2"/>
    <w:rsid w:val="00090571"/>
    <w:rsid w:val="000913BC"/>
    <w:rsid w:val="0009193D"/>
    <w:rsid w:val="00092045"/>
    <w:rsid w:val="00092418"/>
    <w:rsid w:val="00092515"/>
    <w:rsid w:val="00092941"/>
    <w:rsid w:val="000936BB"/>
    <w:rsid w:val="0009381F"/>
    <w:rsid w:val="00093A7F"/>
    <w:rsid w:val="000948F3"/>
    <w:rsid w:val="00095169"/>
    <w:rsid w:val="000960C5"/>
    <w:rsid w:val="00096EC3"/>
    <w:rsid w:val="00097420"/>
    <w:rsid w:val="000A11AB"/>
    <w:rsid w:val="000A22E1"/>
    <w:rsid w:val="000A24BF"/>
    <w:rsid w:val="000A263C"/>
    <w:rsid w:val="000A28E6"/>
    <w:rsid w:val="000A3EEC"/>
    <w:rsid w:val="000A420A"/>
    <w:rsid w:val="000A5AB9"/>
    <w:rsid w:val="000A61AA"/>
    <w:rsid w:val="000A671C"/>
    <w:rsid w:val="000A7B03"/>
    <w:rsid w:val="000A7C16"/>
    <w:rsid w:val="000B15C6"/>
    <w:rsid w:val="000B2C11"/>
    <w:rsid w:val="000B34A2"/>
    <w:rsid w:val="000B3C00"/>
    <w:rsid w:val="000B4F2D"/>
    <w:rsid w:val="000B5EE1"/>
    <w:rsid w:val="000B625F"/>
    <w:rsid w:val="000B6851"/>
    <w:rsid w:val="000B6927"/>
    <w:rsid w:val="000B6B33"/>
    <w:rsid w:val="000B6F4D"/>
    <w:rsid w:val="000C01E3"/>
    <w:rsid w:val="000C0418"/>
    <w:rsid w:val="000C0939"/>
    <w:rsid w:val="000C0F58"/>
    <w:rsid w:val="000C188B"/>
    <w:rsid w:val="000C2650"/>
    <w:rsid w:val="000C2AC4"/>
    <w:rsid w:val="000C2CF0"/>
    <w:rsid w:val="000C3888"/>
    <w:rsid w:val="000C3B6A"/>
    <w:rsid w:val="000C418C"/>
    <w:rsid w:val="000C4845"/>
    <w:rsid w:val="000C55B3"/>
    <w:rsid w:val="000C5B0F"/>
    <w:rsid w:val="000C6136"/>
    <w:rsid w:val="000C6280"/>
    <w:rsid w:val="000C63FD"/>
    <w:rsid w:val="000C6E96"/>
    <w:rsid w:val="000C6FA8"/>
    <w:rsid w:val="000C7168"/>
    <w:rsid w:val="000C72C5"/>
    <w:rsid w:val="000C7EB0"/>
    <w:rsid w:val="000D038F"/>
    <w:rsid w:val="000D0D92"/>
    <w:rsid w:val="000D10CE"/>
    <w:rsid w:val="000D2486"/>
    <w:rsid w:val="000D3BBE"/>
    <w:rsid w:val="000D3F01"/>
    <w:rsid w:val="000D3FE0"/>
    <w:rsid w:val="000D597A"/>
    <w:rsid w:val="000D6371"/>
    <w:rsid w:val="000D65C5"/>
    <w:rsid w:val="000D6FCA"/>
    <w:rsid w:val="000E0B44"/>
    <w:rsid w:val="000E103E"/>
    <w:rsid w:val="000E1065"/>
    <w:rsid w:val="000E1366"/>
    <w:rsid w:val="000E2ECD"/>
    <w:rsid w:val="000E4F2C"/>
    <w:rsid w:val="000E53FD"/>
    <w:rsid w:val="000E619D"/>
    <w:rsid w:val="000E6213"/>
    <w:rsid w:val="000E6DC5"/>
    <w:rsid w:val="000F10B3"/>
    <w:rsid w:val="000F26FF"/>
    <w:rsid w:val="000F3372"/>
    <w:rsid w:val="000F341A"/>
    <w:rsid w:val="000F4138"/>
    <w:rsid w:val="000F45FE"/>
    <w:rsid w:val="000F557E"/>
    <w:rsid w:val="000F570B"/>
    <w:rsid w:val="000F6124"/>
    <w:rsid w:val="000F64F2"/>
    <w:rsid w:val="000F6A68"/>
    <w:rsid w:val="000F7006"/>
    <w:rsid w:val="000F7148"/>
    <w:rsid w:val="000F76D2"/>
    <w:rsid w:val="000F771A"/>
    <w:rsid w:val="001006FD"/>
    <w:rsid w:val="00100992"/>
    <w:rsid w:val="001013A9"/>
    <w:rsid w:val="001013C9"/>
    <w:rsid w:val="00102350"/>
    <w:rsid w:val="001027E7"/>
    <w:rsid w:val="001033D4"/>
    <w:rsid w:val="00103DF3"/>
    <w:rsid w:val="0010414D"/>
    <w:rsid w:val="001045B4"/>
    <w:rsid w:val="001068BE"/>
    <w:rsid w:val="0010692D"/>
    <w:rsid w:val="00106E3E"/>
    <w:rsid w:val="00106F98"/>
    <w:rsid w:val="001111A4"/>
    <w:rsid w:val="0011128E"/>
    <w:rsid w:val="0011138E"/>
    <w:rsid w:val="00111587"/>
    <w:rsid w:val="00111EE3"/>
    <w:rsid w:val="00112052"/>
    <w:rsid w:val="00112717"/>
    <w:rsid w:val="00113D02"/>
    <w:rsid w:val="001142C5"/>
    <w:rsid w:val="00114434"/>
    <w:rsid w:val="00114611"/>
    <w:rsid w:val="00115957"/>
    <w:rsid w:val="001168C4"/>
    <w:rsid w:val="00117BCF"/>
    <w:rsid w:val="00122575"/>
    <w:rsid w:val="00123EC0"/>
    <w:rsid w:val="001241B5"/>
    <w:rsid w:val="0012571D"/>
    <w:rsid w:val="001259F0"/>
    <w:rsid w:val="00125AAD"/>
    <w:rsid w:val="00126A57"/>
    <w:rsid w:val="00127228"/>
    <w:rsid w:val="00127413"/>
    <w:rsid w:val="001322F7"/>
    <w:rsid w:val="001325E2"/>
    <w:rsid w:val="00132E0E"/>
    <w:rsid w:val="00134334"/>
    <w:rsid w:val="0013474E"/>
    <w:rsid w:val="00135108"/>
    <w:rsid w:val="001352CA"/>
    <w:rsid w:val="00135A2B"/>
    <w:rsid w:val="0013630F"/>
    <w:rsid w:val="00137E04"/>
    <w:rsid w:val="00137E69"/>
    <w:rsid w:val="00140BF0"/>
    <w:rsid w:val="00141602"/>
    <w:rsid w:val="001418A0"/>
    <w:rsid w:val="00142819"/>
    <w:rsid w:val="00144242"/>
    <w:rsid w:val="0014433C"/>
    <w:rsid w:val="001444FC"/>
    <w:rsid w:val="00144DFC"/>
    <w:rsid w:val="001455EB"/>
    <w:rsid w:val="001457B4"/>
    <w:rsid w:val="00147761"/>
    <w:rsid w:val="00150165"/>
    <w:rsid w:val="00150505"/>
    <w:rsid w:val="0015092C"/>
    <w:rsid w:val="0015253C"/>
    <w:rsid w:val="001532D7"/>
    <w:rsid w:val="0015374E"/>
    <w:rsid w:val="00153F75"/>
    <w:rsid w:val="0015435C"/>
    <w:rsid w:val="00156840"/>
    <w:rsid w:val="0015689D"/>
    <w:rsid w:val="00157335"/>
    <w:rsid w:val="00157A60"/>
    <w:rsid w:val="00157AE7"/>
    <w:rsid w:val="001602AD"/>
    <w:rsid w:val="00160F37"/>
    <w:rsid w:val="001613D3"/>
    <w:rsid w:val="00161667"/>
    <w:rsid w:val="0016216A"/>
    <w:rsid w:val="00163EC6"/>
    <w:rsid w:val="001642C9"/>
    <w:rsid w:val="00164A53"/>
    <w:rsid w:val="00164E38"/>
    <w:rsid w:val="00165830"/>
    <w:rsid w:val="00165EB0"/>
    <w:rsid w:val="001673C6"/>
    <w:rsid w:val="00167FB6"/>
    <w:rsid w:val="00170780"/>
    <w:rsid w:val="001707FF"/>
    <w:rsid w:val="00171CCA"/>
    <w:rsid w:val="00171D68"/>
    <w:rsid w:val="0017224E"/>
    <w:rsid w:val="001756F8"/>
    <w:rsid w:val="001761DB"/>
    <w:rsid w:val="00176480"/>
    <w:rsid w:val="00176757"/>
    <w:rsid w:val="001768BA"/>
    <w:rsid w:val="00176B45"/>
    <w:rsid w:val="001775C7"/>
    <w:rsid w:val="00180C1D"/>
    <w:rsid w:val="001810C9"/>
    <w:rsid w:val="001811C5"/>
    <w:rsid w:val="001815CF"/>
    <w:rsid w:val="00181E03"/>
    <w:rsid w:val="00183620"/>
    <w:rsid w:val="00185A74"/>
    <w:rsid w:val="00185D6B"/>
    <w:rsid w:val="001902EB"/>
    <w:rsid w:val="00191A82"/>
    <w:rsid w:val="00191D20"/>
    <w:rsid w:val="00192AEC"/>
    <w:rsid w:val="00192CA4"/>
    <w:rsid w:val="0019362A"/>
    <w:rsid w:val="00193B88"/>
    <w:rsid w:val="00193D24"/>
    <w:rsid w:val="001958B3"/>
    <w:rsid w:val="00196491"/>
    <w:rsid w:val="00196614"/>
    <w:rsid w:val="00196E26"/>
    <w:rsid w:val="00197332"/>
    <w:rsid w:val="00197389"/>
    <w:rsid w:val="001A1A78"/>
    <w:rsid w:val="001A1B64"/>
    <w:rsid w:val="001A20BE"/>
    <w:rsid w:val="001A3795"/>
    <w:rsid w:val="001A40C3"/>
    <w:rsid w:val="001A42C9"/>
    <w:rsid w:val="001A4F03"/>
    <w:rsid w:val="001A6B6F"/>
    <w:rsid w:val="001B007A"/>
    <w:rsid w:val="001B035F"/>
    <w:rsid w:val="001B0B80"/>
    <w:rsid w:val="001B146D"/>
    <w:rsid w:val="001B1545"/>
    <w:rsid w:val="001B1F22"/>
    <w:rsid w:val="001B23C8"/>
    <w:rsid w:val="001B24CC"/>
    <w:rsid w:val="001B27E8"/>
    <w:rsid w:val="001B3291"/>
    <w:rsid w:val="001B3744"/>
    <w:rsid w:val="001B4B18"/>
    <w:rsid w:val="001B4C00"/>
    <w:rsid w:val="001B4E6E"/>
    <w:rsid w:val="001B4F6E"/>
    <w:rsid w:val="001B5843"/>
    <w:rsid w:val="001B5DA1"/>
    <w:rsid w:val="001B5DA4"/>
    <w:rsid w:val="001B6C99"/>
    <w:rsid w:val="001C0CDA"/>
    <w:rsid w:val="001C1599"/>
    <w:rsid w:val="001C23A8"/>
    <w:rsid w:val="001C41F7"/>
    <w:rsid w:val="001C4CF2"/>
    <w:rsid w:val="001C5087"/>
    <w:rsid w:val="001C5BA4"/>
    <w:rsid w:val="001C5D44"/>
    <w:rsid w:val="001C647E"/>
    <w:rsid w:val="001C65C3"/>
    <w:rsid w:val="001C75FC"/>
    <w:rsid w:val="001D0BF5"/>
    <w:rsid w:val="001D0CEE"/>
    <w:rsid w:val="001D0E58"/>
    <w:rsid w:val="001D0EFE"/>
    <w:rsid w:val="001D0F40"/>
    <w:rsid w:val="001D1C50"/>
    <w:rsid w:val="001D1CBF"/>
    <w:rsid w:val="001D2974"/>
    <w:rsid w:val="001D2DBB"/>
    <w:rsid w:val="001D3581"/>
    <w:rsid w:val="001D4205"/>
    <w:rsid w:val="001D5229"/>
    <w:rsid w:val="001D582A"/>
    <w:rsid w:val="001D5B9E"/>
    <w:rsid w:val="001D5F33"/>
    <w:rsid w:val="001D648A"/>
    <w:rsid w:val="001D6B63"/>
    <w:rsid w:val="001D76A2"/>
    <w:rsid w:val="001E02CA"/>
    <w:rsid w:val="001E0784"/>
    <w:rsid w:val="001E0EC9"/>
    <w:rsid w:val="001E1AEE"/>
    <w:rsid w:val="001E2596"/>
    <w:rsid w:val="001E2E25"/>
    <w:rsid w:val="001E414C"/>
    <w:rsid w:val="001E48A6"/>
    <w:rsid w:val="001E57EE"/>
    <w:rsid w:val="001E5B7B"/>
    <w:rsid w:val="001E5BC4"/>
    <w:rsid w:val="001E6262"/>
    <w:rsid w:val="001E6337"/>
    <w:rsid w:val="001E6615"/>
    <w:rsid w:val="001E6AD1"/>
    <w:rsid w:val="001E6B86"/>
    <w:rsid w:val="001E6E73"/>
    <w:rsid w:val="001F018A"/>
    <w:rsid w:val="001F09B2"/>
    <w:rsid w:val="001F0AD5"/>
    <w:rsid w:val="001F0ED1"/>
    <w:rsid w:val="001F1250"/>
    <w:rsid w:val="001F1879"/>
    <w:rsid w:val="001F18EB"/>
    <w:rsid w:val="001F26AF"/>
    <w:rsid w:val="001F4195"/>
    <w:rsid w:val="001F4AA1"/>
    <w:rsid w:val="001F54C9"/>
    <w:rsid w:val="001F58A2"/>
    <w:rsid w:val="001F632F"/>
    <w:rsid w:val="001F6521"/>
    <w:rsid w:val="001F6599"/>
    <w:rsid w:val="001F67A4"/>
    <w:rsid w:val="001F78E1"/>
    <w:rsid w:val="001F7936"/>
    <w:rsid w:val="002002DA"/>
    <w:rsid w:val="002009E0"/>
    <w:rsid w:val="0020138D"/>
    <w:rsid w:val="00201AAB"/>
    <w:rsid w:val="00201B11"/>
    <w:rsid w:val="00201C90"/>
    <w:rsid w:val="00202231"/>
    <w:rsid w:val="00202E0F"/>
    <w:rsid w:val="00205EB7"/>
    <w:rsid w:val="0020770A"/>
    <w:rsid w:val="00207783"/>
    <w:rsid w:val="00210E73"/>
    <w:rsid w:val="002111AC"/>
    <w:rsid w:val="00213100"/>
    <w:rsid w:val="002132C6"/>
    <w:rsid w:val="00213BEE"/>
    <w:rsid w:val="002146D3"/>
    <w:rsid w:val="00214FF2"/>
    <w:rsid w:val="00216052"/>
    <w:rsid w:val="00216E98"/>
    <w:rsid w:val="00220997"/>
    <w:rsid w:val="00221355"/>
    <w:rsid w:val="0022179F"/>
    <w:rsid w:val="00221E37"/>
    <w:rsid w:val="00221EF9"/>
    <w:rsid w:val="00223002"/>
    <w:rsid w:val="00223495"/>
    <w:rsid w:val="00224149"/>
    <w:rsid w:val="0022487D"/>
    <w:rsid w:val="00224ED1"/>
    <w:rsid w:val="002256E1"/>
    <w:rsid w:val="00225992"/>
    <w:rsid w:val="00225B2A"/>
    <w:rsid w:val="002275AF"/>
    <w:rsid w:val="0022773A"/>
    <w:rsid w:val="002278A7"/>
    <w:rsid w:val="002309E3"/>
    <w:rsid w:val="00230CE2"/>
    <w:rsid w:val="0023107D"/>
    <w:rsid w:val="00231177"/>
    <w:rsid w:val="00232BA4"/>
    <w:rsid w:val="002332E5"/>
    <w:rsid w:val="00233B9A"/>
    <w:rsid w:val="00234839"/>
    <w:rsid w:val="0023563C"/>
    <w:rsid w:val="00235A58"/>
    <w:rsid w:val="00236405"/>
    <w:rsid w:val="00236BAF"/>
    <w:rsid w:val="00237956"/>
    <w:rsid w:val="002379A4"/>
    <w:rsid w:val="00240279"/>
    <w:rsid w:val="0024250A"/>
    <w:rsid w:val="00242671"/>
    <w:rsid w:val="002427DA"/>
    <w:rsid w:val="00242B59"/>
    <w:rsid w:val="002447B0"/>
    <w:rsid w:val="002450A9"/>
    <w:rsid w:val="00245B8B"/>
    <w:rsid w:val="00245F84"/>
    <w:rsid w:val="00246286"/>
    <w:rsid w:val="002462C6"/>
    <w:rsid w:val="002467D2"/>
    <w:rsid w:val="00246BCD"/>
    <w:rsid w:val="00246FDC"/>
    <w:rsid w:val="00246FE4"/>
    <w:rsid w:val="0025006D"/>
    <w:rsid w:val="00250CF8"/>
    <w:rsid w:val="00252763"/>
    <w:rsid w:val="00253147"/>
    <w:rsid w:val="00254674"/>
    <w:rsid w:val="00254C59"/>
    <w:rsid w:val="00254C5C"/>
    <w:rsid w:val="00254CD9"/>
    <w:rsid w:val="002556F4"/>
    <w:rsid w:val="0025587E"/>
    <w:rsid w:val="002558BC"/>
    <w:rsid w:val="00256698"/>
    <w:rsid w:val="00257F22"/>
    <w:rsid w:val="00260120"/>
    <w:rsid w:val="002602CF"/>
    <w:rsid w:val="00261C0E"/>
    <w:rsid w:val="00261F60"/>
    <w:rsid w:val="002625B2"/>
    <w:rsid w:val="002637A0"/>
    <w:rsid w:val="0026459A"/>
    <w:rsid w:val="00265007"/>
    <w:rsid w:val="00265974"/>
    <w:rsid w:val="002666FF"/>
    <w:rsid w:val="00266CC2"/>
    <w:rsid w:val="00266DAE"/>
    <w:rsid w:val="00266DBD"/>
    <w:rsid w:val="0026775F"/>
    <w:rsid w:val="00267DDA"/>
    <w:rsid w:val="00267E3F"/>
    <w:rsid w:val="00270716"/>
    <w:rsid w:val="00271074"/>
    <w:rsid w:val="0027108D"/>
    <w:rsid w:val="002711DE"/>
    <w:rsid w:val="00271BBA"/>
    <w:rsid w:val="002721D5"/>
    <w:rsid w:val="00273CEB"/>
    <w:rsid w:val="00274644"/>
    <w:rsid w:val="00274DC1"/>
    <w:rsid w:val="00274E06"/>
    <w:rsid w:val="00274E0E"/>
    <w:rsid w:val="00274F1E"/>
    <w:rsid w:val="002768E4"/>
    <w:rsid w:val="0027729A"/>
    <w:rsid w:val="002778E5"/>
    <w:rsid w:val="00277EEB"/>
    <w:rsid w:val="002800F9"/>
    <w:rsid w:val="002805F7"/>
    <w:rsid w:val="00281685"/>
    <w:rsid w:val="002830C3"/>
    <w:rsid w:val="002837C5"/>
    <w:rsid w:val="0028481C"/>
    <w:rsid w:val="002848D7"/>
    <w:rsid w:val="00284CAB"/>
    <w:rsid w:val="00284DF1"/>
    <w:rsid w:val="0028514E"/>
    <w:rsid w:val="00285B65"/>
    <w:rsid w:val="00285D54"/>
    <w:rsid w:val="00286FE4"/>
    <w:rsid w:val="00287A01"/>
    <w:rsid w:val="00287CE0"/>
    <w:rsid w:val="00290811"/>
    <w:rsid w:val="00291077"/>
    <w:rsid w:val="0029169B"/>
    <w:rsid w:val="00291CA6"/>
    <w:rsid w:val="0029200A"/>
    <w:rsid w:val="0029229D"/>
    <w:rsid w:val="00292688"/>
    <w:rsid w:val="00293916"/>
    <w:rsid w:val="00293A29"/>
    <w:rsid w:val="002950D6"/>
    <w:rsid w:val="0029529F"/>
    <w:rsid w:val="00295EA6"/>
    <w:rsid w:val="0029632D"/>
    <w:rsid w:val="00296713"/>
    <w:rsid w:val="00297048"/>
    <w:rsid w:val="002976D8"/>
    <w:rsid w:val="00297E16"/>
    <w:rsid w:val="002A00F0"/>
    <w:rsid w:val="002A010A"/>
    <w:rsid w:val="002A0B65"/>
    <w:rsid w:val="002A198A"/>
    <w:rsid w:val="002A1FD4"/>
    <w:rsid w:val="002A20F3"/>
    <w:rsid w:val="002A23D5"/>
    <w:rsid w:val="002A32E8"/>
    <w:rsid w:val="002A3418"/>
    <w:rsid w:val="002A3DC1"/>
    <w:rsid w:val="002A4196"/>
    <w:rsid w:val="002A47FE"/>
    <w:rsid w:val="002A4BA3"/>
    <w:rsid w:val="002A4E48"/>
    <w:rsid w:val="002A50EF"/>
    <w:rsid w:val="002A536E"/>
    <w:rsid w:val="002A5D88"/>
    <w:rsid w:val="002A5F44"/>
    <w:rsid w:val="002A6531"/>
    <w:rsid w:val="002A77B6"/>
    <w:rsid w:val="002A7BF9"/>
    <w:rsid w:val="002A7D61"/>
    <w:rsid w:val="002A7D99"/>
    <w:rsid w:val="002B00A7"/>
    <w:rsid w:val="002B244B"/>
    <w:rsid w:val="002B2732"/>
    <w:rsid w:val="002B2CA1"/>
    <w:rsid w:val="002B3129"/>
    <w:rsid w:val="002B3BA7"/>
    <w:rsid w:val="002B4567"/>
    <w:rsid w:val="002B483E"/>
    <w:rsid w:val="002B60FE"/>
    <w:rsid w:val="002B62F2"/>
    <w:rsid w:val="002B677D"/>
    <w:rsid w:val="002B6AA5"/>
    <w:rsid w:val="002B740D"/>
    <w:rsid w:val="002B753D"/>
    <w:rsid w:val="002C0FD0"/>
    <w:rsid w:val="002C21F5"/>
    <w:rsid w:val="002C28E2"/>
    <w:rsid w:val="002C48CB"/>
    <w:rsid w:val="002C4CD8"/>
    <w:rsid w:val="002C4DAA"/>
    <w:rsid w:val="002C52CD"/>
    <w:rsid w:val="002C5D5F"/>
    <w:rsid w:val="002C609E"/>
    <w:rsid w:val="002C6282"/>
    <w:rsid w:val="002C635B"/>
    <w:rsid w:val="002C7044"/>
    <w:rsid w:val="002C76CC"/>
    <w:rsid w:val="002C78C4"/>
    <w:rsid w:val="002D0BA5"/>
    <w:rsid w:val="002D1426"/>
    <w:rsid w:val="002D1739"/>
    <w:rsid w:val="002D28A8"/>
    <w:rsid w:val="002D2A5D"/>
    <w:rsid w:val="002D2B17"/>
    <w:rsid w:val="002D3AFC"/>
    <w:rsid w:val="002D3D23"/>
    <w:rsid w:val="002D6664"/>
    <w:rsid w:val="002D6A48"/>
    <w:rsid w:val="002D6E7D"/>
    <w:rsid w:val="002D7AE2"/>
    <w:rsid w:val="002E068E"/>
    <w:rsid w:val="002E0BF4"/>
    <w:rsid w:val="002E0E0B"/>
    <w:rsid w:val="002E1480"/>
    <w:rsid w:val="002E1856"/>
    <w:rsid w:val="002E22FC"/>
    <w:rsid w:val="002E31AC"/>
    <w:rsid w:val="002E368B"/>
    <w:rsid w:val="002E36D0"/>
    <w:rsid w:val="002E3A37"/>
    <w:rsid w:val="002E3A79"/>
    <w:rsid w:val="002E4345"/>
    <w:rsid w:val="002E466E"/>
    <w:rsid w:val="002E499C"/>
    <w:rsid w:val="002E5C46"/>
    <w:rsid w:val="002E6250"/>
    <w:rsid w:val="002E70F8"/>
    <w:rsid w:val="002E77EE"/>
    <w:rsid w:val="002F02C1"/>
    <w:rsid w:val="002F05CB"/>
    <w:rsid w:val="002F11D3"/>
    <w:rsid w:val="002F16C8"/>
    <w:rsid w:val="002F17AA"/>
    <w:rsid w:val="002F217F"/>
    <w:rsid w:val="002F2288"/>
    <w:rsid w:val="002F2431"/>
    <w:rsid w:val="002F2625"/>
    <w:rsid w:val="002F5637"/>
    <w:rsid w:val="002F5B1A"/>
    <w:rsid w:val="002F6284"/>
    <w:rsid w:val="002F6EBC"/>
    <w:rsid w:val="002F7AF6"/>
    <w:rsid w:val="0030022E"/>
    <w:rsid w:val="00300F16"/>
    <w:rsid w:val="003017BA"/>
    <w:rsid w:val="0030238C"/>
    <w:rsid w:val="003028DB"/>
    <w:rsid w:val="00302F78"/>
    <w:rsid w:val="00305459"/>
    <w:rsid w:val="003057B8"/>
    <w:rsid w:val="00305919"/>
    <w:rsid w:val="00305D36"/>
    <w:rsid w:val="00306598"/>
    <w:rsid w:val="00306DAF"/>
    <w:rsid w:val="00306EF9"/>
    <w:rsid w:val="003109B7"/>
    <w:rsid w:val="00311253"/>
    <w:rsid w:val="00312F88"/>
    <w:rsid w:val="0031348D"/>
    <w:rsid w:val="003141AC"/>
    <w:rsid w:val="00314CBE"/>
    <w:rsid w:val="00314D97"/>
    <w:rsid w:val="003156D5"/>
    <w:rsid w:val="00315A00"/>
    <w:rsid w:val="00316A7C"/>
    <w:rsid w:val="00316FB8"/>
    <w:rsid w:val="00320B5E"/>
    <w:rsid w:val="003237F6"/>
    <w:rsid w:val="00324ACE"/>
    <w:rsid w:val="00324E24"/>
    <w:rsid w:val="00324F57"/>
    <w:rsid w:val="003252D2"/>
    <w:rsid w:val="00325ECB"/>
    <w:rsid w:val="00326038"/>
    <w:rsid w:val="003263F9"/>
    <w:rsid w:val="00327BB4"/>
    <w:rsid w:val="0033000A"/>
    <w:rsid w:val="003300F0"/>
    <w:rsid w:val="003305F6"/>
    <w:rsid w:val="00331D10"/>
    <w:rsid w:val="00332119"/>
    <w:rsid w:val="00333B5A"/>
    <w:rsid w:val="00335007"/>
    <w:rsid w:val="0033533E"/>
    <w:rsid w:val="00335888"/>
    <w:rsid w:val="003362F5"/>
    <w:rsid w:val="00336E60"/>
    <w:rsid w:val="00336FAA"/>
    <w:rsid w:val="00337A94"/>
    <w:rsid w:val="00340498"/>
    <w:rsid w:val="00340524"/>
    <w:rsid w:val="003409BE"/>
    <w:rsid w:val="00340D45"/>
    <w:rsid w:val="00343084"/>
    <w:rsid w:val="003439B4"/>
    <w:rsid w:val="00343AA1"/>
    <w:rsid w:val="00344826"/>
    <w:rsid w:val="00344EB8"/>
    <w:rsid w:val="003450D9"/>
    <w:rsid w:val="003455CD"/>
    <w:rsid w:val="00345766"/>
    <w:rsid w:val="00347F6B"/>
    <w:rsid w:val="0035386C"/>
    <w:rsid w:val="00353913"/>
    <w:rsid w:val="003548C5"/>
    <w:rsid w:val="003554E3"/>
    <w:rsid w:val="00355B36"/>
    <w:rsid w:val="00360248"/>
    <w:rsid w:val="00360B28"/>
    <w:rsid w:val="00363515"/>
    <w:rsid w:val="003644DD"/>
    <w:rsid w:val="00364CD1"/>
    <w:rsid w:val="00364CF6"/>
    <w:rsid w:val="00365448"/>
    <w:rsid w:val="00365814"/>
    <w:rsid w:val="003664BA"/>
    <w:rsid w:val="00366958"/>
    <w:rsid w:val="00370EFD"/>
    <w:rsid w:val="00371E06"/>
    <w:rsid w:val="00372B50"/>
    <w:rsid w:val="00373E46"/>
    <w:rsid w:val="00374314"/>
    <w:rsid w:val="00374627"/>
    <w:rsid w:val="00374F97"/>
    <w:rsid w:val="00375EB7"/>
    <w:rsid w:val="00376CB1"/>
    <w:rsid w:val="003808BE"/>
    <w:rsid w:val="00380E2A"/>
    <w:rsid w:val="00382219"/>
    <w:rsid w:val="00382B69"/>
    <w:rsid w:val="00383867"/>
    <w:rsid w:val="00383949"/>
    <w:rsid w:val="00384E93"/>
    <w:rsid w:val="00385E67"/>
    <w:rsid w:val="003860CC"/>
    <w:rsid w:val="0038680B"/>
    <w:rsid w:val="00387B0E"/>
    <w:rsid w:val="00390ACF"/>
    <w:rsid w:val="00390E6B"/>
    <w:rsid w:val="00391C54"/>
    <w:rsid w:val="0039241F"/>
    <w:rsid w:val="00393344"/>
    <w:rsid w:val="00394113"/>
    <w:rsid w:val="00394371"/>
    <w:rsid w:val="003945F2"/>
    <w:rsid w:val="003950EF"/>
    <w:rsid w:val="00395E4C"/>
    <w:rsid w:val="0039648B"/>
    <w:rsid w:val="003966C2"/>
    <w:rsid w:val="0039757E"/>
    <w:rsid w:val="003A0562"/>
    <w:rsid w:val="003A0695"/>
    <w:rsid w:val="003A25FC"/>
    <w:rsid w:val="003A2F7B"/>
    <w:rsid w:val="003A3DEC"/>
    <w:rsid w:val="003A40D8"/>
    <w:rsid w:val="003A4794"/>
    <w:rsid w:val="003A47F2"/>
    <w:rsid w:val="003A4C43"/>
    <w:rsid w:val="003A5058"/>
    <w:rsid w:val="003A50C4"/>
    <w:rsid w:val="003A5235"/>
    <w:rsid w:val="003A67F9"/>
    <w:rsid w:val="003A794C"/>
    <w:rsid w:val="003A7973"/>
    <w:rsid w:val="003A7C3A"/>
    <w:rsid w:val="003B0489"/>
    <w:rsid w:val="003B07D7"/>
    <w:rsid w:val="003B1B31"/>
    <w:rsid w:val="003B1BF5"/>
    <w:rsid w:val="003B2F3C"/>
    <w:rsid w:val="003B32E9"/>
    <w:rsid w:val="003B4DC4"/>
    <w:rsid w:val="003B4E85"/>
    <w:rsid w:val="003B5260"/>
    <w:rsid w:val="003B589A"/>
    <w:rsid w:val="003B635D"/>
    <w:rsid w:val="003B6B3A"/>
    <w:rsid w:val="003B7990"/>
    <w:rsid w:val="003B7A81"/>
    <w:rsid w:val="003B7C91"/>
    <w:rsid w:val="003C182D"/>
    <w:rsid w:val="003C1B93"/>
    <w:rsid w:val="003C336B"/>
    <w:rsid w:val="003C3D62"/>
    <w:rsid w:val="003C52C3"/>
    <w:rsid w:val="003C56F3"/>
    <w:rsid w:val="003C6176"/>
    <w:rsid w:val="003C656E"/>
    <w:rsid w:val="003C66DA"/>
    <w:rsid w:val="003C76EC"/>
    <w:rsid w:val="003D033C"/>
    <w:rsid w:val="003D0FEF"/>
    <w:rsid w:val="003D1F71"/>
    <w:rsid w:val="003D20F7"/>
    <w:rsid w:val="003D2752"/>
    <w:rsid w:val="003D3378"/>
    <w:rsid w:val="003D378C"/>
    <w:rsid w:val="003D37D2"/>
    <w:rsid w:val="003D3FEF"/>
    <w:rsid w:val="003D4D3A"/>
    <w:rsid w:val="003E0702"/>
    <w:rsid w:val="003E0BF6"/>
    <w:rsid w:val="003E0FD7"/>
    <w:rsid w:val="003E30B1"/>
    <w:rsid w:val="003E3573"/>
    <w:rsid w:val="003E4106"/>
    <w:rsid w:val="003E4B37"/>
    <w:rsid w:val="003E5867"/>
    <w:rsid w:val="003E6D79"/>
    <w:rsid w:val="003E7632"/>
    <w:rsid w:val="003E7B19"/>
    <w:rsid w:val="003F03F5"/>
    <w:rsid w:val="003F1901"/>
    <w:rsid w:val="003F1A3B"/>
    <w:rsid w:val="003F2B1A"/>
    <w:rsid w:val="003F336E"/>
    <w:rsid w:val="003F344F"/>
    <w:rsid w:val="003F3A71"/>
    <w:rsid w:val="003F410C"/>
    <w:rsid w:val="003F45EA"/>
    <w:rsid w:val="003F4D82"/>
    <w:rsid w:val="003F6316"/>
    <w:rsid w:val="003F67A9"/>
    <w:rsid w:val="003F7194"/>
    <w:rsid w:val="003F74A2"/>
    <w:rsid w:val="003F7869"/>
    <w:rsid w:val="003F78F4"/>
    <w:rsid w:val="003F7EE8"/>
    <w:rsid w:val="00400C54"/>
    <w:rsid w:val="00401213"/>
    <w:rsid w:val="004016C9"/>
    <w:rsid w:val="00401F5F"/>
    <w:rsid w:val="00402FD4"/>
    <w:rsid w:val="00404187"/>
    <w:rsid w:val="00404EE2"/>
    <w:rsid w:val="00406059"/>
    <w:rsid w:val="0040678D"/>
    <w:rsid w:val="0040734C"/>
    <w:rsid w:val="00407B9F"/>
    <w:rsid w:val="00411845"/>
    <w:rsid w:val="00411DA8"/>
    <w:rsid w:val="00412DE1"/>
    <w:rsid w:val="00413BE6"/>
    <w:rsid w:val="004144AD"/>
    <w:rsid w:val="004144E1"/>
    <w:rsid w:val="00416CA2"/>
    <w:rsid w:val="0042208F"/>
    <w:rsid w:val="00422098"/>
    <w:rsid w:val="004220AA"/>
    <w:rsid w:val="0042223D"/>
    <w:rsid w:val="00422A55"/>
    <w:rsid w:val="00422C73"/>
    <w:rsid w:val="00422C95"/>
    <w:rsid w:val="00422F8B"/>
    <w:rsid w:val="0042312C"/>
    <w:rsid w:val="00423866"/>
    <w:rsid w:val="00423A1B"/>
    <w:rsid w:val="004251D2"/>
    <w:rsid w:val="00425E8C"/>
    <w:rsid w:val="004265B7"/>
    <w:rsid w:val="00426F27"/>
    <w:rsid w:val="004279A8"/>
    <w:rsid w:val="0043005C"/>
    <w:rsid w:val="0043064E"/>
    <w:rsid w:val="00430691"/>
    <w:rsid w:val="00431525"/>
    <w:rsid w:val="00432806"/>
    <w:rsid w:val="00433288"/>
    <w:rsid w:val="00433440"/>
    <w:rsid w:val="0043344C"/>
    <w:rsid w:val="00433B42"/>
    <w:rsid w:val="00434043"/>
    <w:rsid w:val="00434559"/>
    <w:rsid w:val="004346A4"/>
    <w:rsid w:val="004353EF"/>
    <w:rsid w:val="00436C91"/>
    <w:rsid w:val="0043791D"/>
    <w:rsid w:val="00437C1B"/>
    <w:rsid w:val="0044003E"/>
    <w:rsid w:val="00440348"/>
    <w:rsid w:val="00441DA5"/>
    <w:rsid w:val="00441E4E"/>
    <w:rsid w:val="00441FC7"/>
    <w:rsid w:val="00442743"/>
    <w:rsid w:val="00442F66"/>
    <w:rsid w:val="00443AD9"/>
    <w:rsid w:val="00444447"/>
    <w:rsid w:val="00444498"/>
    <w:rsid w:val="0044497F"/>
    <w:rsid w:val="00444B4B"/>
    <w:rsid w:val="004459EA"/>
    <w:rsid w:val="00445A3D"/>
    <w:rsid w:val="00446C5D"/>
    <w:rsid w:val="00447B9F"/>
    <w:rsid w:val="0045066D"/>
    <w:rsid w:val="004508A3"/>
    <w:rsid w:val="00450C25"/>
    <w:rsid w:val="00451033"/>
    <w:rsid w:val="00451FEC"/>
    <w:rsid w:val="0045242B"/>
    <w:rsid w:val="0045292D"/>
    <w:rsid w:val="004532E4"/>
    <w:rsid w:val="00453989"/>
    <w:rsid w:val="00454001"/>
    <w:rsid w:val="00454E33"/>
    <w:rsid w:val="004555CE"/>
    <w:rsid w:val="004559F1"/>
    <w:rsid w:val="004562E2"/>
    <w:rsid w:val="0045655D"/>
    <w:rsid w:val="004573CA"/>
    <w:rsid w:val="0045759E"/>
    <w:rsid w:val="004575AF"/>
    <w:rsid w:val="0046088C"/>
    <w:rsid w:val="004613CF"/>
    <w:rsid w:val="00461537"/>
    <w:rsid w:val="00461D79"/>
    <w:rsid w:val="00462A37"/>
    <w:rsid w:val="004632A2"/>
    <w:rsid w:val="0046463F"/>
    <w:rsid w:val="00465288"/>
    <w:rsid w:val="0046560F"/>
    <w:rsid w:val="00465A50"/>
    <w:rsid w:val="00466491"/>
    <w:rsid w:val="00466D82"/>
    <w:rsid w:val="00467149"/>
    <w:rsid w:val="00467619"/>
    <w:rsid w:val="004679C6"/>
    <w:rsid w:val="00467A42"/>
    <w:rsid w:val="00470845"/>
    <w:rsid w:val="0047152A"/>
    <w:rsid w:val="00473C36"/>
    <w:rsid w:val="00474087"/>
    <w:rsid w:val="00475813"/>
    <w:rsid w:val="00475B31"/>
    <w:rsid w:val="00475E33"/>
    <w:rsid w:val="00476016"/>
    <w:rsid w:val="0047694A"/>
    <w:rsid w:val="00477059"/>
    <w:rsid w:val="00477151"/>
    <w:rsid w:val="004776A8"/>
    <w:rsid w:val="00477ABF"/>
    <w:rsid w:val="00477BCE"/>
    <w:rsid w:val="00477EEF"/>
    <w:rsid w:val="004805E3"/>
    <w:rsid w:val="00480C98"/>
    <w:rsid w:val="00480D86"/>
    <w:rsid w:val="004827CC"/>
    <w:rsid w:val="00483BBD"/>
    <w:rsid w:val="00483E07"/>
    <w:rsid w:val="0048468C"/>
    <w:rsid w:val="00487174"/>
    <w:rsid w:val="0048725D"/>
    <w:rsid w:val="00487330"/>
    <w:rsid w:val="00487C0D"/>
    <w:rsid w:val="0049051A"/>
    <w:rsid w:val="004909AB"/>
    <w:rsid w:val="004909DD"/>
    <w:rsid w:val="00490B65"/>
    <w:rsid w:val="00490E8E"/>
    <w:rsid w:val="004911D2"/>
    <w:rsid w:val="004925EF"/>
    <w:rsid w:val="00493252"/>
    <w:rsid w:val="00493E83"/>
    <w:rsid w:val="00494368"/>
    <w:rsid w:val="0049601E"/>
    <w:rsid w:val="00496187"/>
    <w:rsid w:val="004962B6"/>
    <w:rsid w:val="0049641A"/>
    <w:rsid w:val="00496533"/>
    <w:rsid w:val="00497B19"/>
    <w:rsid w:val="00497F04"/>
    <w:rsid w:val="004A0827"/>
    <w:rsid w:val="004A0B8F"/>
    <w:rsid w:val="004A41F2"/>
    <w:rsid w:val="004A43DE"/>
    <w:rsid w:val="004A5A18"/>
    <w:rsid w:val="004A661A"/>
    <w:rsid w:val="004A6B38"/>
    <w:rsid w:val="004A7785"/>
    <w:rsid w:val="004A784B"/>
    <w:rsid w:val="004B0A4E"/>
    <w:rsid w:val="004B0B1A"/>
    <w:rsid w:val="004B1182"/>
    <w:rsid w:val="004B214B"/>
    <w:rsid w:val="004B23E7"/>
    <w:rsid w:val="004B3C59"/>
    <w:rsid w:val="004B3E4A"/>
    <w:rsid w:val="004B3FB9"/>
    <w:rsid w:val="004B4FF4"/>
    <w:rsid w:val="004B54F0"/>
    <w:rsid w:val="004C1271"/>
    <w:rsid w:val="004C1811"/>
    <w:rsid w:val="004C2806"/>
    <w:rsid w:val="004C28A3"/>
    <w:rsid w:val="004C2911"/>
    <w:rsid w:val="004C30A3"/>
    <w:rsid w:val="004C43E7"/>
    <w:rsid w:val="004C4CAC"/>
    <w:rsid w:val="004C4D31"/>
    <w:rsid w:val="004C5BE4"/>
    <w:rsid w:val="004C65D3"/>
    <w:rsid w:val="004C7A57"/>
    <w:rsid w:val="004C7AA0"/>
    <w:rsid w:val="004D183D"/>
    <w:rsid w:val="004D1871"/>
    <w:rsid w:val="004D1C12"/>
    <w:rsid w:val="004D1FFB"/>
    <w:rsid w:val="004D422D"/>
    <w:rsid w:val="004D4A10"/>
    <w:rsid w:val="004D50EE"/>
    <w:rsid w:val="004D514D"/>
    <w:rsid w:val="004D51D7"/>
    <w:rsid w:val="004D552B"/>
    <w:rsid w:val="004D60CD"/>
    <w:rsid w:val="004D7150"/>
    <w:rsid w:val="004D77F3"/>
    <w:rsid w:val="004D799E"/>
    <w:rsid w:val="004D7A31"/>
    <w:rsid w:val="004E04F8"/>
    <w:rsid w:val="004E11FB"/>
    <w:rsid w:val="004E3425"/>
    <w:rsid w:val="004E37D8"/>
    <w:rsid w:val="004E42E7"/>
    <w:rsid w:val="004E4EB1"/>
    <w:rsid w:val="004E50D7"/>
    <w:rsid w:val="004E5FAE"/>
    <w:rsid w:val="004E6116"/>
    <w:rsid w:val="004E64E5"/>
    <w:rsid w:val="004E7BD6"/>
    <w:rsid w:val="004F0063"/>
    <w:rsid w:val="004F07A7"/>
    <w:rsid w:val="004F2A27"/>
    <w:rsid w:val="004F2ED0"/>
    <w:rsid w:val="004F2F8A"/>
    <w:rsid w:val="004F34C8"/>
    <w:rsid w:val="004F3D77"/>
    <w:rsid w:val="004F4DE1"/>
    <w:rsid w:val="004F4E27"/>
    <w:rsid w:val="004F506A"/>
    <w:rsid w:val="004F56D4"/>
    <w:rsid w:val="004F686D"/>
    <w:rsid w:val="004F6D8A"/>
    <w:rsid w:val="004F73D6"/>
    <w:rsid w:val="004F7C4F"/>
    <w:rsid w:val="004F7EC6"/>
    <w:rsid w:val="005000B0"/>
    <w:rsid w:val="005003BE"/>
    <w:rsid w:val="00500B56"/>
    <w:rsid w:val="00501226"/>
    <w:rsid w:val="00501B11"/>
    <w:rsid w:val="00501B63"/>
    <w:rsid w:val="00501EC8"/>
    <w:rsid w:val="005026AE"/>
    <w:rsid w:val="005027C9"/>
    <w:rsid w:val="00502CC6"/>
    <w:rsid w:val="005032A9"/>
    <w:rsid w:val="00504FF8"/>
    <w:rsid w:val="00505D3F"/>
    <w:rsid w:val="00507497"/>
    <w:rsid w:val="0050795E"/>
    <w:rsid w:val="00507C66"/>
    <w:rsid w:val="00510187"/>
    <w:rsid w:val="00512097"/>
    <w:rsid w:val="00512AFB"/>
    <w:rsid w:val="00513933"/>
    <w:rsid w:val="005140B8"/>
    <w:rsid w:val="005146C7"/>
    <w:rsid w:val="00515740"/>
    <w:rsid w:val="00516446"/>
    <w:rsid w:val="00516969"/>
    <w:rsid w:val="0051732A"/>
    <w:rsid w:val="00517749"/>
    <w:rsid w:val="00521282"/>
    <w:rsid w:val="005217AA"/>
    <w:rsid w:val="00521CF4"/>
    <w:rsid w:val="00522464"/>
    <w:rsid w:val="005237C8"/>
    <w:rsid w:val="00524442"/>
    <w:rsid w:val="00524A56"/>
    <w:rsid w:val="005255C5"/>
    <w:rsid w:val="0052581A"/>
    <w:rsid w:val="00525DE7"/>
    <w:rsid w:val="00525EF4"/>
    <w:rsid w:val="005262DB"/>
    <w:rsid w:val="005279C3"/>
    <w:rsid w:val="00527E91"/>
    <w:rsid w:val="0053037C"/>
    <w:rsid w:val="005304E9"/>
    <w:rsid w:val="00530657"/>
    <w:rsid w:val="00530A4D"/>
    <w:rsid w:val="00530D88"/>
    <w:rsid w:val="0053143A"/>
    <w:rsid w:val="0053266A"/>
    <w:rsid w:val="00532B12"/>
    <w:rsid w:val="00532D65"/>
    <w:rsid w:val="00532FF2"/>
    <w:rsid w:val="0053302B"/>
    <w:rsid w:val="0053311E"/>
    <w:rsid w:val="00533174"/>
    <w:rsid w:val="0053344D"/>
    <w:rsid w:val="005334AF"/>
    <w:rsid w:val="00533B19"/>
    <w:rsid w:val="00534220"/>
    <w:rsid w:val="005344AA"/>
    <w:rsid w:val="0053497E"/>
    <w:rsid w:val="00535A00"/>
    <w:rsid w:val="00535AB0"/>
    <w:rsid w:val="00535FDB"/>
    <w:rsid w:val="005365D3"/>
    <w:rsid w:val="00540441"/>
    <w:rsid w:val="00540D98"/>
    <w:rsid w:val="0054114F"/>
    <w:rsid w:val="00541696"/>
    <w:rsid w:val="0054205C"/>
    <w:rsid w:val="00543BD5"/>
    <w:rsid w:val="005457BE"/>
    <w:rsid w:val="00545FC6"/>
    <w:rsid w:val="00546896"/>
    <w:rsid w:val="00546A4C"/>
    <w:rsid w:val="00546FBB"/>
    <w:rsid w:val="005474DE"/>
    <w:rsid w:val="005478A7"/>
    <w:rsid w:val="00550B48"/>
    <w:rsid w:val="00551AE5"/>
    <w:rsid w:val="00552140"/>
    <w:rsid w:val="0055248B"/>
    <w:rsid w:val="0055390E"/>
    <w:rsid w:val="0055502B"/>
    <w:rsid w:val="005552ED"/>
    <w:rsid w:val="00555468"/>
    <w:rsid w:val="005564D2"/>
    <w:rsid w:val="00557197"/>
    <w:rsid w:val="0056072F"/>
    <w:rsid w:val="005609B4"/>
    <w:rsid w:val="00560C14"/>
    <w:rsid w:val="005619D6"/>
    <w:rsid w:val="005634F2"/>
    <w:rsid w:val="00563D12"/>
    <w:rsid w:val="0056470D"/>
    <w:rsid w:val="005658B4"/>
    <w:rsid w:val="00565D1A"/>
    <w:rsid w:val="005666C5"/>
    <w:rsid w:val="00566CD8"/>
    <w:rsid w:val="00567FA3"/>
    <w:rsid w:val="00567FD9"/>
    <w:rsid w:val="0057069B"/>
    <w:rsid w:val="00570A1F"/>
    <w:rsid w:val="00571899"/>
    <w:rsid w:val="00573536"/>
    <w:rsid w:val="005738B2"/>
    <w:rsid w:val="00574C8C"/>
    <w:rsid w:val="00575A4D"/>
    <w:rsid w:val="00576B41"/>
    <w:rsid w:val="00580038"/>
    <w:rsid w:val="0058005A"/>
    <w:rsid w:val="005813EF"/>
    <w:rsid w:val="0058217B"/>
    <w:rsid w:val="00582B8E"/>
    <w:rsid w:val="00582D71"/>
    <w:rsid w:val="00583257"/>
    <w:rsid w:val="00583549"/>
    <w:rsid w:val="00584B63"/>
    <w:rsid w:val="00584B69"/>
    <w:rsid w:val="00584CD3"/>
    <w:rsid w:val="005854A6"/>
    <w:rsid w:val="005855F2"/>
    <w:rsid w:val="00585B1A"/>
    <w:rsid w:val="00586A99"/>
    <w:rsid w:val="00586D33"/>
    <w:rsid w:val="005874E5"/>
    <w:rsid w:val="00587762"/>
    <w:rsid w:val="00590E48"/>
    <w:rsid w:val="00590F49"/>
    <w:rsid w:val="00591796"/>
    <w:rsid w:val="00592A1E"/>
    <w:rsid w:val="00592FC5"/>
    <w:rsid w:val="00593437"/>
    <w:rsid w:val="00593C8A"/>
    <w:rsid w:val="005943AB"/>
    <w:rsid w:val="005946BF"/>
    <w:rsid w:val="00594B7B"/>
    <w:rsid w:val="0059501F"/>
    <w:rsid w:val="005950ED"/>
    <w:rsid w:val="005961E1"/>
    <w:rsid w:val="0059636C"/>
    <w:rsid w:val="00596E44"/>
    <w:rsid w:val="00597392"/>
    <w:rsid w:val="005A0E3B"/>
    <w:rsid w:val="005A11EC"/>
    <w:rsid w:val="005A1610"/>
    <w:rsid w:val="005A2D40"/>
    <w:rsid w:val="005A51AA"/>
    <w:rsid w:val="005A7427"/>
    <w:rsid w:val="005A7531"/>
    <w:rsid w:val="005A7664"/>
    <w:rsid w:val="005B24CC"/>
    <w:rsid w:val="005B35A0"/>
    <w:rsid w:val="005B3B01"/>
    <w:rsid w:val="005B4116"/>
    <w:rsid w:val="005B41CB"/>
    <w:rsid w:val="005B56D7"/>
    <w:rsid w:val="005B5875"/>
    <w:rsid w:val="005B58BC"/>
    <w:rsid w:val="005B596F"/>
    <w:rsid w:val="005B5995"/>
    <w:rsid w:val="005B72F9"/>
    <w:rsid w:val="005C1791"/>
    <w:rsid w:val="005C19FD"/>
    <w:rsid w:val="005C2406"/>
    <w:rsid w:val="005C291B"/>
    <w:rsid w:val="005C3761"/>
    <w:rsid w:val="005C4295"/>
    <w:rsid w:val="005C48BB"/>
    <w:rsid w:val="005C4F44"/>
    <w:rsid w:val="005C5A8B"/>
    <w:rsid w:val="005C5B8D"/>
    <w:rsid w:val="005C6DC7"/>
    <w:rsid w:val="005D051B"/>
    <w:rsid w:val="005D13E1"/>
    <w:rsid w:val="005D2FA8"/>
    <w:rsid w:val="005D3575"/>
    <w:rsid w:val="005D3ADF"/>
    <w:rsid w:val="005D3B64"/>
    <w:rsid w:val="005D43DB"/>
    <w:rsid w:val="005D479D"/>
    <w:rsid w:val="005D56B1"/>
    <w:rsid w:val="005D6C30"/>
    <w:rsid w:val="005D6D4F"/>
    <w:rsid w:val="005D7FC6"/>
    <w:rsid w:val="005E097A"/>
    <w:rsid w:val="005E09D9"/>
    <w:rsid w:val="005E1E34"/>
    <w:rsid w:val="005E2023"/>
    <w:rsid w:val="005E292E"/>
    <w:rsid w:val="005E4160"/>
    <w:rsid w:val="005E5107"/>
    <w:rsid w:val="005E5228"/>
    <w:rsid w:val="005E56E2"/>
    <w:rsid w:val="005E5DF9"/>
    <w:rsid w:val="005E6779"/>
    <w:rsid w:val="005E6D02"/>
    <w:rsid w:val="005E7792"/>
    <w:rsid w:val="005E7B92"/>
    <w:rsid w:val="005F02D5"/>
    <w:rsid w:val="005F579A"/>
    <w:rsid w:val="005F5ECA"/>
    <w:rsid w:val="005F6BF8"/>
    <w:rsid w:val="005F6F51"/>
    <w:rsid w:val="005F7148"/>
    <w:rsid w:val="005F74B3"/>
    <w:rsid w:val="005F7700"/>
    <w:rsid w:val="005F7CAA"/>
    <w:rsid w:val="006000FA"/>
    <w:rsid w:val="00601041"/>
    <w:rsid w:val="0060106A"/>
    <w:rsid w:val="006022DC"/>
    <w:rsid w:val="006023CE"/>
    <w:rsid w:val="00603B1C"/>
    <w:rsid w:val="00603DA8"/>
    <w:rsid w:val="00604F4C"/>
    <w:rsid w:val="00605B56"/>
    <w:rsid w:val="00605C2B"/>
    <w:rsid w:val="006068E5"/>
    <w:rsid w:val="00607138"/>
    <w:rsid w:val="0061162A"/>
    <w:rsid w:val="0061179D"/>
    <w:rsid w:val="006120AA"/>
    <w:rsid w:val="00612356"/>
    <w:rsid w:val="00613E63"/>
    <w:rsid w:val="00614225"/>
    <w:rsid w:val="0061496B"/>
    <w:rsid w:val="00614A8B"/>
    <w:rsid w:val="00614C2F"/>
    <w:rsid w:val="0061567C"/>
    <w:rsid w:val="006172F1"/>
    <w:rsid w:val="006177DD"/>
    <w:rsid w:val="00617C93"/>
    <w:rsid w:val="0062057A"/>
    <w:rsid w:val="00620A5A"/>
    <w:rsid w:val="0062161B"/>
    <w:rsid w:val="0062274B"/>
    <w:rsid w:val="00623187"/>
    <w:rsid w:val="0062380D"/>
    <w:rsid w:val="00623CFF"/>
    <w:rsid w:val="0062402C"/>
    <w:rsid w:val="006240A8"/>
    <w:rsid w:val="00625608"/>
    <w:rsid w:val="006261A7"/>
    <w:rsid w:val="0062699D"/>
    <w:rsid w:val="0062703E"/>
    <w:rsid w:val="006271AC"/>
    <w:rsid w:val="006271ED"/>
    <w:rsid w:val="0063053E"/>
    <w:rsid w:val="00630C8B"/>
    <w:rsid w:val="00631054"/>
    <w:rsid w:val="006314F2"/>
    <w:rsid w:val="006315DC"/>
    <w:rsid w:val="00631738"/>
    <w:rsid w:val="0063183F"/>
    <w:rsid w:val="00631FF0"/>
    <w:rsid w:val="006326BC"/>
    <w:rsid w:val="00633A75"/>
    <w:rsid w:val="00633D36"/>
    <w:rsid w:val="00634B18"/>
    <w:rsid w:val="006351A4"/>
    <w:rsid w:val="0063550F"/>
    <w:rsid w:val="00637488"/>
    <w:rsid w:val="006377FC"/>
    <w:rsid w:val="00637E56"/>
    <w:rsid w:val="00640551"/>
    <w:rsid w:val="00640C48"/>
    <w:rsid w:val="006411D5"/>
    <w:rsid w:val="006413E6"/>
    <w:rsid w:val="00641738"/>
    <w:rsid w:val="006417E9"/>
    <w:rsid w:val="006427CE"/>
    <w:rsid w:val="006436FB"/>
    <w:rsid w:val="006438DF"/>
    <w:rsid w:val="0064419E"/>
    <w:rsid w:val="006443E8"/>
    <w:rsid w:val="0064493D"/>
    <w:rsid w:val="00644D90"/>
    <w:rsid w:val="0064542A"/>
    <w:rsid w:val="00645A1B"/>
    <w:rsid w:val="00646763"/>
    <w:rsid w:val="00646C32"/>
    <w:rsid w:val="00646FE3"/>
    <w:rsid w:val="0064716E"/>
    <w:rsid w:val="0065080D"/>
    <w:rsid w:val="00650864"/>
    <w:rsid w:val="00651B54"/>
    <w:rsid w:val="00651EA2"/>
    <w:rsid w:val="00652D3E"/>
    <w:rsid w:val="00653D58"/>
    <w:rsid w:val="006547E0"/>
    <w:rsid w:val="006549DB"/>
    <w:rsid w:val="00654BB4"/>
    <w:rsid w:val="00654BF4"/>
    <w:rsid w:val="0065677B"/>
    <w:rsid w:val="006575B8"/>
    <w:rsid w:val="00660E4A"/>
    <w:rsid w:val="006610AC"/>
    <w:rsid w:val="0066204E"/>
    <w:rsid w:val="0066214C"/>
    <w:rsid w:val="00663812"/>
    <w:rsid w:val="00664489"/>
    <w:rsid w:val="0066462E"/>
    <w:rsid w:val="00664F56"/>
    <w:rsid w:val="0066507B"/>
    <w:rsid w:val="00665C48"/>
    <w:rsid w:val="006675C2"/>
    <w:rsid w:val="00667AEE"/>
    <w:rsid w:val="00670792"/>
    <w:rsid w:val="00670A63"/>
    <w:rsid w:val="006716C9"/>
    <w:rsid w:val="00671B9E"/>
    <w:rsid w:val="0067272A"/>
    <w:rsid w:val="0067485E"/>
    <w:rsid w:val="006753A7"/>
    <w:rsid w:val="0067683C"/>
    <w:rsid w:val="00677823"/>
    <w:rsid w:val="00677BC8"/>
    <w:rsid w:val="0068136F"/>
    <w:rsid w:val="006818E5"/>
    <w:rsid w:val="00681B5C"/>
    <w:rsid w:val="00681BA8"/>
    <w:rsid w:val="00681C11"/>
    <w:rsid w:val="00682537"/>
    <w:rsid w:val="00682D18"/>
    <w:rsid w:val="00683C27"/>
    <w:rsid w:val="00684EBF"/>
    <w:rsid w:val="00685392"/>
    <w:rsid w:val="00685A6A"/>
    <w:rsid w:val="006863DF"/>
    <w:rsid w:val="00690B01"/>
    <w:rsid w:val="00690F3B"/>
    <w:rsid w:val="00691A8A"/>
    <w:rsid w:val="00694A19"/>
    <w:rsid w:val="006951A6"/>
    <w:rsid w:val="0069555F"/>
    <w:rsid w:val="00696BF2"/>
    <w:rsid w:val="00697F24"/>
    <w:rsid w:val="006A0194"/>
    <w:rsid w:val="006A0A3B"/>
    <w:rsid w:val="006A0EEC"/>
    <w:rsid w:val="006A1990"/>
    <w:rsid w:val="006A41B3"/>
    <w:rsid w:val="006A4ABA"/>
    <w:rsid w:val="006A4B6F"/>
    <w:rsid w:val="006A4E21"/>
    <w:rsid w:val="006A60C9"/>
    <w:rsid w:val="006A6775"/>
    <w:rsid w:val="006A7129"/>
    <w:rsid w:val="006A7483"/>
    <w:rsid w:val="006B098C"/>
    <w:rsid w:val="006B2483"/>
    <w:rsid w:val="006B295E"/>
    <w:rsid w:val="006B2B48"/>
    <w:rsid w:val="006B2DA1"/>
    <w:rsid w:val="006B48C3"/>
    <w:rsid w:val="006B5AAD"/>
    <w:rsid w:val="006B6CA9"/>
    <w:rsid w:val="006B781D"/>
    <w:rsid w:val="006C0528"/>
    <w:rsid w:val="006C131C"/>
    <w:rsid w:val="006C1A36"/>
    <w:rsid w:val="006C1A48"/>
    <w:rsid w:val="006C1C19"/>
    <w:rsid w:val="006C26C1"/>
    <w:rsid w:val="006C2778"/>
    <w:rsid w:val="006C3237"/>
    <w:rsid w:val="006C34F9"/>
    <w:rsid w:val="006C36E1"/>
    <w:rsid w:val="006C3846"/>
    <w:rsid w:val="006C3B63"/>
    <w:rsid w:val="006C413B"/>
    <w:rsid w:val="006C51FF"/>
    <w:rsid w:val="006C65EE"/>
    <w:rsid w:val="006C7EB5"/>
    <w:rsid w:val="006D019A"/>
    <w:rsid w:val="006D02D8"/>
    <w:rsid w:val="006D03E2"/>
    <w:rsid w:val="006D080A"/>
    <w:rsid w:val="006D09DC"/>
    <w:rsid w:val="006D1A2A"/>
    <w:rsid w:val="006D1A94"/>
    <w:rsid w:val="006D1F47"/>
    <w:rsid w:val="006D23A8"/>
    <w:rsid w:val="006D3905"/>
    <w:rsid w:val="006D490A"/>
    <w:rsid w:val="006D5C73"/>
    <w:rsid w:val="006D640F"/>
    <w:rsid w:val="006D71DA"/>
    <w:rsid w:val="006D7603"/>
    <w:rsid w:val="006D7969"/>
    <w:rsid w:val="006D7D5B"/>
    <w:rsid w:val="006E0248"/>
    <w:rsid w:val="006E073F"/>
    <w:rsid w:val="006E22C6"/>
    <w:rsid w:val="006E28C9"/>
    <w:rsid w:val="006E2B93"/>
    <w:rsid w:val="006E3D39"/>
    <w:rsid w:val="006E5278"/>
    <w:rsid w:val="006E52AA"/>
    <w:rsid w:val="006E56CD"/>
    <w:rsid w:val="006E56EB"/>
    <w:rsid w:val="006E7689"/>
    <w:rsid w:val="006E782E"/>
    <w:rsid w:val="006F07FC"/>
    <w:rsid w:val="006F143E"/>
    <w:rsid w:val="006F1A64"/>
    <w:rsid w:val="006F210B"/>
    <w:rsid w:val="006F286F"/>
    <w:rsid w:val="006F2BC9"/>
    <w:rsid w:val="006F2E02"/>
    <w:rsid w:val="006F2EDF"/>
    <w:rsid w:val="006F3289"/>
    <w:rsid w:val="006F35B1"/>
    <w:rsid w:val="006F3700"/>
    <w:rsid w:val="006F3CC9"/>
    <w:rsid w:val="006F40A2"/>
    <w:rsid w:val="006F40C3"/>
    <w:rsid w:val="006F4926"/>
    <w:rsid w:val="006F5BCF"/>
    <w:rsid w:val="006F5C0B"/>
    <w:rsid w:val="006F61C0"/>
    <w:rsid w:val="006F6C37"/>
    <w:rsid w:val="006F6EE6"/>
    <w:rsid w:val="006F7A67"/>
    <w:rsid w:val="007003EA"/>
    <w:rsid w:val="00701815"/>
    <w:rsid w:val="00701B66"/>
    <w:rsid w:val="00701C80"/>
    <w:rsid w:val="00701FD9"/>
    <w:rsid w:val="00703416"/>
    <w:rsid w:val="00703669"/>
    <w:rsid w:val="00704838"/>
    <w:rsid w:val="00704DAD"/>
    <w:rsid w:val="00706B92"/>
    <w:rsid w:val="00706F4B"/>
    <w:rsid w:val="00710842"/>
    <w:rsid w:val="00710A88"/>
    <w:rsid w:val="00710EEE"/>
    <w:rsid w:val="0071170F"/>
    <w:rsid w:val="00711D23"/>
    <w:rsid w:val="00713CA6"/>
    <w:rsid w:val="00713CC6"/>
    <w:rsid w:val="00716E44"/>
    <w:rsid w:val="00716EBB"/>
    <w:rsid w:val="00717A31"/>
    <w:rsid w:val="007201A1"/>
    <w:rsid w:val="00720F7A"/>
    <w:rsid w:val="007224F6"/>
    <w:rsid w:val="007231E6"/>
    <w:rsid w:val="007260C6"/>
    <w:rsid w:val="00726BEA"/>
    <w:rsid w:val="007270B4"/>
    <w:rsid w:val="00727393"/>
    <w:rsid w:val="00727401"/>
    <w:rsid w:val="007276E4"/>
    <w:rsid w:val="0073033F"/>
    <w:rsid w:val="00730A55"/>
    <w:rsid w:val="0073208D"/>
    <w:rsid w:val="00732CB6"/>
    <w:rsid w:val="007332A7"/>
    <w:rsid w:val="007332E6"/>
    <w:rsid w:val="007333E1"/>
    <w:rsid w:val="00733650"/>
    <w:rsid w:val="007336CA"/>
    <w:rsid w:val="007337EE"/>
    <w:rsid w:val="00735DE5"/>
    <w:rsid w:val="00735F99"/>
    <w:rsid w:val="00736818"/>
    <w:rsid w:val="00736ADF"/>
    <w:rsid w:val="00736C16"/>
    <w:rsid w:val="00737112"/>
    <w:rsid w:val="007377AB"/>
    <w:rsid w:val="007377BE"/>
    <w:rsid w:val="00737EB0"/>
    <w:rsid w:val="007401F0"/>
    <w:rsid w:val="00740A5A"/>
    <w:rsid w:val="00741428"/>
    <w:rsid w:val="00741AB5"/>
    <w:rsid w:val="007421A8"/>
    <w:rsid w:val="00743CC2"/>
    <w:rsid w:val="00743E46"/>
    <w:rsid w:val="007446E7"/>
    <w:rsid w:val="00745393"/>
    <w:rsid w:val="007460CF"/>
    <w:rsid w:val="007466A7"/>
    <w:rsid w:val="00747C24"/>
    <w:rsid w:val="00750D01"/>
    <w:rsid w:val="007515AB"/>
    <w:rsid w:val="0075260B"/>
    <w:rsid w:val="00752E77"/>
    <w:rsid w:val="007533B2"/>
    <w:rsid w:val="00753A8E"/>
    <w:rsid w:val="007541E4"/>
    <w:rsid w:val="007547D7"/>
    <w:rsid w:val="007553C9"/>
    <w:rsid w:val="0075551E"/>
    <w:rsid w:val="00755CB2"/>
    <w:rsid w:val="00756BAF"/>
    <w:rsid w:val="00757440"/>
    <w:rsid w:val="007603A7"/>
    <w:rsid w:val="00760893"/>
    <w:rsid w:val="00761424"/>
    <w:rsid w:val="00761CC0"/>
    <w:rsid w:val="00761D68"/>
    <w:rsid w:val="0076280C"/>
    <w:rsid w:val="00762A75"/>
    <w:rsid w:val="00762AF6"/>
    <w:rsid w:val="00763104"/>
    <w:rsid w:val="00763A36"/>
    <w:rsid w:val="00763A73"/>
    <w:rsid w:val="00764815"/>
    <w:rsid w:val="00765137"/>
    <w:rsid w:val="00765BCD"/>
    <w:rsid w:val="007660E3"/>
    <w:rsid w:val="00766106"/>
    <w:rsid w:val="0076617B"/>
    <w:rsid w:val="007675FC"/>
    <w:rsid w:val="007679ED"/>
    <w:rsid w:val="0077011C"/>
    <w:rsid w:val="007701B0"/>
    <w:rsid w:val="0077182A"/>
    <w:rsid w:val="00771834"/>
    <w:rsid w:val="00772AD3"/>
    <w:rsid w:val="00772D27"/>
    <w:rsid w:val="00772FC2"/>
    <w:rsid w:val="0077387E"/>
    <w:rsid w:val="00774114"/>
    <w:rsid w:val="00775006"/>
    <w:rsid w:val="00775E26"/>
    <w:rsid w:val="00776310"/>
    <w:rsid w:val="00776B7D"/>
    <w:rsid w:val="00777322"/>
    <w:rsid w:val="0077773C"/>
    <w:rsid w:val="00780B98"/>
    <w:rsid w:val="0078181F"/>
    <w:rsid w:val="00781B0D"/>
    <w:rsid w:val="00782278"/>
    <w:rsid w:val="00782329"/>
    <w:rsid w:val="00782339"/>
    <w:rsid w:val="007826CC"/>
    <w:rsid w:val="00782854"/>
    <w:rsid w:val="007829B2"/>
    <w:rsid w:val="007837ED"/>
    <w:rsid w:val="00783A84"/>
    <w:rsid w:val="00783C13"/>
    <w:rsid w:val="00783DAE"/>
    <w:rsid w:val="00784667"/>
    <w:rsid w:val="007868D7"/>
    <w:rsid w:val="0078749C"/>
    <w:rsid w:val="00790796"/>
    <w:rsid w:val="007913E3"/>
    <w:rsid w:val="00791472"/>
    <w:rsid w:val="00791634"/>
    <w:rsid w:val="00792AA6"/>
    <w:rsid w:val="00792E0C"/>
    <w:rsid w:val="0079332E"/>
    <w:rsid w:val="00793350"/>
    <w:rsid w:val="00793E57"/>
    <w:rsid w:val="00794B65"/>
    <w:rsid w:val="007963F3"/>
    <w:rsid w:val="007967B3"/>
    <w:rsid w:val="007972FB"/>
    <w:rsid w:val="00797FF0"/>
    <w:rsid w:val="007A1011"/>
    <w:rsid w:val="007A10A5"/>
    <w:rsid w:val="007A10F4"/>
    <w:rsid w:val="007A1D8B"/>
    <w:rsid w:val="007A2581"/>
    <w:rsid w:val="007A2E7E"/>
    <w:rsid w:val="007A2FE3"/>
    <w:rsid w:val="007A308E"/>
    <w:rsid w:val="007A34E8"/>
    <w:rsid w:val="007A3900"/>
    <w:rsid w:val="007A4FE1"/>
    <w:rsid w:val="007A532D"/>
    <w:rsid w:val="007A60EE"/>
    <w:rsid w:val="007B085B"/>
    <w:rsid w:val="007B0CA9"/>
    <w:rsid w:val="007B0F34"/>
    <w:rsid w:val="007B10B0"/>
    <w:rsid w:val="007B17DB"/>
    <w:rsid w:val="007B19D2"/>
    <w:rsid w:val="007B1E6C"/>
    <w:rsid w:val="007B221D"/>
    <w:rsid w:val="007B24D8"/>
    <w:rsid w:val="007B2E5C"/>
    <w:rsid w:val="007B3186"/>
    <w:rsid w:val="007B412F"/>
    <w:rsid w:val="007B4906"/>
    <w:rsid w:val="007B5082"/>
    <w:rsid w:val="007B5797"/>
    <w:rsid w:val="007B5A33"/>
    <w:rsid w:val="007B6077"/>
    <w:rsid w:val="007B6999"/>
    <w:rsid w:val="007B7146"/>
    <w:rsid w:val="007C01F9"/>
    <w:rsid w:val="007C099B"/>
    <w:rsid w:val="007C156E"/>
    <w:rsid w:val="007C1FC5"/>
    <w:rsid w:val="007C2D54"/>
    <w:rsid w:val="007C34DD"/>
    <w:rsid w:val="007C39E1"/>
    <w:rsid w:val="007C434E"/>
    <w:rsid w:val="007C4AB3"/>
    <w:rsid w:val="007C56F4"/>
    <w:rsid w:val="007C57BB"/>
    <w:rsid w:val="007C630F"/>
    <w:rsid w:val="007C6727"/>
    <w:rsid w:val="007C7402"/>
    <w:rsid w:val="007C7A8C"/>
    <w:rsid w:val="007D10A3"/>
    <w:rsid w:val="007D14B8"/>
    <w:rsid w:val="007D1689"/>
    <w:rsid w:val="007D17FB"/>
    <w:rsid w:val="007D24DA"/>
    <w:rsid w:val="007D2C6A"/>
    <w:rsid w:val="007D2D8F"/>
    <w:rsid w:val="007D407F"/>
    <w:rsid w:val="007D42EB"/>
    <w:rsid w:val="007D5239"/>
    <w:rsid w:val="007D535F"/>
    <w:rsid w:val="007D56AA"/>
    <w:rsid w:val="007D57DD"/>
    <w:rsid w:val="007D78C1"/>
    <w:rsid w:val="007D7C3B"/>
    <w:rsid w:val="007E0AB4"/>
    <w:rsid w:val="007E1015"/>
    <w:rsid w:val="007E1F7E"/>
    <w:rsid w:val="007E2ED8"/>
    <w:rsid w:val="007E35F7"/>
    <w:rsid w:val="007E3F7D"/>
    <w:rsid w:val="007E4872"/>
    <w:rsid w:val="007E488B"/>
    <w:rsid w:val="007E50F2"/>
    <w:rsid w:val="007E56B0"/>
    <w:rsid w:val="007E74B6"/>
    <w:rsid w:val="007F0814"/>
    <w:rsid w:val="007F1442"/>
    <w:rsid w:val="007F29A2"/>
    <w:rsid w:val="007F2CC9"/>
    <w:rsid w:val="007F4FF3"/>
    <w:rsid w:val="007F512D"/>
    <w:rsid w:val="007F55FC"/>
    <w:rsid w:val="007F5DB8"/>
    <w:rsid w:val="007F5E25"/>
    <w:rsid w:val="007F60B1"/>
    <w:rsid w:val="007F6FA8"/>
    <w:rsid w:val="007F700C"/>
    <w:rsid w:val="007F79FB"/>
    <w:rsid w:val="00800C9D"/>
    <w:rsid w:val="00801091"/>
    <w:rsid w:val="0080181C"/>
    <w:rsid w:val="00801E77"/>
    <w:rsid w:val="00802986"/>
    <w:rsid w:val="00802B78"/>
    <w:rsid w:val="00802DCB"/>
    <w:rsid w:val="00803A4D"/>
    <w:rsid w:val="008046D5"/>
    <w:rsid w:val="0080484A"/>
    <w:rsid w:val="00804F62"/>
    <w:rsid w:val="00805273"/>
    <w:rsid w:val="008056AD"/>
    <w:rsid w:val="0080583E"/>
    <w:rsid w:val="00805D41"/>
    <w:rsid w:val="008066D5"/>
    <w:rsid w:val="00806800"/>
    <w:rsid w:val="00806820"/>
    <w:rsid w:val="00806989"/>
    <w:rsid w:val="00807865"/>
    <w:rsid w:val="00807A5D"/>
    <w:rsid w:val="00807B62"/>
    <w:rsid w:val="00807EE7"/>
    <w:rsid w:val="00810EF2"/>
    <w:rsid w:val="0081233C"/>
    <w:rsid w:val="00812E18"/>
    <w:rsid w:val="00814793"/>
    <w:rsid w:val="0081506B"/>
    <w:rsid w:val="008166E7"/>
    <w:rsid w:val="00817117"/>
    <w:rsid w:val="00817400"/>
    <w:rsid w:val="008176B5"/>
    <w:rsid w:val="0081779A"/>
    <w:rsid w:val="00817CB8"/>
    <w:rsid w:val="0082038A"/>
    <w:rsid w:val="00821FA2"/>
    <w:rsid w:val="008225A2"/>
    <w:rsid w:val="0082292D"/>
    <w:rsid w:val="0082337C"/>
    <w:rsid w:val="00823512"/>
    <w:rsid w:val="0082383F"/>
    <w:rsid w:val="00823E47"/>
    <w:rsid w:val="00824A94"/>
    <w:rsid w:val="00824F81"/>
    <w:rsid w:val="008258B0"/>
    <w:rsid w:val="008267C5"/>
    <w:rsid w:val="00826A7F"/>
    <w:rsid w:val="00826C9F"/>
    <w:rsid w:val="00827690"/>
    <w:rsid w:val="00827A54"/>
    <w:rsid w:val="00827C10"/>
    <w:rsid w:val="00827C88"/>
    <w:rsid w:val="00830387"/>
    <w:rsid w:val="008306BE"/>
    <w:rsid w:val="008316F9"/>
    <w:rsid w:val="00831E55"/>
    <w:rsid w:val="00832283"/>
    <w:rsid w:val="00832AF4"/>
    <w:rsid w:val="00832BE7"/>
    <w:rsid w:val="008332B4"/>
    <w:rsid w:val="00833594"/>
    <w:rsid w:val="00833E66"/>
    <w:rsid w:val="00833ED6"/>
    <w:rsid w:val="0083444D"/>
    <w:rsid w:val="00834E33"/>
    <w:rsid w:val="00835A5E"/>
    <w:rsid w:val="008365A1"/>
    <w:rsid w:val="00836E16"/>
    <w:rsid w:val="008374AC"/>
    <w:rsid w:val="008378F4"/>
    <w:rsid w:val="008401E8"/>
    <w:rsid w:val="0084074A"/>
    <w:rsid w:val="00841F4A"/>
    <w:rsid w:val="00842EFE"/>
    <w:rsid w:val="008439A9"/>
    <w:rsid w:val="00843EC2"/>
    <w:rsid w:val="008445EF"/>
    <w:rsid w:val="008458CF"/>
    <w:rsid w:val="00845B66"/>
    <w:rsid w:val="00845F15"/>
    <w:rsid w:val="0084671A"/>
    <w:rsid w:val="00846863"/>
    <w:rsid w:val="0084699B"/>
    <w:rsid w:val="0084751A"/>
    <w:rsid w:val="00847608"/>
    <w:rsid w:val="00847CE9"/>
    <w:rsid w:val="00850164"/>
    <w:rsid w:val="008516E1"/>
    <w:rsid w:val="00851CA1"/>
    <w:rsid w:val="00852A0B"/>
    <w:rsid w:val="00853042"/>
    <w:rsid w:val="008536E5"/>
    <w:rsid w:val="008554B9"/>
    <w:rsid w:val="0085597D"/>
    <w:rsid w:val="00857282"/>
    <w:rsid w:val="00860275"/>
    <w:rsid w:val="008609A0"/>
    <w:rsid w:val="00861564"/>
    <w:rsid w:val="00861AAE"/>
    <w:rsid w:val="0086281B"/>
    <w:rsid w:val="008667DE"/>
    <w:rsid w:val="008669E5"/>
    <w:rsid w:val="00866ABF"/>
    <w:rsid w:val="00866D33"/>
    <w:rsid w:val="00866EC2"/>
    <w:rsid w:val="00867E4E"/>
    <w:rsid w:val="00872551"/>
    <w:rsid w:val="008729D7"/>
    <w:rsid w:val="00872BB5"/>
    <w:rsid w:val="00872EBB"/>
    <w:rsid w:val="0087351B"/>
    <w:rsid w:val="00873EE8"/>
    <w:rsid w:val="008744FD"/>
    <w:rsid w:val="00874D9D"/>
    <w:rsid w:val="00875055"/>
    <w:rsid w:val="00875183"/>
    <w:rsid w:val="008753A8"/>
    <w:rsid w:val="0087595F"/>
    <w:rsid w:val="0087611F"/>
    <w:rsid w:val="008766DD"/>
    <w:rsid w:val="008771F4"/>
    <w:rsid w:val="00877BFB"/>
    <w:rsid w:val="00880BE3"/>
    <w:rsid w:val="00880DD3"/>
    <w:rsid w:val="008810A6"/>
    <w:rsid w:val="00881235"/>
    <w:rsid w:val="0088165E"/>
    <w:rsid w:val="00884149"/>
    <w:rsid w:val="00886D62"/>
    <w:rsid w:val="00886F8C"/>
    <w:rsid w:val="008872D9"/>
    <w:rsid w:val="0088786A"/>
    <w:rsid w:val="00887FE2"/>
    <w:rsid w:val="008903A3"/>
    <w:rsid w:val="008907C4"/>
    <w:rsid w:val="00890951"/>
    <w:rsid w:val="00890AF0"/>
    <w:rsid w:val="00890D2B"/>
    <w:rsid w:val="00891125"/>
    <w:rsid w:val="0089123B"/>
    <w:rsid w:val="00892414"/>
    <w:rsid w:val="00892AC1"/>
    <w:rsid w:val="00892D10"/>
    <w:rsid w:val="0089326D"/>
    <w:rsid w:val="00893B4E"/>
    <w:rsid w:val="00894000"/>
    <w:rsid w:val="00894A1D"/>
    <w:rsid w:val="008952BA"/>
    <w:rsid w:val="00895498"/>
    <w:rsid w:val="008961E1"/>
    <w:rsid w:val="00896990"/>
    <w:rsid w:val="0089710D"/>
    <w:rsid w:val="00897D8E"/>
    <w:rsid w:val="00897E91"/>
    <w:rsid w:val="008A2121"/>
    <w:rsid w:val="008A2A63"/>
    <w:rsid w:val="008A2AE8"/>
    <w:rsid w:val="008A39C7"/>
    <w:rsid w:val="008A467B"/>
    <w:rsid w:val="008A4910"/>
    <w:rsid w:val="008A4AC8"/>
    <w:rsid w:val="008A516B"/>
    <w:rsid w:val="008A57CB"/>
    <w:rsid w:val="008A5921"/>
    <w:rsid w:val="008A5DED"/>
    <w:rsid w:val="008A720C"/>
    <w:rsid w:val="008B0207"/>
    <w:rsid w:val="008B035A"/>
    <w:rsid w:val="008B067E"/>
    <w:rsid w:val="008B0C7F"/>
    <w:rsid w:val="008B0F31"/>
    <w:rsid w:val="008B1A0B"/>
    <w:rsid w:val="008B2AB0"/>
    <w:rsid w:val="008B3690"/>
    <w:rsid w:val="008B3BE2"/>
    <w:rsid w:val="008B47D2"/>
    <w:rsid w:val="008B4AFA"/>
    <w:rsid w:val="008B50B9"/>
    <w:rsid w:val="008B5A3C"/>
    <w:rsid w:val="008B5E0A"/>
    <w:rsid w:val="008B6501"/>
    <w:rsid w:val="008B686B"/>
    <w:rsid w:val="008B71F9"/>
    <w:rsid w:val="008B7387"/>
    <w:rsid w:val="008C0B93"/>
    <w:rsid w:val="008C181A"/>
    <w:rsid w:val="008C1D42"/>
    <w:rsid w:val="008C200A"/>
    <w:rsid w:val="008C217F"/>
    <w:rsid w:val="008C5292"/>
    <w:rsid w:val="008C6318"/>
    <w:rsid w:val="008C6A45"/>
    <w:rsid w:val="008D01B8"/>
    <w:rsid w:val="008D02FE"/>
    <w:rsid w:val="008D0647"/>
    <w:rsid w:val="008D09C9"/>
    <w:rsid w:val="008D0A34"/>
    <w:rsid w:val="008D0B0F"/>
    <w:rsid w:val="008D0CCB"/>
    <w:rsid w:val="008D12AD"/>
    <w:rsid w:val="008D1D3A"/>
    <w:rsid w:val="008D2CFA"/>
    <w:rsid w:val="008D33E8"/>
    <w:rsid w:val="008D341C"/>
    <w:rsid w:val="008D374A"/>
    <w:rsid w:val="008D3C4D"/>
    <w:rsid w:val="008D4CAA"/>
    <w:rsid w:val="008D544E"/>
    <w:rsid w:val="008D5B64"/>
    <w:rsid w:val="008D68F1"/>
    <w:rsid w:val="008D6C2F"/>
    <w:rsid w:val="008D72C2"/>
    <w:rsid w:val="008D7408"/>
    <w:rsid w:val="008D7677"/>
    <w:rsid w:val="008E0702"/>
    <w:rsid w:val="008E072C"/>
    <w:rsid w:val="008E0967"/>
    <w:rsid w:val="008E0F12"/>
    <w:rsid w:val="008E1711"/>
    <w:rsid w:val="008E20AA"/>
    <w:rsid w:val="008E260C"/>
    <w:rsid w:val="008E29B0"/>
    <w:rsid w:val="008E485F"/>
    <w:rsid w:val="008E492C"/>
    <w:rsid w:val="008E6541"/>
    <w:rsid w:val="008E6C55"/>
    <w:rsid w:val="008E6D03"/>
    <w:rsid w:val="008E7BE9"/>
    <w:rsid w:val="008E7DDD"/>
    <w:rsid w:val="008E7F66"/>
    <w:rsid w:val="008F037D"/>
    <w:rsid w:val="008F04BC"/>
    <w:rsid w:val="008F094A"/>
    <w:rsid w:val="008F12BA"/>
    <w:rsid w:val="008F17A9"/>
    <w:rsid w:val="008F1E0B"/>
    <w:rsid w:val="008F255A"/>
    <w:rsid w:val="008F259F"/>
    <w:rsid w:val="008F2B24"/>
    <w:rsid w:val="008F2D93"/>
    <w:rsid w:val="008F344B"/>
    <w:rsid w:val="008F3639"/>
    <w:rsid w:val="008F3999"/>
    <w:rsid w:val="008F399C"/>
    <w:rsid w:val="008F3A4D"/>
    <w:rsid w:val="008F42AD"/>
    <w:rsid w:val="008F4ACF"/>
    <w:rsid w:val="008F5F4F"/>
    <w:rsid w:val="008F713B"/>
    <w:rsid w:val="008F770A"/>
    <w:rsid w:val="009002F7"/>
    <w:rsid w:val="009009B3"/>
    <w:rsid w:val="00900BFC"/>
    <w:rsid w:val="009011CB"/>
    <w:rsid w:val="009014FF"/>
    <w:rsid w:val="0090151D"/>
    <w:rsid w:val="009017C7"/>
    <w:rsid w:val="009018E7"/>
    <w:rsid w:val="00901995"/>
    <w:rsid w:val="00902062"/>
    <w:rsid w:val="00903B12"/>
    <w:rsid w:val="009042C9"/>
    <w:rsid w:val="00904CC4"/>
    <w:rsid w:val="00905CC3"/>
    <w:rsid w:val="009065C7"/>
    <w:rsid w:val="009070F6"/>
    <w:rsid w:val="00907450"/>
    <w:rsid w:val="0090787B"/>
    <w:rsid w:val="00911819"/>
    <w:rsid w:val="00911935"/>
    <w:rsid w:val="00911B78"/>
    <w:rsid w:val="00911B95"/>
    <w:rsid w:val="00911BDA"/>
    <w:rsid w:val="00911E74"/>
    <w:rsid w:val="00911F3F"/>
    <w:rsid w:val="00913419"/>
    <w:rsid w:val="00913439"/>
    <w:rsid w:val="00913790"/>
    <w:rsid w:val="0091551C"/>
    <w:rsid w:val="009166E9"/>
    <w:rsid w:val="00916C00"/>
    <w:rsid w:val="00917820"/>
    <w:rsid w:val="009200C5"/>
    <w:rsid w:val="00920108"/>
    <w:rsid w:val="0092066A"/>
    <w:rsid w:val="009221E1"/>
    <w:rsid w:val="009230DA"/>
    <w:rsid w:val="00925377"/>
    <w:rsid w:val="00925EAF"/>
    <w:rsid w:val="0092621A"/>
    <w:rsid w:val="0092777F"/>
    <w:rsid w:val="009278ED"/>
    <w:rsid w:val="009279D7"/>
    <w:rsid w:val="00930290"/>
    <w:rsid w:val="009321D1"/>
    <w:rsid w:val="0093434F"/>
    <w:rsid w:val="00934BFC"/>
    <w:rsid w:val="009353F7"/>
    <w:rsid w:val="009354AA"/>
    <w:rsid w:val="009355F5"/>
    <w:rsid w:val="009360D2"/>
    <w:rsid w:val="00937936"/>
    <w:rsid w:val="00937C0A"/>
    <w:rsid w:val="00941A4C"/>
    <w:rsid w:val="0094212D"/>
    <w:rsid w:val="00942166"/>
    <w:rsid w:val="00942363"/>
    <w:rsid w:val="009427F6"/>
    <w:rsid w:val="00942E0E"/>
    <w:rsid w:val="00943940"/>
    <w:rsid w:val="0094426D"/>
    <w:rsid w:val="00944477"/>
    <w:rsid w:val="009453CF"/>
    <w:rsid w:val="009456DA"/>
    <w:rsid w:val="009458B6"/>
    <w:rsid w:val="009468D6"/>
    <w:rsid w:val="00946F69"/>
    <w:rsid w:val="00947C16"/>
    <w:rsid w:val="00950765"/>
    <w:rsid w:val="00951C5D"/>
    <w:rsid w:val="00951CC4"/>
    <w:rsid w:val="009529CA"/>
    <w:rsid w:val="00953F7E"/>
    <w:rsid w:val="009553DF"/>
    <w:rsid w:val="0095626B"/>
    <w:rsid w:val="009563FF"/>
    <w:rsid w:val="009575A9"/>
    <w:rsid w:val="00957AD4"/>
    <w:rsid w:val="00960901"/>
    <w:rsid w:val="0096126D"/>
    <w:rsid w:val="00962E40"/>
    <w:rsid w:val="00963307"/>
    <w:rsid w:val="009635D9"/>
    <w:rsid w:val="009636AC"/>
    <w:rsid w:val="00963906"/>
    <w:rsid w:val="00963A3D"/>
    <w:rsid w:val="00963D52"/>
    <w:rsid w:val="00967628"/>
    <w:rsid w:val="0096776C"/>
    <w:rsid w:val="00970CFF"/>
    <w:rsid w:val="0097100F"/>
    <w:rsid w:val="009720A0"/>
    <w:rsid w:val="00972121"/>
    <w:rsid w:val="00972283"/>
    <w:rsid w:val="009726F3"/>
    <w:rsid w:val="00972E52"/>
    <w:rsid w:val="00972E72"/>
    <w:rsid w:val="00973054"/>
    <w:rsid w:val="009736DC"/>
    <w:rsid w:val="00973A91"/>
    <w:rsid w:val="00973B12"/>
    <w:rsid w:val="00974562"/>
    <w:rsid w:val="00976194"/>
    <w:rsid w:val="009776C3"/>
    <w:rsid w:val="0097773B"/>
    <w:rsid w:val="00977E13"/>
    <w:rsid w:val="00980C22"/>
    <w:rsid w:val="0098249A"/>
    <w:rsid w:val="009832B3"/>
    <w:rsid w:val="00983B3C"/>
    <w:rsid w:val="009864CE"/>
    <w:rsid w:val="00987149"/>
    <w:rsid w:val="00987C88"/>
    <w:rsid w:val="009905E3"/>
    <w:rsid w:val="009909F6"/>
    <w:rsid w:val="009911E9"/>
    <w:rsid w:val="009925A0"/>
    <w:rsid w:val="00993058"/>
    <w:rsid w:val="009930D5"/>
    <w:rsid w:val="0099330D"/>
    <w:rsid w:val="0099351B"/>
    <w:rsid w:val="00993D65"/>
    <w:rsid w:val="00993EEF"/>
    <w:rsid w:val="00995362"/>
    <w:rsid w:val="00995410"/>
    <w:rsid w:val="009957BC"/>
    <w:rsid w:val="00995B00"/>
    <w:rsid w:val="0099698C"/>
    <w:rsid w:val="00996A9E"/>
    <w:rsid w:val="0099767C"/>
    <w:rsid w:val="00997A66"/>
    <w:rsid w:val="00997DC0"/>
    <w:rsid w:val="009A0F8A"/>
    <w:rsid w:val="009A249F"/>
    <w:rsid w:val="009A3A3D"/>
    <w:rsid w:val="009A461D"/>
    <w:rsid w:val="009A46BA"/>
    <w:rsid w:val="009A4884"/>
    <w:rsid w:val="009A51AA"/>
    <w:rsid w:val="009A5273"/>
    <w:rsid w:val="009A5955"/>
    <w:rsid w:val="009A5F73"/>
    <w:rsid w:val="009A7A6D"/>
    <w:rsid w:val="009B0173"/>
    <w:rsid w:val="009B0395"/>
    <w:rsid w:val="009B18CF"/>
    <w:rsid w:val="009B2927"/>
    <w:rsid w:val="009B2A07"/>
    <w:rsid w:val="009B3980"/>
    <w:rsid w:val="009B3A38"/>
    <w:rsid w:val="009B3DBE"/>
    <w:rsid w:val="009B3E6F"/>
    <w:rsid w:val="009B4640"/>
    <w:rsid w:val="009B489B"/>
    <w:rsid w:val="009B4BEA"/>
    <w:rsid w:val="009B5A4D"/>
    <w:rsid w:val="009B5ED6"/>
    <w:rsid w:val="009B5FE5"/>
    <w:rsid w:val="009B6421"/>
    <w:rsid w:val="009B6A25"/>
    <w:rsid w:val="009B6AF6"/>
    <w:rsid w:val="009B7993"/>
    <w:rsid w:val="009C1870"/>
    <w:rsid w:val="009C269E"/>
    <w:rsid w:val="009C29BA"/>
    <w:rsid w:val="009C39A6"/>
    <w:rsid w:val="009C4942"/>
    <w:rsid w:val="009C4B65"/>
    <w:rsid w:val="009C610F"/>
    <w:rsid w:val="009C62C9"/>
    <w:rsid w:val="009C653C"/>
    <w:rsid w:val="009C70AD"/>
    <w:rsid w:val="009C7A41"/>
    <w:rsid w:val="009D0FE2"/>
    <w:rsid w:val="009D10DB"/>
    <w:rsid w:val="009D2251"/>
    <w:rsid w:val="009D2BD8"/>
    <w:rsid w:val="009D3668"/>
    <w:rsid w:val="009D3B76"/>
    <w:rsid w:val="009D470A"/>
    <w:rsid w:val="009D5A6D"/>
    <w:rsid w:val="009D632A"/>
    <w:rsid w:val="009D7606"/>
    <w:rsid w:val="009D782C"/>
    <w:rsid w:val="009D7F11"/>
    <w:rsid w:val="009E0AD6"/>
    <w:rsid w:val="009E101A"/>
    <w:rsid w:val="009E17E8"/>
    <w:rsid w:val="009E1919"/>
    <w:rsid w:val="009E267B"/>
    <w:rsid w:val="009E3E67"/>
    <w:rsid w:val="009E3F97"/>
    <w:rsid w:val="009E4148"/>
    <w:rsid w:val="009E42F5"/>
    <w:rsid w:val="009E4551"/>
    <w:rsid w:val="009E4916"/>
    <w:rsid w:val="009E52CA"/>
    <w:rsid w:val="009E53DB"/>
    <w:rsid w:val="009E57A8"/>
    <w:rsid w:val="009F179B"/>
    <w:rsid w:val="009F227A"/>
    <w:rsid w:val="009F233E"/>
    <w:rsid w:val="009F2454"/>
    <w:rsid w:val="009F3DBC"/>
    <w:rsid w:val="009F4226"/>
    <w:rsid w:val="009F46DD"/>
    <w:rsid w:val="009F4941"/>
    <w:rsid w:val="009F4D43"/>
    <w:rsid w:val="009F523C"/>
    <w:rsid w:val="009F5356"/>
    <w:rsid w:val="009F56A3"/>
    <w:rsid w:val="009F5BC8"/>
    <w:rsid w:val="009F6B1D"/>
    <w:rsid w:val="009F6CA0"/>
    <w:rsid w:val="009F708C"/>
    <w:rsid w:val="009F7668"/>
    <w:rsid w:val="00A01A7D"/>
    <w:rsid w:val="00A01D6C"/>
    <w:rsid w:val="00A02665"/>
    <w:rsid w:val="00A02F70"/>
    <w:rsid w:val="00A03537"/>
    <w:rsid w:val="00A03D6B"/>
    <w:rsid w:val="00A044F1"/>
    <w:rsid w:val="00A04BD7"/>
    <w:rsid w:val="00A06034"/>
    <w:rsid w:val="00A06330"/>
    <w:rsid w:val="00A07562"/>
    <w:rsid w:val="00A077DC"/>
    <w:rsid w:val="00A07F96"/>
    <w:rsid w:val="00A1057D"/>
    <w:rsid w:val="00A108AD"/>
    <w:rsid w:val="00A1134E"/>
    <w:rsid w:val="00A12464"/>
    <w:rsid w:val="00A1275A"/>
    <w:rsid w:val="00A130D1"/>
    <w:rsid w:val="00A1359B"/>
    <w:rsid w:val="00A13D73"/>
    <w:rsid w:val="00A13EBF"/>
    <w:rsid w:val="00A1427C"/>
    <w:rsid w:val="00A14C5E"/>
    <w:rsid w:val="00A14DDE"/>
    <w:rsid w:val="00A155B7"/>
    <w:rsid w:val="00A17302"/>
    <w:rsid w:val="00A215DF"/>
    <w:rsid w:val="00A21BC1"/>
    <w:rsid w:val="00A2229F"/>
    <w:rsid w:val="00A22C08"/>
    <w:rsid w:val="00A22FCC"/>
    <w:rsid w:val="00A23612"/>
    <w:rsid w:val="00A23FCC"/>
    <w:rsid w:val="00A24000"/>
    <w:rsid w:val="00A24F8B"/>
    <w:rsid w:val="00A25117"/>
    <w:rsid w:val="00A2548C"/>
    <w:rsid w:val="00A272D3"/>
    <w:rsid w:val="00A2793A"/>
    <w:rsid w:val="00A27E91"/>
    <w:rsid w:val="00A302F0"/>
    <w:rsid w:val="00A30980"/>
    <w:rsid w:val="00A3217C"/>
    <w:rsid w:val="00A338A6"/>
    <w:rsid w:val="00A33BF0"/>
    <w:rsid w:val="00A3504F"/>
    <w:rsid w:val="00A35525"/>
    <w:rsid w:val="00A35722"/>
    <w:rsid w:val="00A35D51"/>
    <w:rsid w:val="00A379C9"/>
    <w:rsid w:val="00A37F2E"/>
    <w:rsid w:val="00A40311"/>
    <w:rsid w:val="00A408F7"/>
    <w:rsid w:val="00A40E71"/>
    <w:rsid w:val="00A40F75"/>
    <w:rsid w:val="00A415BC"/>
    <w:rsid w:val="00A420DA"/>
    <w:rsid w:val="00A42FD7"/>
    <w:rsid w:val="00A43121"/>
    <w:rsid w:val="00A43CD5"/>
    <w:rsid w:val="00A468F4"/>
    <w:rsid w:val="00A4744A"/>
    <w:rsid w:val="00A47962"/>
    <w:rsid w:val="00A47CFA"/>
    <w:rsid w:val="00A47E47"/>
    <w:rsid w:val="00A50900"/>
    <w:rsid w:val="00A50DDA"/>
    <w:rsid w:val="00A512D8"/>
    <w:rsid w:val="00A51E7F"/>
    <w:rsid w:val="00A52148"/>
    <w:rsid w:val="00A550B7"/>
    <w:rsid w:val="00A55549"/>
    <w:rsid w:val="00A56053"/>
    <w:rsid w:val="00A56836"/>
    <w:rsid w:val="00A56ACC"/>
    <w:rsid w:val="00A56E79"/>
    <w:rsid w:val="00A575AA"/>
    <w:rsid w:val="00A5773B"/>
    <w:rsid w:val="00A5778C"/>
    <w:rsid w:val="00A6053C"/>
    <w:rsid w:val="00A60CD2"/>
    <w:rsid w:val="00A61676"/>
    <w:rsid w:val="00A6194D"/>
    <w:rsid w:val="00A61F64"/>
    <w:rsid w:val="00A62826"/>
    <w:rsid w:val="00A628F4"/>
    <w:rsid w:val="00A62A0F"/>
    <w:rsid w:val="00A62A2F"/>
    <w:rsid w:val="00A64297"/>
    <w:rsid w:val="00A643C6"/>
    <w:rsid w:val="00A661CC"/>
    <w:rsid w:val="00A67DB8"/>
    <w:rsid w:val="00A67E28"/>
    <w:rsid w:val="00A7061F"/>
    <w:rsid w:val="00A7113A"/>
    <w:rsid w:val="00A71463"/>
    <w:rsid w:val="00A71AC9"/>
    <w:rsid w:val="00A7373A"/>
    <w:rsid w:val="00A75910"/>
    <w:rsid w:val="00A760FD"/>
    <w:rsid w:val="00A76B98"/>
    <w:rsid w:val="00A77359"/>
    <w:rsid w:val="00A776B8"/>
    <w:rsid w:val="00A8082E"/>
    <w:rsid w:val="00A808EB"/>
    <w:rsid w:val="00A80F6A"/>
    <w:rsid w:val="00A8112C"/>
    <w:rsid w:val="00A821B0"/>
    <w:rsid w:val="00A827A2"/>
    <w:rsid w:val="00A84018"/>
    <w:rsid w:val="00A84BBF"/>
    <w:rsid w:val="00A84E15"/>
    <w:rsid w:val="00A8536F"/>
    <w:rsid w:val="00A8548E"/>
    <w:rsid w:val="00A85C66"/>
    <w:rsid w:val="00A86B9C"/>
    <w:rsid w:val="00A87026"/>
    <w:rsid w:val="00A87BB0"/>
    <w:rsid w:val="00A90396"/>
    <w:rsid w:val="00A906DB"/>
    <w:rsid w:val="00A90D9A"/>
    <w:rsid w:val="00A9174C"/>
    <w:rsid w:val="00A9190F"/>
    <w:rsid w:val="00A922FA"/>
    <w:rsid w:val="00A923E2"/>
    <w:rsid w:val="00A925EE"/>
    <w:rsid w:val="00A92C59"/>
    <w:rsid w:val="00A93D17"/>
    <w:rsid w:val="00A94584"/>
    <w:rsid w:val="00A9475D"/>
    <w:rsid w:val="00A94FA9"/>
    <w:rsid w:val="00A95375"/>
    <w:rsid w:val="00A95D83"/>
    <w:rsid w:val="00A9649F"/>
    <w:rsid w:val="00A972AE"/>
    <w:rsid w:val="00A97A98"/>
    <w:rsid w:val="00AA05B4"/>
    <w:rsid w:val="00AA2BA2"/>
    <w:rsid w:val="00AA372E"/>
    <w:rsid w:val="00AA3808"/>
    <w:rsid w:val="00AA3A25"/>
    <w:rsid w:val="00AA3B77"/>
    <w:rsid w:val="00AA4B84"/>
    <w:rsid w:val="00AA5309"/>
    <w:rsid w:val="00AA663E"/>
    <w:rsid w:val="00AA6E61"/>
    <w:rsid w:val="00AA7146"/>
    <w:rsid w:val="00AA781C"/>
    <w:rsid w:val="00AB01D7"/>
    <w:rsid w:val="00AB111D"/>
    <w:rsid w:val="00AB1507"/>
    <w:rsid w:val="00AB17E9"/>
    <w:rsid w:val="00AB1890"/>
    <w:rsid w:val="00AB1A1B"/>
    <w:rsid w:val="00AB1DB9"/>
    <w:rsid w:val="00AB22D1"/>
    <w:rsid w:val="00AB2CD8"/>
    <w:rsid w:val="00AB331E"/>
    <w:rsid w:val="00AB3B67"/>
    <w:rsid w:val="00AB411A"/>
    <w:rsid w:val="00AB42B6"/>
    <w:rsid w:val="00AB4332"/>
    <w:rsid w:val="00AB47E0"/>
    <w:rsid w:val="00AB56DD"/>
    <w:rsid w:val="00AB654F"/>
    <w:rsid w:val="00AB65E0"/>
    <w:rsid w:val="00AB70EF"/>
    <w:rsid w:val="00AB75BE"/>
    <w:rsid w:val="00AB772E"/>
    <w:rsid w:val="00AB7955"/>
    <w:rsid w:val="00AB7C6E"/>
    <w:rsid w:val="00AC01C5"/>
    <w:rsid w:val="00AC0AB0"/>
    <w:rsid w:val="00AC1BA4"/>
    <w:rsid w:val="00AC2828"/>
    <w:rsid w:val="00AC30D4"/>
    <w:rsid w:val="00AC37C9"/>
    <w:rsid w:val="00AC3E9E"/>
    <w:rsid w:val="00AC53F7"/>
    <w:rsid w:val="00AC653A"/>
    <w:rsid w:val="00AC718D"/>
    <w:rsid w:val="00AC71C7"/>
    <w:rsid w:val="00AC7807"/>
    <w:rsid w:val="00AC7C79"/>
    <w:rsid w:val="00AD001B"/>
    <w:rsid w:val="00AD029F"/>
    <w:rsid w:val="00AD20C1"/>
    <w:rsid w:val="00AD2757"/>
    <w:rsid w:val="00AD2B3E"/>
    <w:rsid w:val="00AD352E"/>
    <w:rsid w:val="00AD426B"/>
    <w:rsid w:val="00AD4866"/>
    <w:rsid w:val="00AD5334"/>
    <w:rsid w:val="00AD56A5"/>
    <w:rsid w:val="00AD6017"/>
    <w:rsid w:val="00AD6298"/>
    <w:rsid w:val="00AD69B4"/>
    <w:rsid w:val="00AE0278"/>
    <w:rsid w:val="00AE070F"/>
    <w:rsid w:val="00AE10C9"/>
    <w:rsid w:val="00AE1C6B"/>
    <w:rsid w:val="00AE2819"/>
    <w:rsid w:val="00AE33DB"/>
    <w:rsid w:val="00AE3BF5"/>
    <w:rsid w:val="00AE4536"/>
    <w:rsid w:val="00AE4B2E"/>
    <w:rsid w:val="00AE5B4A"/>
    <w:rsid w:val="00AE777D"/>
    <w:rsid w:val="00AF0109"/>
    <w:rsid w:val="00AF0576"/>
    <w:rsid w:val="00AF2E1B"/>
    <w:rsid w:val="00AF2F0A"/>
    <w:rsid w:val="00AF2F65"/>
    <w:rsid w:val="00AF3D34"/>
    <w:rsid w:val="00AF46D6"/>
    <w:rsid w:val="00AF4E36"/>
    <w:rsid w:val="00AF4E65"/>
    <w:rsid w:val="00AF5316"/>
    <w:rsid w:val="00AF7603"/>
    <w:rsid w:val="00AF7BB1"/>
    <w:rsid w:val="00AF7F05"/>
    <w:rsid w:val="00B0091A"/>
    <w:rsid w:val="00B00F99"/>
    <w:rsid w:val="00B01AA7"/>
    <w:rsid w:val="00B028D8"/>
    <w:rsid w:val="00B0350A"/>
    <w:rsid w:val="00B037F1"/>
    <w:rsid w:val="00B03CB9"/>
    <w:rsid w:val="00B03D73"/>
    <w:rsid w:val="00B04E57"/>
    <w:rsid w:val="00B04ECD"/>
    <w:rsid w:val="00B04EED"/>
    <w:rsid w:val="00B05095"/>
    <w:rsid w:val="00B053B2"/>
    <w:rsid w:val="00B05E73"/>
    <w:rsid w:val="00B067FF"/>
    <w:rsid w:val="00B06ADE"/>
    <w:rsid w:val="00B06AE6"/>
    <w:rsid w:val="00B06E8F"/>
    <w:rsid w:val="00B10789"/>
    <w:rsid w:val="00B11A45"/>
    <w:rsid w:val="00B11DC1"/>
    <w:rsid w:val="00B11F25"/>
    <w:rsid w:val="00B11FED"/>
    <w:rsid w:val="00B126A0"/>
    <w:rsid w:val="00B14EEE"/>
    <w:rsid w:val="00B15040"/>
    <w:rsid w:val="00B1598E"/>
    <w:rsid w:val="00B15A07"/>
    <w:rsid w:val="00B15AD1"/>
    <w:rsid w:val="00B15FD6"/>
    <w:rsid w:val="00B16A5D"/>
    <w:rsid w:val="00B16D61"/>
    <w:rsid w:val="00B21E83"/>
    <w:rsid w:val="00B21EC5"/>
    <w:rsid w:val="00B21ED0"/>
    <w:rsid w:val="00B22589"/>
    <w:rsid w:val="00B22ACD"/>
    <w:rsid w:val="00B238FB"/>
    <w:rsid w:val="00B24E95"/>
    <w:rsid w:val="00B276FD"/>
    <w:rsid w:val="00B27B73"/>
    <w:rsid w:val="00B30AA1"/>
    <w:rsid w:val="00B30C3F"/>
    <w:rsid w:val="00B30EDA"/>
    <w:rsid w:val="00B314F2"/>
    <w:rsid w:val="00B31528"/>
    <w:rsid w:val="00B3156E"/>
    <w:rsid w:val="00B31F24"/>
    <w:rsid w:val="00B31F8F"/>
    <w:rsid w:val="00B323B5"/>
    <w:rsid w:val="00B32BA8"/>
    <w:rsid w:val="00B32C34"/>
    <w:rsid w:val="00B32FF8"/>
    <w:rsid w:val="00B33522"/>
    <w:rsid w:val="00B3565F"/>
    <w:rsid w:val="00B35EF0"/>
    <w:rsid w:val="00B37363"/>
    <w:rsid w:val="00B3759B"/>
    <w:rsid w:val="00B40FF8"/>
    <w:rsid w:val="00B4106E"/>
    <w:rsid w:val="00B429FA"/>
    <w:rsid w:val="00B42E36"/>
    <w:rsid w:val="00B43058"/>
    <w:rsid w:val="00B43186"/>
    <w:rsid w:val="00B440AB"/>
    <w:rsid w:val="00B440F4"/>
    <w:rsid w:val="00B4422C"/>
    <w:rsid w:val="00B44883"/>
    <w:rsid w:val="00B44F63"/>
    <w:rsid w:val="00B4509F"/>
    <w:rsid w:val="00B451EF"/>
    <w:rsid w:val="00B4527D"/>
    <w:rsid w:val="00B45825"/>
    <w:rsid w:val="00B45CA0"/>
    <w:rsid w:val="00B463BD"/>
    <w:rsid w:val="00B474F2"/>
    <w:rsid w:val="00B47D28"/>
    <w:rsid w:val="00B50081"/>
    <w:rsid w:val="00B507B3"/>
    <w:rsid w:val="00B50988"/>
    <w:rsid w:val="00B50BA8"/>
    <w:rsid w:val="00B5131C"/>
    <w:rsid w:val="00B52520"/>
    <w:rsid w:val="00B539B1"/>
    <w:rsid w:val="00B5635B"/>
    <w:rsid w:val="00B5674B"/>
    <w:rsid w:val="00B57247"/>
    <w:rsid w:val="00B5768F"/>
    <w:rsid w:val="00B64767"/>
    <w:rsid w:val="00B6633B"/>
    <w:rsid w:val="00B665D7"/>
    <w:rsid w:val="00B66A3D"/>
    <w:rsid w:val="00B66D65"/>
    <w:rsid w:val="00B66D8A"/>
    <w:rsid w:val="00B66F12"/>
    <w:rsid w:val="00B67987"/>
    <w:rsid w:val="00B706D2"/>
    <w:rsid w:val="00B70C92"/>
    <w:rsid w:val="00B70D1B"/>
    <w:rsid w:val="00B71A33"/>
    <w:rsid w:val="00B723A4"/>
    <w:rsid w:val="00B7289A"/>
    <w:rsid w:val="00B72A00"/>
    <w:rsid w:val="00B72C89"/>
    <w:rsid w:val="00B72FF1"/>
    <w:rsid w:val="00B730FD"/>
    <w:rsid w:val="00B73A47"/>
    <w:rsid w:val="00B741AF"/>
    <w:rsid w:val="00B742AA"/>
    <w:rsid w:val="00B74B2B"/>
    <w:rsid w:val="00B7501F"/>
    <w:rsid w:val="00B75BBD"/>
    <w:rsid w:val="00B75DDC"/>
    <w:rsid w:val="00B76663"/>
    <w:rsid w:val="00B76664"/>
    <w:rsid w:val="00B80328"/>
    <w:rsid w:val="00B8084A"/>
    <w:rsid w:val="00B81096"/>
    <w:rsid w:val="00B810EC"/>
    <w:rsid w:val="00B815E3"/>
    <w:rsid w:val="00B81E52"/>
    <w:rsid w:val="00B82314"/>
    <w:rsid w:val="00B82938"/>
    <w:rsid w:val="00B82962"/>
    <w:rsid w:val="00B82FB5"/>
    <w:rsid w:val="00B8389C"/>
    <w:rsid w:val="00B8449F"/>
    <w:rsid w:val="00B847FD"/>
    <w:rsid w:val="00B84993"/>
    <w:rsid w:val="00B84CDD"/>
    <w:rsid w:val="00B851A9"/>
    <w:rsid w:val="00B85AFD"/>
    <w:rsid w:val="00B86985"/>
    <w:rsid w:val="00B86F6B"/>
    <w:rsid w:val="00B87860"/>
    <w:rsid w:val="00B87B38"/>
    <w:rsid w:val="00B87D88"/>
    <w:rsid w:val="00B902FD"/>
    <w:rsid w:val="00B9049F"/>
    <w:rsid w:val="00B90806"/>
    <w:rsid w:val="00B924CA"/>
    <w:rsid w:val="00B926E7"/>
    <w:rsid w:val="00B93257"/>
    <w:rsid w:val="00B9354E"/>
    <w:rsid w:val="00B938DE"/>
    <w:rsid w:val="00B941AA"/>
    <w:rsid w:val="00B9420F"/>
    <w:rsid w:val="00B94A6E"/>
    <w:rsid w:val="00B9510E"/>
    <w:rsid w:val="00B95C02"/>
    <w:rsid w:val="00B967A6"/>
    <w:rsid w:val="00B974E6"/>
    <w:rsid w:val="00B97694"/>
    <w:rsid w:val="00B97931"/>
    <w:rsid w:val="00B97EE3"/>
    <w:rsid w:val="00BA04E9"/>
    <w:rsid w:val="00BA1015"/>
    <w:rsid w:val="00BA1358"/>
    <w:rsid w:val="00BA20A2"/>
    <w:rsid w:val="00BA2BC0"/>
    <w:rsid w:val="00BA2C14"/>
    <w:rsid w:val="00BA2FA8"/>
    <w:rsid w:val="00BA3E25"/>
    <w:rsid w:val="00BA43C9"/>
    <w:rsid w:val="00BA4852"/>
    <w:rsid w:val="00BA527B"/>
    <w:rsid w:val="00BA54CE"/>
    <w:rsid w:val="00BA56AA"/>
    <w:rsid w:val="00BA5F69"/>
    <w:rsid w:val="00BA6341"/>
    <w:rsid w:val="00BA65DA"/>
    <w:rsid w:val="00BA66EE"/>
    <w:rsid w:val="00BA68E1"/>
    <w:rsid w:val="00BA6AC5"/>
    <w:rsid w:val="00BA7095"/>
    <w:rsid w:val="00BA7505"/>
    <w:rsid w:val="00BA7802"/>
    <w:rsid w:val="00BB07DA"/>
    <w:rsid w:val="00BB2833"/>
    <w:rsid w:val="00BB33D7"/>
    <w:rsid w:val="00BB4047"/>
    <w:rsid w:val="00BB41CF"/>
    <w:rsid w:val="00BB44E5"/>
    <w:rsid w:val="00BB5784"/>
    <w:rsid w:val="00BB6E6D"/>
    <w:rsid w:val="00BB7736"/>
    <w:rsid w:val="00BB7A3C"/>
    <w:rsid w:val="00BB7BA3"/>
    <w:rsid w:val="00BC2243"/>
    <w:rsid w:val="00BC257D"/>
    <w:rsid w:val="00BC28EC"/>
    <w:rsid w:val="00BC3571"/>
    <w:rsid w:val="00BC3CB3"/>
    <w:rsid w:val="00BC4142"/>
    <w:rsid w:val="00BC5FDF"/>
    <w:rsid w:val="00BC63D2"/>
    <w:rsid w:val="00BC66C1"/>
    <w:rsid w:val="00BC6A6D"/>
    <w:rsid w:val="00BC6E18"/>
    <w:rsid w:val="00BC75DB"/>
    <w:rsid w:val="00BD030C"/>
    <w:rsid w:val="00BD054E"/>
    <w:rsid w:val="00BD0DEB"/>
    <w:rsid w:val="00BD176B"/>
    <w:rsid w:val="00BD237E"/>
    <w:rsid w:val="00BD3475"/>
    <w:rsid w:val="00BD42A0"/>
    <w:rsid w:val="00BD4BC1"/>
    <w:rsid w:val="00BD55F4"/>
    <w:rsid w:val="00BD5CBF"/>
    <w:rsid w:val="00BD5D7B"/>
    <w:rsid w:val="00BD6EAB"/>
    <w:rsid w:val="00BD75C7"/>
    <w:rsid w:val="00BD7CF9"/>
    <w:rsid w:val="00BE0422"/>
    <w:rsid w:val="00BE0E8D"/>
    <w:rsid w:val="00BE15E1"/>
    <w:rsid w:val="00BE16FD"/>
    <w:rsid w:val="00BE1BBD"/>
    <w:rsid w:val="00BE1CEA"/>
    <w:rsid w:val="00BE1EA4"/>
    <w:rsid w:val="00BE34C7"/>
    <w:rsid w:val="00BE44D8"/>
    <w:rsid w:val="00BE45B1"/>
    <w:rsid w:val="00BE4CE7"/>
    <w:rsid w:val="00BE4E48"/>
    <w:rsid w:val="00BE4FB5"/>
    <w:rsid w:val="00BE554C"/>
    <w:rsid w:val="00BE56D6"/>
    <w:rsid w:val="00BE595D"/>
    <w:rsid w:val="00BE5E92"/>
    <w:rsid w:val="00BE6190"/>
    <w:rsid w:val="00BE6C54"/>
    <w:rsid w:val="00BE722D"/>
    <w:rsid w:val="00BF04C7"/>
    <w:rsid w:val="00BF1D57"/>
    <w:rsid w:val="00BF2481"/>
    <w:rsid w:val="00BF2AB0"/>
    <w:rsid w:val="00BF34F9"/>
    <w:rsid w:val="00BF3D2F"/>
    <w:rsid w:val="00BF4CAC"/>
    <w:rsid w:val="00BF5061"/>
    <w:rsid w:val="00BF5C66"/>
    <w:rsid w:val="00BF6575"/>
    <w:rsid w:val="00BF68A2"/>
    <w:rsid w:val="00BF782D"/>
    <w:rsid w:val="00BF78F2"/>
    <w:rsid w:val="00BF7E64"/>
    <w:rsid w:val="00C00627"/>
    <w:rsid w:val="00C01F08"/>
    <w:rsid w:val="00C035DE"/>
    <w:rsid w:val="00C03812"/>
    <w:rsid w:val="00C03DCC"/>
    <w:rsid w:val="00C05C9A"/>
    <w:rsid w:val="00C067DF"/>
    <w:rsid w:val="00C06E1F"/>
    <w:rsid w:val="00C076D5"/>
    <w:rsid w:val="00C10670"/>
    <w:rsid w:val="00C10703"/>
    <w:rsid w:val="00C11103"/>
    <w:rsid w:val="00C1237A"/>
    <w:rsid w:val="00C13B75"/>
    <w:rsid w:val="00C14CAD"/>
    <w:rsid w:val="00C161A3"/>
    <w:rsid w:val="00C16C9F"/>
    <w:rsid w:val="00C16D30"/>
    <w:rsid w:val="00C17E73"/>
    <w:rsid w:val="00C204F0"/>
    <w:rsid w:val="00C20BC1"/>
    <w:rsid w:val="00C20E35"/>
    <w:rsid w:val="00C21384"/>
    <w:rsid w:val="00C214B4"/>
    <w:rsid w:val="00C2205A"/>
    <w:rsid w:val="00C221EB"/>
    <w:rsid w:val="00C22DA9"/>
    <w:rsid w:val="00C2382A"/>
    <w:rsid w:val="00C23D60"/>
    <w:rsid w:val="00C23E3F"/>
    <w:rsid w:val="00C24D82"/>
    <w:rsid w:val="00C24DAF"/>
    <w:rsid w:val="00C2577A"/>
    <w:rsid w:val="00C25E68"/>
    <w:rsid w:val="00C303D4"/>
    <w:rsid w:val="00C31A5F"/>
    <w:rsid w:val="00C33A5B"/>
    <w:rsid w:val="00C35B6E"/>
    <w:rsid w:val="00C35BAE"/>
    <w:rsid w:val="00C35CE0"/>
    <w:rsid w:val="00C37916"/>
    <w:rsid w:val="00C419B5"/>
    <w:rsid w:val="00C41B8C"/>
    <w:rsid w:val="00C4212E"/>
    <w:rsid w:val="00C42661"/>
    <w:rsid w:val="00C42F25"/>
    <w:rsid w:val="00C43090"/>
    <w:rsid w:val="00C44199"/>
    <w:rsid w:val="00C449EE"/>
    <w:rsid w:val="00C45743"/>
    <w:rsid w:val="00C46937"/>
    <w:rsid w:val="00C4735F"/>
    <w:rsid w:val="00C475DC"/>
    <w:rsid w:val="00C47ECA"/>
    <w:rsid w:val="00C50C0F"/>
    <w:rsid w:val="00C50EC3"/>
    <w:rsid w:val="00C51360"/>
    <w:rsid w:val="00C51524"/>
    <w:rsid w:val="00C518BD"/>
    <w:rsid w:val="00C51AFC"/>
    <w:rsid w:val="00C51D8C"/>
    <w:rsid w:val="00C524CA"/>
    <w:rsid w:val="00C5295E"/>
    <w:rsid w:val="00C53871"/>
    <w:rsid w:val="00C54774"/>
    <w:rsid w:val="00C54F90"/>
    <w:rsid w:val="00C550B3"/>
    <w:rsid w:val="00C55F7A"/>
    <w:rsid w:val="00C55FB7"/>
    <w:rsid w:val="00C56E97"/>
    <w:rsid w:val="00C57B73"/>
    <w:rsid w:val="00C6026D"/>
    <w:rsid w:val="00C61187"/>
    <w:rsid w:val="00C61C73"/>
    <w:rsid w:val="00C61DC9"/>
    <w:rsid w:val="00C623FD"/>
    <w:rsid w:val="00C63078"/>
    <w:rsid w:val="00C63425"/>
    <w:rsid w:val="00C63CD5"/>
    <w:rsid w:val="00C640DF"/>
    <w:rsid w:val="00C64F1C"/>
    <w:rsid w:val="00C64F26"/>
    <w:rsid w:val="00C65D96"/>
    <w:rsid w:val="00C66289"/>
    <w:rsid w:val="00C66CAD"/>
    <w:rsid w:val="00C66D8A"/>
    <w:rsid w:val="00C6730E"/>
    <w:rsid w:val="00C67C8C"/>
    <w:rsid w:val="00C7025E"/>
    <w:rsid w:val="00C7067B"/>
    <w:rsid w:val="00C70CBA"/>
    <w:rsid w:val="00C71956"/>
    <w:rsid w:val="00C7195E"/>
    <w:rsid w:val="00C72349"/>
    <w:rsid w:val="00C738EB"/>
    <w:rsid w:val="00C73AFC"/>
    <w:rsid w:val="00C750A2"/>
    <w:rsid w:val="00C751F6"/>
    <w:rsid w:val="00C758CC"/>
    <w:rsid w:val="00C75D27"/>
    <w:rsid w:val="00C763F3"/>
    <w:rsid w:val="00C776C5"/>
    <w:rsid w:val="00C77DD6"/>
    <w:rsid w:val="00C806E0"/>
    <w:rsid w:val="00C814BE"/>
    <w:rsid w:val="00C81580"/>
    <w:rsid w:val="00C81656"/>
    <w:rsid w:val="00C81D5E"/>
    <w:rsid w:val="00C81EDD"/>
    <w:rsid w:val="00C822AA"/>
    <w:rsid w:val="00C82681"/>
    <w:rsid w:val="00C82AEA"/>
    <w:rsid w:val="00C84FE1"/>
    <w:rsid w:val="00C85062"/>
    <w:rsid w:val="00C858EE"/>
    <w:rsid w:val="00C85B72"/>
    <w:rsid w:val="00C86BFE"/>
    <w:rsid w:val="00C86D08"/>
    <w:rsid w:val="00C86E9A"/>
    <w:rsid w:val="00C87430"/>
    <w:rsid w:val="00C902E0"/>
    <w:rsid w:val="00C90538"/>
    <w:rsid w:val="00C9143E"/>
    <w:rsid w:val="00C91551"/>
    <w:rsid w:val="00C91BF7"/>
    <w:rsid w:val="00C91C70"/>
    <w:rsid w:val="00C925C9"/>
    <w:rsid w:val="00C92676"/>
    <w:rsid w:val="00C92AB5"/>
    <w:rsid w:val="00C92EBD"/>
    <w:rsid w:val="00C93927"/>
    <w:rsid w:val="00C941F8"/>
    <w:rsid w:val="00C942B3"/>
    <w:rsid w:val="00C95208"/>
    <w:rsid w:val="00C95377"/>
    <w:rsid w:val="00C95551"/>
    <w:rsid w:val="00C95A9E"/>
    <w:rsid w:val="00C966CE"/>
    <w:rsid w:val="00C974EE"/>
    <w:rsid w:val="00C97ED4"/>
    <w:rsid w:val="00CA15F1"/>
    <w:rsid w:val="00CA2E10"/>
    <w:rsid w:val="00CA36B4"/>
    <w:rsid w:val="00CA42E7"/>
    <w:rsid w:val="00CA4FDF"/>
    <w:rsid w:val="00CA53D3"/>
    <w:rsid w:val="00CA560B"/>
    <w:rsid w:val="00CA6264"/>
    <w:rsid w:val="00CA64DC"/>
    <w:rsid w:val="00CA65B3"/>
    <w:rsid w:val="00CA6BFB"/>
    <w:rsid w:val="00CA6EF4"/>
    <w:rsid w:val="00CA7FB5"/>
    <w:rsid w:val="00CB0617"/>
    <w:rsid w:val="00CB1C8B"/>
    <w:rsid w:val="00CB1D3D"/>
    <w:rsid w:val="00CB2275"/>
    <w:rsid w:val="00CB2F5C"/>
    <w:rsid w:val="00CB4C8A"/>
    <w:rsid w:val="00CB4D07"/>
    <w:rsid w:val="00CB515D"/>
    <w:rsid w:val="00CB65A4"/>
    <w:rsid w:val="00CB6B4F"/>
    <w:rsid w:val="00CB7A2C"/>
    <w:rsid w:val="00CC06F5"/>
    <w:rsid w:val="00CC07CA"/>
    <w:rsid w:val="00CC1BD4"/>
    <w:rsid w:val="00CC1BEE"/>
    <w:rsid w:val="00CC1BF8"/>
    <w:rsid w:val="00CC241F"/>
    <w:rsid w:val="00CC34E8"/>
    <w:rsid w:val="00CC3B60"/>
    <w:rsid w:val="00CC4BB0"/>
    <w:rsid w:val="00CC5EAF"/>
    <w:rsid w:val="00CC7B15"/>
    <w:rsid w:val="00CD166E"/>
    <w:rsid w:val="00CD1965"/>
    <w:rsid w:val="00CD2202"/>
    <w:rsid w:val="00CD2DE3"/>
    <w:rsid w:val="00CD375E"/>
    <w:rsid w:val="00CD3C1A"/>
    <w:rsid w:val="00CD3F76"/>
    <w:rsid w:val="00CD59B4"/>
    <w:rsid w:val="00CE0148"/>
    <w:rsid w:val="00CE03D6"/>
    <w:rsid w:val="00CE0AB3"/>
    <w:rsid w:val="00CE2055"/>
    <w:rsid w:val="00CE2717"/>
    <w:rsid w:val="00CE27D3"/>
    <w:rsid w:val="00CE2A35"/>
    <w:rsid w:val="00CE2EAF"/>
    <w:rsid w:val="00CE321D"/>
    <w:rsid w:val="00CE4699"/>
    <w:rsid w:val="00CE71C6"/>
    <w:rsid w:val="00CE73AB"/>
    <w:rsid w:val="00CF04AA"/>
    <w:rsid w:val="00CF0721"/>
    <w:rsid w:val="00CF0BC6"/>
    <w:rsid w:val="00CF25EC"/>
    <w:rsid w:val="00CF2AC9"/>
    <w:rsid w:val="00CF3573"/>
    <w:rsid w:val="00CF36E0"/>
    <w:rsid w:val="00CF4123"/>
    <w:rsid w:val="00CF4EAB"/>
    <w:rsid w:val="00CF51B3"/>
    <w:rsid w:val="00CF5AEE"/>
    <w:rsid w:val="00CF6999"/>
    <w:rsid w:val="00CF6ED9"/>
    <w:rsid w:val="00D007BA"/>
    <w:rsid w:val="00D01160"/>
    <w:rsid w:val="00D02196"/>
    <w:rsid w:val="00D02FFF"/>
    <w:rsid w:val="00D033F7"/>
    <w:rsid w:val="00D03557"/>
    <w:rsid w:val="00D048D3"/>
    <w:rsid w:val="00D055BF"/>
    <w:rsid w:val="00D05EB6"/>
    <w:rsid w:val="00D0613D"/>
    <w:rsid w:val="00D0619B"/>
    <w:rsid w:val="00D0681E"/>
    <w:rsid w:val="00D10D87"/>
    <w:rsid w:val="00D1188A"/>
    <w:rsid w:val="00D12841"/>
    <w:rsid w:val="00D131F6"/>
    <w:rsid w:val="00D1345A"/>
    <w:rsid w:val="00D1411A"/>
    <w:rsid w:val="00D14852"/>
    <w:rsid w:val="00D14B8F"/>
    <w:rsid w:val="00D14F88"/>
    <w:rsid w:val="00D15F03"/>
    <w:rsid w:val="00D16674"/>
    <w:rsid w:val="00D1698F"/>
    <w:rsid w:val="00D16B7B"/>
    <w:rsid w:val="00D21A9C"/>
    <w:rsid w:val="00D21B03"/>
    <w:rsid w:val="00D2256A"/>
    <w:rsid w:val="00D229C0"/>
    <w:rsid w:val="00D22E71"/>
    <w:rsid w:val="00D23520"/>
    <w:rsid w:val="00D236DE"/>
    <w:rsid w:val="00D240B6"/>
    <w:rsid w:val="00D2449B"/>
    <w:rsid w:val="00D247A0"/>
    <w:rsid w:val="00D24F5D"/>
    <w:rsid w:val="00D26144"/>
    <w:rsid w:val="00D26BD2"/>
    <w:rsid w:val="00D26C7E"/>
    <w:rsid w:val="00D27820"/>
    <w:rsid w:val="00D27C42"/>
    <w:rsid w:val="00D3033D"/>
    <w:rsid w:val="00D309FB"/>
    <w:rsid w:val="00D30E74"/>
    <w:rsid w:val="00D31500"/>
    <w:rsid w:val="00D31ADA"/>
    <w:rsid w:val="00D324A5"/>
    <w:rsid w:val="00D325B0"/>
    <w:rsid w:val="00D3411B"/>
    <w:rsid w:val="00D34578"/>
    <w:rsid w:val="00D34FB7"/>
    <w:rsid w:val="00D36BE0"/>
    <w:rsid w:val="00D37AD8"/>
    <w:rsid w:val="00D37F22"/>
    <w:rsid w:val="00D40A00"/>
    <w:rsid w:val="00D4156B"/>
    <w:rsid w:val="00D415DE"/>
    <w:rsid w:val="00D43134"/>
    <w:rsid w:val="00D43F45"/>
    <w:rsid w:val="00D44133"/>
    <w:rsid w:val="00D441CA"/>
    <w:rsid w:val="00D443E7"/>
    <w:rsid w:val="00D44A2A"/>
    <w:rsid w:val="00D46301"/>
    <w:rsid w:val="00D46707"/>
    <w:rsid w:val="00D46EB5"/>
    <w:rsid w:val="00D505C9"/>
    <w:rsid w:val="00D5280A"/>
    <w:rsid w:val="00D532AB"/>
    <w:rsid w:val="00D54095"/>
    <w:rsid w:val="00D55F32"/>
    <w:rsid w:val="00D5677B"/>
    <w:rsid w:val="00D56C14"/>
    <w:rsid w:val="00D575D7"/>
    <w:rsid w:val="00D57FF8"/>
    <w:rsid w:val="00D60725"/>
    <w:rsid w:val="00D60AAD"/>
    <w:rsid w:val="00D616D8"/>
    <w:rsid w:val="00D61711"/>
    <w:rsid w:val="00D62181"/>
    <w:rsid w:val="00D63144"/>
    <w:rsid w:val="00D6349A"/>
    <w:rsid w:val="00D63808"/>
    <w:rsid w:val="00D639DC"/>
    <w:rsid w:val="00D6446F"/>
    <w:rsid w:val="00D661CF"/>
    <w:rsid w:val="00D662BE"/>
    <w:rsid w:val="00D667D5"/>
    <w:rsid w:val="00D70876"/>
    <w:rsid w:val="00D70897"/>
    <w:rsid w:val="00D70B60"/>
    <w:rsid w:val="00D71338"/>
    <w:rsid w:val="00D71CBB"/>
    <w:rsid w:val="00D71F1F"/>
    <w:rsid w:val="00D72A5E"/>
    <w:rsid w:val="00D72BC1"/>
    <w:rsid w:val="00D73F04"/>
    <w:rsid w:val="00D73F41"/>
    <w:rsid w:val="00D75542"/>
    <w:rsid w:val="00D75F28"/>
    <w:rsid w:val="00D766DD"/>
    <w:rsid w:val="00D77389"/>
    <w:rsid w:val="00D77721"/>
    <w:rsid w:val="00D77D6A"/>
    <w:rsid w:val="00D80FA2"/>
    <w:rsid w:val="00D81930"/>
    <w:rsid w:val="00D8198F"/>
    <w:rsid w:val="00D819FB"/>
    <w:rsid w:val="00D81DEE"/>
    <w:rsid w:val="00D8303C"/>
    <w:rsid w:val="00D8467A"/>
    <w:rsid w:val="00D856D6"/>
    <w:rsid w:val="00D85A3F"/>
    <w:rsid w:val="00D85D1C"/>
    <w:rsid w:val="00D90527"/>
    <w:rsid w:val="00D90FD8"/>
    <w:rsid w:val="00D932CC"/>
    <w:rsid w:val="00D93ABB"/>
    <w:rsid w:val="00D93C35"/>
    <w:rsid w:val="00D94220"/>
    <w:rsid w:val="00D949A5"/>
    <w:rsid w:val="00D95C3A"/>
    <w:rsid w:val="00D95D62"/>
    <w:rsid w:val="00D9603C"/>
    <w:rsid w:val="00D974BE"/>
    <w:rsid w:val="00DA0DEC"/>
    <w:rsid w:val="00DA10A3"/>
    <w:rsid w:val="00DA1820"/>
    <w:rsid w:val="00DA2321"/>
    <w:rsid w:val="00DA2D84"/>
    <w:rsid w:val="00DA48F6"/>
    <w:rsid w:val="00DA4C33"/>
    <w:rsid w:val="00DA5C9E"/>
    <w:rsid w:val="00DA71E4"/>
    <w:rsid w:val="00DA76E3"/>
    <w:rsid w:val="00DA7985"/>
    <w:rsid w:val="00DA7B85"/>
    <w:rsid w:val="00DB00F4"/>
    <w:rsid w:val="00DB028E"/>
    <w:rsid w:val="00DB0290"/>
    <w:rsid w:val="00DB49E0"/>
    <w:rsid w:val="00DB735E"/>
    <w:rsid w:val="00DB77B7"/>
    <w:rsid w:val="00DC074B"/>
    <w:rsid w:val="00DC0C71"/>
    <w:rsid w:val="00DC0CE9"/>
    <w:rsid w:val="00DC0CED"/>
    <w:rsid w:val="00DC2739"/>
    <w:rsid w:val="00DC3922"/>
    <w:rsid w:val="00DC3AAD"/>
    <w:rsid w:val="00DC3C64"/>
    <w:rsid w:val="00DC3DA1"/>
    <w:rsid w:val="00DC4A7B"/>
    <w:rsid w:val="00DC4AA0"/>
    <w:rsid w:val="00DC4E58"/>
    <w:rsid w:val="00DC57A9"/>
    <w:rsid w:val="00DC6355"/>
    <w:rsid w:val="00DC7C4E"/>
    <w:rsid w:val="00DD04EC"/>
    <w:rsid w:val="00DD06C8"/>
    <w:rsid w:val="00DD1525"/>
    <w:rsid w:val="00DD19F2"/>
    <w:rsid w:val="00DD1D38"/>
    <w:rsid w:val="00DD2620"/>
    <w:rsid w:val="00DD2991"/>
    <w:rsid w:val="00DD2C18"/>
    <w:rsid w:val="00DD2E2B"/>
    <w:rsid w:val="00DD31E6"/>
    <w:rsid w:val="00DD3647"/>
    <w:rsid w:val="00DD3ABC"/>
    <w:rsid w:val="00DD3CD2"/>
    <w:rsid w:val="00DD4873"/>
    <w:rsid w:val="00DD4DF2"/>
    <w:rsid w:val="00DD54BF"/>
    <w:rsid w:val="00DD579D"/>
    <w:rsid w:val="00DD5C90"/>
    <w:rsid w:val="00DD6DCB"/>
    <w:rsid w:val="00DD77DB"/>
    <w:rsid w:val="00DD7C9A"/>
    <w:rsid w:val="00DE0256"/>
    <w:rsid w:val="00DE0430"/>
    <w:rsid w:val="00DE0A32"/>
    <w:rsid w:val="00DE0F66"/>
    <w:rsid w:val="00DE1005"/>
    <w:rsid w:val="00DE10B4"/>
    <w:rsid w:val="00DE144E"/>
    <w:rsid w:val="00DE1767"/>
    <w:rsid w:val="00DE1938"/>
    <w:rsid w:val="00DE2A84"/>
    <w:rsid w:val="00DE2F5A"/>
    <w:rsid w:val="00DE353D"/>
    <w:rsid w:val="00DE380C"/>
    <w:rsid w:val="00DE4923"/>
    <w:rsid w:val="00DE509B"/>
    <w:rsid w:val="00DE50E9"/>
    <w:rsid w:val="00DE5658"/>
    <w:rsid w:val="00DE56E1"/>
    <w:rsid w:val="00DE6813"/>
    <w:rsid w:val="00DE69AE"/>
    <w:rsid w:val="00DE6CDD"/>
    <w:rsid w:val="00DE6F10"/>
    <w:rsid w:val="00DE74A4"/>
    <w:rsid w:val="00DE7A16"/>
    <w:rsid w:val="00DE7DC4"/>
    <w:rsid w:val="00DE7F68"/>
    <w:rsid w:val="00DF197E"/>
    <w:rsid w:val="00DF1CA4"/>
    <w:rsid w:val="00DF1FED"/>
    <w:rsid w:val="00DF2776"/>
    <w:rsid w:val="00DF2875"/>
    <w:rsid w:val="00DF368A"/>
    <w:rsid w:val="00DF40A9"/>
    <w:rsid w:val="00DF416A"/>
    <w:rsid w:val="00DF4C5E"/>
    <w:rsid w:val="00DF5225"/>
    <w:rsid w:val="00DF63ED"/>
    <w:rsid w:val="00DF6588"/>
    <w:rsid w:val="00DF6CA0"/>
    <w:rsid w:val="00DF72B7"/>
    <w:rsid w:val="00DF735B"/>
    <w:rsid w:val="00DF7B55"/>
    <w:rsid w:val="00E0052E"/>
    <w:rsid w:val="00E00D17"/>
    <w:rsid w:val="00E01B39"/>
    <w:rsid w:val="00E02273"/>
    <w:rsid w:val="00E03807"/>
    <w:rsid w:val="00E03D25"/>
    <w:rsid w:val="00E03FA9"/>
    <w:rsid w:val="00E053AB"/>
    <w:rsid w:val="00E06112"/>
    <w:rsid w:val="00E064EF"/>
    <w:rsid w:val="00E06E08"/>
    <w:rsid w:val="00E1050F"/>
    <w:rsid w:val="00E10565"/>
    <w:rsid w:val="00E10A47"/>
    <w:rsid w:val="00E10F05"/>
    <w:rsid w:val="00E10FE7"/>
    <w:rsid w:val="00E115A2"/>
    <w:rsid w:val="00E12DB3"/>
    <w:rsid w:val="00E12F50"/>
    <w:rsid w:val="00E1306A"/>
    <w:rsid w:val="00E13486"/>
    <w:rsid w:val="00E13838"/>
    <w:rsid w:val="00E13CBB"/>
    <w:rsid w:val="00E13E6D"/>
    <w:rsid w:val="00E14C8C"/>
    <w:rsid w:val="00E15B9C"/>
    <w:rsid w:val="00E164FE"/>
    <w:rsid w:val="00E16F5C"/>
    <w:rsid w:val="00E173B0"/>
    <w:rsid w:val="00E20D47"/>
    <w:rsid w:val="00E20E7B"/>
    <w:rsid w:val="00E21030"/>
    <w:rsid w:val="00E222C1"/>
    <w:rsid w:val="00E22894"/>
    <w:rsid w:val="00E23319"/>
    <w:rsid w:val="00E23505"/>
    <w:rsid w:val="00E238BC"/>
    <w:rsid w:val="00E23FED"/>
    <w:rsid w:val="00E24626"/>
    <w:rsid w:val="00E2476E"/>
    <w:rsid w:val="00E24B08"/>
    <w:rsid w:val="00E25340"/>
    <w:rsid w:val="00E26367"/>
    <w:rsid w:val="00E2713D"/>
    <w:rsid w:val="00E271FD"/>
    <w:rsid w:val="00E277B2"/>
    <w:rsid w:val="00E27F1F"/>
    <w:rsid w:val="00E3019D"/>
    <w:rsid w:val="00E32A20"/>
    <w:rsid w:val="00E32E70"/>
    <w:rsid w:val="00E32E97"/>
    <w:rsid w:val="00E3343B"/>
    <w:rsid w:val="00E34324"/>
    <w:rsid w:val="00E3485B"/>
    <w:rsid w:val="00E352EE"/>
    <w:rsid w:val="00E35DDB"/>
    <w:rsid w:val="00E36B5A"/>
    <w:rsid w:val="00E37D42"/>
    <w:rsid w:val="00E37E04"/>
    <w:rsid w:val="00E37ECC"/>
    <w:rsid w:val="00E4104C"/>
    <w:rsid w:val="00E41B56"/>
    <w:rsid w:val="00E41C2D"/>
    <w:rsid w:val="00E4390D"/>
    <w:rsid w:val="00E443F1"/>
    <w:rsid w:val="00E45701"/>
    <w:rsid w:val="00E463D3"/>
    <w:rsid w:val="00E50D99"/>
    <w:rsid w:val="00E51E1B"/>
    <w:rsid w:val="00E54218"/>
    <w:rsid w:val="00E54B48"/>
    <w:rsid w:val="00E554C1"/>
    <w:rsid w:val="00E56065"/>
    <w:rsid w:val="00E569DA"/>
    <w:rsid w:val="00E57231"/>
    <w:rsid w:val="00E61AAD"/>
    <w:rsid w:val="00E61D3A"/>
    <w:rsid w:val="00E627B1"/>
    <w:rsid w:val="00E62ACD"/>
    <w:rsid w:val="00E62E31"/>
    <w:rsid w:val="00E62FE7"/>
    <w:rsid w:val="00E6367E"/>
    <w:rsid w:val="00E6399C"/>
    <w:rsid w:val="00E64103"/>
    <w:rsid w:val="00E6471C"/>
    <w:rsid w:val="00E6474F"/>
    <w:rsid w:val="00E65B4D"/>
    <w:rsid w:val="00E701C0"/>
    <w:rsid w:val="00E70CFD"/>
    <w:rsid w:val="00E724BF"/>
    <w:rsid w:val="00E724E8"/>
    <w:rsid w:val="00E72607"/>
    <w:rsid w:val="00E72690"/>
    <w:rsid w:val="00E7270C"/>
    <w:rsid w:val="00E72911"/>
    <w:rsid w:val="00E72EDA"/>
    <w:rsid w:val="00E74A09"/>
    <w:rsid w:val="00E7533F"/>
    <w:rsid w:val="00E75496"/>
    <w:rsid w:val="00E756F8"/>
    <w:rsid w:val="00E758D2"/>
    <w:rsid w:val="00E75FF7"/>
    <w:rsid w:val="00E76D40"/>
    <w:rsid w:val="00E76E07"/>
    <w:rsid w:val="00E77831"/>
    <w:rsid w:val="00E81DFD"/>
    <w:rsid w:val="00E829F9"/>
    <w:rsid w:val="00E82B35"/>
    <w:rsid w:val="00E82BFA"/>
    <w:rsid w:val="00E837E5"/>
    <w:rsid w:val="00E83EA0"/>
    <w:rsid w:val="00E860F3"/>
    <w:rsid w:val="00E901EF"/>
    <w:rsid w:val="00E91418"/>
    <w:rsid w:val="00E9362E"/>
    <w:rsid w:val="00E9402D"/>
    <w:rsid w:val="00E94A6B"/>
    <w:rsid w:val="00E94C84"/>
    <w:rsid w:val="00E96DAA"/>
    <w:rsid w:val="00E970B8"/>
    <w:rsid w:val="00EA12DC"/>
    <w:rsid w:val="00EA20AD"/>
    <w:rsid w:val="00EA2146"/>
    <w:rsid w:val="00EA2D96"/>
    <w:rsid w:val="00EA4109"/>
    <w:rsid w:val="00EA4CA4"/>
    <w:rsid w:val="00EA50EB"/>
    <w:rsid w:val="00EA52BE"/>
    <w:rsid w:val="00EA5351"/>
    <w:rsid w:val="00EA5F05"/>
    <w:rsid w:val="00EA6DA2"/>
    <w:rsid w:val="00EA77A9"/>
    <w:rsid w:val="00EB041A"/>
    <w:rsid w:val="00EB1C46"/>
    <w:rsid w:val="00EB208A"/>
    <w:rsid w:val="00EB21D8"/>
    <w:rsid w:val="00EB235E"/>
    <w:rsid w:val="00EB265D"/>
    <w:rsid w:val="00EB3141"/>
    <w:rsid w:val="00EB3628"/>
    <w:rsid w:val="00EB538B"/>
    <w:rsid w:val="00EB639B"/>
    <w:rsid w:val="00EB63CB"/>
    <w:rsid w:val="00EB6BCE"/>
    <w:rsid w:val="00EB73F0"/>
    <w:rsid w:val="00EB740E"/>
    <w:rsid w:val="00EB7627"/>
    <w:rsid w:val="00EB77D0"/>
    <w:rsid w:val="00EC178B"/>
    <w:rsid w:val="00EC2635"/>
    <w:rsid w:val="00EC29F6"/>
    <w:rsid w:val="00EC3CE4"/>
    <w:rsid w:val="00EC4216"/>
    <w:rsid w:val="00EC4CB0"/>
    <w:rsid w:val="00EC6634"/>
    <w:rsid w:val="00EC77C3"/>
    <w:rsid w:val="00ED0582"/>
    <w:rsid w:val="00ED2BCF"/>
    <w:rsid w:val="00ED3632"/>
    <w:rsid w:val="00ED381C"/>
    <w:rsid w:val="00ED43A4"/>
    <w:rsid w:val="00ED4814"/>
    <w:rsid w:val="00ED62E7"/>
    <w:rsid w:val="00ED645D"/>
    <w:rsid w:val="00ED6D4B"/>
    <w:rsid w:val="00ED7518"/>
    <w:rsid w:val="00ED7729"/>
    <w:rsid w:val="00ED7A48"/>
    <w:rsid w:val="00EE02F9"/>
    <w:rsid w:val="00EE12BE"/>
    <w:rsid w:val="00EE1847"/>
    <w:rsid w:val="00EE198F"/>
    <w:rsid w:val="00EE2921"/>
    <w:rsid w:val="00EE2ACC"/>
    <w:rsid w:val="00EE2B51"/>
    <w:rsid w:val="00EE2F73"/>
    <w:rsid w:val="00EE35BF"/>
    <w:rsid w:val="00EE3B61"/>
    <w:rsid w:val="00EE3ED8"/>
    <w:rsid w:val="00EE425B"/>
    <w:rsid w:val="00EE473D"/>
    <w:rsid w:val="00EE4834"/>
    <w:rsid w:val="00EE4930"/>
    <w:rsid w:val="00EE67D6"/>
    <w:rsid w:val="00EE7234"/>
    <w:rsid w:val="00EE72E9"/>
    <w:rsid w:val="00EE75E3"/>
    <w:rsid w:val="00EF09FA"/>
    <w:rsid w:val="00EF1CD8"/>
    <w:rsid w:val="00EF2E93"/>
    <w:rsid w:val="00EF4658"/>
    <w:rsid w:val="00EF4A93"/>
    <w:rsid w:val="00EF4F31"/>
    <w:rsid w:val="00EF572A"/>
    <w:rsid w:val="00EF6119"/>
    <w:rsid w:val="00EF63F3"/>
    <w:rsid w:val="00EF65A4"/>
    <w:rsid w:val="00EF762A"/>
    <w:rsid w:val="00F002B6"/>
    <w:rsid w:val="00F00703"/>
    <w:rsid w:val="00F0215C"/>
    <w:rsid w:val="00F021F6"/>
    <w:rsid w:val="00F02909"/>
    <w:rsid w:val="00F042E6"/>
    <w:rsid w:val="00F0575B"/>
    <w:rsid w:val="00F059E7"/>
    <w:rsid w:val="00F05EE9"/>
    <w:rsid w:val="00F06A3F"/>
    <w:rsid w:val="00F1027A"/>
    <w:rsid w:val="00F10613"/>
    <w:rsid w:val="00F1098B"/>
    <w:rsid w:val="00F10F83"/>
    <w:rsid w:val="00F11171"/>
    <w:rsid w:val="00F1120B"/>
    <w:rsid w:val="00F113FB"/>
    <w:rsid w:val="00F118A5"/>
    <w:rsid w:val="00F11DF6"/>
    <w:rsid w:val="00F12C4E"/>
    <w:rsid w:val="00F13805"/>
    <w:rsid w:val="00F145DD"/>
    <w:rsid w:val="00F174A7"/>
    <w:rsid w:val="00F17D6B"/>
    <w:rsid w:val="00F21754"/>
    <w:rsid w:val="00F2199E"/>
    <w:rsid w:val="00F227BF"/>
    <w:rsid w:val="00F22967"/>
    <w:rsid w:val="00F231D7"/>
    <w:rsid w:val="00F250FA"/>
    <w:rsid w:val="00F25292"/>
    <w:rsid w:val="00F25C02"/>
    <w:rsid w:val="00F25C7F"/>
    <w:rsid w:val="00F26204"/>
    <w:rsid w:val="00F26C41"/>
    <w:rsid w:val="00F26C4F"/>
    <w:rsid w:val="00F27017"/>
    <w:rsid w:val="00F27152"/>
    <w:rsid w:val="00F2742D"/>
    <w:rsid w:val="00F27B07"/>
    <w:rsid w:val="00F27D50"/>
    <w:rsid w:val="00F27E74"/>
    <w:rsid w:val="00F3015B"/>
    <w:rsid w:val="00F30522"/>
    <w:rsid w:val="00F30C32"/>
    <w:rsid w:val="00F30F8C"/>
    <w:rsid w:val="00F30FDD"/>
    <w:rsid w:val="00F318D3"/>
    <w:rsid w:val="00F32D27"/>
    <w:rsid w:val="00F330D8"/>
    <w:rsid w:val="00F34492"/>
    <w:rsid w:val="00F34AA6"/>
    <w:rsid w:val="00F34D82"/>
    <w:rsid w:val="00F35CA6"/>
    <w:rsid w:val="00F36212"/>
    <w:rsid w:val="00F36F0E"/>
    <w:rsid w:val="00F378C6"/>
    <w:rsid w:val="00F37AD9"/>
    <w:rsid w:val="00F37C01"/>
    <w:rsid w:val="00F4000D"/>
    <w:rsid w:val="00F406F9"/>
    <w:rsid w:val="00F408E3"/>
    <w:rsid w:val="00F40F42"/>
    <w:rsid w:val="00F42120"/>
    <w:rsid w:val="00F43084"/>
    <w:rsid w:val="00F4309B"/>
    <w:rsid w:val="00F433BE"/>
    <w:rsid w:val="00F4363A"/>
    <w:rsid w:val="00F449C3"/>
    <w:rsid w:val="00F44D41"/>
    <w:rsid w:val="00F46867"/>
    <w:rsid w:val="00F46C4D"/>
    <w:rsid w:val="00F4725E"/>
    <w:rsid w:val="00F47AC2"/>
    <w:rsid w:val="00F47C0E"/>
    <w:rsid w:val="00F506D1"/>
    <w:rsid w:val="00F5141F"/>
    <w:rsid w:val="00F51899"/>
    <w:rsid w:val="00F52D02"/>
    <w:rsid w:val="00F53141"/>
    <w:rsid w:val="00F537E0"/>
    <w:rsid w:val="00F550A3"/>
    <w:rsid w:val="00F554E3"/>
    <w:rsid w:val="00F55D75"/>
    <w:rsid w:val="00F55E16"/>
    <w:rsid w:val="00F56286"/>
    <w:rsid w:val="00F564FC"/>
    <w:rsid w:val="00F56710"/>
    <w:rsid w:val="00F56DE8"/>
    <w:rsid w:val="00F57CD8"/>
    <w:rsid w:val="00F60231"/>
    <w:rsid w:val="00F61F59"/>
    <w:rsid w:val="00F61F5C"/>
    <w:rsid w:val="00F629B1"/>
    <w:rsid w:val="00F635A0"/>
    <w:rsid w:val="00F637B6"/>
    <w:rsid w:val="00F64C62"/>
    <w:rsid w:val="00F65885"/>
    <w:rsid w:val="00F65C40"/>
    <w:rsid w:val="00F66143"/>
    <w:rsid w:val="00F6652F"/>
    <w:rsid w:val="00F66BB3"/>
    <w:rsid w:val="00F66DBA"/>
    <w:rsid w:val="00F66F1A"/>
    <w:rsid w:val="00F67A46"/>
    <w:rsid w:val="00F70070"/>
    <w:rsid w:val="00F70292"/>
    <w:rsid w:val="00F71D8B"/>
    <w:rsid w:val="00F72B31"/>
    <w:rsid w:val="00F72E45"/>
    <w:rsid w:val="00F744D4"/>
    <w:rsid w:val="00F74D35"/>
    <w:rsid w:val="00F7508B"/>
    <w:rsid w:val="00F76934"/>
    <w:rsid w:val="00F76D8D"/>
    <w:rsid w:val="00F7736D"/>
    <w:rsid w:val="00F8051D"/>
    <w:rsid w:val="00F8089F"/>
    <w:rsid w:val="00F81C0A"/>
    <w:rsid w:val="00F81F18"/>
    <w:rsid w:val="00F83D6D"/>
    <w:rsid w:val="00F843A9"/>
    <w:rsid w:val="00F8542A"/>
    <w:rsid w:val="00F87E61"/>
    <w:rsid w:val="00F87E64"/>
    <w:rsid w:val="00F90198"/>
    <w:rsid w:val="00F90DA4"/>
    <w:rsid w:val="00F91B19"/>
    <w:rsid w:val="00F91CC4"/>
    <w:rsid w:val="00F9257C"/>
    <w:rsid w:val="00F9398E"/>
    <w:rsid w:val="00F93BBB"/>
    <w:rsid w:val="00F95247"/>
    <w:rsid w:val="00F9540F"/>
    <w:rsid w:val="00F963C0"/>
    <w:rsid w:val="00F9658B"/>
    <w:rsid w:val="00F97311"/>
    <w:rsid w:val="00F97EF6"/>
    <w:rsid w:val="00FA0318"/>
    <w:rsid w:val="00FA0610"/>
    <w:rsid w:val="00FA0D3B"/>
    <w:rsid w:val="00FA10E4"/>
    <w:rsid w:val="00FA1262"/>
    <w:rsid w:val="00FA18BB"/>
    <w:rsid w:val="00FA1A9D"/>
    <w:rsid w:val="00FA3CA3"/>
    <w:rsid w:val="00FA4197"/>
    <w:rsid w:val="00FA47E3"/>
    <w:rsid w:val="00FA4A1E"/>
    <w:rsid w:val="00FA52BC"/>
    <w:rsid w:val="00FA5334"/>
    <w:rsid w:val="00FA589C"/>
    <w:rsid w:val="00FA6115"/>
    <w:rsid w:val="00FA684B"/>
    <w:rsid w:val="00FA76A0"/>
    <w:rsid w:val="00FA7E04"/>
    <w:rsid w:val="00FB0FD9"/>
    <w:rsid w:val="00FB10A1"/>
    <w:rsid w:val="00FB1C00"/>
    <w:rsid w:val="00FB2284"/>
    <w:rsid w:val="00FB287A"/>
    <w:rsid w:val="00FB2C5C"/>
    <w:rsid w:val="00FB2FB0"/>
    <w:rsid w:val="00FB35D5"/>
    <w:rsid w:val="00FB491B"/>
    <w:rsid w:val="00FB5308"/>
    <w:rsid w:val="00FB5CF2"/>
    <w:rsid w:val="00FB5F77"/>
    <w:rsid w:val="00FB77AF"/>
    <w:rsid w:val="00FB7F85"/>
    <w:rsid w:val="00FC015E"/>
    <w:rsid w:val="00FC02A1"/>
    <w:rsid w:val="00FC02DA"/>
    <w:rsid w:val="00FC0B4D"/>
    <w:rsid w:val="00FC0BFD"/>
    <w:rsid w:val="00FC2861"/>
    <w:rsid w:val="00FC2E65"/>
    <w:rsid w:val="00FC33C6"/>
    <w:rsid w:val="00FC33C9"/>
    <w:rsid w:val="00FC42D6"/>
    <w:rsid w:val="00FC566A"/>
    <w:rsid w:val="00FC5883"/>
    <w:rsid w:val="00FC5B82"/>
    <w:rsid w:val="00FC6289"/>
    <w:rsid w:val="00FC642B"/>
    <w:rsid w:val="00FC64BC"/>
    <w:rsid w:val="00FD05D1"/>
    <w:rsid w:val="00FD150E"/>
    <w:rsid w:val="00FD2388"/>
    <w:rsid w:val="00FD2DA3"/>
    <w:rsid w:val="00FD2FA1"/>
    <w:rsid w:val="00FD5126"/>
    <w:rsid w:val="00FD56F6"/>
    <w:rsid w:val="00FD578A"/>
    <w:rsid w:val="00FD651B"/>
    <w:rsid w:val="00FD6E38"/>
    <w:rsid w:val="00FD6E51"/>
    <w:rsid w:val="00FD6E5F"/>
    <w:rsid w:val="00FD77A8"/>
    <w:rsid w:val="00FD7AC9"/>
    <w:rsid w:val="00FE04A2"/>
    <w:rsid w:val="00FE06DC"/>
    <w:rsid w:val="00FE183D"/>
    <w:rsid w:val="00FE1DBD"/>
    <w:rsid w:val="00FE23F9"/>
    <w:rsid w:val="00FE2BFF"/>
    <w:rsid w:val="00FE2C43"/>
    <w:rsid w:val="00FE3C98"/>
    <w:rsid w:val="00FE3E56"/>
    <w:rsid w:val="00FE5B23"/>
    <w:rsid w:val="00FE64E7"/>
    <w:rsid w:val="00FE672E"/>
    <w:rsid w:val="00FE76BD"/>
    <w:rsid w:val="00FF0C64"/>
    <w:rsid w:val="00FF0FDD"/>
    <w:rsid w:val="00FF11B9"/>
    <w:rsid w:val="00FF1BC4"/>
    <w:rsid w:val="00FF1FE9"/>
    <w:rsid w:val="00FF25ED"/>
    <w:rsid w:val="00FF2EE5"/>
    <w:rsid w:val="00FF403A"/>
    <w:rsid w:val="00FF4373"/>
    <w:rsid w:val="00FF4FE7"/>
    <w:rsid w:val="00FF53A7"/>
    <w:rsid w:val="00FF7CCB"/>
    <w:rsid w:val="00FF7CF3"/>
    <w:rsid w:val="00FF7FA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1FD6"/>
  <w15:docId w15:val="{B033271E-8042-490E-B60A-E052759C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8DF"/>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C9F"/>
    <w:pPr>
      <w:ind w:firstLine="567"/>
    </w:pPr>
    <w:rPr>
      <w:sz w:val="24"/>
      <w:szCs w:val="24"/>
      <w:lang w:val="ru-RU" w:eastAsia="ru-RU"/>
    </w:rPr>
  </w:style>
  <w:style w:type="paragraph" w:customStyle="1" w:styleId="cb">
    <w:name w:val="cb"/>
    <w:basedOn w:val="Normal"/>
    <w:uiPriority w:val="99"/>
    <w:semiHidden/>
    <w:rsid w:val="00C16C9F"/>
    <w:pPr>
      <w:ind w:firstLine="0"/>
      <w:jc w:val="center"/>
    </w:pPr>
    <w:rPr>
      <w:b/>
      <w:bCs/>
      <w:sz w:val="24"/>
      <w:szCs w:val="24"/>
      <w:lang w:val="ru-RU" w:eastAsia="ru-RU"/>
    </w:rPr>
  </w:style>
  <w:style w:type="paragraph" w:customStyle="1" w:styleId="rg">
    <w:name w:val="rg"/>
    <w:basedOn w:val="Normal"/>
    <w:uiPriority w:val="99"/>
    <w:semiHidden/>
    <w:rsid w:val="00C16C9F"/>
    <w:pPr>
      <w:ind w:firstLine="0"/>
      <w:jc w:val="right"/>
    </w:pPr>
    <w:rPr>
      <w:rFonts w:eastAsiaTheme="minorEastAsia"/>
      <w:sz w:val="24"/>
      <w:szCs w:val="24"/>
      <w:lang w:val="en-GB" w:eastAsia="en-GB"/>
    </w:rPr>
  </w:style>
  <w:style w:type="paragraph" w:customStyle="1" w:styleId="lf">
    <w:name w:val="lf"/>
    <w:basedOn w:val="Normal"/>
    <w:uiPriority w:val="99"/>
    <w:semiHidden/>
    <w:rsid w:val="00C16C9F"/>
    <w:pPr>
      <w:ind w:firstLine="0"/>
      <w:jc w:val="left"/>
    </w:pPr>
    <w:rPr>
      <w:rFonts w:eastAsiaTheme="minorEastAsia"/>
      <w:sz w:val="24"/>
      <w:szCs w:val="24"/>
      <w:lang w:val="en-GB" w:eastAsia="en-GB"/>
    </w:rPr>
  </w:style>
  <w:style w:type="paragraph" w:styleId="ListParagraph">
    <w:name w:val="List Paragraph"/>
    <w:basedOn w:val="Normal"/>
    <w:uiPriority w:val="34"/>
    <w:qFormat/>
    <w:rsid w:val="00507497"/>
    <w:pPr>
      <w:ind w:left="720" w:firstLine="0"/>
      <w:contextualSpacing/>
      <w:jc w:val="left"/>
    </w:pPr>
    <w:rPr>
      <w:rFonts w:eastAsia="Calibri"/>
      <w:sz w:val="24"/>
      <w:szCs w:val="24"/>
      <w:lang w:val="ro-RO"/>
    </w:rPr>
  </w:style>
  <w:style w:type="character" w:customStyle="1" w:styleId="italic">
    <w:name w:val="italic"/>
    <w:basedOn w:val="DefaultParagraphFont"/>
    <w:rsid w:val="002A7BF9"/>
  </w:style>
  <w:style w:type="table" w:styleId="TableGrid">
    <w:name w:val="Table Grid"/>
    <w:basedOn w:val="TableNormal"/>
    <w:uiPriority w:val="59"/>
    <w:rsid w:val="00DE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4A2A"/>
    <w:rPr>
      <w:color w:val="0000FF"/>
      <w:u w:val="single"/>
    </w:rPr>
  </w:style>
  <w:style w:type="paragraph" w:styleId="NoSpacing">
    <w:name w:val="No Spacing"/>
    <w:uiPriority w:val="1"/>
    <w:qFormat/>
    <w:rsid w:val="00833594"/>
    <w:pPr>
      <w:spacing w:after="0" w:line="240" w:lineRule="auto"/>
    </w:pPr>
    <w:rPr>
      <w:lang w:val="ro-RO"/>
    </w:rPr>
  </w:style>
  <w:style w:type="paragraph" w:customStyle="1" w:styleId="1">
    <w:name w:val="Обычный1"/>
    <w:basedOn w:val="Normal"/>
    <w:rsid w:val="000F6124"/>
    <w:pPr>
      <w:spacing w:before="100" w:beforeAutospacing="1" w:after="100" w:afterAutospacing="1"/>
      <w:ind w:firstLine="0"/>
      <w:jc w:val="left"/>
    </w:pPr>
    <w:rPr>
      <w:sz w:val="24"/>
      <w:szCs w:val="24"/>
      <w:lang w:val="ru-RU" w:eastAsia="ru-RU"/>
    </w:rPr>
  </w:style>
  <w:style w:type="paragraph" w:styleId="BalloonText">
    <w:name w:val="Balloon Text"/>
    <w:basedOn w:val="Normal"/>
    <w:link w:val="BalloonTextChar"/>
    <w:uiPriority w:val="99"/>
    <w:semiHidden/>
    <w:unhideWhenUsed/>
    <w:rsid w:val="00A512D8"/>
    <w:rPr>
      <w:rFonts w:ascii="Tahoma" w:hAnsi="Tahoma" w:cs="Tahoma"/>
      <w:sz w:val="16"/>
      <w:szCs w:val="16"/>
    </w:rPr>
  </w:style>
  <w:style w:type="character" w:customStyle="1" w:styleId="BalloonTextChar">
    <w:name w:val="Balloon Text Char"/>
    <w:basedOn w:val="DefaultParagraphFont"/>
    <w:link w:val="BalloonText"/>
    <w:uiPriority w:val="99"/>
    <w:semiHidden/>
    <w:rsid w:val="00A512D8"/>
    <w:rPr>
      <w:rFonts w:ascii="Tahoma" w:eastAsia="Times New Roman" w:hAnsi="Tahoma" w:cs="Tahoma"/>
      <w:sz w:val="16"/>
      <w:szCs w:val="16"/>
      <w:lang w:val="en-US"/>
    </w:rPr>
  </w:style>
  <w:style w:type="paragraph" w:customStyle="1" w:styleId="Normal8">
    <w:name w:val="Normal8"/>
    <w:basedOn w:val="Normal"/>
    <w:rsid w:val="00535A00"/>
    <w:pPr>
      <w:spacing w:before="100" w:beforeAutospacing="1" w:after="100" w:afterAutospacing="1"/>
      <w:ind w:firstLine="0"/>
      <w:jc w:val="left"/>
    </w:pPr>
    <w:rPr>
      <w:sz w:val="24"/>
      <w:szCs w:val="24"/>
      <w:lang w:val="ru-RU" w:eastAsia="ru-RU"/>
    </w:rPr>
  </w:style>
  <w:style w:type="paragraph" w:customStyle="1" w:styleId="Default">
    <w:name w:val="Default"/>
    <w:rsid w:val="004B3C5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93E57"/>
    <w:rPr>
      <w:color w:val="605E5C"/>
      <w:shd w:val="clear" w:color="auto" w:fill="E1DFDD"/>
    </w:rPr>
  </w:style>
  <w:style w:type="character" w:styleId="FollowedHyperlink">
    <w:name w:val="FollowedHyperlink"/>
    <w:basedOn w:val="DefaultParagraphFont"/>
    <w:uiPriority w:val="99"/>
    <w:semiHidden/>
    <w:unhideWhenUsed/>
    <w:rsid w:val="001B1F22"/>
    <w:rPr>
      <w:color w:val="800080" w:themeColor="followedHyperlink"/>
      <w:u w:val="single"/>
    </w:rPr>
  </w:style>
  <w:style w:type="paragraph" w:styleId="Header">
    <w:name w:val="header"/>
    <w:basedOn w:val="Normal"/>
    <w:link w:val="HeaderChar"/>
    <w:uiPriority w:val="99"/>
    <w:unhideWhenUsed/>
    <w:rsid w:val="001322F7"/>
    <w:pPr>
      <w:tabs>
        <w:tab w:val="center" w:pos="4680"/>
        <w:tab w:val="right" w:pos="9360"/>
      </w:tabs>
    </w:pPr>
  </w:style>
  <w:style w:type="character" w:customStyle="1" w:styleId="HeaderChar">
    <w:name w:val="Header Char"/>
    <w:basedOn w:val="DefaultParagraphFont"/>
    <w:link w:val="Header"/>
    <w:uiPriority w:val="99"/>
    <w:rsid w:val="001322F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322F7"/>
    <w:pPr>
      <w:tabs>
        <w:tab w:val="center" w:pos="4680"/>
        <w:tab w:val="right" w:pos="9360"/>
      </w:tabs>
    </w:pPr>
  </w:style>
  <w:style w:type="character" w:customStyle="1" w:styleId="FooterChar">
    <w:name w:val="Footer Char"/>
    <w:basedOn w:val="DefaultParagraphFont"/>
    <w:link w:val="Footer"/>
    <w:uiPriority w:val="99"/>
    <w:rsid w:val="001322F7"/>
    <w:rPr>
      <w:rFonts w:ascii="Times New Roman" w:eastAsia="Times New Roman" w:hAnsi="Times New Roman" w:cs="Times New Roman"/>
      <w:sz w:val="20"/>
      <w:szCs w:val="20"/>
      <w:lang w:val="en-US"/>
    </w:rPr>
  </w:style>
  <w:style w:type="paragraph" w:styleId="Revision">
    <w:name w:val="Revision"/>
    <w:hidden/>
    <w:uiPriority w:val="99"/>
    <w:semiHidden/>
    <w:rsid w:val="00F537E0"/>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230CE2"/>
    <w:rPr>
      <w:sz w:val="16"/>
      <w:szCs w:val="16"/>
    </w:rPr>
  </w:style>
  <w:style w:type="paragraph" w:styleId="CommentText">
    <w:name w:val="annotation text"/>
    <w:basedOn w:val="Normal"/>
    <w:link w:val="CommentTextChar"/>
    <w:uiPriority w:val="99"/>
    <w:unhideWhenUsed/>
    <w:rsid w:val="00230CE2"/>
  </w:style>
  <w:style w:type="character" w:customStyle="1" w:styleId="CommentTextChar">
    <w:name w:val="Comment Text Char"/>
    <w:basedOn w:val="DefaultParagraphFont"/>
    <w:link w:val="CommentText"/>
    <w:uiPriority w:val="99"/>
    <w:rsid w:val="00230CE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0CE2"/>
    <w:rPr>
      <w:b/>
      <w:bCs/>
    </w:rPr>
  </w:style>
  <w:style w:type="character" w:customStyle="1" w:styleId="CommentSubjectChar">
    <w:name w:val="Comment Subject Char"/>
    <w:basedOn w:val="CommentTextChar"/>
    <w:link w:val="CommentSubject"/>
    <w:uiPriority w:val="99"/>
    <w:semiHidden/>
    <w:rsid w:val="00230CE2"/>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911935"/>
  </w:style>
  <w:style w:type="character" w:customStyle="1" w:styleId="FootnoteTextChar">
    <w:name w:val="Footnote Text Char"/>
    <w:basedOn w:val="DefaultParagraphFont"/>
    <w:link w:val="FootnoteText"/>
    <w:uiPriority w:val="99"/>
    <w:semiHidden/>
    <w:rsid w:val="0091193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119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2888">
      <w:bodyDiv w:val="1"/>
      <w:marLeft w:val="0"/>
      <w:marRight w:val="0"/>
      <w:marTop w:val="0"/>
      <w:marBottom w:val="0"/>
      <w:divBdr>
        <w:top w:val="none" w:sz="0" w:space="0" w:color="auto"/>
        <w:left w:val="none" w:sz="0" w:space="0" w:color="auto"/>
        <w:bottom w:val="none" w:sz="0" w:space="0" w:color="auto"/>
        <w:right w:val="none" w:sz="0" w:space="0" w:color="auto"/>
      </w:divBdr>
    </w:div>
    <w:div w:id="1237521089">
      <w:bodyDiv w:val="1"/>
      <w:marLeft w:val="0"/>
      <w:marRight w:val="0"/>
      <w:marTop w:val="0"/>
      <w:marBottom w:val="0"/>
      <w:divBdr>
        <w:top w:val="none" w:sz="0" w:space="0" w:color="auto"/>
        <w:left w:val="none" w:sz="0" w:space="0" w:color="auto"/>
        <w:bottom w:val="none" w:sz="0" w:space="0" w:color="auto"/>
        <w:right w:val="none" w:sz="0" w:space="0" w:color="auto"/>
      </w:divBdr>
    </w:div>
    <w:div w:id="1315641899">
      <w:bodyDiv w:val="1"/>
      <w:marLeft w:val="0"/>
      <w:marRight w:val="0"/>
      <w:marTop w:val="0"/>
      <w:marBottom w:val="0"/>
      <w:divBdr>
        <w:top w:val="none" w:sz="0" w:space="0" w:color="auto"/>
        <w:left w:val="none" w:sz="0" w:space="0" w:color="auto"/>
        <w:bottom w:val="none" w:sz="0" w:space="0" w:color="auto"/>
        <w:right w:val="none" w:sz="0" w:space="0" w:color="auto"/>
      </w:divBdr>
    </w:div>
    <w:div w:id="17539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tagadiuc@midr.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rticip.gov.md/ro/document/stages/*/11818"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manualLayout>
          <c:layoutTarget val="inner"/>
          <c:xMode val="edge"/>
          <c:yMode val="edge"/>
          <c:x val="3.8961249635462242E-2"/>
          <c:y val="8.6309523809523739E-2"/>
          <c:w val="0.38324182721937688"/>
          <c:h val="0.68075408168261853"/>
        </c:manualLayout>
      </c:layout>
      <c:pieChart>
        <c:varyColors val="1"/>
        <c:ser>
          <c:idx val="0"/>
          <c:order val="0"/>
          <c:tx>
            <c:strRef>
              <c:f>Лист1!$B$1</c:f>
              <c:strCache>
                <c:ptCount val="1"/>
                <c:pt idx="0">
                  <c:v>Столбец1</c:v>
                </c:pt>
              </c:strCache>
            </c:strRef>
          </c:tx>
          <c:dLbls>
            <c:spPr>
              <a:noFill/>
              <a:ln>
                <a:noFill/>
              </a:ln>
              <a:effectLst/>
            </c:spPr>
            <c:txPr>
              <a:bodyPr/>
              <a:lstStyle/>
              <a:p>
                <a:pPr>
                  <a:defRPr lang="ru-RU" sz="800">
                    <a:latin typeface="Arial" pitchFamily="34" charset="0"/>
                    <a:cs typeface="Arial" pitchFamily="34"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A (53) - documente normative naţionale cu caracter obligatoriu (NCM)</c:v>
                </c:pt>
                <c:pt idx="1">
                  <c:v>B (16) - documente normative interstatale aprobate ca naţionale cu caracter obligatoriu (NCM/MSN)</c:v>
                </c:pt>
                <c:pt idx="2">
                  <c:v>C (21) - documente normative naţionale cu caracter de recomandare (CP)</c:v>
                </c:pt>
                <c:pt idx="3">
                  <c:v>D (15) - documente normative interstatale aprobate ca naţionale cu caracter de recomandare (CP/MSP)</c:v>
                </c:pt>
                <c:pt idx="4">
                  <c:v>E (157) - documente normative ale fostei U.R.S.S. cu caracter obligatoriu aplicate în Republica Moldova</c:v>
                </c:pt>
                <c:pt idx="5">
                  <c:v>F (1181) - documente normative ale fostei U.R.S.S. cu caracter de recomandare aplicate în Republica Moldova</c:v>
                </c:pt>
                <c:pt idx="6">
                  <c:v>G (1156) - standarde naţionale prin care s-au adoptat standarde interstatale, ale altor ţări, europene şi internaţionale, inlcusiv standarde ale fostei U.R.S.S. </c:v>
                </c:pt>
                <c:pt idx="7">
                  <c:v>H (16) - standarde naţionale, elaborate de Republica Moldova</c:v>
                </c:pt>
              </c:strCache>
            </c:strRef>
          </c:cat>
          <c:val>
            <c:numRef>
              <c:f>Лист1!$B$2:$B$9</c:f>
              <c:numCache>
                <c:formatCode>General</c:formatCode>
                <c:ptCount val="8"/>
                <c:pt idx="0">
                  <c:v>53</c:v>
                </c:pt>
                <c:pt idx="1">
                  <c:v>16</c:v>
                </c:pt>
                <c:pt idx="2">
                  <c:v>21</c:v>
                </c:pt>
                <c:pt idx="3">
                  <c:v>15</c:v>
                </c:pt>
                <c:pt idx="4">
                  <c:v>157</c:v>
                </c:pt>
                <c:pt idx="5">
                  <c:v>1181</c:v>
                </c:pt>
                <c:pt idx="6">
                  <c:v>1156</c:v>
                </c:pt>
                <c:pt idx="7">
                  <c:v>16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572232474106433"/>
          <c:y val="3.0058360507361642E-2"/>
          <c:w val="0.50280242229296057"/>
          <c:h val="0.95535438415938934"/>
        </c:manualLayout>
      </c:layout>
      <c:overlay val="0"/>
      <c:txPr>
        <a:bodyPr/>
        <a:lstStyle/>
        <a:p>
          <a:pPr>
            <a:defRPr lang="ru-RU" sz="8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FBDA7-F37F-4C31-92E5-B10B1038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9150</Words>
  <Characters>52155</Characters>
  <Application>Microsoft Office Word</Application>
  <DocSecurity>0</DocSecurity>
  <Lines>434</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Alina Tagadiuc</cp:lastModifiedBy>
  <cp:revision>14</cp:revision>
  <cp:lastPrinted>2023-12-07T09:23:00Z</cp:lastPrinted>
  <dcterms:created xsi:type="dcterms:W3CDTF">2024-07-18T07:57:00Z</dcterms:created>
  <dcterms:modified xsi:type="dcterms:W3CDTF">2024-07-30T11:50:00Z</dcterms:modified>
</cp:coreProperties>
</file>